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15.xml" ContentType="application/vnd.openxmlformats-officedocument.wordprocessingml.footer+xml"/>
  <Override PartName="/word/header19.xml" ContentType="application/vnd.openxmlformats-officedocument.wordprocessingml.header+xml"/>
  <Override PartName="/word/footer16.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5.xml" ContentType="application/vnd.openxmlformats-officedocument.wordprocessingml.header+xml"/>
  <Override PartName="/word/footer21.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8.xml" ContentType="application/vnd.openxmlformats-officedocument.wordprocessingml.header+xml"/>
  <Override PartName="/word/footer24.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oter25.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28.xml" ContentType="application/vnd.openxmlformats-officedocument.wordprocessingml.footer+xml"/>
  <Override PartName="/word/header36.xml" ContentType="application/vnd.openxmlformats-officedocument.wordprocessingml.header+xml"/>
  <Override PartName="/word/footer29.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39.xml" ContentType="application/vnd.openxmlformats-officedocument.wordprocessingml.header+xml"/>
  <Override PartName="/word/footer32.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47.xml" ContentType="application/vnd.openxmlformats-officedocument.wordprocessingml.header+xml"/>
  <Override PartName="/word/footer37.xml" ContentType="application/vnd.openxmlformats-officedocument.wordprocessingml.footer+xml"/>
  <Override PartName="/word/header48.xml" ContentType="application/vnd.openxmlformats-officedocument.wordprocessingml.header+xml"/>
  <Override PartName="/word/header49.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header50.xml" ContentType="application/vnd.openxmlformats-officedocument.wordprocessingml.header+xml"/>
  <Override PartName="/word/footer40.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footer41.xml" ContentType="application/vnd.openxmlformats-officedocument.wordprocessingml.footer+xml"/>
  <Override PartName="/word/footer42.xml" ContentType="application/vnd.openxmlformats-officedocument.wordprocessingml.footer+xml"/>
  <Override PartName="/word/header53.xml" ContentType="application/vnd.openxmlformats-officedocument.wordprocessingml.header+xml"/>
  <Override PartName="/word/footer43.xml" ContentType="application/vnd.openxmlformats-officedocument.wordprocessingml.foot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footer44.xml" ContentType="application/vnd.openxmlformats-officedocument.wordprocessingml.footer+xml"/>
  <Override PartName="/word/header57.xml" ContentType="application/vnd.openxmlformats-officedocument.wordprocessingml.header+xml"/>
  <Override PartName="/word/header58.xml" ContentType="application/vnd.openxmlformats-officedocument.wordprocessingml.header+xml"/>
  <Override PartName="/word/footer45.xml" ContentType="application/vnd.openxmlformats-officedocument.wordprocessingml.footer+xml"/>
  <Override PartName="/word/footer46.xml" ContentType="application/vnd.openxmlformats-officedocument.wordprocessingml.footer+xml"/>
  <Override PartName="/word/header59.xml" ContentType="application/vnd.openxmlformats-officedocument.wordprocessingml.header+xml"/>
  <Override PartName="/word/footer4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00EF0" w14:textId="77777777" w:rsidR="005B0BE2" w:rsidRDefault="005B0BE2" w:rsidP="00796A56">
      <w:pPr>
        <w:pStyle w:val="Listnum"/>
      </w:pPr>
    </w:p>
    <w:p w14:paraId="25AB98D9" w14:textId="67B6C243" w:rsidR="007A7499" w:rsidRPr="000F650A" w:rsidRDefault="00026AE2" w:rsidP="007D536F">
      <w:pPr>
        <w:pStyle w:val="Title"/>
        <w:spacing w:before="1600"/>
        <w:rPr>
          <w:rFonts w:eastAsia="SimHei"/>
          <w:b w:val="0"/>
          <w:bCs/>
          <w:sz w:val="52"/>
          <w:szCs w:val="52"/>
          <w:lang w:eastAsia="zh-CN"/>
        </w:rPr>
      </w:pPr>
      <w:r w:rsidRPr="000F650A">
        <w:rPr>
          <w:b w:val="0"/>
          <w:bCs/>
          <w:caps/>
          <w:sz w:val="52"/>
          <w:szCs w:val="52"/>
        </w:rPr>
        <w:t>202</w:t>
      </w:r>
      <w:r w:rsidR="00FB1ACE">
        <w:rPr>
          <w:b w:val="0"/>
          <w:bCs/>
          <w:caps/>
          <w:sz w:val="52"/>
          <w:szCs w:val="52"/>
        </w:rPr>
        <w:t>5</w:t>
      </w:r>
      <w:r w:rsidR="007D536F" w:rsidRPr="000F650A">
        <w:rPr>
          <w:b w:val="0"/>
          <w:bCs/>
          <w:sz w:val="52"/>
          <w:szCs w:val="52"/>
        </w:rPr>
        <w:t>-</w:t>
      </w:r>
      <w:r w:rsidR="00B53E1B" w:rsidRPr="000F650A">
        <w:rPr>
          <w:b w:val="0"/>
          <w:bCs/>
          <w:sz w:val="52"/>
          <w:szCs w:val="52"/>
        </w:rPr>
        <w:t>2</w:t>
      </w:r>
      <w:r w:rsidR="00FB1ACE">
        <w:rPr>
          <w:b w:val="0"/>
          <w:bCs/>
          <w:sz w:val="52"/>
          <w:szCs w:val="52"/>
        </w:rPr>
        <w:t>6</w:t>
      </w:r>
    </w:p>
    <w:p w14:paraId="3E54AE71" w14:textId="2F8CF41A" w:rsidR="007D536F" w:rsidRPr="007D536F" w:rsidRDefault="0007383E" w:rsidP="007D536F">
      <w:pPr>
        <w:pStyle w:val="Title"/>
        <w:spacing w:before="1600"/>
        <w:rPr>
          <w:sz w:val="52"/>
          <w:szCs w:val="52"/>
        </w:rPr>
      </w:pPr>
      <w:r>
        <w:rPr>
          <w:sz w:val="52"/>
          <w:szCs w:val="52"/>
        </w:rPr>
        <w:t>Tier</w:t>
      </w:r>
      <w:r w:rsidR="000F650A">
        <w:rPr>
          <w:sz w:val="52"/>
          <w:szCs w:val="52"/>
        </w:rPr>
        <w:t xml:space="preserve"> </w:t>
      </w:r>
      <w:r w:rsidR="00497215">
        <w:rPr>
          <w:sz w:val="52"/>
          <w:szCs w:val="52"/>
        </w:rPr>
        <w:t xml:space="preserve">2 </w:t>
      </w:r>
      <w:r w:rsidR="007D536F" w:rsidRPr="007D536F">
        <w:rPr>
          <w:sz w:val="52"/>
          <w:szCs w:val="52"/>
        </w:rPr>
        <w:t xml:space="preserve">Model </w:t>
      </w:r>
      <w:r w:rsidR="00457F98">
        <w:rPr>
          <w:sz w:val="52"/>
          <w:szCs w:val="52"/>
        </w:rPr>
        <w:t xml:space="preserve">Financial </w:t>
      </w:r>
      <w:r w:rsidR="007D536F" w:rsidRPr="007D536F">
        <w:rPr>
          <w:sz w:val="52"/>
          <w:szCs w:val="52"/>
        </w:rPr>
        <w:t xml:space="preserve">Report for Victorian </w:t>
      </w:r>
      <w:r w:rsidR="00E24B21">
        <w:rPr>
          <w:sz w:val="52"/>
          <w:szCs w:val="52"/>
        </w:rPr>
        <w:t>public sector entities</w:t>
      </w:r>
    </w:p>
    <w:p w14:paraId="5C3BC13C" w14:textId="2D0CA6A6" w:rsidR="003719CD" w:rsidRPr="007F16BF" w:rsidRDefault="003719CD" w:rsidP="00886C99">
      <w:pPr>
        <w:pStyle w:val="Subtitle"/>
        <w:tabs>
          <w:tab w:val="left" w:pos="4820"/>
        </w:tabs>
      </w:pPr>
      <w:bookmarkStart w:id="0" w:name="_Hlk49853564"/>
    </w:p>
    <w:p w14:paraId="7B7102A5" w14:textId="77777777" w:rsidR="003719CD" w:rsidRPr="00B2671F" w:rsidRDefault="003719CD" w:rsidP="003719CD">
      <w:pPr>
        <w:pStyle w:val="CoverSpacer"/>
      </w:pPr>
    </w:p>
    <w:bookmarkEnd w:id="0"/>
    <w:p w14:paraId="397F6AB4" w14:textId="77777777" w:rsidR="003719CD" w:rsidRDefault="003719CD" w:rsidP="003719CD">
      <w:pPr>
        <w:pStyle w:val="CoverSpacer"/>
        <w:sectPr w:rsidR="003719CD" w:rsidSect="000E2F05">
          <w:headerReference w:type="even" r:id="rId13"/>
          <w:headerReference w:type="default" r:id="rId14"/>
          <w:footerReference w:type="even" r:id="rId15"/>
          <w:footerReference w:type="default" r:id="rId16"/>
          <w:headerReference w:type="first" r:id="rId17"/>
          <w:footerReference w:type="first" r:id="rId18"/>
          <w:pgSz w:w="11906" w:h="16838" w:code="9"/>
          <w:pgMar w:top="1627" w:right="1440" w:bottom="1440" w:left="1440" w:header="706" w:footer="461" w:gutter="0"/>
          <w:pgNumType w:fmt="lowerRoman" w:start="1"/>
          <w:cols w:space="708"/>
          <w:vAlign w:val="bottom"/>
          <w:docGrid w:linePitch="360"/>
        </w:sectPr>
      </w:pPr>
    </w:p>
    <w:p w14:paraId="682D517B" w14:textId="77777777" w:rsidR="003719CD" w:rsidRDefault="003719CD" w:rsidP="003719CD">
      <w:pPr>
        <w:pStyle w:val="NormalTight"/>
      </w:pPr>
    </w:p>
    <w:p w14:paraId="2D9BD093" w14:textId="74888091" w:rsidR="003719CD" w:rsidRPr="00C92338" w:rsidRDefault="003719CD" w:rsidP="003719CD">
      <w:pPr>
        <w:pStyle w:val="Insidecoverspacer"/>
        <w:spacing w:before="3000"/>
      </w:pPr>
    </w:p>
    <w:p w14:paraId="4D9D58AA" w14:textId="77777777" w:rsidR="003719CD" w:rsidRPr="00C92338" w:rsidRDefault="003719CD" w:rsidP="003719CD">
      <w:pPr>
        <w:pStyle w:val="NormalTight"/>
      </w:pPr>
      <w:r w:rsidRPr="00C92338">
        <w:t>The Secretary</w:t>
      </w:r>
    </w:p>
    <w:p w14:paraId="285F539E" w14:textId="77777777" w:rsidR="003719CD" w:rsidRPr="00C92338" w:rsidRDefault="003719CD" w:rsidP="003719CD">
      <w:pPr>
        <w:pStyle w:val="NormalTight"/>
      </w:pPr>
      <w:r w:rsidRPr="00C92338">
        <w:t>Department of Treasury and Finance</w:t>
      </w:r>
    </w:p>
    <w:p w14:paraId="6C17906A" w14:textId="77777777" w:rsidR="003719CD" w:rsidRPr="00C92338" w:rsidRDefault="003719CD" w:rsidP="003719CD">
      <w:pPr>
        <w:pStyle w:val="NormalTight"/>
      </w:pPr>
      <w:r w:rsidRPr="00C92338">
        <w:t>1 Treasury Place</w:t>
      </w:r>
    </w:p>
    <w:p w14:paraId="5F0C1F4D" w14:textId="77777777" w:rsidR="003719CD" w:rsidRPr="00C92338" w:rsidRDefault="003719CD" w:rsidP="003719CD">
      <w:pPr>
        <w:pStyle w:val="NormalTight"/>
      </w:pPr>
      <w:r w:rsidRPr="00C92338">
        <w:t>Melbourne Victoria 3002</w:t>
      </w:r>
    </w:p>
    <w:p w14:paraId="6F19C348" w14:textId="77777777" w:rsidR="003719CD" w:rsidRPr="00C92338" w:rsidRDefault="003719CD" w:rsidP="003719CD">
      <w:pPr>
        <w:pStyle w:val="NormalTight"/>
      </w:pPr>
      <w:r w:rsidRPr="00C92338">
        <w:t>Australia</w:t>
      </w:r>
    </w:p>
    <w:p w14:paraId="4A659A17" w14:textId="77777777" w:rsidR="003719CD" w:rsidRPr="00C92338" w:rsidRDefault="003719CD" w:rsidP="003719CD">
      <w:pPr>
        <w:pStyle w:val="NormalTight"/>
      </w:pPr>
      <w:r w:rsidRPr="00C92338">
        <w:t>Telephone: +61 3 9651 5111</w:t>
      </w:r>
    </w:p>
    <w:p w14:paraId="36D544CA" w14:textId="77777777" w:rsidR="003719CD" w:rsidRPr="00C92338" w:rsidRDefault="003719CD" w:rsidP="003719CD">
      <w:pPr>
        <w:pStyle w:val="NormalTight"/>
      </w:pPr>
      <w:r w:rsidRPr="00C92338">
        <w:t>dtf.vic.gov.au</w:t>
      </w:r>
    </w:p>
    <w:p w14:paraId="2EBCCA75" w14:textId="77777777" w:rsidR="003719CD" w:rsidRPr="00C92338" w:rsidRDefault="003719CD" w:rsidP="003719CD">
      <w:pPr>
        <w:pStyle w:val="NormalTight"/>
      </w:pPr>
    </w:p>
    <w:p w14:paraId="1BAFB283" w14:textId="77777777" w:rsidR="003719CD" w:rsidRPr="00C92338" w:rsidRDefault="003719CD" w:rsidP="003719CD">
      <w:pPr>
        <w:pStyle w:val="NormalTight"/>
      </w:pPr>
      <w:r w:rsidRPr="00C92338">
        <w:t>Authorised by the Victorian Government</w:t>
      </w:r>
    </w:p>
    <w:p w14:paraId="3E60146C" w14:textId="77777777" w:rsidR="003719CD" w:rsidRPr="00C92338" w:rsidRDefault="003719CD" w:rsidP="003719CD">
      <w:pPr>
        <w:pStyle w:val="NormalTight"/>
      </w:pPr>
      <w:r w:rsidRPr="00C92338">
        <w:t>1 Treasury Place, Melbourne, 3002</w:t>
      </w:r>
    </w:p>
    <w:p w14:paraId="100326BE" w14:textId="77777777" w:rsidR="003719CD" w:rsidRPr="00C92338" w:rsidRDefault="003719CD" w:rsidP="003719CD">
      <w:pPr>
        <w:pStyle w:val="NormalTight"/>
      </w:pPr>
    </w:p>
    <w:p w14:paraId="63F21014" w14:textId="18474EE6" w:rsidR="003719CD" w:rsidRPr="00DE6B76" w:rsidRDefault="003719CD" w:rsidP="003719CD">
      <w:r w:rsidRPr="00DE6B76">
        <w:t xml:space="preserve">© State of Victoria </w:t>
      </w:r>
      <w:r w:rsidR="00057C50" w:rsidRPr="00DE6B76">
        <w:fldChar w:fldCharType="begin"/>
      </w:r>
      <w:r w:rsidR="00057C50" w:rsidRPr="00DE6B76">
        <w:instrText xml:space="preserve"> DATE  \@ "yyyy" </w:instrText>
      </w:r>
      <w:r w:rsidR="00057C50" w:rsidRPr="00DE6B76">
        <w:fldChar w:fldCharType="separate"/>
      </w:r>
      <w:r w:rsidR="006A38E5">
        <w:rPr>
          <w:noProof/>
        </w:rPr>
        <w:t>2026</w:t>
      </w:r>
      <w:r w:rsidR="00057C50" w:rsidRPr="00DE6B76">
        <w:fldChar w:fldCharType="end"/>
      </w:r>
    </w:p>
    <w:p w14:paraId="585FACED" w14:textId="77777777" w:rsidR="003719CD" w:rsidRPr="00DE6B76" w:rsidRDefault="003719CD" w:rsidP="003719CD">
      <w:r w:rsidRPr="00DE6B76">
        <w:rPr>
          <w:noProof/>
        </w:rPr>
        <w:drawing>
          <wp:inline distT="0" distB="0" distL="0" distR="0" wp14:anchorId="5BAE9842" wp14:editId="5413F36B">
            <wp:extent cx="1117460" cy="390972"/>
            <wp:effectExtent l="0" t="0" r="6985" b="9525"/>
            <wp:docPr id="25" name="Picture 25">
              <a:hlinkClick xmlns:a="http://schemas.openxmlformats.org/drawingml/2006/main" r:id="rId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x31.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117460" cy="390972"/>
                    </a:xfrm>
                    <a:prstGeom prst="rect">
                      <a:avLst/>
                    </a:prstGeom>
                  </pic:spPr>
                </pic:pic>
              </a:graphicData>
            </a:graphic>
          </wp:inline>
        </w:drawing>
      </w:r>
      <w:r w:rsidRPr="00DE6B76">
        <w:t xml:space="preserve"> </w:t>
      </w:r>
    </w:p>
    <w:p w14:paraId="6979DBE2" w14:textId="0832ABC1" w:rsidR="003719CD" w:rsidRPr="00DE6B76" w:rsidRDefault="003719CD" w:rsidP="003719CD">
      <w:pPr>
        <w:pStyle w:val="NormalTight"/>
      </w:pPr>
      <w:r w:rsidRPr="00DE6B76">
        <w:t xml:space="preserve">You are free to re-use this work under a </w:t>
      </w:r>
      <w:hyperlink r:id="rId21" w:history="1">
        <w:r w:rsidRPr="00DE6B76">
          <w:rPr>
            <w:rStyle w:val="Hyperlink"/>
            <w:rFonts w:eastAsiaTheme="majorEastAsia"/>
          </w:rPr>
          <w:t>Creative Commons Attribution 4.0 licence</w:t>
        </w:r>
      </w:hyperlink>
      <w:r w:rsidRPr="00DE6B76">
        <w:rPr>
          <w:rStyle w:val="Hyperlink"/>
          <w:rFonts w:eastAsiaTheme="majorEastAsia"/>
        </w:rPr>
        <w:t>,</w:t>
      </w:r>
      <w:r w:rsidRPr="00DE6B76">
        <w:t xml:space="preserve"> provided you credit the State of Victoria (Department of Treasury and Finance) as author, indicate if changes were made and comply with the other licence terms. The licence does not apply to any branding, including Government logos.</w:t>
      </w:r>
    </w:p>
    <w:p w14:paraId="02F55A80" w14:textId="77777777" w:rsidR="003719CD" w:rsidRPr="00DE6B76" w:rsidRDefault="003719CD" w:rsidP="003719CD">
      <w:pPr>
        <w:pStyle w:val="NormalTight"/>
      </w:pPr>
    </w:p>
    <w:p w14:paraId="199D9B79" w14:textId="15D4C228" w:rsidR="003719CD" w:rsidRPr="00DE6B76" w:rsidRDefault="003719CD" w:rsidP="003719CD">
      <w:pPr>
        <w:pStyle w:val="NormalTight"/>
      </w:pPr>
      <w:r w:rsidRPr="00DE6B76">
        <w:t xml:space="preserve">Copyright queries may be directed to </w:t>
      </w:r>
      <w:hyperlink r:id="rId22" w:history="1">
        <w:r w:rsidRPr="00DE6B76">
          <w:rPr>
            <w:rStyle w:val="Hyperlink"/>
            <w:rFonts w:eastAsiaTheme="majorEastAsia" w:cstheme="minorHAnsi"/>
          </w:rPr>
          <w:t>IPpolicy@dtf.vic.gov.au</w:t>
        </w:r>
      </w:hyperlink>
      <w:r w:rsidR="008D680A" w:rsidRPr="00DE6B76">
        <w:rPr>
          <w:rStyle w:val="Hyperlink"/>
          <w:rFonts w:eastAsiaTheme="majorEastAsia" w:cstheme="minorHAnsi"/>
          <w:color w:val="auto"/>
          <w:u w:val="none"/>
        </w:rPr>
        <w:t>.</w:t>
      </w:r>
    </w:p>
    <w:p w14:paraId="4E622290" w14:textId="77777777" w:rsidR="003719CD" w:rsidRPr="00DE6B76" w:rsidRDefault="003719CD" w:rsidP="003719CD">
      <w:pPr>
        <w:pStyle w:val="NormalTight"/>
      </w:pPr>
    </w:p>
    <w:p w14:paraId="25D4C23C" w14:textId="7662F662" w:rsidR="003719CD" w:rsidRPr="00DE6B76" w:rsidRDefault="003719CD" w:rsidP="003719CD">
      <w:pPr>
        <w:pStyle w:val="NormalTight"/>
      </w:pPr>
      <w:r w:rsidRPr="00DE6B76">
        <w:t>IS</w:t>
      </w:r>
      <w:r w:rsidR="007D536F" w:rsidRPr="00DE6B76">
        <w:t>S</w:t>
      </w:r>
      <w:r w:rsidRPr="00DE6B76">
        <w:t xml:space="preserve">N </w:t>
      </w:r>
      <w:r w:rsidR="001C247B" w:rsidRPr="00DE6B76">
        <w:t>2982-2793 – Online (pdf/word)</w:t>
      </w:r>
    </w:p>
    <w:p w14:paraId="6E2C3C0E" w14:textId="131553CF" w:rsidR="003719CD" w:rsidRPr="00C92338" w:rsidRDefault="003719CD" w:rsidP="003719CD">
      <w:pPr>
        <w:pStyle w:val="NormalTight"/>
      </w:pPr>
      <w:r w:rsidRPr="00DE6B76">
        <w:t xml:space="preserve">Published </w:t>
      </w:r>
      <w:r w:rsidR="00AB5A56" w:rsidRPr="00DE6B76">
        <w:t xml:space="preserve">March </w:t>
      </w:r>
      <w:r w:rsidR="001C247B" w:rsidRPr="00DE6B76">
        <w:t>202</w:t>
      </w:r>
      <w:r w:rsidR="007614F2" w:rsidRPr="00DE6B76">
        <w:t>6</w:t>
      </w:r>
    </w:p>
    <w:p w14:paraId="3208D122" w14:textId="77777777" w:rsidR="003719CD" w:rsidRPr="00C92338" w:rsidRDefault="003719CD" w:rsidP="003719CD">
      <w:pPr>
        <w:pStyle w:val="NormalTight"/>
      </w:pPr>
    </w:p>
    <w:p w14:paraId="174BDC7F" w14:textId="2EDD1FA1" w:rsidR="003719CD" w:rsidRPr="00C92338" w:rsidRDefault="003719CD" w:rsidP="003719CD">
      <w:pPr>
        <w:pStyle w:val="NormalTight"/>
      </w:pPr>
      <w:r w:rsidRPr="00C92338">
        <w:t>If you would like to receive this publication in an accessible format</w:t>
      </w:r>
      <w:r w:rsidR="000B0B89">
        <w:t>,</w:t>
      </w:r>
      <w:r w:rsidRPr="00C92338">
        <w:t xml:space="preserve"> please email </w:t>
      </w:r>
      <w:hyperlink r:id="rId23" w:history="1">
        <w:r w:rsidRPr="00EB114F">
          <w:rPr>
            <w:rStyle w:val="Hyperlink"/>
          </w:rPr>
          <w:t>information@dtf.vic.gov.au</w:t>
        </w:r>
      </w:hyperlink>
    </w:p>
    <w:p w14:paraId="5456B121" w14:textId="3AE86CC9" w:rsidR="003719CD" w:rsidRDefault="003719CD" w:rsidP="003719CD">
      <w:pPr>
        <w:pStyle w:val="NormalTight"/>
      </w:pPr>
    </w:p>
    <w:p w14:paraId="1CBB4F38" w14:textId="77777777" w:rsidR="007D536F" w:rsidRPr="007D536F" w:rsidRDefault="007D536F" w:rsidP="007D536F">
      <w:pPr>
        <w:pStyle w:val="NormalTight"/>
        <w:rPr>
          <w:b/>
          <w:bCs/>
        </w:rPr>
      </w:pPr>
      <w:r w:rsidRPr="007D536F">
        <w:rPr>
          <w:b/>
          <w:bCs/>
        </w:rPr>
        <w:t xml:space="preserve">Important disclaimer: </w:t>
      </w:r>
    </w:p>
    <w:p w14:paraId="5D67232A" w14:textId="0DB29638" w:rsidR="007D536F" w:rsidRDefault="007D536F" w:rsidP="00B93FE3">
      <w:pPr>
        <w:pStyle w:val="NormalTight"/>
      </w:pPr>
      <w:r>
        <w:t xml:space="preserve">The </w:t>
      </w:r>
      <w:r w:rsidRPr="00B93FE3">
        <w:t>Department</w:t>
      </w:r>
      <w:r>
        <w:t xml:space="preserve"> of Treasury and Finance is not engaged in rendering legal, accounting</w:t>
      </w:r>
      <w:r w:rsidR="00017156">
        <w:t>,</w:t>
      </w:r>
      <w:r>
        <w:t xml:space="preserve"> or other professional advice. </w:t>
      </w:r>
    </w:p>
    <w:p w14:paraId="14F59B77" w14:textId="77777777" w:rsidR="007D536F" w:rsidRDefault="007D536F" w:rsidP="007D536F">
      <w:pPr>
        <w:pStyle w:val="NormalTight"/>
      </w:pPr>
    </w:p>
    <w:p w14:paraId="54748CBF" w14:textId="1AEDDFEF" w:rsidR="007D536F" w:rsidRDefault="007D536F" w:rsidP="007D536F">
      <w:pPr>
        <w:pStyle w:val="NormalTight"/>
      </w:pPr>
      <w:r>
        <w:t xml:space="preserve">While all reasonable care has been taken in the preparation of information contained in this publication, no responsibility is taken for any action(s) taken </w:t>
      </w:r>
      <w:proofErr w:type="gramStart"/>
      <w:r>
        <w:t>on the basis of</w:t>
      </w:r>
      <w:proofErr w:type="gramEnd"/>
      <w:r>
        <w:t xml:space="preserve"> information contained herein nor for any errors or omissions in that information. </w:t>
      </w:r>
    </w:p>
    <w:p w14:paraId="16485D8C" w14:textId="77777777" w:rsidR="007D536F" w:rsidRDefault="007D536F" w:rsidP="007D536F">
      <w:pPr>
        <w:pStyle w:val="NormalTight"/>
      </w:pPr>
    </w:p>
    <w:p w14:paraId="28AC7651" w14:textId="281F63E7" w:rsidR="007D536F" w:rsidRDefault="007D536F" w:rsidP="007D536F">
      <w:pPr>
        <w:pStyle w:val="NormalTight"/>
      </w:pPr>
      <w:r>
        <w:t xml:space="preserve">The Department of Treasury and Finance expressly disclaims any liability whatsoever, to any person, whether purchaser or not, in relation to any reliance, in whole or in part, on such information. </w:t>
      </w:r>
    </w:p>
    <w:p w14:paraId="7B43CC20" w14:textId="77777777" w:rsidR="007D536F" w:rsidRDefault="007D536F" w:rsidP="007D536F">
      <w:pPr>
        <w:pStyle w:val="NormalTight"/>
      </w:pPr>
    </w:p>
    <w:p w14:paraId="3F8B9C8C" w14:textId="6BB6CC29" w:rsidR="007D536F" w:rsidRDefault="007D536F" w:rsidP="007D536F">
      <w:pPr>
        <w:pStyle w:val="NormalTight"/>
      </w:pPr>
      <w:r>
        <w:t xml:space="preserve">Persons should consult a suitably qualified professional adviser to obtain advice tailored to their </w:t>
      </w:r>
      <w:proofErr w:type="gramStart"/>
      <w:r>
        <w:t>particular circumstances</w:t>
      </w:r>
      <w:proofErr w:type="gramEnd"/>
      <w:r>
        <w:t xml:space="preserve">. </w:t>
      </w:r>
    </w:p>
    <w:p w14:paraId="6A0181BF" w14:textId="77777777" w:rsidR="007D536F" w:rsidRDefault="007D536F" w:rsidP="007D536F">
      <w:pPr>
        <w:pStyle w:val="NormalTight"/>
      </w:pPr>
    </w:p>
    <w:p w14:paraId="01A2262D" w14:textId="2F622CDD" w:rsidR="007D536F" w:rsidRDefault="00126FA5" w:rsidP="007D536F">
      <w:pPr>
        <w:pStyle w:val="NormalTight"/>
      </w:pPr>
      <w:r>
        <w:t>Technology Victoria</w:t>
      </w:r>
      <w:r w:rsidR="007D536F">
        <w:t xml:space="preserve"> is a fictitious </w:t>
      </w:r>
      <w:r w:rsidR="00F42D5D">
        <w:t xml:space="preserve">entity </w:t>
      </w:r>
      <w:r w:rsidR="007D536F">
        <w:t xml:space="preserve">and has been used only for the purposes of illustrating </w:t>
      </w:r>
      <w:r w:rsidR="00EA1162">
        <w:t xml:space="preserve">Tier 2 </w:t>
      </w:r>
      <w:r w:rsidR="007D536F">
        <w:t>financial reporting requirements.</w:t>
      </w:r>
    </w:p>
    <w:p w14:paraId="5118E232" w14:textId="77777777" w:rsidR="007D536F" w:rsidRPr="00C92338" w:rsidRDefault="007D536F" w:rsidP="003719CD">
      <w:pPr>
        <w:pStyle w:val="NormalTight"/>
      </w:pPr>
    </w:p>
    <w:p w14:paraId="1CD61349" w14:textId="1FB7819D" w:rsidR="003719CD" w:rsidRPr="00C92338" w:rsidRDefault="003719CD" w:rsidP="003719CD">
      <w:pPr>
        <w:pStyle w:val="NormalTight"/>
        <w:rPr>
          <w:sz w:val="19"/>
        </w:rPr>
      </w:pPr>
      <w:r w:rsidRPr="00C92338">
        <w:t xml:space="preserve">This document is available in Word and PDF format at </w:t>
      </w:r>
      <w:hyperlink r:id="rId24" w:history="1">
        <w:r w:rsidRPr="00BE03FB">
          <w:rPr>
            <w:rStyle w:val="Hyperlink"/>
            <w:rFonts w:eastAsiaTheme="majorEastAsia"/>
          </w:rPr>
          <w:t>dtf.vic.gov.au</w:t>
        </w:r>
      </w:hyperlink>
      <w:r w:rsidR="008D680A" w:rsidRPr="008D680A">
        <w:rPr>
          <w:rStyle w:val="Hyperlink"/>
          <w:rFonts w:eastAsiaTheme="majorEastAsia"/>
          <w:color w:val="auto"/>
          <w:u w:val="none"/>
        </w:rPr>
        <w:t>.</w:t>
      </w:r>
    </w:p>
    <w:p w14:paraId="29AB46FA" w14:textId="77777777" w:rsidR="003719CD" w:rsidRDefault="003719CD" w:rsidP="00A353DD"/>
    <w:p w14:paraId="16A2C88D" w14:textId="556BF538" w:rsidR="00A353DD" w:rsidRPr="00A353DD" w:rsidRDefault="00A353DD" w:rsidP="00A353DD">
      <w:pPr>
        <w:sectPr w:rsidR="00A353DD" w:rsidRPr="00A353DD" w:rsidSect="000E2F05">
          <w:headerReference w:type="even" r:id="rId25"/>
          <w:headerReference w:type="default" r:id="rId26"/>
          <w:footerReference w:type="even" r:id="rId27"/>
          <w:footerReference w:type="default" r:id="rId28"/>
          <w:headerReference w:type="first" r:id="rId29"/>
          <w:footerReference w:type="first" r:id="rId30"/>
          <w:pgSz w:w="11906" w:h="16838" w:code="9"/>
          <w:pgMar w:top="1134" w:right="1134" w:bottom="1134" w:left="1134" w:header="624" w:footer="567" w:gutter="0"/>
          <w:cols w:space="708"/>
          <w:docGrid w:linePitch="360"/>
        </w:sectPr>
      </w:pPr>
    </w:p>
    <w:p w14:paraId="29254868" w14:textId="265D6BAE" w:rsidR="007D536F" w:rsidRDefault="007D536F" w:rsidP="007D536F">
      <w:pPr>
        <w:pStyle w:val="Heading1"/>
      </w:pPr>
      <w:bookmarkStart w:id="1" w:name="_Toc179811114"/>
      <w:bookmarkStart w:id="2" w:name="_Toc179816814"/>
      <w:bookmarkStart w:id="3" w:name="_Toc179822514"/>
      <w:bookmarkStart w:id="4" w:name="_Toc179828208"/>
      <w:bookmarkStart w:id="5" w:name="_Toc179859738"/>
      <w:bookmarkStart w:id="6" w:name="_Toc179867081"/>
      <w:bookmarkStart w:id="7" w:name="_Toc179871474"/>
      <w:bookmarkStart w:id="8" w:name="_Toc179875867"/>
      <w:bookmarkStart w:id="9" w:name="_Toc179880286"/>
      <w:r w:rsidRPr="007D536F">
        <w:t xml:space="preserve">A message from the </w:t>
      </w:r>
      <w:bookmarkEnd w:id="1"/>
      <w:bookmarkEnd w:id="2"/>
      <w:bookmarkEnd w:id="3"/>
      <w:bookmarkEnd w:id="4"/>
      <w:bookmarkEnd w:id="5"/>
      <w:bookmarkEnd w:id="6"/>
      <w:bookmarkEnd w:id="7"/>
      <w:bookmarkEnd w:id="8"/>
      <w:bookmarkEnd w:id="9"/>
      <w:r w:rsidR="00FA5B90">
        <w:t>minister for finance</w:t>
      </w:r>
    </w:p>
    <w:p w14:paraId="38A379EF" w14:textId="7A5CBA8E" w:rsidR="007D536F" w:rsidRDefault="007D536F" w:rsidP="007D536F"/>
    <w:p w14:paraId="72DB5BEC" w14:textId="7CB29FF8" w:rsidR="005E7F8B" w:rsidRDefault="005E7F8B" w:rsidP="005E7F8B">
      <w:pPr>
        <w:pStyle w:val="BodyText"/>
        <w:spacing w:line="264" w:lineRule="auto"/>
      </w:pPr>
      <w:r>
        <w:t>I am pleased to endorse the</w:t>
      </w:r>
      <w:r>
        <w:rPr>
          <w:spacing w:val="-2"/>
        </w:rPr>
        <w:t xml:space="preserve"> </w:t>
      </w:r>
      <w:r w:rsidRPr="00E51206">
        <w:rPr>
          <w:i/>
          <w:iCs/>
        </w:rPr>
        <w:t>202</w:t>
      </w:r>
      <w:r w:rsidR="002D7593" w:rsidRPr="00E51206">
        <w:rPr>
          <w:i/>
          <w:iCs/>
        </w:rPr>
        <w:t>5</w:t>
      </w:r>
      <w:r w:rsidRPr="00E51206">
        <w:rPr>
          <w:i/>
          <w:iCs/>
        </w:rPr>
        <w:t>-2</w:t>
      </w:r>
      <w:r w:rsidR="002D7593" w:rsidRPr="00E51206">
        <w:rPr>
          <w:i/>
          <w:iCs/>
        </w:rPr>
        <w:t>6</w:t>
      </w:r>
      <w:r w:rsidRPr="00E51206">
        <w:rPr>
          <w:i/>
          <w:iCs/>
        </w:rPr>
        <w:t xml:space="preserve"> </w:t>
      </w:r>
      <w:r w:rsidR="0007383E" w:rsidRPr="00E51206">
        <w:rPr>
          <w:i/>
          <w:iCs/>
        </w:rPr>
        <w:t>Tier </w:t>
      </w:r>
      <w:r w:rsidRPr="00E51206">
        <w:rPr>
          <w:i/>
          <w:iCs/>
        </w:rPr>
        <w:t>2 Model Financial</w:t>
      </w:r>
      <w:r w:rsidRPr="00E51206">
        <w:rPr>
          <w:i/>
          <w:iCs/>
          <w:spacing w:val="-7"/>
        </w:rPr>
        <w:t xml:space="preserve"> </w:t>
      </w:r>
      <w:r w:rsidRPr="00E51206">
        <w:rPr>
          <w:i/>
          <w:iCs/>
        </w:rPr>
        <w:t xml:space="preserve">Report for Victorian </w:t>
      </w:r>
      <w:r w:rsidR="00E24B21" w:rsidRPr="00E51206">
        <w:rPr>
          <w:i/>
          <w:iCs/>
        </w:rPr>
        <w:t>public sector entities</w:t>
      </w:r>
      <w:r w:rsidR="00E24B21">
        <w:t xml:space="preserve"> </w:t>
      </w:r>
      <w:r>
        <w:t xml:space="preserve">(the </w:t>
      </w:r>
      <w:r w:rsidR="0007383E">
        <w:t>Tier </w:t>
      </w:r>
      <w:r>
        <w:t>2 Model).</w:t>
      </w:r>
      <w:r>
        <w:rPr>
          <w:spacing w:val="-6"/>
        </w:rPr>
        <w:t xml:space="preserve"> </w:t>
      </w:r>
      <w:r>
        <w:t>This model</w:t>
      </w:r>
      <w:r>
        <w:rPr>
          <w:spacing w:val="-3"/>
        </w:rPr>
        <w:t xml:space="preserve"> </w:t>
      </w:r>
      <w:r w:rsidR="007F1370">
        <w:t>is designed</w:t>
      </w:r>
      <w:r w:rsidR="00C0063E">
        <w:t xml:space="preserve"> to</w:t>
      </w:r>
      <w:r w:rsidR="007F1370">
        <w:rPr>
          <w:spacing w:val="-3"/>
        </w:rPr>
        <w:t xml:space="preserve"> </w:t>
      </w:r>
      <w:r w:rsidR="00A11667">
        <w:t>provide consistency in the</w:t>
      </w:r>
      <w:r>
        <w:rPr>
          <w:spacing w:val="-1"/>
        </w:rPr>
        <w:t xml:space="preserve"> </w:t>
      </w:r>
      <w:r>
        <w:t>preparation</w:t>
      </w:r>
      <w:r>
        <w:rPr>
          <w:spacing w:val="-1"/>
        </w:rPr>
        <w:t xml:space="preserve"> </w:t>
      </w:r>
      <w:r>
        <w:t>of 30</w:t>
      </w:r>
      <w:r>
        <w:rPr>
          <w:spacing w:val="-1"/>
        </w:rPr>
        <w:t xml:space="preserve"> </w:t>
      </w:r>
      <w:r>
        <w:t>June</w:t>
      </w:r>
      <w:r>
        <w:rPr>
          <w:spacing w:val="-1"/>
        </w:rPr>
        <w:t xml:space="preserve"> </w:t>
      </w:r>
      <w:r>
        <w:t>202</w:t>
      </w:r>
      <w:r w:rsidR="002D7593">
        <w:t>6</w:t>
      </w:r>
      <w:r>
        <w:rPr>
          <w:spacing w:val="-8"/>
        </w:rPr>
        <w:t xml:space="preserve"> </w:t>
      </w:r>
      <w:r>
        <w:t>financial</w:t>
      </w:r>
      <w:r>
        <w:rPr>
          <w:spacing w:val="-3"/>
        </w:rPr>
        <w:t xml:space="preserve"> </w:t>
      </w:r>
      <w:r>
        <w:t>statements</w:t>
      </w:r>
      <w:r w:rsidR="00F93838">
        <w:t xml:space="preserve"> by Victorian public sector entities</w:t>
      </w:r>
      <w:r w:rsidR="00FE0D71">
        <w:t>,</w:t>
      </w:r>
      <w:r>
        <w:t xml:space="preserve"> in accordance with the </w:t>
      </w:r>
      <w:r w:rsidR="0007383E">
        <w:t>Tier </w:t>
      </w:r>
      <w:r>
        <w:t>2 disclosure requirements.</w:t>
      </w:r>
    </w:p>
    <w:p w14:paraId="4A1EAD1A" w14:textId="113EF210" w:rsidR="00EF1ED0" w:rsidRDefault="00DF5169" w:rsidP="005E7F8B">
      <w:pPr>
        <w:pStyle w:val="BodyText"/>
        <w:spacing w:before="157" w:line="266" w:lineRule="auto"/>
        <w:ind w:right="296"/>
      </w:pPr>
      <w:r>
        <w:t>T</w:t>
      </w:r>
      <w:r w:rsidR="005E7F8B">
        <w:t>ogether with the Model</w:t>
      </w:r>
      <w:r w:rsidR="005E7F8B">
        <w:rPr>
          <w:spacing w:val="-10"/>
        </w:rPr>
        <w:t xml:space="preserve"> </w:t>
      </w:r>
      <w:r w:rsidR="005E7F8B">
        <w:t>Report</w:t>
      </w:r>
      <w:r w:rsidR="005E7F8B">
        <w:rPr>
          <w:spacing w:val="-4"/>
        </w:rPr>
        <w:t xml:space="preserve"> </w:t>
      </w:r>
      <w:r w:rsidR="005E7F8B">
        <w:t>for Victorian Government</w:t>
      </w:r>
      <w:r w:rsidR="005E7F8B">
        <w:rPr>
          <w:spacing w:val="-13"/>
        </w:rPr>
        <w:t xml:space="preserve"> </w:t>
      </w:r>
      <w:r w:rsidR="005E7F8B">
        <w:t xml:space="preserve">Departments (the </w:t>
      </w:r>
      <w:r w:rsidR="0007383E">
        <w:t>Tier </w:t>
      </w:r>
      <w:r w:rsidR="005E7F8B">
        <w:t>1 Model),</w:t>
      </w:r>
      <w:r w:rsidR="005E7F8B">
        <w:rPr>
          <w:spacing w:val="-13"/>
        </w:rPr>
        <w:t xml:space="preserve"> </w:t>
      </w:r>
      <w:r w:rsidR="008904CF">
        <w:t>this publication s</w:t>
      </w:r>
      <w:r w:rsidR="005E7F8B">
        <w:t>erves as the State’s primary compliance guide for</w:t>
      </w:r>
      <w:r w:rsidR="005E7F8B">
        <w:rPr>
          <w:spacing w:val="-1"/>
        </w:rPr>
        <w:t xml:space="preserve"> </w:t>
      </w:r>
      <w:r w:rsidR="005E7F8B">
        <w:t>entities to prepare</w:t>
      </w:r>
      <w:r w:rsidR="005E7F8B">
        <w:rPr>
          <w:spacing w:val="-2"/>
        </w:rPr>
        <w:t xml:space="preserve"> </w:t>
      </w:r>
      <w:r w:rsidR="005E7F8B">
        <w:t>high-quality and accurate annual reports</w:t>
      </w:r>
      <w:r w:rsidR="00EF1ED0">
        <w:t>, as required by</w:t>
      </w:r>
      <w:r w:rsidR="008904CF" w:rsidRPr="008904CF">
        <w:t xml:space="preserve"> </w:t>
      </w:r>
      <w:r w:rsidR="008904CF">
        <w:t>section 5.2 of the Standing</w:t>
      </w:r>
      <w:r w:rsidR="008904CF">
        <w:rPr>
          <w:spacing w:val="-2"/>
        </w:rPr>
        <w:t xml:space="preserve"> </w:t>
      </w:r>
      <w:r w:rsidR="008904CF">
        <w:t xml:space="preserve">Directions. </w:t>
      </w:r>
    </w:p>
    <w:p w14:paraId="64625B1A" w14:textId="0E02263B" w:rsidR="005E7F8B" w:rsidRDefault="00EF1ED0" w:rsidP="005E7F8B">
      <w:pPr>
        <w:pStyle w:val="BodyText"/>
        <w:spacing w:before="157" w:line="266" w:lineRule="auto"/>
        <w:ind w:right="296"/>
      </w:pPr>
      <w:r>
        <w:t>As part of a continuous revision process, t</w:t>
      </w:r>
      <w:r w:rsidR="00EC6756" w:rsidRPr="0067725D">
        <w:t xml:space="preserve">his version of the </w:t>
      </w:r>
      <w:r>
        <w:t xml:space="preserve">Tier 2 </w:t>
      </w:r>
      <w:r w:rsidR="00EC6756" w:rsidRPr="0067725D">
        <w:t>Model contains</w:t>
      </w:r>
      <w:r w:rsidR="0067725D" w:rsidRPr="00E51206">
        <w:t xml:space="preserve"> minor enhancements based on user feedback, </w:t>
      </w:r>
      <w:r>
        <w:t>alongside</w:t>
      </w:r>
      <w:r w:rsidR="0067725D" w:rsidRPr="00E51206">
        <w:t xml:space="preserve"> revisions consistent with the relevant Australian Accounting Standards and Financial Reporting Directions.</w:t>
      </w:r>
    </w:p>
    <w:p w14:paraId="2C4DE3B7" w14:textId="475205E7" w:rsidR="005E7F8B" w:rsidRDefault="005E7F8B" w:rsidP="005E7F8B">
      <w:pPr>
        <w:pStyle w:val="BodyText"/>
        <w:spacing w:before="153" w:line="266" w:lineRule="auto"/>
        <w:ind w:right="269"/>
      </w:pPr>
      <w:r>
        <w:t xml:space="preserve">I strongly encourage all Victorian public sector entities that are required to prepare </w:t>
      </w:r>
      <w:r w:rsidR="0007383E">
        <w:t>Tier </w:t>
      </w:r>
      <w:r>
        <w:t xml:space="preserve">2 financial statements, in accordance with FRD 101 </w:t>
      </w:r>
      <w:r>
        <w:rPr>
          <w:i/>
        </w:rPr>
        <w:t>Application of Tiers of Australian Accounting Standards</w:t>
      </w:r>
      <w:r>
        <w:t xml:space="preserve">, to follow this </w:t>
      </w:r>
      <w:r w:rsidR="0007383E">
        <w:t>Tier </w:t>
      </w:r>
      <w:r>
        <w:t>2</w:t>
      </w:r>
      <w:r>
        <w:rPr>
          <w:spacing w:val="-3"/>
        </w:rPr>
        <w:t xml:space="preserve"> </w:t>
      </w:r>
      <w:r>
        <w:t>Model</w:t>
      </w:r>
      <w:r w:rsidR="007B2476">
        <w:t xml:space="preserve">, to </w:t>
      </w:r>
      <w:r>
        <w:t>ensure that</w:t>
      </w:r>
      <w:r>
        <w:rPr>
          <w:spacing w:val="-13"/>
        </w:rPr>
        <w:t xml:space="preserve"> </w:t>
      </w:r>
      <w:r>
        <w:t>Victoria maintains its high standard of reporting on the use of all public resources.</w:t>
      </w:r>
    </w:p>
    <w:p w14:paraId="4325B334" w14:textId="4FAFF0C6" w:rsidR="005E7F8B" w:rsidRDefault="005E7F8B" w:rsidP="005E7F8B">
      <w:pPr>
        <w:pStyle w:val="BodyText"/>
        <w:spacing w:before="153"/>
      </w:pPr>
      <w:r>
        <w:t>I</w:t>
      </w:r>
      <w:r>
        <w:rPr>
          <w:spacing w:val="-6"/>
        </w:rPr>
        <w:t xml:space="preserve"> </w:t>
      </w:r>
      <w:r>
        <w:t>commend</w:t>
      </w:r>
      <w:r>
        <w:rPr>
          <w:spacing w:val="-1"/>
        </w:rPr>
        <w:t xml:space="preserve"> </w:t>
      </w:r>
      <w:r>
        <w:t>this</w:t>
      </w:r>
      <w:r>
        <w:rPr>
          <w:spacing w:val="2"/>
        </w:rPr>
        <w:t xml:space="preserve"> </w:t>
      </w:r>
      <w:r w:rsidR="0018013A">
        <w:rPr>
          <w:spacing w:val="2"/>
        </w:rPr>
        <w:t xml:space="preserve">revision of the </w:t>
      </w:r>
      <w:r w:rsidR="0007383E">
        <w:t>Tier </w:t>
      </w:r>
      <w:r>
        <w:t>2</w:t>
      </w:r>
      <w:r>
        <w:rPr>
          <w:spacing w:val="-1"/>
        </w:rPr>
        <w:t xml:space="preserve"> </w:t>
      </w:r>
      <w:r>
        <w:t>Model</w:t>
      </w:r>
      <w:r>
        <w:rPr>
          <w:spacing w:val="-3"/>
        </w:rPr>
        <w:t xml:space="preserve"> </w:t>
      </w:r>
      <w:r>
        <w:t>to</w:t>
      </w:r>
      <w:r>
        <w:rPr>
          <w:spacing w:val="-9"/>
        </w:rPr>
        <w:t xml:space="preserve"> </w:t>
      </w:r>
      <w:r>
        <w:t>you</w:t>
      </w:r>
      <w:r>
        <w:rPr>
          <w:spacing w:val="-1"/>
        </w:rPr>
        <w:t xml:space="preserve"> </w:t>
      </w:r>
      <w:r>
        <w:t>as</w:t>
      </w:r>
      <w:r>
        <w:rPr>
          <w:spacing w:val="3"/>
        </w:rPr>
        <w:t xml:space="preserve"> </w:t>
      </w:r>
      <w:r>
        <w:t>the</w:t>
      </w:r>
      <w:r>
        <w:rPr>
          <w:spacing w:val="-1"/>
        </w:rPr>
        <w:t xml:space="preserve"> </w:t>
      </w:r>
      <w:r>
        <w:t>benchmark</w:t>
      </w:r>
      <w:r>
        <w:rPr>
          <w:spacing w:val="2"/>
        </w:rPr>
        <w:t xml:space="preserve"> </w:t>
      </w:r>
      <w:r>
        <w:t xml:space="preserve">for </w:t>
      </w:r>
      <w:r w:rsidR="0007383E">
        <w:t>Tier </w:t>
      </w:r>
      <w:r>
        <w:t>2</w:t>
      </w:r>
      <w:r>
        <w:rPr>
          <w:spacing w:val="-9"/>
        </w:rPr>
        <w:t xml:space="preserve"> </w:t>
      </w:r>
      <w:r>
        <w:t>financial</w:t>
      </w:r>
      <w:r>
        <w:rPr>
          <w:spacing w:val="-11"/>
        </w:rPr>
        <w:t xml:space="preserve"> </w:t>
      </w:r>
      <w:r>
        <w:t>reporting</w:t>
      </w:r>
      <w:r>
        <w:rPr>
          <w:spacing w:val="-9"/>
        </w:rPr>
        <w:t xml:space="preserve"> </w:t>
      </w:r>
      <w:r>
        <w:t>within</w:t>
      </w:r>
      <w:r>
        <w:rPr>
          <w:spacing w:val="-1"/>
        </w:rPr>
        <w:t xml:space="preserve"> </w:t>
      </w:r>
      <w:r>
        <w:t>the Victorian</w:t>
      </w:r>
      <w:r>
        <w:rPr>
          <w:spacing w:val="-9"/>
        </w:rPr>
        <w:t xml:space="preserve"> </w:t>
      </w:r>
      <w:r>
        <w:t>public</w:t>
      </w:r>
      <w:r>
        <w:rPr>
          <w:spacing w:val="-6"/>
        </w:rPr>
        <w:t xml:space="preserve"> </w:t>
      </w:r>
      <w:r>
        <w:rPr>
          <w:spacing w:val="-2"/>
        </w:rPr>
        <w:t>sector.</w:t>
      </w:r>
    </w:p>
    <w:p w14:paraId="1858B5EC" w14:textId="7DDB771C" w:rsidR="005E7F8B" w:rsidRDefault="002D12C7" w:rsidP="005E7F8B">
      <w:pPr>
        <w:pStyle w:val="BodyText"/>
        <w:rPr>
          <w:sz w:val="25"/>
        </w:rPr>
      </w:pPr>
      <w:r>
        <w:rPr>
          <w:noProof/>
        </w:rPr>
        <w:drawing>
          <wp:anchor distT="0" distB="0" distL="0" distR="0" simplePos="0" relativeHeight="251658240" behindDoc="0" locked="0" layoutInCell="1" allowOverlap="1" wp14:anchorId="67757311" wp14:editId="1FCC43CC">
            <wp:simplePos x="0" y="0"/>
            <wp:positionH relativeFrom="page">
              <wp:posOffset>720090</wp:posOffset>
            </wp:positionH>
            <wp:positionV relativeFrom="paragraph">
              <wp:posOffset>184150</wp:posOffset>
            </wp:positionV>
            <wp:extent cx="1809748" cy="573690"/>
            <wp:effectExtent l="0" t="0" r="0" b="0"/>
            <wp:wrapTopAndBottom/>
            <wp:docPr id="5" name="image3.png" descr="A black background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descr="A black background with white lines&#10;&#10;Description automatically generated"/>
                    <pic:cNvPicPr/>
                  </pic:nvPicPr>
                  <pic:blipFill>
                    <a:blip r:embed="rId31" cstate="print"/>
                    <a:stretch>
                      <a:fillRect/>
                    </a:stretch>
                  </pic:blipFill>
                  <pic:spPr>
                    <a:xfrm>
                      <a:off x="0" y="0"/>
                      <a:ext cx="1809748" cy="573690"/>
                    </a:xfrm>
                    <a:prstGeom prst="rect">
                      <a:avLst/>
                    </a:prstGeom>
                  </pic:spPr>
                </pic:pic>
              </a:graphicData>
            </a:graphic>
          </wp:anchor>
        </w:drawing>
      </w:r>
    </w:p>
    <w:p w14:paraId="1E47E505" w14:textId="77777777" w:rsidR="005E7F8B" w:rsidRDefault="005E7F8B" w:rsidP="005E7F8B">
      <w:pPr>
        <w:spacing w:before="129"/>
        <w:rPr>
          <w:b/>
        </w:rPr>
      </w:pPr>
      <w:r>
        <w:rPr>
          <w:b/>
        </w:rPr>
        <w:t>THE</w:t>
      </w:r>
      <w:r>
        <w:rPr>
          <w:b/>
          <w:spacing w:val="-4"/>
        </w:rPr>
        <w:t xml:space="preserve"> </w:t>
      </w:r>
      <w:r>
        <w:rPr>
          <w:b/>
        </w:rPr>
        <w:t>HON.</w:t>
      </w:r>
      <w:r>
        <w:rPr>
          <w:b/>
          <w:spacing w:val="-4"/>
        </w:rPr>
        <w:t xml:space="preserve"> </w:t>
      </w:r>
      <w:r>
        <w:rPr>
          <w:b/>
        </w:rPr>
        <w:t>DANNY</w:t>
      </w:r>
      <w:r>
        <w:rPr>
          <w:b/>
          <w:spacing w:val="-3"/>
        </w:rPr>
        <w:t xml:space="preserve"> </w:t>
      </w:r>
      <w:r>
        <w:rPr>
          <w:b/>
        </w:rPr>
        <w:t>PEARSON</w:t>
      </w:r>
      <w:r>
        <w:rPr>
          <w:b/>
          <w:spacing w:val="3"/>
        </w:rPr>
        <w:t xml:space="preserve"> </w:t>
      </w:r>
      <w:r>
        <w:rPr>
          <w:b/>
          <w:spacing w:val="-5"/>
        </w:rPr>
        <w:t>MP</w:t>
      </w:r>
    </w:p>
    <w:p w14:paraId="46C582F7" w14:textId="4729B2D4" w:rsidR="005E7F8B" w:rsidRDefault="005E7F8B" w:rsidP="005E7F8B">
      <w:pPr>
        <w:rPr>
          <w:spacing w:val="-2"/>
        </w:rPr>
      </w:pPr>
      <w:r>
        <w:t>Minister</w:t>
      </w:r>
      <w:r>
        <w:rPr>
          <w:spacing w:val="-7"/>
        </w:rPr>
        <w:t xml:space="preserve"> </w:t>
      </w:r>
      <w:r>
        <w:t>for</w:t>
      </w:r>
      <w:r>
        <w:rPr>
          <w:spacing w:val="2"/>
        </w:rPr>
        <w:t xml:space="preserve"> </w:t>
      </w:r>
      <w:r>
        <w:rPr>
          <w:spacing w:val="-2"/>
        </w:rPr>
        <w:t>Finance</w:t>
      </w:r>
    </w:p>
    <w:p w14:paraId="17F93BCA" w14:textId="77777777" w:rsidR="00C544B6" w:rsidRPr="005E7F8B" w:rsidRDefault="00C544B6" w:rsidP="005E7F8B">
      <w:pPr>
        <w:rPr>
          <w:lang w:val="en-US"/>
        </w:rPr>
      </w:pPr>
    </w:p>
    <w:p w14:paraId="33F47FF5" w14:textId="39AD6774" w:rsidR="007D536F" w:rsidRDefault="007D536F" w:rsidP="007D536F">
      <w:pPr>
        <w:pStyle w:val="Heading1"/>
        <w:pageBreakBefore/>
      </w:pPr>
      <w:bookmarkStart w:id="10" w:name="_Toc179811115"/>
      <w:bookmarkStart w:id="11" w:name="_Toc179816815"/>
      <w:bookmarkStart w:id="12" w:name="_Toc179822515"/>
      <w:bookmarkStart w:id="13" w:name="_Toc179828209"/>
      <w:bookmarkStart w:id="14" w:name="_Toc179859739"/>
      <w:bookmarkStart w:id="15" w:name="_Toc179867082"/>
      <w:bookmarkStart w:id="16" w:name="_Toc179871475"/>
      <w:bookmarkStart w:id="17" w:name="_Toc179875868"/>
      <w:bookmarkStart w:id="18" w:name="_Toc179880287"/>
      <w:r w:rsidRPr="007D536F">
        <w:t>A</w:t>
      </w:r>
      <w:r>
        <w:t>cknowledgements</w:t>
      </w:r>
      <w:bookmarkEnd w:id="10"/>
      <w:bookmarkEnd w:id="11"/>
      <w:bookmarkEnd w:id="12"/>
      <w:bookmarkEnd w:id="13"/>
      <w:bookmarkEnd w:id="14"/>
      <w:bookmarkEnd w:id="15"/>
      <w:bookmarkEnd w:id="16"/>
      <w:bookmarkEnd w:id="17"/>
      <w:bookmarkEnd w:id="18"/>
    </w:p>
    <w:p w14:paraId="6375F257" w14:textId="397BCF0F" w:rsidR="00A353DD" w:rsidRPr="007D536F" w:rsidRDefault="36F1FFCD" w:rsidP="007D536F">
      <w:r>
        <w:t xml:space="preserve">The Department of Treasury and Finance (DTF) would like to express its gratitude to the Victorian Auditor-General’s Office </w:t>
      </w:r>
      <w:r w:rsidR="0832F224">
        <w:t xml:space="preserve">(VAGO) </w:t>
      </w:r>
      <w:r>
        <w:t>for its contribution and support of th</w:t>
      </w:r>
      <w:r w:rsidR="0088237E">
        <w:t>is</w:t>
      </w:r>
      <w:r>
        <w:t xml:space="preserve"> </w:t>
      </w:r>
      <w:r w:rsidR="0007383E">
        <w:t>Tier </w:t>
      </w:r>
      <w:r w:rsidR="7068B355">
        <w:t xml:space="preserve">2 </w:t>
      </w:r>
      <w:r>
        <w:t>Model.</w:t>
      </w:r>
    </w:p>
    <w:p w14:paraId="3F0DA764" w14:textId="4B36F1AF" w:rsidR="007D536F" w:rsidRDefault="007D536F" w:rsidP="007D536F">
      <w:pPr>
        <w:pStyle w:val="Heading1"/>
        <w:pageBreakBefore/>
      </w:pPr>
      <w:bookmarkStart w:id="19" w:name="_Toc179811116"/>
      <w:bookmarkStart w:id="20" w:name="_Toc179816816"/>
      <w:bookmarkStart w:id="21" w:name="_Toc179822516"/>
      <w:bookmarkStart w:id="22" w:name="_Toc179828210"/>
      <w:bookmarkStart w:id="23" w:name="_Toc179859740"/>
      <w:bookmarkStart w:id="24" w:name="_Toc179867083"/>
      <w:bookmarkStart w:id="25" w:name="_Toc179871476"/>
      <w:bookmarkStart w:id="26" w:name="_Toc179875869"/>
      <w:bookmarkStart w:id="27" w:name="_Toc179880288"/>
      <w:r>
        <w:t>Table of contents</w:t>
      </w:r>
      <w:bookmarkEnd w:id="19"/>
      <w:bookmarkEnd w:id="20"/>
      <w:bookmarkEnd w:id="21"/>
      <w:bookmarkEnd w:id="22"/>
      <w:bookmarkEnd w:id="23"/>
      <w:bookmarkEnd w:id="24"/>
      <w:bookmarkEnd w:id="25"/>
      <w:bookmarkEnd w:id="26"/>
      <w:bookmarkEnd w:id="27"/>
    </w:p>
    <w:p w14:paraId="7CEAA1B0" w14:textId="2B4DB636" w:rsidR="008B7E57" w:rsidRDefault="008B7E57">
      <w:pPr>
        <w:pStyle w:val="TOC1"/>
        <w:rPr>
          <w:rFonts w:eastAsiaTheme="minorEastAsia"/>
          <w:b w:val="0"/>
          <w:noProof/>
          <w:kern w:val="2"/>
          <w:sz w:val="24"/>
          <w:szCs w:val="24"/>
          <w:lang w:eastAsia="zh-CN"/>
          <w14:ligatures w14:val="standardContextual"/>
        </w:rPr>
      </w:pPr>
      <w:r>
        <w:rPr>
          <w:noProof/>
        </w:rPr>
        <w:fldChar w:fldCharType="begin"/>
      </w:r>
      <w:r>
        <w:rPr>
          <w:noProof/>
        </w:rPr>
        <w:instrText xml:space="preserve"> TOC \o "1-2" \h \z \u </w:instrText>
      </w:r>
      <w:r>
        <w:rPr>
          <w:noProof/>
        </w:rPr>
        <w:fldChar w:fldCharType="separate"/>
      </w:r>
      <w:hyperlink w:anchor="_Toc179880289" w:history="1">
        <w:r w:rsidRPr="00D00E56">
          <w:rPr>
            <w:rStyle w:val="Hyperlink"/>
            <w:noProof/>
          </w:rPr>
          <w:t>Introduction</w:t>
        </w:r>
        <w:r>
          <w:rPr>
            <w:noProof/>
            <w:webHidden/>
          </w:rPr>
          <w:tab/>
        </w:r>
        <w:r>
          <w:rPr>
            <w:noProof/>
            <w:webHidden/>
          </w:rPr>
          <w:fldChar w:fldCharType="begin"/>
        </w:r>
        <w:r>
          <w:rPr>
            <w:noProof/>
            <w:webHidden/>
          </w:rPr>
          <w:instrText xml:space="preserve"> PAGEREF _Toc179880289 \h </w:instrText>
        </w:r>
        <w:r>
          <w:rPr>
            <w:noProof/>
            <w:webHidden/>
          </w:rPr>
        </w:r>
        <w:r>
          <w:rPr>
            <w:noProof/>
            <w:webHidden/>
          </w:rPr>
          <w:fldChar w:fldCharType="separate"/>
        </w:r>
        <w:r w:rsidR="006A38E5">
          <w:rPr>
            <w:noProof/>
            <w:webHidden/>
          </w:rPr>
          <w:t>4</w:t>
        </w:r>
        <w:r>
          <w:rPr>
            <w:noProof/>
            <w:webHidden/>
          </w:rPr>
          <w:fldChar w:fldCharType="end"/>
        </w:r>
      </w:hyperlink>
    </w:p>
    <w:p w14:paraId="5049CFE0" w14:textId="6525CEC8" w:rsidR="008B7E57" w:rsidRDefault="008B7E57">
      <w:pPr>
        <w:pStyle w:val="TOC2"/>
        <w:rPr>
          <w:rFonts w:eastAsiaTheme="minorEastAsia"/>
          <w:noProof/>
          <w:kern w:val="2"/>
          <w:sz w:val="24"/>
          <w:szCs w:val="24"/>
          <w:lang w:eastAsia="zh-CN"/>
          <w14:ligatures w14:val="standardContextual"/>
        </w:rPr>
      </w:pPr>
      <w:hyperlink w:anchor="_Toc179880290" w:history="1">
        <w:r w:rsidRPr="00D00E56">
          <w:rPr>
            <w:rStyle w:val="Hyperlink"/>
            <w:noProof/>
          </w:rPr>
          <w:t xml:space="preserve">The </w:t>
        </w:r>
        <w:r w:rsidR="0007383E">
          <w:rPr>
            <w:rStyle w:val="Hyperlink"/>
            <w:noProof/>
          </w:rPr>
          <w:t>Tier </w:t>
        </w:r>
        <w:r w:rsidRPr="00D00E56">
          <w:rPr>
            <w:rStyle w:val="Hyperlink"/>
            <w:noProof/>
          </w:rPr>
          <w:t>2 Model financial report – Purpose and scope</w:t>
        </w:r>
        <w:r>
          <w:rPr>
            <w:noProof/>
            <w:webHidden/>
          </w:rPr>
          <w:tab/>
        </w:r>
        <w:r>
          <w:rPr>
            <w:noProof/>
            <w:webHidden/>
          </w:rPr>
          <w:fldChar w:fldCharType="begin"/>
        </w:r>
        <w:r>
          <w:rPr>
            <w:noProof/>
            <w:webHidden/>
          </w:rPr>
          <w:instrText xml:space="preserve"> PAGEREF _Toc179880290 \h </w:instrText>
        </w:r>
        <w:r>
          <w:rPr>
            <w:noProof/>
            <w:webHidden/>
          </w:rPr>
        </w:r>
        <w:r>
          <w:rPr>
            <w:noProof/>
            <w:webHidden/>
          </w:rPr>
          <w:fldChar w:fldCharType="separate"/>
        </w:r>
        <w:r w:rsidR="006A38E5">
          <w:rPr>
            <w:noProof/>
            <w:webHidden/>
          </w:rPr>
          <w:t>4</w:t>
        </w:r>
        <w:r>
          <w:rPr>
            <w:noProof/>
            <w:webHidden/>
          </w:rPr>
          <w:fldChar w:fldCharType="end"/>
        </w:r>
      </w:hyperlink>
    </w:p>
    <w:p w14:paraId="3AB8B6CB" w14:textId="7E245811" w:rsidR="008B7E57" w:rsidRDefault="008B7E57">
      <w:pPr>
        <w:pStyle w:val="TOC2"/>
        <w:rPr>
          <w:rFonts w:eastAsiaTheme="minorEastAsia"/>
          <w:noProof/>
          <w:kern w:val="2"/>
          <w:sz w:val="24"/>
          <w:szCs w:val="24"/>
          <w:lang w:eastAsia="zh-CN"/>
          <w14:ligatures w14:val="standardContextual"/>
        </w:rPr>
      </w:pPr>
      <w:hyperlink w:anchor="_Toc179880291" w:history="1">
        <w:r w:rsidRPr="00D00E56">
          <w:rPr>
            <w:rStyle w:val="Hyperlink"/>
            <w:noProof/>
          </w:rPr>
          <w:t xml:space="preserve">How to use the </w:t>
        </w:r>
        <w:r w:rsidR="0007383E">
          <w:rPr>
            <w:rStyle w:val="Hyperlink"/>
            <w:noProof/>
          </w:rPr>
          <w:t>Tier </w:t>
        </w:r>
        <w:r w:rsidRPr="00D00E56">
          <w:rPr>
            <w:rStyle w:val="Hyperlink"/>
            <w:noProof/>
          </w:rPr>
          <w:t>2 Model financial report</w:t>
        </w:r>
        <w:r>
          <w:rPr>
            <w:noProof/>
            <w:webHidden/>
          </w:rPr>
          <w:tab/>
        </w:r>
        <w:r>
          <w:rPr>
            <w:noProof/>
            <w:webHidden/>
          </w:rPr>
          <w:fldChar w:fldCharType="begin"/>
        </w:r>
        <w:r>
          <w:rPr>
            <w:noProof/>
            <w:webHidden/>
          </w:rPr>
          <w:instrText xml:space="preserve"> PAGEREF _Toc179880291 \h </w:instrText>
        </w:r>
        <w:r>
          <w:rPr>
            <w:noProof/>
            <w:webHidden/>
          </w:rPr>
        </w:r>
        <w:r>
          <w:rPr>
            <w:noProof/>
            <w:webHidden/>
          </w:rPr>
          <w:fldChar w:fldCharType="separate"/>
        </w:r>
        <w:r w:rsidR="006A38E5">
          <w:rPr>
            <w:noProof/>
            <w:webHidden/>
          </w:rPr>
          <w:t>4</w:t>
        </w:r>
        <w:r>
          <w:rPr>
            <w:noProof/>
            <w:webHidden/>
          </w:rPr>
          <w:fldChar w:fldCharType="end"/>
        </w:r>
      </w:hyperlink>
    </w:p>
    <w:p w14:paraId="5B494B3B" w14:textId="4C48CAB9" w:rsidR="008B7E57" w:rsidRDefault="008B7E57">
      <w:pPr>
        <w:pStyle w:val="TOC2"/>
        <w:rPr>
          <w:rFonts w:eastAsiaTheme="minorEastAsia"/>
          <w:noProof/>
          <w:kern w:val="2"/>
          <w:sz w:val="24"/>
          <w:szCs w:val="24"/>
          <w:lang w:eastAsia="zh-CN"/>
          <w14:ligatures w14:val="standardContextual"/>
        </w:rPr>
      </w:pPr>
      <w:hyperlink w:anchor="_Toc179880292" w:history="1">
        <w:r w:rsidRPr="00D00E56">
          <w:rPr>
            <w:rStyle w:val="Hyperlink"/>
            <w:noProof/>
          </w:rPr>
          <w:t xml:space="preserve">Structure of the </w:t>
        </w:r>
        <w:r w:rsidR="0007383E">
          <w:rPr>
            <w:rStyle w:val="Hyperlink"/>
            <w:noProof/>
          </w:rPr>
          <w:t>Tier </w:t>
        </w:r>
        <w:r w:rsidRPr="00D00E56">
          <w:rPr>
            <w:rStyle w:val="Hyperlink"/>
            <w:noProof/>
          </w:rPr>
          <w:t>2 Model and disclosure requirements</w:t>
        </w:r>
        <w:r>
          <w:rPr>
            <w:noProof/>
            <w:webHidden/>
          </w:rPr>
          <w:tab/>
        </w:r>
        <w:r>
          <w:rPr>
            <w:noProof/>
            <w:webHidden/>
          </w:rPr>
          <w:fldChar w:fldCharType="begin"/>
        </w:r>
        <w:r>
          <w:rPr>
            <w:noProof/>
            <w:webHidden/>
          </w:rPr>
          <w:instrText xml:space="preserve"> PAGEREF _Toc179880292 \h </w:instrText>
        </w:r>
        <w:r>
          <w:rPr>
            <w:noProof/>
            <w:webHidden/>
          </w:rPr>
        </w:r>
        <w:r>
          <w:rPr>
            <w:noProof/>
            <w:webHidden/>
          </w:rPr>
          <w:fldChar w:fldCharType="separate"/>
        </w:r>
        <w:r w:rsidR="006A38E5">
          <w:rPr>
            <w:noProof/>
            <w:webHidden/>
          </w:rPr>
          <w:t>5</w:t>
        </w:r>
        <w:r>
          <w:rPr>
            <w:noProof/>
            <w:webHidden/>
          </w:rPr>
          <w:fldChar w:fldCharType="end"/>
        </w:r>
      </w:hyperlink>
    </w:p>
    <w:p w14:paraId="25D80D32" w14:textId="0C19C39A" w:rsidR="008B7E57" w:rsidRDefault="008B7E57">
      <w:pPr>
        <w:pStyle w:val="TOC2"/>
        <w:rPr>
          <w:rFonts w:eastAsiaTheme="minorEastAsia"/>
          <w:noProof/>
          <w:kern w:val="2"/>
          <w:sz w:val="24"/>
          <w:szCs w:val="24"/>
          <w:lang w:eastAsia="zh-CN"/>
          <w14:ligatures w14:val="standardContextual"/>
        </w:rPr>
      </w:pPr>
      <w:hyperlink w:anchor="_Toc179880293" w:history="1">
        <w:r w:rsidRPr="00D00E56">
          <w:rPr>
            <w:rStyle w:val="Hyperlink"/>
            <w:noProof/>
          </w:rPr>
          <w:t>Source references</w:t>
        </w:r>
        <w:r>
          <w:rPr>
            <w:noProof/>
            <w:webHidden/>
          </w:rPr>
          <w:tab/>
        </w:r>
        <w:r>
          <w:rPr>
            <w:noProof/>
            <w:webHidden/>
          </w:rPr>
          <w:fldChar w:fldCharType="begin"/>
        </w:r>
        <w:r>
          <w:rPr>
            <w:noProof/>
            <w:webHidden/>
          </w:rPr>
          <w:instrText xml:space="preserve"> PAGEREF _Toc179880293 \h </w:instrText>
        </w:r>
        <w:r>
          <w:rPr>
            <w:noProof/>
            <w:webHidden/>
          </w:rPr>
        </w:r>
        <w:r>
          <w:rPr>
            <w:noProof/>
            <w:webHidden/>
          </w:rPr>
          <w:fldChar w:fldCharType="separate"/>
        </w:r>
        <w:r w:rsidR="006A38E5">
          <w:rPr>
            <w:noProof/>
            <w:webHidden/>
          </w:rPr>
          <w:t>6</w:t>
        </w:r>
        <w:r>
          <w:rPr>
            <w:noProof/>
            <w:webHidden/>
          </w:rPr>
          <w:fldChar w:fldCharType="end"/>
        </w:r>
      </w:hyperlink>
    </w:p>
    <w:p w14:paraId="6C7F0D2E" w14:textId="3DA790ED" w:rsidR="008B7E57" w:rsidRDefault="008B7E57">
      <w:pPr>
        <w:pStyle w:val="TOC1"/>
        <w:rPr>
          <w:rFonts w:eastAsiaTheme="minorEastAsia"/>
          <w:b w:val="0"/>
          <w:noProof/>
          <w:kern w:val="2"/>
          <w:sz w:val="24"/>
          <w:szCs w:val="24"/>
          <w:lang w:eastAsia="zh-CN"/>
          <w14:ligatures w14:val="standardContextual"/>
        </w:rPr>
      </w:pPr>
      <w:hyperlink w:anchor="_Toc179880294" w:history="1">
        <w:r w:rsidRPr="00D00E56">
          <w:rPr>
            <w:rStyle w:val="Hyperlink"/>
            <w:noProof/>
          </w:rPr>
          <w:t xml:space="preserve">Technology Victoria – </w:t>
        </w:r>
        <w:r w:rsidR="0007383E">
          <w:rPr>
            <w:rStyle w:val="Hyperlink"/>
            <w:rFonts w:eastAsia="SimHei"/>
            <w:noProof/>
            <w:lang w:eastAsia="zh-CN"/>
          </w:rPr>
          <w:t>Tier </w:t>
        </w:r>
        <w:r w:rsidRPr="00D00E56">
          <w:rPr>
            <w:rStyle w:val="Hyperlink"/>
            <w:rFonts w:eastAsia="SimHei"/>
            <w:noProof/>
            <w:lang w:eastAsia="zh-CN"/>
          </w:rPr>
          <w:t xml:space="preserve">2 </w:t>
        </w:r>
        <w:r w:rsidRPr="00D00E56">
          <w:rPr>
            <w:rStyle w:val="Hyperlink"/>
            <w:noProof/>
          </w:rPr>
          <w:t>Model Financial Statements</w:t>
        </w:r>
        <w:r>
          <w:rPr>
            <w:noProof/>
            <w:webHidden/>
          </w:rPr>
          <w:tab/>
        </w:r>
        <w:r>
          <w:rPr>
            <w:noProof/>
            <w:webHidden/>
          </w:rPr>
          <w:fldChar w:fldCharType="begin"/>
        </w:r>
        <w:r>
          <w:rPr>
            <w:noProof/>
            <w:webHidden/>
          </w:rPr>
          <w:instrText xml:space="preserve"> PAGEREF _Toc179880294 \h </w:instrText>
        </w:r>
        <w:r>
          <w:rPr>
            <w:noProof/>
            <w:webHidden/>
          </w:rPr>
        </w:r>
        <w:r>
          <w:rPr>
            <w:noProof/>
            <w:webHidden/>
          </w:rPr>
          <w:fldChar w:fldCharType="separate"/>
        </w:r>
        <w:r w:rsidR="006A38E5">
          <w:rPr>
            <w:noProof/>
            <w:webHidden/>
          </w:rPr>
          <w:t>7</w:t>
        </w:r>
        <w:r>
          <w:rPr>
            <w:noProof/>
            <w:webHidden/>
          </w:rPr>
          <w:fldChar w:fldCharType="end"/>
        </w:r>
      </w:hyperlink>
    </w:p>
    <w:p w14:paraId="1DF5ABBC" w14:textId="26CD221E" w:rsidR="008B7E57" w:rsidRDefault="008B7E57">
      <w:pPr>
        <w:pStyle w:val="TOC1"/>
        <w:rPr>
          <w:rFonts w:eastAsiaTheme="minorEastAsia"/>
          <w:b w:val="0"/>
          <w:noProof/>
          <w:kern w:val="2"/>
          <w:sz w:val="24"/>
          <w:szCs w:val="24"/>
          <w:lang w:eastAsia="zh-CN"/>
          <w14:ligatures w14:val="standardContextual"/>
        </w:rPr>
      </w:pPr>
      <w:hyperlink w:anchor="_Toc179880338" w:history="1">
        <w:r w:rsidRPr="00D00E56">
          <w:rPr>
            <w:rStyle w:val="Hyperlink"/>
            <w:noProof/>
          </w:rPr>
          <w:t>Guidance section</w:t>
        </w:r>
        <w:r>
          <w:rPr>
            <w:noProof/>
            <w:webHidden/>
          </w:rPr>
          <w:tab/>
        </w:r>
        <w:r>
          <w:rPr>
            <w:noProof/>
            <w:webHidden/>
          </w:rPr>
          <w:fldChar w:fldCharType="begin"/>
        </w:r>
        <w:r>
          <w:rPr>
            <w:noProof/>
            <w:webHidden/>
          </w:rPr>
          <w:instrText xml:space="preserve"> PAGEREF _Toc179880338 \h </w:instrText>
        </w:r>
        <w:r>
          <w:rPr>
            <w:noProof/>
            <w:webHidden/>
          </w:rPr>
        </w:r>
        <w:r>
          <w:rPr>
            <w:noProof/>
            <w:webHidden/>
          </w:rPr>
          <w:fldChar w:fldCharType="separate"/>
        </w:r>
        <w:r w:rsidR="006A38E5">
          <w:rPr>
            <w:noProof/>
            <w:webHidden/>
          </w:rPr>
          <w:t>69</w:t>
        </w:r>
        <w:r>
          <w:rPr>
            <w:noProof/>
            <w:webHidden/>
          </w:rPr>
          <w:fldChar w:fldCharType="end"/>
        </w:r>
      </w:hyperlink>
    </w:p>
    <w:p w14:paraId="04DAFC9F" w14:textId="77DB92B5" w:rsidR="008B7E57" w:rsidRDefault="008B7E57">
      <w:pPr>
        <w:pStyle w:val="TOC1"/>
        <w:rPr>
          <w:rFonts w:eastAsiaTheme="minorEastAsia"/>
          <w:b w:val="0"/>
          <w:noProof/>
          <w:kern w:val="2"/>
          <w:sz w:val="24"/>
          <w:szCs w:val="24"/>
          <w:lang w:eastAsia="zh-CN"/>
          <w14:ligatures w14:val="standardContextual"/>
        </w:rPr>
      </w:pPr>
      <w:hyperlink w:anchor="_Toc179880340" w:history="1">
        <w:r w:rsidRPr="00D00E56">
          <w:rPr>
            <w:rStyle w:val="Hyperlink"/>
            <w:noProof/>
          </w:rPr>
          <w:t>Appendices</w:t>
        </w:r>
        <w:r>
          <w:rPr>
            <w:noProof/>
            <w:webHidden/>
          </w:rPr>
          <w:tab/>
        </w:r>
        <w:r>
          <w:rPr>
            <w:noProof/>
            <w:webHidden/>
          </w:rPr>
          <w:fldChar w:fldCharType="begin"/>
        </w:r>
        <w:r>
          <w:rPr>
            <w:noProof/>
            <w:webHidden/>
          </w:rPr>
          <w:instrText xml:space="preserve"> PAGEREF _Toc179880340 \h </w:instrText>
        </w:r>
        <w:r>
          <w:rPr>
            <w:noProof/>
            <w:webHidden/>
          </w:rPr>
        </w:r>
        <w:r>
          <w:rPr>
            <w:noProof/>
            <w:webHidden/>
          </w:rPr>
          <w:fldChar w:fldCharType="separate"/>
        </w:r>
        <w:r w:rsidR="006A38E5">
          <w:rPr>
            <w:noProof/>
            <w:webHidden/>
          </w:rPr>
          <w:t>72</w:t>
        </w:r>
        <w:r>
          <w:rPr>
            <w:noProof/>
            <w:webHidden/>
          </w:rPr>
          <w:fldChar w:fldCharType="end"/>
        </w:r>
      </w:hyperlink>
    </w:p>
    <w:p w14:paraId="0E807B95" w14:textId="1CA90C76" w:rsidR="008B7E57" w:rsidRDefault="008B7E57" w:rsidP="008B7E57">
      <w:pPr>
        <w:pStyle w:val="TOC1"/>
      </w:pPr>
      <w:r>
        <w:rPr>
          <w:noProof/>
        </w:rPr>
        <w:fldChar w:fldCharType="end"/>
      </w:r>
    </w:p>
    <w:p w14:paraId="0C91E42D" w14:textId="43F2C7CA" w:rsidR="007D536F" w:rsidRDefault="007D536F" w:rsidP="007D536F"/>
    <w:p w14:paraId="53E7760F" w14:textId="5E8540AF" w:rsidR="007D536F" w:rsidRDefault="007D536F" w:rsidP="007D536F"/>
    <w:p w14:paraId="390F5344" w14:textId="09BDD061" w:rsidR="007D536F" w:rsidRDefault="007D536F" w:rsidP="007D536F"/>
    <w:p w14:paraId="51EFBD81" w14:textId="77777777" w:rsidR="007D536F" w:rsidRDefault="007D536F" w:rsidP="007D536F"/>
    <w:p w14:paraId="3D871977" w14:textId="77777777" w:rsidR="007D536F" w:rsidRDefault="007D536F" w:rsidP="007D536F"/>
    <w:p w14:paraId="3AAF938A" w14:textId="77777777" w:rsidR="007D536F" w:rsidRPr="007D536F" w:rsidRDefault="007D536F" w:rsidP="007D536F">
      <w:pPr>
        <w:sectPr w:rsidR="007D536F" w:rsidRPr="007D536F" w:rsidSect="000E2F05">
          <w:headerReference w:type="even" r:id="rId32"/>
          <w:headerReference w:type="default" r:id="rId33"/>
          <w:footerReference w:type="even" r:id="rId34"/>
          <w:footerReference w:type="default" r:id="rId35"/>
          <w:headerReference w:type="first" r:id="rId36"/>
          <w:footerReference w:type="first" r:id="rId37"/>
          <w:pgSz w:w="11906" w:h="16838" w:code="9"/>
          <w:pgMar w:top="1134" w:right="1134" w:bottom="1134" w:left="1134" w:header="624" w:footer="567" w:gutter="0"/>
          <w:pgNumType w:fmt="lowerRoman" w:start="1"/>
          <w:cols w:space="708"/>
          <w:docGrid w:linePitch="360"/>
        </w:sectPr>
      </w:pPr>
    </w:p>
    <w:p w14:paraId="54B16EA5" w14:textId="7E4CCF84" w:rsidR="008115F3" w:rsidRPr="00F6022B" w:rsidRDefault="00F6022B" w:rsidP="00F6022B">
      <w:pPr>
        <w:pStyle w:val="Heading1"/>
      </w:pPr>
      <w:bookmarkStart w:id="28" w:name="_Toc129260749"/>
      <w:bookmarkStart w:id="29" w:name="_Toc179811117"/>
      <w:bookmarkStart w:id="30" w:name="_Toc179816817"/>
      <w:bookmarkStart w:id="31" w:name="_Toc179822517"/>
      <w:bookmarkStart w:id="32" w:name="_Toc179828211"/>
      <w:bookmarkStart w:id="33" w:name="_Toc179859741"/>
      <w:bookmarkStart w:id="34" w:name="_Toc179867084"/>
      <w:bookmarkStart w:id="35" w:name="_Toc179871477"/>
      <w:bookmarkStart w:id="36" w:name="_Toc179875870"/>
      <w:bookmarkStart w:id="37" w:name="_Toc179880289"/>
      <w:bookmarkStart w:id="38" w:name="Introduction"/>
      <w:r w:rsidRPr="00F6022B">
        <w:t>Introduction</w:t>
      </w:r>
      <w:bookmarkEnd w:id="28"/>
      <w:bookmarkEnd w:id="29"/>
      <w:bookmarkEnd w:id="30"/>
      <w:bookmarkEnd w:id="31"/>
      <w:bookmarkEnd w:id="32"/>
      <w:bookmarkEnd w:id="33"/>
      <w:bookmarkEnd w:id="34"/>
      <w:bookmarkEnd w:id="35"/>
      <w:bookmarkEnd w:id="36"/>
      <w:bookmarkEnd w:id="37"/>
    </w:p>
    <w:p w14:paraId="5146BE5F" w14:textId="44C446F9" w:rsidR="00562221" w:rsidRDefault="00562221" w:rsidP="00562221">
      <w:pPr>
        <w:pStyle w:val="Heading2"/>
      </w:pPr>
      <w:bookmarkStart w:id="39" w:name="_Toc129260754"/>
      <w:bookmarkStart w:id="40" w:name="_Toc179811118"/>
      <w:bookmarkStart w:id="41" w:name="_Toc179816818"/>
      <w:bookmarkStart w:id="42" w:name="_Toc179822518"/>
      <w:bookmarkStart w:id="43" w:name="_Toc179828212"/>
      <w:bookmarkStart w:id="44" w:name="_Toc179859742"/>
      <w:bookmarkStart w:id="45" w:name="_Toc179867085"/>
      <w:bookmarkStart w:id="46" w:name="_Toc179871478"/>
      <w:bookmarkStart w:id="47" w:name="_Toc179875871"/>
      <w:bookmarkStart w:id="48" w:name="_Toc179880290"/>
      <w:r>
        <w:t xml:space="preserve">The </w:t>
      </w:r>
      <w:r w:rsidR="0007383E">
        <w:t>Tier</w:t>
      </w:r>
      <w:r w:rsidR="000F650A">
        <w:t xml:space="preserve"> </w:t>
      </w:r>
      <w:r w:rsidR="00BD69C3">
        <w:t xml:space="preserve">2 </w:t>
      </w:r>
      <w:r>
        <w:t xml:space="preserve">Model </w:t>
      </w:r>
      <w:r w:rsidR="009D40FB">
        <w:t xml:space="preserve">financial </w:t>
      </w:r>
      <w:r>
        <w:t>report – Purpose and scope</w:t>
      </w:r>
      <w:bookmarkEnd w:id="39"/>
      <w:bookmarkEnd w:id="40"/>
      <w:bookmarkEnd w:id="41"/>
      <w:bookmarkEnd w:id="42"/>
      <w:bookmarkEnd w:id="43"/>
      <w:bookmarkEnd w:id="44"/>
      <w:bookmarkEnd w:id="45"/>
      <w:bookmarkEnd w:id="46"/>
      <w:bookmarkEnd w:id="47"/>
      <w:bookmarkEnd w:id="48"/>
    </w:p>
    <w:p w14:paraId="59ACDFB1" w14:textId="7959D757" w:rsidR="006D4FE3" w:rsidRDefault="00B40F0D" w:rsidP="006D4FE3">
      <w:r>
        <w:t xml:space="preserve">The </w:t>
      </w:r>
      <w:r w:rsidR="00616108" w:rsidRPr="002A0038">
        <w:rPr>
          <w:i/>
          <w:iCs/>
        </w:rPr>
        <w:t xml:space="preserve">Financial Management Act </w:t>
      </w:r>
      <w:r w:rsidR="00A00C29" w:rsidRPr="002A0038">
        <w:rPr>
          <w:i/>
          <w:iCs/>
        </w:rPr>
        <w:t>1994</w:t>
      </w:r>
      <w:r w:rsidR="00A00C29">
        <w:rPr>
          <w:i/>
          <w:iCs/>
        </w:rPr>
        <w:t xml:space="preserve"> </w:t>
      </w:r>
      <w:r w:rsidR="00A00C29" w:rsidRPr="002A0038">
        <w:t>(FMA)</w:t>
      </w:r>
      <w:r w:rsidR="00616108" w:rsidRPr="00A00C29">
        <w:t xml:space="preserve"> </w:t>
      </w:r>
      <w:r w:rsidR="001E12BD">
        <w:t>requires</w:t>
      </w:r>
      <w:r w:rsidR="00616108" w:rsidRPr="00A00C29">
        <w:t xml:space="preserve"> </w:t>
      </w:r>
      <w:r w:rsidR="00A00C29">
        <w:t>a</w:t>
      </w:r>
      <w:r w:rsidR="006D4FE3">
        <w:t xml:space="preserve">ll agencies to table audited annual reports in Parliament in compliance with the FMA, including the </w:t>
      </w:r>
      <w:r w:rsidR="006D4FE3" w:rsidRPr="002A0038">
        <w:rPr>
          <w:i/>
          <w:iCs/>
        </w:rPr>
        <w:t>Standing Directions 2018</w:t>
      </w:r>
      <w:r w:rsidR="00A00C29" w:rsidRPr="002A0038">
        <w:t xml:space="preserve"> (SD)</w:t>
      </w:r>
      <w:r w:rsidR="006D4FE3" w:rsidRPr="00A00C29">
        <w:t xml:space="preserve"> under </w:t>
      </w:r>
      <w:r w:rsidR="006D4FE3">
        <w:t xml:space="preserve">the FMA. </w:t>
      </w:r>
    </w:p>
    <w:p w14:paraId="580E6948" w14:textId="54515B33" w:rsidR="006D4FE3" w:rsidRDefault="006D4FE3" w:rsidP="006D4FE3">
      <w:r>
        <w:t>Those annual reports, must be prepared in accordance with</w:t>
      </w:r>
      <w:r w:rsidR="00AC1ED6">
        <w:t xml:space="preserve"> the</w:t>
      </w:r>
      <w:r>
        <w:t>:</w:t>
      </w:r>
    </w:p>
    <w:p w14:paraId="3BE9E325" w14:textId="77777777" w:rsidR="006D4FE3" w:rsidRDefault="006D4FE3" w:rsidP="002A0038">
      <w:pPr>
        <w:pStyle w:val="ListBullet"/>
        <w:numPr>
          <w:ilvl w:val="0"/>
          <w:numId w:val="37"/>
        </w:numPr>
        <w:tabs>
          <w:tab w:val="num" w:pos="284"/>
        </w:tabs>
        <w:ind w:left="284" w:hanging="284"/>
      </w:pPr>
      <w:r>
        <w:t xml:space="preserve">Australian </w:t>
      </w:r>
      <w:r w:rsidRPr="00515472">
        <w:t>Accounting</w:t>
      </w:r>
      <w:r>
        <w:t xml:space="preserve"> Standards (AAS), which includes Interpretations</w:t>
      </w:r>
    </w:p>
    <w:p w14:paraId="16BBE32D" w14:textId="77777777" w:rsidR="006D4FE3" w:rsidRDefault="006D4FE3" w:rsidP="006D4FE3">
      <w:pPr>
        <w:pStyle w:val="ListBullet"/>
        <w:numPr>
          <w:ilvl w:val="0"/>
          <w:numId w:val="37"/>
        </w:numPr>
        <w:tabs>
          <w:tab w:val="num" w:pos="284"/>
        </w:tabs>
        <w:ind w:left="284" w:hanging="284"/>
      </w:pPr>
      <w:r>
        <w:t>Financial Reporting Directions (FRD)</w:t>
      </w:r>
    </w:p>
    <w:p w14:paraId="4106FBEE" w14:textId="77777777" w:rsidR="006D4FE3" w:rsidRDefault="006D4FE3" w:rsidP="006D4FE3">
      <w:pPr>
        <w:pStyle w:val="ListBullet"/>
        <w:numPr>
          <w:ilvl w:val="0"/>
          <w:numId w:val="37"/>
        </w:numPr>
        <w:tabs>
          <w:tab w:val="num" w:pos="284"/>
        </w:tabs>
        <w:ind w:left="284" w:hanging="284"/>
      </w:pPr>
      <w:r>
        <w:t>Resource Management Framework (RMF)</w:t>
      </w:r>
    </w:p>
    <w:p w14:paraId="3B279D88" w14:textId="55896212" w:rsidR="00837096" w:rsidRDefault="00DD0D98" w:rsidP="005310F2">
      <w:hyperlink r:id="rId38" w:history="1">
        <w:r w:rsidRPr="00BD7D2B">
          <w:rPr>
            <w:rStyle w:val="Hyperlink"/>
          </w:rPr>
          <w:t>FRD 101</w:t>
        </w:r>
        <w:r w:rsidRPr="00BD7D2B">
          <w:rPr>
            <w:rStyle w:val="Hyperlink"/>
            <w:i/>
            <w:iCs/>
          </w:rPr>
          <w:t xml:space="preserve"> </w:t>
        </w:r>
        <w:r w:rsidR="00220A36" w:rsidRPr="00BD7D2B">
          <w:rPr>
            <w:rStyle w:val="Hyperlink"/>
            <w:i/>
            <w:iCs/>
          </w:rPr>
          <w:t>Application of Tiers of Australian Accounting Standards</w:t>
        </w:r>
      </w:hyperlink>
      <w:r w:rsidR="00220A36" w:rsidRPr="002A0038">
        <w:rPr>
          <w:i/>
          <w:iCs/>
        </w:rPr>
        <w:t xml:space="preserve"> </w:t>
      </w:r>
      <w:r w:rsidRPr="00DD0D98">
        <w:t>prescribe</w:t>
      </w:r>
      <w:r w:rsidR="00F1466A">
        <w:t>s</w:t>
      </w:r>
      <w:r w:rsidRPr="00DD0D98">
        <w:t xml:space="preserve"> two tiers of reporting requirements for preparing general purpose financial statements in accordance with </w:t>
      </w:r>
      <w:r w:rsidR="0007383E">
        <w:t>AASB </w:t>
      </w:r>
      <w:r w:rsidRPr="00AD229A">
        <w:t>1053</w:t>
      </w:r>
      <w:r w:rsidRPr="002A0038">
        <w:rPr>
          <w:i/>
          <w:iCs/>
        </w:rPr>
        <w:t xml:space="preserve"> Application of Tiers of Australian Accounting Standards.</w:t>
      </w:r>
      <w:r w:rsidR="005310F2">
        <w:rPr>
          <w:i/>
          <w:iCs/>
        </w:rPr>
        <w:t xml:space="preserve"> </w:t>
      </w:r>
      <w:r w:rsidR="00FF61AA" w:rsidRPr="002A0038">
        <w:t xml:space="preserve">Under FRD 101, </w:t>
      </w:r>
      <w:r w:rsidR="00FF61AA">
        <w:t>a</w:t>
      </w:r>
      <w:r w:rsidR="00FF61AA" w:rsidRPr="00852132">
        <w:t>n entity that</w:t>
      </w:r>
      <w:r w:rsidR="00837096">
        <w:t>:</w:t>
      </w:r>
    </w:p>
    <w:p w14:paraId="03034E9C" w14:textId="5304A277" w:rsidR="00837096" w:rsidRPr="002A0038" w:rsidRDefault="00837096" w:rsidP="00837096">
      <w:pPr>
        <w:pStyle w:val="ListParagraph"/>
        <w:numPr>
          <w:ilvl w:val="0"/>
          <w:numId w:val="288"/>
        </w:numPr>
        <w:rPr>
          <w:i/>
          <w:iCs/>
        </w:rPr>
      </w:pPr>
      <w:r>
        <w:t xml:space="preserve">meets </w:t>
      </w:r>
      <w:r w:rsidR="00670A8A">
        <w:t>the ‘significant entity’ definition</w:t>
      </w:r>
      <w:r w:rsidR="00E9491F">
        <w:t xml:space="preserve"> prepar</w:t>
      </w:r>
      <w:r w:rsidR="004E7E65">
        <w:t xml:space="preserve">es </w:t>
      </w:r>
      <w:r w:rsidR="0007383E">
        <w:t>Tier </w:t>
      </w:r>
      <w:r w:rsidR="004E7E65">
        <w:t xml:space="preserve">1 </w:t>
      </w:r>
      <w:r w:rsidR="0070030A">
        <w:t>financial statements</w:t>
      </w:r>
      <w:r w:rsidR="00EC4D10">
        <w:t xml:space="preserve"> (</w:t>
      </w:r>
      <w:r w:rsidR="002B7D1F">
        <w:t>as illustrat</w:t>
      </w:r>
      <w:r w:rsidR="002B7D1F" w:rsidRPr="002A6375">
        <w:t>ed in</w:t>
      </w:r>
      <w:r w:rsidR="00C84831" w:rsidRPr="002A6375">
        <w:t xml:space="preserve"> the</w:t>
      </w:r>
      <w:r w:rsidR="002B7D1F" w:rsidRPr="002A6375">
        <w:t xml:space="preserve"> </w:t>
      </w:r>
      <w:hyperlink r:id="rId39" w:history="1">
        <w:r w:rsidR="00C84831" w:rsidRPr="002A6375">
          <w:rPr>
            <w:rStyle w:val="Hyperlink"/>
          </w:rPr>
          <w:t>Model Financial Report</w:t>
        </w:r>
      </w:hyperlink>
      <w:r w:rsidR="00206A7F" w:rsidRPr="002A6375">
        <w:t>)</w:t>
      </w:r>
    </w:p>
    <w:p w14:paraId="2F206405" w14:textId="6FA17548" w:rsidR="00BF2B1A" w:rsidRDefault="00FF61AA" w:rsidP="002A0038">
      <w:pPr>
        <w:pStyle w:val="ListParagraph"/>
        <w:numPr>
          <w:ilvl w:val="0"/>
          <w:numId w:val="288"/>
        </w:numPr>
        <w:rPr>
          <w:i/>
          <w:iCs/>
        </w:rPr>
      </w:pPr>
      <w:r w:rsidRPr="00852132">
        <w:t>does not meet the definition of a ‘significant entity’ prepare</w:t>
      </w:r>
      <w:r w:rsidR="00FE1D3F">
        <w:t>s</w:t>
      </w:r>
      <w:r w:rsidRPr="00852132">
        <w:t xml:space="preserve"> </w:t>
      </w:r>
      <w:r w:rsidR="0007383E">
        <w:t>Tier </w:t>
      </w:r>
      <w:r w:rsidRPr="00852132">
        <w:t>2 financial statements</w:t>
      </w:r>
      <w:r w:rsidR="00FE1D3F">
        <w:t xml:space="preserve"> (as illustrated in this Model </w:t>
      </w:r>
      <w:r w:rsidR="007379A5">
        <w:t>Financial Report</w:t>
      </w:r>
      <w:r w:rsidR="00FE1D3F">
        <w:t>)</w:t>
      </w:r>
      <w:r>
        <w:t>.</w:t>
      </w:r>
      <w:r>
        <w:rPr>
          <w:i/>
          <w:iCs/>
        </w:rPr>
        <w:t xml:space="preserve"> </w:t>
      </w:r>
    </w:p>
    <w:p w14:paraId="6B894B40" w14:textId="73D9950E" w:rsidR="007359BF" w:rsidRDefault="005310F2" w:rsidP="008B3903">
      <w:r>
        <w:t xml:space="preserve">The </w:t>
      </w:r>
      <w:r w:rsidR="0007383E">
        <w:t>Tier </w:t>
      </w:r>
      <w:r>
        <w:t>2 Model is published as the primary guide to assist</w:t>
      </w:r>
      <w:r w:rsidR="00C15B21">
        <w:t xml:space="preserve"> </w:t>
      </w:r>
      <w:r w:rsidR="0007383E">
        <w:t>Tier </w:t>
      </w:r>
      <w:r>
        <w:t>2 entities with their</w:t>
      </w:r>
      <w:r w:rsidRPr="002A0038">
        <w:rPr>
          <w:b/>
        </w:rPr>
        <w:t xml:space="preserve"> </w:t>
      </w:r>
      <w:r w:rsidRPr="002A0038">
        <w:rPr>
          <w:b/>
          <w:bCs/>
        </w:rPr>
        <w:t>financial</w:t>
      </w:r>
      <w:r w:rsidRPr="00250EAE">
        <w:t xml:space="preserve"> </w:t>
      </w:r>
      <w:r>
        <w:t>reporting requirements.</w:t>
      </w:r>
      <w:r w:rsidR="00FF61AA">
        <w:t xml:space="preserve"> </w:t>
      </w:r>
      <w:r w:rsidR="0007383E">
        <w:t>Tier </w:t>
      </w:r>
      <w:r w:rsidR="00A76979">
        <w:t xml:space="preserve">2 entities </w:t>
      </w:r>
      <w:r w:rsidR="0073411A">
        <w:t xml:space="preserve">should </w:t>
      </w:r>
      <w:r w:rsidR="00A76979">
        <w:t xml:space="preserve">refer to the </w:t>
      </w:r>
      <w:r w:rsidR="0086345E">
        <w:t xml:space="preserve">Report of Operations section of </w:t>
      </w:r>
      <w:r w:rsidR="00A76979">
        <w:t xml:space="preserve">the </w:t>
      </w:r>
      <w:r w:rsidR="0007383E">
        <w:rPr>
          <w:rFonts w:hint="eastAsia"/>
          <w:lang w:eastAsia="zh-CN"/>
        </w:rPr>
        <w:t>Tier</w:t>
      </w:r>
      <w:r w:rsidR="0007383E">
        <w:rPr>
          <w:lang w:eastAsia="zh-CN"/>
        </w:rPr>
        <w:t> </w:t>
      </w:r>
      <w:r w:rsidR="00C82018">
        <w:rPr>
          <w:rFonts w:hint="eastAsia"/>
          <w:lang w:eastAsia="zh-CN"/>
        </w:rPr>
        <w:t xml:space="preserve">1 </w:t>
      </w:r>
      <w:r w:rsidR="00A76979">
        <w:t xml:space="preserve">Model for </w:t>
      </w:r>
      <w:r w:rsidR="00901519">
        <w:t xml:space="preserve">the </w:t>
      </w:r>
      <w:r w:rsidR="00A76979">
        <w:t xml:space="preserve">preparation of </w:t>
      </w:r>
      <w:r w:rsidR="00A76979" w:rsidRPr="002A0038">
        <w:rPr>
          <w:b/>
        </w:rPr>
        <w:t>non-financial</w:t>
      </w:r>
      <w:r w:rsidR="00A76979" w:rsidRPr="00250EAE">
        <w:t xml:space="preserve"> </w:t>
      </w:r>
      <w:r w:rsidR="00A76979">
        <w:t>reporting requirements of the annual report.</w:t>
      </w:r>
    </w:p>
    <w:p w14:paraId="5C91DD3A" w14:textId="1E8BE1E4" w:rsidR="00562221" w:rsidRDefault="00562221" w:rsidP="00562221">
      <w:pPr>
        <w:pStyle w:val="Heading2"/>
      </w:pPr>
      <w:bookmarkStart w:id="49" w:name="_Toc129260755"/>
      <w:bookmarkStart w:id="50" w:name="_Toc179811119"/>
      <w:bookmarkStart w:id="51" w:name="_Toc179816819"/>
      <w:bookmarkStart w:id="52" w:name="_Toc179822519"/>
      <w:bookmarkStart w:id="53" w:name="_Toc179828213"/>
      <w:bookmarkStart w:id="54" w:name="_Toc179859743"/>
      <w:bookmarkStart w:id="55" w:name="_Toc179867086"/>
      <w:bookmarkStart w:id="56" w:name="_Toc179871479"/>
      <w:bookmarkStart w:id="57" w:name="_Toc179875872"/>
      <w:bookmarkStart w:id="58" w:name="_Toc179880291"/>
      <w:r>
        <w:t xml:space="preserve">How to use the </w:t>
      </w:r>
      <w:r w:rsidR="0007383E">
        <w:t>Tier</w:t>
      </w:r>
      <w:r w:rsidR="000F650A">
        <w:t xml:space="preserve"> </w:t>
      </w:r>
      <w:r w:rsidR="007A49D2">
        <w:t xml:space="preserve">2 </w:t>
      </w:r>
      <w:r>
        <w:t xml:space="preserve">Model </w:t>
      </w:r>
      <w:r w:rsidR="009D40FB">
        <w:t xml:space="preserve">financial </w:t>
      </w:r>
      <w:r>
        <w:t>report</w:t>
      </w:r>
      <w:bookmarkEnd w:id="49"/>
      <w:bookmarkEnd w:id="50"/>
      <w:bookmarkEnd w:id="51"/>
      <w:bookmarkEnd w:id="52"/>
      <w:bookmarkEnd w:id="53"/>
      <w:bookmarkEnd w:id="54"/>
      <w:bookmarkEnd w:id="55"/>
      <w:bookmarkEnd w:id="56"/>
      <w:bookmarkEnd w:id="57"/>
      <w:bookmarkEnd w:id="58"/>
      <w:r w:rsidR="006D7A3B" w:rsidRPr="006D7A3B">
        <w:rPr>
          <w:rStyle w:val="Reference-Revised"/>
        </w:rPr>
        <w:t xml:space="preserve"> </w:t>
      </w:r>
    </w:p>
    <w:p w14:paraId="46F57FFE" w14:textId="712446D3" w:rsidR="00725630" w:rsidRDefault="00725630" w:rsidP="00725630">
      <w:r>
        <w:t xml:space="preserve">This </w:t>
      </w:r>
      <w:r w:rsidR="0007383E">
        <w:rPr>
          <w:rFonts w:hint="eastAsia"/>
          <w:lang w:eastAsia="zh-CN"/>
        </w:rPr>
        <w:t>Tier</w:t>
      </w:r>
      <w:r w:rsidR="0007383E">
        <w:rPr>
          <w:lang w:eastAsia="zh-CN"/>
        </w:rPr>
        <w:t> </w:t>
      </w:r>
      <w:r>
        <w:rPr>
          <w:rFonts w:hint="eastAsia"/>
          <w:lang w:eastAsia="zh-CN"/>
        </w:rPr>
        <w:t xml:space="preserve">2 </w:t>
      </w:r>
      <w:r>
        <w:t>Model will enable preparers to readily identify applicable legislative</w:t>
      </w:r>
      <w:r w:rsidR="00E9783B">
        <w:t xml:space="preserve">, </w:t>
      </w:r>
      <w:r>
        <w:t xml:space="preserve">accounting </w:t>
      </w:r>
      <w:r w:rsidR="00E9783B">
        <w:t xml:space="preserve">and </w:t>
      </w:r>
      <w:r>
        <w:t xml:space="preserve">reporting requirements, and to view related illustrative examples. In this way, the </w:t>
      </w:r>
      <w:r w:rsidR="0007383E">
        <w:rPr>
          <w:rFonts w:hint="eastAsia"/>
          <w:lang w:eastAsia="zh-CN"/>
        </w:rPr>
        <w:t>Tier</w:t>
      </w:r>
      <w:r w:rsidR="0007383E">
        <w:rPr>
          <w:lang w:eastAsia="zh-CN"/>
        </w:rPr>
        <w:t> </w:t>
      </w:r>
      <w:r>
        <w:rPr>
          <w:rFonts w:hint="eastAsia"/>
          <w:lang w:eastAsia="zh-CN"/>
        </w:rPr>
        <w:t xml:space="preserve">2 </w:t>
      </w:r>
      <w:r>
        <w:t xml:space="preserve">Model can be used as a basic guide for developing Victorian public sector </w:t>
      </w:r>
      <w:r w:rsidR="0007383E">
        <w:t>Tier </w:t>
      </w:r>
      <w:r>
        <w:t xml:space="preserve">2 financial statements. </w:t>
      </w:r>
    </w:p>
    <w:p w14:paraId="51992C46" w14:textId="4509B2D2" w:rsidR="00D00721" w:rsidRDefault="00E86DAF" w:rsidP="00D00721">
      <w:pPr>
        <w:rPr>
          <w:lang w:eastAsia="zh-CN"/>
        </w:rPr>
      </w:pPr>
      <w:r>
        <w:t xml:space="preserve">The </w:t>
      </w:r>
      <w:r w:rsidR="0007383E">
        <w:t>Tier </w:t>
      </w:r>
      <w:r>
        <w:t xml:space="preserve">2 Model financial </w:t>
      </w:r>
      <w:r w:rsidR="0058109B">
        <w:rPr>
          <w:rFonts w:hint="eastAsia"/>
          <w:lang w:eastAsia="zh-CN"/>
        </w:rPr>
        <w:t>report</w:t>
      </w:r>
      <w:r>
        <w:t xml:space="preserve"> do</w:t>
      </w:r>
      <w:r w:rsidR="004C0F53">
        <w:t>es</w:t>
      </w:r>
      <w:r>
        <w:t xml:space="preserve"> not and cannot be expected to cover all situations that may be encountered in practice.</w:t>
      </w:r>
      <w:r w:rsidR="00D00721">
        <w:rPr>
          <w:rFonts w:hint="eastAsia"/>
          <w:lang w:eastAsia="zh-CN"/>
        </w:rPr>
        <w:t xml:space="preserve"> It</w:t>
      </w:r>
      <w:r w:rsidR="00D00721">
        <w:t xml:space="preserve"> illustrates the </w:t>
      </w:r>
      <w:r w:rsidR="00576ABF">
        <w:t>minimum</w:t>
      </w:r>
      <w:r w:rsidR="00D00721">
        <w:t xml:space="preserve"> disclosure requirements </w:t>
      </w:r>
      <w:r w:rsidR="00D00721">
        <w:rPr>
          <w:rFonts w:hint="eastAsia"/>
          <w:lang w:eastAsia="zh-CN"/>
        </w:rPr>
        <w:t xml:space="preserve">for a </w:t>
      </w:r>
      <w:r w:rsidR="000005D9" w:rsidRPr="000005D9">
        <w:rPr>
          <w:b/>
          <w:bCs/>
          <w:lang w:eastAsia="zh-CN"/>
        </w:rPr>
        <w:t>fictitious</w:t>
      </w:r>
      <w:r w:rsidR="00D00721" w:rsidRPr="002A0038">
        <w:rPr>
          <w:b/>
          <w:bCs/>
          <w:lang w:eastAsia="zh-CN"/>
        </w:rPr>
        <w:t xml:space="preserve"> entity</w:t>
      </w:r>
      <w:r w:rsidR="00D00721">
        <w:rPr>
          <w:rFonts w:hint="eastAsia"/>
          <w:lang w:eastAsia="zh-CN"/>
        </w:rPr>
        <w:t xml:space="preserve"> </w:t>
      </w:r>
      <w:r w:rsidR="00D00721">
        <w:t xml:space="preserve">in accordance with </w:t>
      </w:r>
      <w:r w:rsidR="0007383E">
        <w:t>AASB </w:t>
      </w:r>
      <w:r w:rsidR="00D00721">
        <w:t xml:space="preserve">1060 </w:t>
      </w:r>
      <w:r w:rsidR="00D00721" w:rsidRPr="003E3494">
        <w:rPr>
          <w:i/>
          <w:iCs/>
        </w:rPr>
        <w:t xml:space="preserve">General Purpose Financial Statements – Simplified Disclosures for For-Profit and Not-for-Profit </w:t>
      </w:r>
      <w:r w:rsidR="0007383E">
        <w:rPr>
          <w:i/>
          <w:iCs/>
        </w:rPr>
        <w:t>Tier </w:t>
      </w:r>
      <w:r w:rsidR="00D00721" w:rsidRPr="003E3494">
        <w:rPr>
          <w:i/>
          <w:iCs/>
        </w:rPr>
        <w:t>2 Entities</w:t>
      </w:r>
      <w:r w:rsidR="00D00721" w:rsidRPr="784691EA">
        <w:rPr>
          <w:i/>
          <w:iCs/>
        </w:rPr>
        <w:t xml:space="preserve"> </w:t>
      </w:r>
      <w:r w:rsidR="00D00721" w:rsidRPr="00ED3863">
        <w:t>and</w:t>
      </w:r>
      <w:r w:rsidR="00D00721" w:rsidRPr="784691EA">
        <w:rPr>
          <w:i/>
          <w:iCs/>
        </w:rPr>
        <w:t xml:space="preserve"> </w:t>
      </w:r>
      <w:r w:rsidR="00D00721" w:rsidRPr="003E3494">
        <w:t>FRD 101</w:t>
      </w:r>
      <w:r w:rsidR="00393302" w:rsidRPr="784691EA">
        <w:rPr>
          <w:rFonts w:hint="eastAsia"/>
          <w:i/>
        </w:rPr>
        <w:t xml:space="preserve">. </w:t>
      </w:r>
      <w:r w:rsidR="00393302" w:rsidRPr="002A0038">
        <w:rPr>
          <w:lang w:eastAsia="zh-CN"/>
        </w:rPr>
        <w:t xml:space="preserve">It </w:t>
      </w:r>
      <w:r w:rsidR="00D00721" w:rsidRPr="00393302">
        <w:t xml:space="preserve">focuses on illustrating disclosure requirements for entities for usual disclosures. Therefore, the </w:t>
      </w:r>
      <w:r w:rsidR="0007383E">
        <w:t>Tier </w:t>
      </w:r>
      <w:r w:rsidR="00D00721" w:rsidRPr="00393302">
        <w:t>2 Model may not</w:t>
      </w:r>
      <w:r w:rsidR="00D00721">
        <w:t xml:space="preserve"> cover transactions that are non-routine in nature or all the disclosure requirements that might be applicable to </w:t>
      </w:r>
      <w:r w:rsidR="0007383E">
        <w:t>Tier </w:t>
      </w:r>
      <w:r w:rsidR="00D00721">
        <w:t>2</w:t>
      </w:r>
      <w:r w:rsidR="00D00721">
        <w:rPr>
          <w:lang w:eastAsia="zh-CN"/>
        </w:rPr>
        <w:t xml:space="preserve"> entities</w:t>
      </w:r>
      <w:r w:rsidR="00D00721">
        <w:t>.</w:t>
      </w:r>
      <w:r w:rsidR="00D00721">
        <w:rPr>
          <w:lang w:eastAsia="zh-CN"/>
        </w:rPr>
        <w:t xml:space="preserve"> </w:t>
      </w:r>
      <w:r w:rsidR="00D00721">
        <w:rPr>
          <w:rFonts w:hint="eastAsia"/>
          <w:lang w:eastAsia="zh-CN"/>
        </w:rPr>
        <w:t>For non-</w:t>
      </w:r>
      <w:r w:rsidR="000005D9">
        <w:rPr>
          <w:lang w:eastAsia="zh-CN"/>
        </w:rPr>
        <w:t>routine</w:t>
      </w:r>
      <w:r w:rsidR="00D00721">
        <w:rPr>
          <w:rFonts w:hint="eastAsia"/>
          <w:lang w:eastAsia="zh-CN"/>
        </w:rPr>
        <w:t xml:space="preserve"> transactions that are not covered by the </w:t>
      </w:r>
      <w:r w:rsidR="0007383E">
        <w:rPr>
          <w:rFonts w:hint="eastAsia"/>
          <w:lang w:eastAsia="zh-CN"/>
        </w:rPr>
        <w:t>Tier</w:t>
      </w:r>
      <w:r w:rsidR="0007383E">
        <w:rPr>
          <w:lang w:eastAsia="zh-CN"/>
        </w:rPr>
        <w:t> </w:t>
      </w:r>
      <w:r w:rsidR="00D00721">
        <w:rPr>
          <w:rFonts w:hint="eastAsia"/>
          <w:lang w:eastAsia="zh-CN"/>
        </w:rPr>
        <w:t xml:space="preserve">2 Model, entities may refer to </w:t>
      </w:r>
      <w:r w:rsidR="00D00721" w:rsidRPr="002A0038">
        <w:rPr>
          <w:lang w:eastAsia="zh-CN"/>
        </w:rPr>
        <w:t xml:space="preserve">Appendix </w:t>
      </w:r>
      <w:r w:rsidR="000B3E87">
        <w:rPr>
          <w:lang w:eastAsia="zh-CN"/>
        </w:rPr>
        <w:t>2</w:t>
      </w:r>
      <w:r w:rsidR="00D00721" w:rsidRPr="00E4735A">
        <w:rPr>
          <w:rFonts w:hint="eastAsia"/>
          <w:lang w:eastAsia="zh-CN"/>
        </w:rPr>
        <w:t xml:space="preserve"> for</w:t>
      </w:r>
      <w:r w:rsidR="00D00721">
        <w:rPr>
          <w:rFonts w:hint="eastAsia"/>
          <w:lang w:eastAsia="zh-CN"/>
        </w:rPr>
        <w:t xml:space="preserve"> relevant </w:t>
      </w:r>
      <w:r w:rsidR="00A976EE">
        <w:rPr>
          <w:lang w:eastAsia="zh-CN"/>
        </w:rPr>
        <w:t xml:space="preserve">illustrative </w:t>
      </w:r>
      <w:r w:rsidR="00D00721">
        <w:rPr>
          <w:rFonts w:hint="eastAsia"/>
          <w:lang w:eastAsia="zh-CN"/>
        </w:rPr>
        <w:t>disclosure</w:t>
      </w:r>
      <w:r w:rsidR="003B66CD">
        <w:rPr>
          <w:lang w:eastAsia="zh-CN"/>
        </w:rPr>
        <w:t>s</w:t>
      </w:r>
      <w:r w:rsidR="00D00721">
        <w:rPr>
          <w:rFonts w:hint="eastAsia"/>
          <w:lang w:eastAsia="zh-CN"/>
        </w:rPr>
        <w:t>.</w:t>
      </w:r>
    </w:p>
    <w:p w14:paraId="437318B9" w14:textId="39F6A8CE" w:rsidR="00302D6E" w:rsidRPr="002A0038" w:rsidRDefault="00302D6E" w:rsidP="003938AB">
      <w:pPr>
        <w:rPr>
          <w:lang w:eastAsia="zh-CN"/>
        </w:rPr>
      </w:pPr>
      <w:r w:rsidRPr="0077419C">
        <w:rPr>
          <w:rFonts w:ascii="Arial" w:eastAsia="Arial" w:hAnsi="Arial" w:cs="Arial"/>
        </w:rPr>
        <w:t xml:space="preserve">Entities may </w:t>
      </w:r>
      <w:r w:rsidR="006F1AED" w:rsidRPr="0077419C">
        <w:rPr>
          <w:rFonts w:ascii="Arial" w:eastAsia="SimHei" w:hAnsi="Arial" w:cs="Arial" w:hint="eastAsia"/>
          <w:lang w:eastAsia="zh-CN"/>
        </w:rPr>
        <w:t>also</w:t>
      </w:r>
      <w:r w:rsidRPr="0077419C">
        <w:rPr>
          <w:rFonts w:ascii="Arial" w:eastAsia="Arial" w:hAnsi="Arial" w:cs="Arial"/>
        </w:rPr>
        <w:t xml:space="preserve"> include additional disclosures using</w:t>
      </w:r>
      <w:r w:rsidR="00BA66DA">
        <w:rPr>
          <w:rFonts w:ascii="Arial" w:eastAsia="Arial" w:hAnsi="Arial" w:cs="Arial"/>
        </w:rPr>
        <w:t xml:space="preserve"> the</w:t>
      </w:r>
      <w:r w:rsidRPr="0077419C">
        <w:rPr>
          <w:rFonts w:ascii="Arial" w:eastAsia="Arial" w:hAnsi="Arial" w:cs="Arial"/>
        </w:rPr>
        <w:t xml:space="preserve"> </w:t>
      </w:r>
      <w:r w:rsidR="0007383E">
        <w:rPr>
          <w:rFonts w:ascii="Arial" w:eastAsia="Arial" w:hAnsi="Arial" w:cs="Arial"/>
        </w:rPr>
        <w:t>Tier </w:t>
      </w:r>
      <w:r w:rsidRPr="0077419C">
        <w:rPr>
          <w:rFonts w:ascii="Arial" w:eastAsia="Arial" w:hAnsi="Arial" w:cs="Arial"/>
        </w:rPr>
        <w:t>1 reporting requirements as a guide if, in their judgement, such additional disclosures are consistent with the objective of general-purpose financial statements.</w:t>
      </w:r>
    </w:p>
    <w:p w14:paraId="2109F2A7" w14:textId="4A344CA1" w:rsidR="006E50FF" w:rsidRDefault="00F9462D" w:rsidP="00DC6C6D">
      <w:r>
        <w:t>F</w:t>
      </w:r>
      <w:r w:rsidR="006E50FF">
        <w:t xml:space="preserve">or ease of preparation, placeholder years have </w:t>
      </w:r>
      <w:r>
        <w:t>been used throughout the Model</w:t>
      </w:r>
      <w:r w:rsidR="001E6225">
        <w:t xml:space="preserve">. </w:t>
      </w:r>
      <w:r>
        <w:t>For the purposes of this report,</w:t>
      </w:r>
      <w:r w:rsidR="00A522EC">
        <w:t xml:space="preserve"> </w:t>
      </w:r>
      <w:r w:rsidR="003F74FF">
        <w:t>20X1</w:t>
      </w:r>
      <w:r w:rsidR="00A522EC">
        <w:noBreakHyphen/>
      </w:r>
      <w:r w:rsidR="003F74FF">
        <w:t>X2</w:t>
      </w:r>
      <w:r w:rsidR="003F74FF" w:rsidDel="003F74FF">
        <w:t xml:space="preserve"> </w:t>
      </w:r>
      <w:r w:rsidR="00C13DA5">
        <w:t>i</w:t>
      </w:r>
      <w:r w:rsidR="00325CE5">
        <w:t xml:space="preserve">s to be interpreted as the current reporting year, </w:t>
      </w:r>
      <w:r w:rsidR="008B0549">
        <w:t>while 20X0-X1 represents the comparative year</w:t>
      </w:r>
      <w:r w:rsidR="00B945F0">
        <w:t>.</w:t>
      </w:r>
      <w:r w:rsidR="00B66F00">
        <w:t xml:space="preserve"> </w:t>
      </w:r>
      <w:r w:rsidR="008D5FD0">
        <w:t>Refer to the table below for more detail.</w:t>
      </w:r>
    </w:p>
    <w:tbl>
      <w:tblPr>
        <w:tblStyle w:val="DTFTable1"/>
        <w:tblW w:w="0" w:type="auto"/>
        <w:tblLook w:val="04A0" w:firstRow="1" w:lastRow="0" w:firstColumn="1" w:lastColumn="0" w:noHBand="0" w:noVBand="1"/>
      </w:tblPr>
      <w:tblGrid>
        <w:gridCol w:w="1862"/>
        <w:gridCol w:w="1890"/>
      </w:tblGrid>
      <w:tr w:rsidR="008D5FD0" w14:paraId="3E797329" w14:textId="77777777" w:rsidTr="00A522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2" w:type="dxa"/>
          </w:tcPr>
          <w:p w14:paraId="3D96FF24" w14:textId="5D3BAACC" w:rsidR="008D5FD0" w:rsidRDefault="00DD424B" w:rsidP="00562221">
            <w:r>
              <w:t xml:space="preserve">Placeholder </w:t>
            </w:r>
          </w:p>
        </w:tc>
        <w:tc>
          <w:tcPr>
            <w:tcW w:w="1890" w:type="dxa"/>
          </w:tcPr>
          <w:p w14:paraId="64C6ECDB" w14:textId="28CF1C83" w:rsidR="008D5FD0" w:rsidRDefault="00CF0A27" w:rsidP="00CD06B1">
            <w:pPr>
              <w:jc w:val="left"/>
              <w:cnfStyle w:val="100000000000" w:firstRow="1" w:lastRow="0" w:firstColumn="0" w:lastColumn="0" w:oddVBand="0" w:evenVBand="0" w:oddHBand="0" w:evenHBand="0" w:firstRowFirstColumn="0" w:firstRowLastColumn="0" w:lastRowFirstColumn="0" w:lastRowLastColumn="0"/>
            </w:pPr>
            <w:r>
              <w:t>Year</w:t>
            </w:r>
          </w:p>
        </w:tc>
      </w:tr>
      <w:tr w:rsidR="00630886" w14:paraId="5727C5B6" w14:textId="77777777" w:rsidTr="00A522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2" w:type="dxa"/>
          </w:tcPr>
          <w:p w14:paraId="5BAF65FC" w14:textId="410F536D" w:rsidR="00630886" w:rsidRDefault="00630886" w:rsidP="00562221">
            <w:r>
              <w:t>20XX</w:t>
            </w:r>
          </w:p>
        </w:tc>
        <w:tc>
          <w:tcPr>
            <w:tcW w:w="1890" w:type="dxa"/>
          </w:tcPr>
          <w:p w14:paraId="72E85C3F" w14:textId="7D383484" w:rsidR="00630886" w:rsidRDefault="00630886" w:rsidP="00AA0186">
            <w:pPr>
              <w:jc w:val="left"/>
              <w:cnfStyle w:val="000000100000" w:firstRow="0" w:lastRow="0" w:firstColumn="0" w:lastColumn="0" w:oddVBand="0" w:evenVBand="0" w:oddHBand="1" w:evenHBand="0" w:firstRowFirstColumn="0" w:firstRowLastColumn="0" w:lastRowFirstColumn="0" w:lastRowLastColumn="0"/>
            </w:pPr>
            <w:r>
              <w:t>202</w:t>
            </w:r>
            <w:r w:rsidR="00FB1ACE">
              <w:t>3</w:t>
            </w:r>
          </w:p>
        </w:tc>
      </w:tr>
      <w:tr w:rsidR="008D5FD0" w14:paraId="6E33206D" w14:textId="77777777" w:rsidTr="00A522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2" w:type="dxa"/>
          </w:tcPr>
          <w:p w14:paraId="5443D16C" w14:textId="5B6843AE" w:rsidR="008D5FD0" w:rsidRDefault="00CF0A27" w:rsidP="00562221">
            <w:r>
              <w:t>20X0</w:t>
            </w:r>
          </w:p>
        </w:tc>
        <w:tc>
          <w:tcPr>
            <w:tcW w:w="1890" w:type="dxa"/>
          </w:tcPr>
          <w:p w14:paraId="48C5FACB" w14:textId="7043A4A9" w:rsidR="008D5FD0" w:rsidRDefault="00575BC6" w:rsidP="00CD06B1">
            <w:pPr>
              <w:jc w:val="left"/>
              <w:cnfStyle w:val="000000010000" w:firstRow="0" w:lastRow="0" w:firstColumn="0" w:lastColumn="0" w:oddVBand="0" w:evenVBand="0" w:oddHBand="0" w:evenHBand="1" w:firstRowFirstColumn="0" w:firstRowLastColumn="0" w:lastRowFirstColumn="0" w:lastRowLastColumn="0"/>
            </w:pPr>
            <w:r>
              <w:t>202</w:t>
            </w:r>
            <w:r w:rsidR="00FB1ACE">
              <w:t>4</w:t>
            </w:r>
          </w:p>
        </w:tc>
      </w:tr>
      <w:tr w:rsidR="008D5FD0" w14:paraId="6568D974" w14:textId="77777777" w:rsidTr="00A522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2" w:type="dxa"/>
          </w:tcPr>
          <w:p w14:paraId="3A6FD7E7" w14:textId="219CE283" w:rsidR="008D5FD0" w:rsidRDefault="00CF0A27" w:rsidP="00562221">
            <w:r>
              <w:t>20X</w:t>
            </w:r>
            <w:r w:rsidR="00933929">
              <w:t>1</w:t>
            </w:r>
          </w:p>
        </w:tc>
        <w:tc>
          <w:tcPr>
            <w:tcW w:w="1890" w:type="dxa"/>
          </w:tcPr>
          <w:p w14:paraId="6FBA9EBE" w14:textId="6E10D935" w:rsidR="008D5FD0" w:rsidRDefault="00575BC6" w:rsidP="00CD06B1">
            <w:pPr>
              <w:jc w:val="left"/>
              <w:cnfStyle w:val="000000100000" w:firstRow="0" w:lastRow="0" w:firstColumn="0" w:lastColumn="0" w:oddVBand="0" w:evenVBand="0" w:oddHBand="1" w:evenHBand="0" w:firstRowFirstColumn="0" w:firstRowLastColumn="0" w:lastRowFirstColumn="0" w:lastRowLastColumn="0"/>
            </w:pPr>
            <w:r>
              <w:t>202</w:t>
            </w:r>
            <w:r w:rsidR="00FB1ACE">
              <w:t>5</w:t>
            </w:r>
          </w:p>
        </w:tc>
      </w:tr>
      <w:tr w:rsidR="008D5FD0" w14:paraId="53059BE7" w14:textId="77777777" w:rsidTr="00A522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2" w:type="dxa"/>
          </w:tcPr>
          <w:p w14:paraId="026B2FDB" w14:textId="1B3D359A" w:rsidR="008D5FD0" w:rsidRDefault="00CF0A27" w:rsidP="00562221">
            <w:r>
              <w:t>20X2</w:t>
            </w:r>
          </w:p>
        </w:tc>
        <w:tc>
          <w:tcPr>
            <w:tcW w:w="1890" w:type="dxa"/>
          </w:tcPr>
          <w:p w14:paraId="65178992" w14:textId="1769C32A" w:rsidR="008D5FD0" w:rsidRDefault="00575BC6" w:rsidP="00CD06B1">
            <w:pPr>
              <w:jc w:val="left"/>
              <w:cnfStyle w:val="000000010000" w:firstRow="0" w:lastRow="0" w:firstColumn="0" w:lastColumn="0" w:oddVBand="0" w:evenVBand="0" w:oddHBand="0" w:evenHBand="1" w:firstRowFirstColumn="0" w:firstRowLastColumn="0" w:lastRowFirstColumn="0" w:lastRowLastColumn="0"/>
            </w:pPr>
            <w:r>
              <w:t>202</w:t>
            </w:r>
            <w:r w:rsidR="00FB1ACE">
              <w:t>6</w:t>
            </w:r>
          </w:p>
        </w:tc>
      </w:tr>
      <w:tr w:rsidR="00CF0A27" w14:paraId="5E8C9078" w14:textId="77777777" w:rsidTr="00A522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2" w:type="dxa"/>
          </w:tcPr>
          <w:p w14:paraId="2A1D0E30" w14:textId="3B8DD77E" w:rsidR="00CF0A27" w:rsidRDefault="00CF0A27" w:rsidP="00562221">
            <w:r>
              <w:t>20X3</w:t>
            </w:r>
          </w:p>
        </w:tc>
        <w:tc>
          <w:tcPr>
            <w:tcW w:w="1890" w:type="dxa"/>
          </w:tcPr>
          <w:p w14:paraId="37B60FE5" w14:textId="4F70CDF1" w:rsidR="00CF0A27" w:rsidRDefault="00575BC6" w:rsidP="00CD06B1">
            <w:pPr>
              <w:jc w:val="left"/>
              <w:cnfStyle w:val="000000100000" w:firstRow="0" w:lastRow="0" w:firstColumn="0" w:lastColumn="0" w:oddVBand="0" w:evenVBand="0" w:oddHBand="1" w:evenHBand="0" w:firstRowFirstColumn="0" w:firstRowLastColumn="0" w:lastRowFirstColumn="0" w:lastRowLastColumn="0"/>
            </w:pPr>
            <w:r>
              <w:t>202</w:t>
            </w:r>
            <w:r w:rsidR="00FB1ACE">
              <w:t>7</w:t>
            </w:r>
          </w:p>
        </w:tc>
      </w:tr>
    </w:tbl>
    <w:p w14:paraId="1C8531C6" w14:textId="77777777" w:rsidR="00184319" w:rsidRDefault="00184319" w:rsidP="00184319"/>
    <w:p w14:paraId="77885F8D" w14:textId="43C54F6E" w:rsidR="002C7726" w:rsidRDefault="002C7726" w:rsidP="00A522EC">
      <w:pPr>
        <w:pStyle w:val="Heading2"/>
        <w:pageBreakBefore/>
      </w:pPr>
      <w:bookmarkStart w:id="59" w:name="_Toc129260760"/>
      <w:bookmarkStart w:id="60" w:name="_Toc179811120"/>
      <w:bookmarkStart w:id="61" w:name="_Toc179816820"/>
      <w:bookmarkStart w:id="62" w:name="_Toc179822520"/>
      <w:bookmarkStart w:id="63" w:name="_Toc179828214"/>
      <w:bookmarkStart w:id="64" w:name="_Toc179859744"/>
      <w:bookmarkStart w:id="65" w:name="_Toc179867087"/>
      <w:bookmarkStart w:id="66" w:name="_Toc179871480"/>
      <w:bookmarkStart w:id="67" w:name="_Toc179875873"/>
      <w:bookmarkStart w:id="68" w:name="_Toc179880292"/>
      <w:r>
        <w:t xml:space="preserve">Structure of the </w:t>
      </w:r>
      <w:r w:rsidR="0007383E">
        <w:t>Tier</w:t>
      </w:r>
      <w:r w:rsidR="00351E72">
        <w:t xml:space="preserve"> </w:t>
      </w:r>
      <w:r w:rsidR="00197B1B">
        <w:t xml:space="preserve">2 </w:t>
      </w:r>
      <w:r>
        <w:t>Model and disclosure requirements</w:t>
      </w:r>
      <w:bookmarkEnd w:id="59"/>
      <w:bookmarkEnd w:id="60"/>
      <w:bookmarkEnd w:id="61"/>
      <w:bookmarkEnd w:id="62"/>
      <w:bookmarkEnd w:id="63"/>
      <w:bookmarkEnd w:id="64"/>
      <w:bookmarkEnd w:id="65"/>
      <w:bookmarkEnd w:id="66"/>
      <w:bookmarkEnd w:id="67"/>
      <w:bookmarkEnd w:id="68"/>
    </w:p>
    <w:p w14:paraId="45C6AA58" w14:textId="5AE07598" w:rsidR="002C7726" w:rsidRDefault="002C7726" w:rsidP="002C7726">
      <w:r>
        <w:t xml:space="preserve">The </w:t>
      </w:r>
      <w:r w:rsidR="0007383E">
        <w:t>Tier </w:t>
      </w:r>
      <w:r w:rsidR="38805FCE">
        <w:t xml:space="preserve">2 </w:t>
      </w:r>
      <w:r>
        <w:t xml:space="preserve">Model is based on a fictitious </w:t>
      </w:r>
      <w:r w:rsidR="00002BA9">
        <w:t xml:space="preserve">entity, </w:t>
      </w:r>
      <w:r w:rsidR="00126FA5">
        <w:t>Technology Victoria</w:t>
      </w:r>
      <w:r>
        <w:t xml:space="preserve"> </w:t>
      </w:r>
      <w:r w:rsidR="00150A7F">
        <w:t>(‘TV’)</w:t>
      </w:r>
      <w:r w:rsidR="00002BA9">
        <w:t>,</w:t>
      </w:r>
      <w:r>
        <w:t xml:space="preserve"> to highlight and illustrate disclosure requirements. It is divided into the following sections.</w:t>
      </w:r>
    </w:p>
    <w:p w14:paraId="7181D133" w14:textId="6D60183E" w:rsidR="002C7726" w:rsidRPr="004B12D1" w:rsidRDefault="002C7726" w:rsidP="00CA5CF8">
      <w:pPr>
        <w:pStyle w:val="ListBullet"/>
        <w:numPr>
          <w:ilvl w:val="0"/>
          <w:numId w:val="371"/>
        </w:numPr>
        <w:ind w:left="357" w:hanging="357"/>
        <w:rPr>
          <w:b/>
          <w:bCs/>
        </w:rPr>
      </w:pPr>
      <w:r w:rsidRPr="004B12D1">
        <w:rPr>
          <w:b/>
          <w:bCs/>
        </w:rPr>
        <w:t>Introduction</w:t>
      </w:r>
    </w:p>
    <w:p w14:paraId="66742DAD" w14:textId="20F5B7E9" w:rsidR="002C7726" w:rsidRDefault="0007383E" w:rsidP="00CA5CF8">
      <w:pPr>
        <w:pStyle w:val="ListBullet"/>
        <w:numPr>
          <w:ilvl w:val="0"/>
          <w:numId w:val="372"/>
        </w:numPr>
        <w:ind w:left="357" w:hanging="357"/>
      </w:pPr>
      <w:r>
        <w:rPr>
          <w:b/>
          <w:bCs/>
        </w:rPr>
        <w:t>Tier </w:t>
      </w:r>
      <w:r w:rsidR="00552992">
        <w:rPr>
          <w:b/>
          <w:bCs/>
        </w:rPr>
        <w:t xml:space="preserve">2 </w:t>
      </w:r>
      <w:r w:rsidR="495868A5" w:rsidRPr="067473FC">
        <w:rPr>
          <w:b/>
          <w:bCs/>
        </w:rPr>
        <w:t>Model financial</w:t>
      </w:r>
      <w:r w:rsidR="006A6268">
        <w:rPr>
          <w:rFonts w:hint="eastAsia"/>
          <w:b/>
          <w:bCs/>
          <w:lang w:eastAsia="zh-CN"/>
        </w:rPr>
        <w:t xml:space="preserve"> report</w:t>
      </w:r>
      <w:r w:rsidR="008E7441">
        <w:rPr>
          <w:b/>
          <w:bCs/>
        </w:rPr>
        <w:t>:</w:t>
      </w:r>
      <w:r w:rsidR="495868A5">
        <w:t xml:space="preserve"> </w:t>
      </w:r>
    </w:p>
    <w:p w14:paraId="15CC0955" w14:textId="51E4C9F7" w:rsidR="00CA6684" w:rsidRDefault="00CA6684" w:rsidP="00FE6E67">
      <w:pPr>
        <w:pStyle w:val="ListBullet2"/>
      </w:pPr>
      <w:r>
        <w:t xml:space="preserve">Illustrative disclosures are presented first. These are predominantly in black text and for a fictitious entity, </w:t>
      </w:r>
      <w:r w:rsidRPr="002A0038" w:rsidDel="516FEE53">
        <w:t>Technology</w:t>
      </w:r>
      <w:r w:rsidRPr="002A0038">
        <w:t xml:space="preserve"> Victoria</w:t>
      </w:r>
      <w:r>
        <w:t xml:space="preserve">. These disclosures provide the minimum requirements for compliance with </w:t>
      </w:r>
      <w:r w:rsidR="0007383E">
        <w:t>AASB </w:t>
      </w:r>
      <w:r>
        <w:t xml:space="preserve">1060 and FRD 101. </w:t>
      </w:r>
    </w:p>
    <w:p w14:paraId="4F8EB248" w14:textId="77777777" w:rsidR="00CA6684" w:rsidRDefault="00CA6684" w:rsidP="00FE6E67">
      <w:pPr>
        <w:pStyle w:val="ListBullet2"/>
      </w:pPr>
      <w:r>
        <w:t xml:space="preserve">Guidance (or commentary) is provided on the illustrative disclosures </w:t>
      </w:r>
      <w:r w:rsidRPr="008C2DE3">
        <w:t xml:space="preserve">in blue </w:t>
      </w:r>
      <w:r>
        <w:t xml:space="preserve">font and includes references to more detailed guidance, additional examples and illustrations. </w:t>
      </w:r>
    </w:p>
    <w:p w14:paraId="77FDE57C" w14:textId="4C4225E8" w:rsidR="00CA6684" w:rsidRDefault="00CA6684" w:rsidP="00FE6E67">
      <w:pPr>
        <w:pStyle w:val="ListBullet2"/>
      </w:pPr>
      <w:r>
        <w:t>Source references are included throughout the illustrative disclosures and the guidance, and are prefixed by AASB, FRD, SD and FMA.</w:t>
      </w:r>
    </w:p>
    <w:p w14:paraId="12093CFD" w14:textId="2400E7E8" w:rsidR="002C7726" w:rsidRPr="004B12D1" w:rsidRDefault="002C7726" w:rsidP="00CA5CF8">
      <w:pPr>
        <w:pStyle w:val="ListBullet"/>
        <w:numPr>
          <w:ilvl w:val="0"/>
          <w:numId w:val="373"/>
        </w:numPr>
        <w:ind w:left="357" w:hanging="357"/>
        <w:rPr>
          <w:b/>
          <w:bCs/>
        </w:rPr>
      </w:pPr>
      <w:r w:rsidRPr="004B12D1">
        <w:rPr>
          <w:b/>
          <w:bCs/>
        </w:rPr>
        <w:t>Guidance Section:</w:t>
      </w:r>
    </w:p>
    <w:p w14:paraId="0775620C" w14:textId="505F5ABD" w:rsidR="002C7726" w:rsidRDefault="002C7726" w:rsidP="00FE6E67">
      <w:pPr>
        <w:pStyle w:val="ListBullet2"/>
      </w:pPr>
      <w:r>
        <w:t>Guidance Section 1 – General and specific disclosure requirements, including presentation</w:t>
      </w:r>
      <w:r w:rsidR="00D060FC">
        <w:t>.</w:t>
      </w:r>
    </w:p>
    <w:p w14:paraId="38BAD952" w14:textId="1C455217" w:rsidR="002C7726" w:rsidRPr="004B12D1" w:rsidDel="007E3F9D" w:rsidRDefault="002C7726" w:rsidP="00CA5CF8">
      <w:pPr>
        <w:pStyle w:val="ListBullet"/>
        <w:numPr>
          <w:ilvl w:val="0"/>
          <w:numId w:val="373"/>
        </w:numPr>
        <w:ind w:left="357" w:hanging="357"/>
        <w:rPr>
          <w:b/>
          <w:bCs/>
        </w:rPr>
      </w:pPr>
      <w:bookmarkStart w:id="69" w:name="_Hlk129774334"/>
      <w:r w:rsidRPr="004B12D1" w:rsidDel="007E3F9D">
        <w:rPr>
          <w:b/>
          <w:bCs/>
        </w:rPr>
        <w:t>Appendices:</w:t>
      </w:r>
    </w:p>
    <w:p w14:paraId="77C96033" w14:textId="6E346731" w:rsidR="00F54D3B" w:rsidRPr="00A65495" w:rsidRDefault="00F54D3B" w:rsidP="00FE6E67">
      <w:pPr>
        <w:pStyle w:val="ListBullet2"/>
      </w:pPr>
      <w:r w:rsidRPr="00A65495">
        <w:rPr>
          <w:rFonts w:hint="eastAsia"/>
        </w:rPr>
        <w:t xml:space="preserve">Appendix </w:t>
      </w:r>
      <w:r w:rsidR="000B3E87">
        <w:t>1</w:t>
      </w:r>
      <w:r w:rsidRPr="00A65495">
        <w:rPr>
          <w:rFonts w:hint="eastAsia"/>
        </w:rPr>
        <w:t xml:space="preserve"> </w:t>
      </w:r>
      <w:r w:rsidRPr="00A65495">
        <w:t>–</w:t>
      </w:r>
      <w:r w:rsidRPr="00A65495">
        <w:rPr>
          <w:rFonts w:hint="eastAsia"/>
        </w:rPr>
        <w:t xml:space="preserve"> </w:t>
      </w:r>
      <w:r w:rsidR="00A9152B" w:rsidRPr="00A65495">
        <w:rPr>
          <w:rFonts w:hint="eastAsia"/>
        </w:rPr>
        <w:t xml:space="preserve">Index of accounting guidance and associated checklists on the DTF </w:t>
      </w:r>
      <w:r w:rsidR="0088338D" w:rsidRPr="00A65495">
        <w:t>website</w:t>
      </w:r>
      <w:r w:rsidR="00D060FC">
        <w:t>.</w:t>
      </w:r>
    </w:p>
    <w:p w14:paraId="64F26F6B" w14:textId="61746DEE" w:rsidR="00F54D3B" w:rsidRPr="00A65495" w:rsidDel="007E3F9D" w:rsidRDefault="00F54D3B" w:rsidP="00FE6E67">
      <w:pPr>
        <w:pStyle w:val="ListBullet2"/>
      </w:pPr>
      <w:r w:rsidRPr="002A0038">
        <w:t>Appendi</w:t>
      </w:r>
      <w:r w:rsidRPr="00A65495">
        <w:rPr>
          <w:lang w:eastAsia="zh-CN"/>
        </w:rPr>
        <w:t xml:space="preserve">x </w:t>
      </w:r>
      <w:r w:rsidR="000B3E87">
        <w:rPr>
          <w:lang w:eastAsia="zh-CN"/>
        </w:rPr>
        <w:t>2</w:t>
      </w:r>
      <w:r w:rsidRPr="00A65495">
        <w:rPr>
          <w:lang w:eastAsia="zh-CN"/>
        </w:rPr>
        <w:t xml:space="preserve"> </w:t>
      </w:r>
      <w:r w:rsidR="00D74F7B" w:rsidRPr="00A65495">
        <w:rPr>
          <w:lang w:eastAsia="zh-CN"/>
        </w:rPr>
        <w:t>–</w:t>
      </w:r>
      <w:r w:rsidRPr="00A65495">
        <w:rPr>
          <w:lang w:eastAsia="zh-CN"/>
        </w:rPr>
        <w:t xml:space="preserve"> </w:t>
      </w:r>
      <w:r w:rsidR="0088338D" w:rsidRPr="002A0038">
        <w:rPr>
          <w:lang w:eastAsia="zh-CN"/>
        </w:rPr>
        <w:t>Non-routine</w:t>
      </w:r>
      <w:r w:rsidR="00D74F7B" w:rsidRPr="00A65495">
        <w:rPr>
          <w:lang w:eastAsia="zh-CN"/>
        </w:rPr>
        <w:t xml:space="preserve"> transactions not covered by the </w:t>
      </w:r>
      <w:r w:rsidR="0007383E">
        <w:rPr>
          <w:lang w:eastAsia="zh-CN"/>
        </w:rPr>
        <w:t>Tier </w:t>
      </w:r>
      <w:r w:rsidR="00D74F7B" w:rsidRPr="00A65495">
        <w:rPr>
          <w:lang w:eastAsia="zh-CN"/>
        </w:rPr>
        <w:t xml:space="preserve">2 Model and </w:t>
      </w:r>
      <w:r w:rsidR="0088338D" w:rsidRPr="002A0038">
        <w:rPr>
          <w:lang w:eastAsia="zh-CN"/>
        </w:rPr>
        <w:t>associated</w:t>
      </w:r>
      <w:r w:rsidR="00D74F7B" w:rsidRPr="00A65495">
        <w:rPr>
          <w:lang w:eastAsia="zh-CN"/>
        </w:rPr>
        <w:t xml:space="preserve"> </w:t>
      </w:r>
      <w:r w:rsidR="0088338D" w:rsidRPr="002A0038">
        <w:rPr>
          <w:lang w:eastAsia="zh-CN"/>
        </w:rPr>
        <w:t>disclosure</w:t>
      </w:r>
      <w:r w:rsidR="00D74F7B" w:rsidRPr="00A65495">
        <w:rPr>
          <w:lang w:eastAsia="zh-CN"/>
        </w:rPr>
        <w:t xml:space="preserve"> requirements</w:t>
      </w:r>
      <w:r w:rsidR="00D060FC">
        <w:rPr>
          <w:lang w:eastAsia="zh-CN"/>
        </w:rPr>
        <w:t>.</w:t>
      </w:r>
    </w:p>
    <w:bookmarkEnd w:id="69"/>
    <w:p w14:paraId="7FF4EBB3" w14:textId="5E04B5C8" w:rsidR="002C7726" w:rsidRDefault="002C7726" w:rsidP="002C7726">
      <w:r>
        <w:t xml:space="preserve">The </w:t>
      </w:r>
      <w:r w:rsidR="0007383E">
        <w:t>Tier </w:t>
      </w:r>
      <w:r w:rsidR="0F849E6F">
        <w:t>2</w:t>
      </w:r>
      <w:r>
        <w:t xml:space="preserve"> Model has been prepared in accordance with the FMA</w:t>
      </w:r>
      <w:r w:rsidR="002D333F">
        <w:rPr>
          <w:lang w:eastAsia="zh-CN"/>
        </w:rPr>
        <w:t xml:space="preserve"> and has been updated </w:t>
      </w:r>
      <w:r>
        <w:t>incorporating the latest applicable requirements of AASs and FRDs that were av</w:t>
      </w:r>
      <w:r w:rsidRPr="00ED3863">
        <w:t xml:space="preserve">ailable </w:t>
      </w:r>
      <w:r w:rsidRPr="003E3130">
        <w:t xml:space="preserve">as </w:t>
      </w:r>
      <w:proofErr w:type="gramStart"/>
      <w:r w:rsidR="002D1C42" w:rsidRPr="003E3130">
        <w:t>at</w:t>
      </w:r>
      <w:proofErr w:type="gramEnd"/>
      <w:r w:rsidR="002D1C42" w:rsidRPr="003E3130">
        <w:t xml:space="preserve"> </w:t>
      </w:r>
      <w:r w:rsidR="00917E0A" w:rsidRPr="003E3130">
        <w:t>28</w:t>
      </w:r>
      <w:r w:rsidR="00834F12" w:rsidRPr="003E3130">
        <w:t xml:space="preserve"> </w:t>
      </w:r>
      <w:r w:rsidR="00917E0A" w:rsidRPr="00E51206">
        <w:t>February</w:t>
      </w:r>
      <w:r w:rsidR="00834F12" w:rsidRPr="003E3130">
        <w:t xml:space="preserve"> </w:t>
      </w:r>
      <w:r w:rsidR="00166590" w:rsidRPr="003E3130">
        <w:t>202</w:t>
      </w:r>
      <w:r w:rsidR="00DA7E1D" w:rsidRPr="00E51206">
        <w:t>6</w:t>
      </w:r>
      <w:r w:rsidR="00472C89" w:rsidRPr="003E3130">
        <w:t xml:space="preserve"> (in</w:t>
      </w:r>
      <w:r w:rsidR="00472C89">
        <w:t xml:space="preserve"> the current reporting period)</w:t>
      </w:r>
      <w:r>
        <w:t xml:space="preserve">. </w:t>
      </w:r>
    </w:p>
    <w:p w14:paraId="68D0F987" w14:textId="77777777" w:rsidR="0025585E" w:rsidRPr="002E3231" w:rsidRDefault="0025585E" w:rsidP="0025585E">
      <w:pPr>
        <w:pStyle w:val="Heading3"/>
        <w:rPr>
          <w:rStyle w:val="Guidance"/>
        </w:rPr>
      </w:pPr>
      <w:bookmarkStart w:id="70" w:name="_Toc179811121"/>
      <w:bookmarkStart w:id="71" w:name="_Toc179816821"/>
      <w:bookmarkStart w:id="72" w:name="_Toc179822521"/>
      <w:bookmarkStart w:id="73" w:name="_Toc179828215"/>
      <w:bookmarkStart w:id="74" w:name="_Toc179859745"/>
      <w:bookmarkStart w:id="75" w:name="_Hlk129773895"/>
      <w:r w:rsidRPr="002E3231">
        <w:rPr>
          <w:rStyle w:val="Guidance"/>
        </w:rPr>
        <w:t>Key reminders</w:t>
      </w:r>
      <w:bookmarkEnd w:id="70"/>
      <w:bookmarkEnd w:id="71"/>
      <w:bookmarkEnd w:id="72"/>
      <w:bookmarkEnd w:id="73"/>
      <w:bookmarkEnd w:id="74"/>
    </w:p>
    <w:p w14:paraId="34019400" w14:textId="77777777" w:rsidR="0025585E" w:rsidRPr="002E3231" w:rsidRDefault="0025585E" w:rsidP="0025585E">
      <w:pPr>
        <w:rPr>
          <w:rStyle w:val="Guidance"/>
        </w:rPr>
      </w:pPr>
      <w:r w:rsidRPr="002E3231">
        <w:rPr>
          <w:rStyle w:val="Guidance"/>
        </w:rPr>
        <w:t>Do:</w:t>
      </w:r>
    </w:p>
    <w:p w14:paraId="3B978351" w14:textId="6D8EEDFF" w:rsidR="0025585E" w:rsidRPr="002E3231" w:rsidRDefault="0025585E" w:rsidP="0025585E">
      <w:pPr>
        <w:pStyle w:val="ListBullet"/>
        <w:rPr>
          <w:rStyle w:val="Guidance"/>
        </w:rPr>
      </w:pPr>
      <w:r w:rsidRPr="784691EA">
        <w:rPr>
          <w:rStyle w:val="Guidance"/>
        </w:rPr>
        <w:t xml:space="preserve">apply the disclosure requirements included within the </w:t>
      </w:r>
      <w:r w:rsidR="0007383E">
        <w:rPr>
          <w:rStyle w:val="Guidance"/>
        </w:rPr>
        <w:t>Tier </w:t>
      </w:r>
      <w:r w:rsidRPr="784691EA">
        <w:rPr>
          <w:rStyle w:val="Guidance"/>
        </w:rPr>
        <w:t xml:space="preserve">2 Model for </w:t>
      </w:r>
      <w:r w:rsidRPr="7A953792">
        <w:rPr>
          <w:rStyle w:val="Guidance"/>
        </w:rPr>
        <w:t xml:space="preserve">public sector </w:t>
      </w:r>
      <w:r w:rsidRPr="784691EA">
        <w:rPr>
          <w:rStyle w:val="Guidance"/>
        </w:rPr>
        <w:t xml:space="preserve">entitles that are </w:t>
      </w:r>
      <w:r w:rsidR="00F61FD0">
        <w:rPr>
          <w:rStyle w:val="Guidance"/>
        </w:rPr>
        <w:t>required to prepare</w:t>
      </w:r>
      <w:r w:rsidRPr="784691EA">
        <w:rPr>
          <w:rStyle w:val="Guidance"/>
        </w:rPr>
        <w:t xml:space="preserve"> </w:t>
      </w:r>
      <w:r w:rsidR="0007383E">
        <w:rPr>
          <w:rStyle w:val="Guidance"/>
        </w:rPr>
        <w:t>Tier </w:t>
      </w:r>
      <w:r w:rsidRPr="784691EA">
        <w:rPr>
          <w:rStyle w:val="Guidance"/>
        </w:rPr>
        <w:t xml:space="preserve">2 </w:t>
      </w:r>
      <w:r w:rsidR="00462355">
        <w:rPr>
          <w:rStyle w:val="Guidance"/>
        </w:rPr>
        <w:t xml:space="preserve">financial </w:t>
      </w:r>
      <w:r w:rsidRPr="784691EA">
        <w:rPr>
          <w:rStyle w:val="Guidance"/>
        </w:rPr>
        <w:t>report</w:t>
      </w:r>
      <w:r w:rsidR="00F61FD0">
        <w:rPr>
          <w:rStyle w:val="Guidance"/>
        </w:rPr>
        <w:t>s</w:t>
      </w:r>
      <w:r w:rsidR="00E00064">
        <w:rPr>
          <w:rStyle w:val="Guidance"/>
        </w:rPr>
        <w:t xml:space="preserve"> </w:t>
      </w:r>
      <w:r w:rsidR="00F61FD0">
        <w:rPr>
          <w:rStyle w:val="Guidance"/>
        </w:rPr>
        <w:t>as per</w:t>
      </w:r>
      <w:r w:rsidR="00E00064">
        <w:rPr>
          <w:rStyle w:val="Guidance"/>
        </w:rPr>
        <w:t xml:space="preserve"> FRD 101</w:t>
      </w:r>
      <w:r w:rsidRPr="784691EA">
        <w:rPr>
          <w:rStyle w:val="Guidance"/>
        </w:rPr>
        <w:t xml:space="preserve"> </w:t>
      </w:r>
    </w:p>
    <w:p w14:paraId="3E95808F" w14:textId="7328066B" w:rsidR="0025585E" w:rsidRPr="002E3231" w:rsidRDefault="0025585E" w:rsidP="0025585E">
      <w:pPr>
        <w:pStyle w:val="ListBullet"/>
        <w:rPr>
          <w:rStyle w:val="Guidance"/>
        </w:rPr>
      </w:pPr>
      <w:r w:rsidRPr="002E3231">
        <w:rPr>
          <w:rStyle w:val="Guidance"/>
        </w:rPr>
        <w:t xml:space="preserve">apply judgement in determining whether the </w:t>
      </w:r>
      <w:r w:rsidR="0007383E">
        <w:rPr>
          <w:rStyle w:val="Guidance"/>
        </w:rPr>
        <w:t>Tier </w:t>
      </w:r>
      <w:r w:rsidRPr="5411220E">
        <w:rPr>
          <w:rStyle w:val="Guidance"/>
        </w:rPr>
        <w:t xml:space="preserve">2 </w:t>
      </w:r>
      <w:r w:rsidRPr="002E3231">
        <w:rPr>
          <w:rStyle w:val="Guidance"/>
        </w:rPr>
        <w:t>Model needs to be modified to meet entity specific reporting requirements</w:t>
      </w:r>
    </w:p>
    <w:p w14:paraId="0871C864" w14:textId="357BFDB0" w:rsidR="0025585E" w:rsidRPr="002E3231" w:rsidRDefault="0025585E" w:rsidP="0025585E">
      <w:pPr>
        <w:pStyle w:val="ListBullet"/>
        <w:rPr>
          <w:rStyle w:val="Guidance"/>
        </w:rPr>
      </w:pPr>
      <w:r w:rsidRPr="784691EA">
        <w:rPr>
          <w:rStyle w:val="Guidance"/>
        </w:rPr>
        <w:t xml:space="preserve">apply all AASs and FRDs applicable to the financial year– even those issued after the publication of the </w:t>
      </w:r>
      <w:r w:rsidR="0007383E">
        <w:rPr>
          <w:rStyle w:val="Guidance"/>
        </w:rPr>
        <w:t>Tier </w:t>
      </w:r>
      <w:r w:rsidRPr="784691EA">
        <w:rPr>
          <w:rStyle w:val="Guidance"/>
        </w:rPr>
        <w:t>2 Model</w:t>
      </w:r>
    </w:p>
    <w:p w14:paraId="10216106" w14:textId="77777777" w:rsidR="0025585E" w:rsidRPr="002E3231" w:rsidRDefault="0025585E" w:rsidP="0025585E">
      <w:pPr>
        <w:pStyle w:val="ListBullet"/>
        <w:rPr>
          <w:rStyle w:val="Guidance"/>
        </w:rPr>
      </w:pPr>
      <w:r w:rsidRPr="002E3231">
        <w:rPr>
          <w:rStyle w:val="Guidance"/>
        </w:rPr>
        <w:t xml:space="preserve">apply FRD 30 </w:t>
      </w:r>
      <w:r w:rsidRPr="001A0FEE">
        <w:rPr>
          <w:rStyle w:val="Guidance"/>
          <w:i/>
          <w:iCs/>
        </w:rPr>
        <w:t>Standard requirements for the publication</w:t>
      </w:r>
      <w:r w:rsidRPr="006F4ACC">
        <w:rPr>
          <w:rStyle w:val="Guidance"/>
        </w:rPr>
        <w:t xml:space="preserve"> </w:t>
      </w:r>
      <w:r w:rsidRPr="002E3231">
        <w:rPr>
          <w:rStyle w:val="Guidance"/>
        </w:rPr>
        <w:t>specifications when preparing annual reports</w:t>
      </w:r>
    </w:p>
    <w:p w14:paraId="6B93DB99" w14:textId="3DE74008" w:rsidR="0025585E" w:rsidRPr="002E3231" w:rsidRDefault="0025585E" w:rsidP="0025585E">
      <w:pPr>
        <w:pStyle w:val="ListBullet"/>
        <w:rPr>
          <w:rStyle w:val="Guidance"/>
        </w:rPr>
      </w:pPr>
      <w:r w:rsidRPr="002E3231">
        <w:rPr>
          <w:rStyle w:val="Guidance"/>
        </w:rPr>
        <w:t xml:space="preserve">determine which disclosures could be omitted </w:t>
      </w:r>
      <w:r w:rsidR="00222FEE">
        <w:rPr>
          <w:rStyle w:val="Guidance"/>
        </w:rPr>
        <w:t>based on</w:t>
      </w:r>
      <w:r w:rsidR="00854545">
        <w:rPr>
          <w:rStyle w:val="Guidance"/>
        </w:rPr>
        <w:t xml:space="preserve"> mater</w:t>
      </w:r>
      <w:r>
        <w:rPr>
          <w:rStyle w:val="Guidance"/>
        </w:rPr>
        <w:t>ial</w:t>
      </w:r>
      <w:r w:rsidR="008848C2">
        <w:rPr>
          <w:rStyle w:val="Guidance"/>
        </w:rPr>
        <w:t>ity (</w:t>
      </w:r>
      <w:r>
        <w:rPr>
          <w:rStyle w:val="Guidance"/>
        </w:rPr>
        <w:t xml:space="preserve">both </w:t>
      </w:r>
      <w:r w:rsidRPr="002E3231">
        <w:rPr>
          <w:rStyle w:val="Guidance"/>
        </w:rPr>
        <w:t xml:space="preserve">quantitatively </w:t>
      </w:r>
      <w:r>
        <w:rPr>
          <w:rStyle w:val="Guidance"/>
        </w:rPr>
        <w:t>and</w:t>
      </w:r>
      <w:r w:rsidRPr="002E3231">
        <w:rPr>
          <w:rStyle w:val="Guidance"/>
        </w:rPr>
        <w:t xml:space="preserve"> qualitatively</w:t>
      </w:r>
      <w:r w:rsidR="008848C2">
        <w:rPr>
          <w:rStyle w:val="Guidance"/>
        </w:rPr>
        <w:t>)</w:t>
      </w:r>
      <w:r w:rsidRPr="002E3231">
        <w:rPr>
          <w:rStyle w:val="Guidance"/>
        </w:rPr>
        <w:t>.</w:t>
      </w:r>
    </w:p>
    <w:p w14:paraId="225C742B" w14:textId="77777777" w:rsidR="0025585E" w:rsidRPr="002E3231" w:rsidRDefault="0025585E" w:rsidP="0025585E">
      <w:pPr>
        <w:rPr>
          <w:rStyle w:val="Guidance"/>
        </w:rPr>
      </w:pPr>
      <w:r w:rsidRPr="002E3231">
        <w:rPr>
          <w:rStyle w:val="Guidance"/>
        </w:rPr>
        <w:t>Don’t:</w:t>
      </w:r>
    </w:p>
    <w:p w14:paraId="4FE16B90" w14:textId="12C44358" w:rsidR="0025585E" w:rsidRPr="002E3231" w:rsidRDefault="0025585E" w:rsidP="0025585E">
      <w:pPr>
        <w:pStyle w:val="ListBullet"/>
        <w:rPr>
          <w:rStyle w:val="Guidance"/>
        </w:rPr>
      </w:pPr>
      <w:r w:rsidRPr="002E3231">
        <w:rPr>
          <w:rStyle w:val="Guidance"/>
        </w:rPr>
        <w:t>use the</w:t>
      </w:r>
      <w:r w:rsidRPr="016C988A">
        <w:rPr>
          <w:rStyle w:val="Guidance"/>
        </w:rPr>
        <w:t xml:space="preserve"> </w:t>
      </w:r>
      <w:r w:rsidR="0007383E">
        <w:rPr>
          <w:rStyle w:val="Guidance"/>
        </w:rPr>
        <w:t>Tier </w:t>
      </w:r>
      <w:r w:rsidRPr="016C988A">
        <w:rPr>
          <w:rStyle w:val="Guidance"/>
        </w:rPr>
        <w:t>2</w:t>
      </w:r>
      <w:r w:rsidRPr="002E3231">
        <w:rPr>
          <w:rStyle w:val="Guidance"/>
        </w:rPr>
        <w:t xml:space="preserve"> Model as a template – it provides presentation formats and illustrative disclosures that need to be modified for circumstances and requirements that are specific to the </w:t>
      </w:r>
      <w:r>
        <w:rPr>
          <w:rStyle w:val="Guidance"/>
        </w:rPr>
        <w:t>entity</w:t>
      </w:r>
    </w:p>
    <w:p w14:paraId="7D606D8F" w14:textId="69FAB6C1" w:rsidR="002C7726" w:rsidRDefault="0025585E" w:rsidP="002A0038">
      <w:pPr>
        <w:pStyle w:val="ListBullet"/>
      </w:pPr>
      <w:r w:rsidRPr="002E3231">
        <w:rPr>
          <w:rStyle w:val="Guidance"/>
        </w:rPr>
        <w:t xml:space="preserve">use the </w:t>
      </w:r>
      <w:r w:rsidR="0007383E">
        <w:rPr>
          <w:rStyle w:val="Guidance"/>
        </w:rPr>
        <w:t>Tier </w:t>
      </w:r>
      <w:r w:rsidRPr="016C988A">
        <w:rPr>
          <w:rStyle w:val="Guidance"/>
        </w:rPr>
        <w:t xml:space="preserve">2 </w:t>
      </w:r>
      <w:r w:rsidRPr="002E3231">
        <w:rPr>
          <w:rStyle w:val="Guidance"/>
        </w:rPr>
        <w:t xml:space="preserve">Model as a substitute for referring to </w:t>
      </w:r>
      <w:r w:rsidR="005C7A03" w:rsidRPr="00D4651C">
        <w:rPr>
          <w:rStyle w:val="Guidance"/>
        </w:rPr>
        <w:t>actual legislation, AASs and FRDs that are relevant to the entity.</w:t>
      </w:r>
      <w:bookmarkEnd w:id="75"/>
    </w:p>
    <w:p w14:paraId="55F4C09C" w14:textId="676C129C" w:rsidR="002E3231" w:rsidRDefault="002E3231">
      <w:pPr>
        <w:keepLines w:val="0"/>
        <w:rPr>
          <w:rFonts w:asciiTheme="majorHAnsi" w:eastAsiaTheme="majorEastAsia" w:hAnsiTheme="majorHAnsi" w:cstheme="majorBidi"/>
          <w:b/>
          <w:sz w:val="26"/>
          <w:szCs w:val="26"/>
        </w:rPr>
      </w:pPr>
      <w:r>
        <w:br w:type="page"/>
      </w:r>
    </w:p>
    <w:p w14:paraId="77580A72" w14:textId="347A6155" w:rsidR="002C7726" w:rsidRDefault="002C7726" w:rsidP="004B12D1">
      <w:pPr>
        <w:pStyle w:val="Heading2"/>
      </w:pPr>
      <w:bookmarkStart w:id="76" w:name="_Toc129260761"/>
      <w:bookmarkStart w:id="77" w:name="_Toc175574054"/>
      <w:bookmarkStart w:id="78" w:name="_Toc179811122"/>
      <w:bookmarkStart w:id="79" w:name="_Toc179816822"/>
      <w:bookmarkStart w:id="80" w:name="_Toc179822522"/>
      <w:bookmarkStart w:id="81" w:name="_Toc179828216"/>
      <w:bookmarkStart w:id="82" w:name="_Toc179859746"/>
      <w:bookmarkStart w:id="83" w:name="_Toc179867088"/>
      <w:bookmarkStart w:id="84" w:name="_Toc179871481"/>
      <w:bookmarkStart w:id="85" w:name="_Toc179875874"/>
      <w:bookmarkStart w:id="86" w:name="_Toc179880293"/>
      <w:r>
        <w:t>Source references</w:t>
      </w:r>
      <w:bookmarkEnd w:id="76"/>
      <w:bookmarkEnd w:id="77"/>
      <w:bookmarkEnd w:id="78"/>
      <w:bookmarkEnd w:id="79"/>
      <w:bookmarkEnd w:id="80"/>
      <w:bookmarkEnd w:id="81"/>
      <w:bookmarkEnd w:id="82"/>
      <w:bookmarkEnd w:id="83"/>
      <w:bookmarkEnd w:id="84"/>
      <w:bookmarkEnd w:id="85"/>
      <w:bookmarkEnd w:id="86"/>
    </w:p>
    <w:p w14:paraId="0795AF3A" w14:textId="4AE3137A" w:rsidR="002C7726" w:rsidRDefault="002C7726" w:rsidP="002C7726">
      <w:r w:rsidRPr="008804C5">
        <w:t xml:space="preserve">References to the relevant requirements are provided in </w:t>
      </w:r>
      <w:r w:rsidR="008804C5" w:rsidRPr="008804C5">
        <w:t xml:space="preserve">the headings and body text </w:t>
      </w:r>
      <w:r w:rsidRPr="008804C5">
        <w:t xml:space="preserve">of this </w:t>
      </w:r>
      <w:r w:rsidR="0007383E">
        <w:t>Tier </w:t>
      </w:r>
      <w:r w:rsidR="19E988E8">
        <w:t xml:space="preserve">2 </w:t>
      </w:r>
      <w:r w:rsidRPr="008804C5">
        <w:t>Model</w:t>
      </w:r>
      <w:r w:rsidR="008804C5">
        <w:t xml:space="preserve"> and are noted in red</w:t>
      </w:r>
      <w:r>
        <w:t xml:space="preserve">. If further clarity is </w:t>
      </w:r>
      <w:r w:rsidR="00913FA5">
        <w:t>needed</w:t>
      </w:r>
      <w:r>
        <w:t xml:space="preserve">, </w:t>
      </w:r>
      <w:r w:rsidR="00366075">
        <w:t xml:space="preserve">entities should refer to </w:t>
      </w:r>
      <w:r>
        <w:t xml:space="preserve">the source of the disclosure requirement. </w:t>
      </w:r>
    </w:p>
    <w:p w14:paraId="147008A2" w14:textId="4EA227FD" w:rsidR="002C7726" w:rsidRDefault="00BF6D62" w:rsidP="002C7726">
      <w:r>
        <w:t xml:space="preserve">The current Model also uses </w:t>
      </w:r>
      <w:r w:rsidRPr="00A03D0D">
        <w:t>‘</w:t>
      </w:r>
      <w:r w:rsidRPr="00E51206">
        <w:rPr>
          <w:rStyle w:val="Reference-New"/>
          <w:color w:val="C00000"/>
        </w:rPr>
        <w:t>[NEW]</w:t>
      </w:r>
      <w:r w:rsidRPr="00A03D0D">
        <w:t>’ or ‘</w:t>
      </w:r>
      <w:r w:rsidRPr="00E51206">
        <w:rPr>
          <w:rStyle w:val="Reference-Revised"/>
          <w:color w:val="C00000"/>
        </w:rPr>
        <w:t>[REVISED]</w:t>
      </w:r>
      <w:r w:rsidRPr="00A03D0D">
        <w:t xml:space="preserve">’ </w:t>
      </w:r>
      <w:r>
        <w:t xml:space="preserve">to indicate where changes have occurred since the previous edition of the Model. </w:t>
      </w:r>
      <w:r w:rsidR="002C7726">
        <w:t xml:space="preserve">Abbreviations used in the </w:t>
      </w:r>
      <w:r w:rsidR="0007383E">
        <w:t>Tier </w:t>
      </w:r>
      <w:r w:rsidR="5F78C198">
        <w:t xml:space="preserve">2 </w:t>
      </w:r>
      <w:r w:rsidR="002C7726">
        <w:t>Model are as follows:</w:t>
      </w:r>
    </w:p>
    <w:tbl>
      <w:tblPr>
        <w:tblStyle w:val="DTFTextTable"/>
        <w:tblW w:w="0" w:type="auto"/>
        <w:tblLook w:val="0620" w:firstRow="1" w:lastRow="0" w:firstColumn="0" w:lastColumn="0" w:noHBand="1" w:noVBand="1"/>
      </w:tblPr>
      <w:tblGrid>
        <w:gridCol w:w="1418"/>
        <w:gridCol w:w="8210"/>
      </w:tblGrid>
      <w:tr w:rsidR="00F92C2D" w:rsidRPr="00F92C2D" w14:paraId="37A2C6D5" w14:textId="77777777" w:rsidTr="00F92C2D">
        <w:trPr>
          <w:cnfStyle w:val="100000000000" w:firstRow="1" w:lastRow="0" w:firstColumn="0" w:lastColumn="0" w:oddVBand="0" w:evenVBand="0" w:oddHBand="0" w:evenHBand="0" w:firstRowFirstColumn="0" w:firstRowLastColumn="0" w:lastRowFirstColumn="0" w:lastRowLastColumn="0"/>
        </w:trPr>
        <w:tc>
          <w:tcPr>
            <w:tcW w:w="1418" w:type="dxa"/>
          </w:tcPr>
          <w:p w14:paraId="2DB6008B" w14:textId="77777777" w:rsidR="00F92C2D" w:rsidRPr="00F92C2D" w:rsidRDefault="00F92C2D" w:rsidP="003D52D7">
            <w:r w:rsidRPr="00F92C2D">
              <w:t xml:space="preserve">Reference </w:t>
            </w:r>
          </w:p>
        </w:tc>
        <w:tc>
          <w:tcPr>
            <w:tcW w:w="8210" w:type="dxa"/>
          </w:tcPr>
          <w:p w14:paraId="3A3FAB7E" w14:textId="77777777" w:rsidR="00F92C2D" w:rsidRPr="00F92C2D" w:rsidRDefault="00F92C2D" w:rsidP="003D52D7">
            <w:r w:rsidRPr="00F92C2D">
              <w:t>Title</w:t>
            </w:r>
          </w:p>
        </w:tc>
      </w:tr>
      <w:tr w:rsidR="00F92C2D" w:rsidRPr="00F92C2D" w14:paraId="4BDA7336" w14:textId="77777777" w:rsidTr="00F92C2D">
        <w:tc>
          <w:tcPr>
            <w:tcW w:w="1418" w:type="dxa"/>
          </w:tcPr>
          <w:p w14:paraId="7AB2ACD9" w14:textId="11F4AB9B" w:rsidR="00F92C2D" w:rsidRPr="00F92C2D" w:rsidRDefault="0007383E" w:rsidP="003D52D7">
            <w:r>
              <w:t>AASB </w:t>
            </w:r>
          </w:p>
        </w:tc>
        <w:tc>
          <w:tcPr>
            <w:tcW w:w="8210" w:type="dxa"/>
          </w:tcPr>
          <w:p w14:paraId="339DE802" w14:textId="77777777" w:rsidR="00F92C2D" w:rsidRPr="00F92C2D" w:rsidRDefault="00F92C2D" w:rsidP="003D52D7">
            <w:r w:rsidRPr="00F92C2D">
              <w:t>Australian Accounting Standards Board</w:t>
            </w:r>
          </w:p>
        </w:tc>
      </w:tr>
      <w:tr w:rsidR="00F92C2D" w:rsidRPr="00F92C2D" w14:paraId="31D11901" w14:textId="77777777" w:rsidTr="00F92C2D">
        <w:tc>
          <w:tcPr>
            <w:tcW w:w="1418" w:type="dxa"/>
          </w:tcPr>
          <w:p w14:paraId="1682BA55" w14:textId="77777777" w:rsidR="00F92C2D" w:rsidRPr="00F92C2D" w:rsidRDefault="00F92C2D" w:rsidP="003D52D7">
            <w:r w:rsidRPr="00F92C2D">
              <w:t>AASs</w:t>
            </w:r>
          </w:p>
        </w:tc>
        <w:tc>
          <w:tcPr>
            <w:tcW w:w="8210" w:type="dxa"/>
          </w:tcPr>
          <w:p w14:paraId="30330EF2" w14:textId="462E0117" w:rsidR="00F92C2D" w:rsidRPr="00F92C2D" w:rsidRDefault="00F92C2D" w:rsidP="003D52D7">
            <w:r w:rsidRPr="00F92C2D">
              <w:t>Australian Accounting Standards, includ</w:t>
            </w:r>
            <w:r w:rsidR="002A103A">
              <w:t>ing</w:t>
            </w:r>
            <w:r w:rsidRPr="00F92C2D">
              <w:t xml:space="preserve"> Interpretations</w:t>
            </w:r>
          </w:p>
        </w:tc>
      </w:tr>
      <w:tr w:rsidR="00F92C2D" w:rsidRPr="00F92C2D" w14:paraId="5A592DFB" w14:textId="77777777" w:rsidTr="002A0038">
        <w:tc>
          <w:tcPr>
            <w:tcW w:w="0" w:type="dxa"/>
          </w:tcPr>
          <w:p w14:paraId="3DB912F4" w14:textId="21B4186A" w:rsidR="00F92C2D" w:rsidRPr="00C1162F" w:rsidRDefault="00F92C2D" w:rsidP="003D52D7">
            <w:r w:rsidRPr="00C1162F">
              <w:t>T</w:t>
            </w:r>
            <w:r w:rsidR="00ED40CD" w:rsidRPr="002A0038">
              <w:t>V</w:t>
            </w:r>
          </w:p>
        </w:tc>
        <w:tc>
          <w:tcPr>
            <w:tcW w:w="0" w:type="dxa"/>
          </w:tcPr>
          <w:p w14:paraId="00190172" w14:textId="0B665975" w:rsidR="00F92C2D" w:rsidRPr="00C1162F" w:rsidRDefault="00F92C2D" w:rsidP="003D52D7">
            <w:r w:rsidRPr="00C1162F">
              <w:t>Technology</w:t>
            </w:r>
            <w:r w:rsidRPr="00383438">
              <w:t xml:space="preserve"> </w:t>
            </w:r>
            <w:r w:rsidR="00ED40CD" w:rsidRPr="002A0038">
              <w:t>Victoria</w:t>
            </w:r>
            <w:r w:rsidRPr="00C1162F">
              <w:t xml:space="preserve"> (</w:t>
            </w:r>
            <w:r w:rsidR="008D321C" w:rsidRPr="00C1162F">
              <w:t xml:space="preserve">a </w:t>
            </w:r>
            <w:r w:rsidRPr="00C1162F">
              <w:t xml:space="preserve">fictitious </w:t>
            </w:r>
            <w:r w:rsidR="00ED40CD" w:rsidRPr="002A0038">
              <w:t>entity</w:t>
            </w:r>
            <w:r w:rsidRPr="00C1162F">
              <w:t>)</w:t>
            </w:r>
          </w:p>
        </w:tc>
      </w:tr>
      <w:tr w:rsidR="00F92C2D" w:rsidRPr="00F92C2D" w14:paraId="10AE176B" w14:textId="77777777" w:rsidTr="00F92C2D">
        <w:tc>
          <w:tcPr>
            <w:tcW w:w="1418" w:type="dxa"/>
          </w:tcPr>
          <w:p w14:paraId="2A45DF89" w14:textId="77777777" w:rsidR="00F92C2D" w:rsidRPr="00F92C2D" w:rsidRDefault="00F92C2D" w:rsidP="003D52D7">
            <w:r w:rsidRPr="00F92C2D">
              <w:t>FRD</w:t>
            </w:r>
          </w:p>
        </w:tc>
        <w:tc>
          <w:tcPr>
            <w:tcW w:w="8210" w:type="dxa"/>
          </w:tcPr>
          <w:p w14:paraId="559D5AB8" w14:textId="77777777" w:rsidR="00F92C2D" w:rsidRPr="00F92C2D" w:rsidRDefault="00F92C2D" w:rsidP="003D52D7">
            <w:r w:rsidRPr="00F92C2D">
              <w:t>Financial Reporting Direction</w:t>
            </w:r>
          </w:p>
        </w:tc>
      </w:tr>
      <w:tr w:rsidR="00F92C2D" w:rsidRPr="00F92C2D" w14:paraId="6FDF2959" w14:textId="77777777" w:rsidTr="00F92C2D">
        <w:tc>
          <w:tcPr>
            <w:tcW w:w="1418" w:type="dxa"/>
          </w:tcPr>
          <w:p w14:paraId="01C51DCB" w14:textId="77777777" w:rsidR="00F92C2D" w:rsidRPr="00F92C2D" w:rsidRDefault="00F92C2D" w:rsidP="003D52D7">
            <w:r w:rsidRPr="00F92C2D">
              <w:t>SD</w:t>
            </w:r>
          </w:p>
        </w:tc>
        <w:tc>
          <w:tcPr>
            <w:tcW w:w="8210" w:type="dxa"/>
          </w:tcPr>
          <w:p w14:paraId="0214B7E3" w14:textId="77777777" w:rsidR="00F92C2D" w:rsidRPr="00F92C2D" w:rsidRDefault="00F92C2D" w:rsidP="003D52D7">
            <w:r w:rsidRPr="00F92C2D">
              <w:t>Standing Direction</w:t>
            </w:r>
          </w:p>
        </w:tc>
      </w:tr>
    </w:tbl>
    <w:p w14:paraId="729B7F3E" w14:textId="77777777" w:rsidR="00CA5CF8" w:rsidRPr="00CA5CF8" w:rsidRDefault="00CA5CF8" w:rsidP="00CA5CF8">
      <w:bookmarkStart w:id="87" w:name="_Toc129260762"/>
    </w:p>
    <w:p w14:paraId="47CF5A11" w14:textId="77777777" w:rsidR="005560B6" w:rsidRDefault="005560B6" w:rsidP="00F6022B">
      <w:pPr>
        <w:pStyle w:val="SectionTitle"/>
        <w:sectPr w:rsidR="005560B6" w:rsidSect="000E2F05">
          <w:headerReference w:type="default" r:id="rId40"/>
          <w:footerReference w:type="even" r:id="rId41"/>
          <w:footerReference w:type="default" r:id="rId42"/>
          <w:headerReference w:type="first" r:id="rId43"/>
          <w:footerReference w:type="first" r:id="rId44"/>
          <w:pgSz w:w="11906" w:h="16838" w:code="9"/>
          <w:pgMar w:top="1134" w:right="1134" w:bottom="1134" w:left="1134" w:header="624" w:footer="567" w:gutter="0"/>
          <w:cols w:space="708"/>
          <w:docGrid w:linePitch="360"/>
        </w:sectPr>
      </w:pPr>
      <w:bookmarkStart w:id="88" w:name="_Toc66196254"/>
      <w:bookmarkStart w:id="89" w:name="_Toc175574055"/>
      <w:bookmarkStart w:id="90" w:name="_Toc179811123"/>
      <w:bookmarkStart w:id="91" w:name="_Toc179816823"/>
      <w:bookmarkStart w:id="92" w:name="_Toc179822523"/>
      <w:bookmarkStart w:id="93" w:name="_Toc179828217"/>
      <w:bookmarkStart w:id="94" w:name="_Toc179859747"/>
      <w:bookmarkStart w:id="95" w:name="_Toc179867089"/>
      <w:bookmarkStart w:id="96" w:name="_Toc179871482"/>
      <w:bookmarkStart w:id="97" w:name="_Toc179875875"/>
      <w:bookmarkStart w:id="98" w:name="_Toc179880294"/>
      <w:bookmarkEnd w:id="38"/>
      <w:bookmarkEnd w:id="87"/>
    </w:p>
    <w:p w14:paraId="014482DB" w14:textId="03504F61" w:rsidR="003719CD" w:rsidRPr="00F6022B" w:rsidRDefault="00126FA5" w:rsidP="00F6022B">
      <w:pPr>
        <w:pStyle w:val="SectionTitle"/>
      </w:pPr>
      <w:r>
        <w:t>Technology Victoria</w:t>
      </w:r>
      <w:r w:rsidR="00F6022B" w:rsidRPr="00F6022B">
        <w:t xml:space="preserve"> – </w:t>
      </w:r>
      <w:r w:rsidR="0007383E">
        <w:rPr>
          <w:rFonts w:eastAsia="SimHei" w:hint="eastAsia"/>
          <w:lang w:eastAsia="zh-CN"/>
        </w:rPr>
        <w:t>Tier</w:t>
      </w:r>
      <w:r w:rsidR="0007383E">
        <w:rPr>
          <w:rFonts w:eastAsia="SimHei"/>
          <w:lang w:eastAsia="zh-CN"/>
        </w:rPr>
        <w:t> </w:t>
      </w:r>
      <w:r w:rsidR="00272E1A">
        <w:rPr>
          <w:rFonts w:eastAsia="SimHei" w:hint="eastAsia"/>
          <w:lang w:eastAsia="zh-CN"/>
        </w:rPr>
        <w:t xml:space="preserve">2 </w:t>
      </w:r>
      <w:r w:rsidR="00F6022B" w:rsidRPr="00F6022B">
        <w:t>Model Financial Statements</w:t>
      </w:r>
      <w:bookmarkEnd w:id="88"/>
      <w:bookmarkEnd w:id="89"/>
      <w:bookmarkEnd w:id="90"/>
      <w:bookmarkEnd w:id="91"/>
      <w:bookmarkEnd w:id="92"/>
      <w:bookmarkEnd w:id="93"/>
      <w:bookmarkEnd w:id="94"/>
      <w:bookmarkEnd w:id="95"/>
      <w:bookmarkEnd w:id="96"/>
      <w:bookmarkEnd w:id="97"/>
      <w:bookmarkEnd w:id="98"/>
    </w:p>
    <w:p w14:paraId="3C5CBA3D" w14:textId="77777777" w:rsidR="003719CD" w:rsidRDefault="003719CD" w:rsidP="002002F4">
      <w:pPr>
        <w:pStyle w:val="Heading2"/>
      </w:pPr>
      <w:bookmarkStart w:id="99" w:name="_How_this_report"/>
      <w:bookmarkStart w:id="100" w:name="_Toc179811124"/>
      <w:bookmarkStart w:id="101" w:name="_Toc179816824"/>
      <w:bookmarkStart w:id="102" w:name="_Toc179822524"/>
      <w:bookmarkStart w:id="103" w:name="_Toc179828218"/>
      <w:bookmarkStart w:id="104" w:name="_Toc179859748"/>
      <w:bookmarkStart w:id="105" w:name="_Toc179867090"/>
      <w:bookmarkStart w:id="106" w:name="_Toc179871483"/>
      <w:bookmarkStart w:id="107" w:name="_Toc179875876"/>
      <w:bookmarkStart w:id="108" w:name="_Toc179880295"/>
      <w:bookmarkEnd w:id="99"/>
      <w:r>
        <w:t>How this report is structured</w:t>
      </w:r>
      <w:bookmarkEnd w:id="100"/>
      <w:bookmarkEnd w:id="101"/>
      <w:bookmarkEnd w:id="102"/>
      <w:bookmarkEnd w:id="103"/>
      <w:bookmarkEnd w:id="104"/>
      <w:bookmarkEnd w:id="105"/>
      <w:bookmarkEnd w:id="106"/>
      <w:bookmarkEnd w:id="107"/>
      <w:bookmarkEnd w:id="108"/>
    </w:p>
    <w:p w14:paraId="4C619638" w14:textId="530922B4" w:rsidR="003719CD" w:rsidRDefault="003719CD" w:rsidP="00DC39DE">
      <w:r>
        <w:t xml:space="preserve">The </w:t>
      </w:r>
      <w:r w:rsidR="00126FA5">
        <w:t>Technology Victoria</w:t>
      </w:r>
      <w:r>
        <w:t xml:space="preserve"> (</w:t>
      </w:r>
      <w:r w:rsidR="000714B5">
        <w:t>TV</w:t>
      </w:r>
      <w:r>
        <w:t xml:space="preserve">) has presented its audited general-purpose financial statements for the financial year ended 30 June </w:t>
      </w:r>
      <w:fldSimple w:instr="DOCPROPERTY  YearCurrent  \* MERGEFORMAT">
        <w:r w:rsidR="0054242A">
          <w:t>20X2</w:t>
        </w:r>
      </w:fldSimple>
      <w:r>
        <w:t xml:space="preserve"> in the following structure</w:t>
      </w:r>
      <w:r w:rsidR="006613A6">
        <w:t>,</w:t>
      </w:r>
      <w:r>
        <w:t xml:space="preserve"> to provide users with the information about </w:t>
      </w:r>
      <w:r w:rsidR="000714B5">
        <w:t>TV</w:t>
      </w:r>
      <w:r>
        <w:t>’s stewardship of resources entrusted to it.</w:t>
      </w:r>
    </w:p>
    <w:tbl>
      <w:tblPr>
        <w:tblStyle w:val="DTFTextTable"/>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80" w:firstRow="0" w:lastRow="0" w:firstColumn="1" w:lastColumn="0" w:noHBand="1" w:noVBand="1"/>
      </w:tblPr>
      <w:tblGrid>
        <w:gridCol w:w="1527"/>
        <w:gridCol w:w="6804"/>
        <w:gridCol w:w="172"/>
        <w:gridCol w:w="1131"/>
      </w:tblGrid>
      <w:tr w:rsidR="003719CD" w:rsidRPr="003870FB" w14:paraId="5BACA159" w14:textId="77777777" w:rsidTr="00324A25">
        <w:tc>
          <w:tcPr>
            <w:cnfStyle w:val="001000000000" w:firstRow="0" w:lastRow="0" w:firstColumn="1" w:lastColumn="0" w:oddVBand="0" w:evenVBand="0" w:oddHBand="0" w:evenHBand="0" w:firstRowFirstColumn="0" w:firstRowLastColumn="0" w:lastRowFirstColumn="0" w:lastRowLastColumn="0"/>
            <w:tcW w:w="1527" w:type="dxa"/>
            <w:vMerge w:val="restart"/>
          </w:tcPr>
          <w:p w14:paraId="56CCC267" w14:textId="77777777" w:rsidR="003719CD" w:rsidRPr="00940E38" w:rsidRDefault="003719CD" w:rsidP="007D536F">
            <w:pPr>
              <w:rPr>
                <w:rFonts w:ascii="Arial" w:eastAsia="Calibri" w:hAnsi="Arial" w:cs="Arial"/>
                <w:b w:val="0"/>
              </w:rPr>
            </w:pPr>
            <w:r w:rsidRPr="00940E38">
              <w:rPr>
                <w:rFonts w:ascii="Arial" w:eastAsia="Calibri" w:hAnsi="Arial" w:cs="Arial"/>
              </w:rPr>
              <w:t>Financial statements</w:t>
            </w:r>
          </w:p>
        </w:tc>
        <w:tc>
          <w:tcPr>
            <w:tcW w:w="6804" w:type="dxa"/>
          </w:tcPr>
          <w:p w14:paraId="084ABE04" w14:textId="77777777" w:rsidR="003719CD" w:rsidRPr="00940E38" w:rsidRDefault="003719CD" w:rsidP="007D536F">
            <w:pPr>
              <w:cnfStyle w:val="000000000000" w:firstRow="0" w:lastRow="0" w:firstColumn="0" w:lastColumn="0" w:oddVBand="0" w:evenVBand="0" w:oddHBand="0" w:evenHBand="0" w:firstRowFirstColumn="0" w:firstRowLastColumn="0" w:lastRowFirstColumn="0" w:lastRowLastColumn="0"/>
            </w:pPr>
            <w:r w:rsidRPr="00940E38">
              <w:t>Comprehensive operating statement</w:t>
            </w:r>
          </w:p>
        </w:tc>
        <w:tc>
          <w:tcPr>
            <w:tcW w:w="1303" w:type="dxa"/>
            <w:gridSpan w:val="2"/>
          </w:tcPr>
          <w:p w14:paraId="366855B4" w14:textId="02B9E796" w:rsidR="003719CD" w:rsidRPr="002A0038" w:rsidRDefault="00AA4321" w:rsidP="007D536F">
            <w:pPr>
              <w:jc w:val="right"/>
              <w:cnfStyle w:val="000000000000" w:firstRow="0" w:lastRow="0" w:firstColumn="0" w:lastColumn="0" w:oddVBand="0" w:evenVBand="0" w:oddHBand="0" w:evenHBand="0" w:firstRowFirstColumn="0" w:firstRowLastColumn="0" w:lastRowFirstColumn="0" w:lastRowLastColumn="0"/>
              <w:rPr>
                <w:highlight w:val="yellow"/>
              </w:rPr>
            </w:pPr>
            <w:r>
              <w:rPr>
                <w:lang w:eastAsia="zh-CN"/>
              </w:rPr>
              <w:fldChar w:fldCharType="begin"/>
            </w:r>
            <w:r>
              <w:rPr>
                <w:lang w:eastAsia="zh-CN"/>
              </w:rPr>
              <w:instrText xml:space="preserve"> PAGEREF _Ref190331237 \h </w:instrText>
            </w:r>
            <w:r>
              <w:rPr>
                <w:lang w:eastAsia="zh-CN"/>
              </w:rPr>
            </w:r>
            <w:r>
              <w:rPr>
                <w:lang w:eastAsia="zh-CN"/>
              </w:rPr>
              <w:fldChar w:fldCharType="separate"/>
            </w:r>
            <w:r w:rsidR="00A74508">
              <w:rPr>
                <w:noProof/>
                <w:lang w:eastAsia="zh-CN"/>
              </w:rPr>
              <w:t>13</w:t>
            </w:r>
            <w:r>
              <w:rPr>
                <w:lang w:eastAsia="zh-CN"/>
              </w:rPr>
              <w:fldChar w:fldCharType="end"/>
            </w:r>
          </w:p>
        </w:tc>
      </w:tr>
      <w:tr w:rsidR="003719CD" w:rsidRPr="003870FB" w14:paraId="1B632EE2" w14:textId="77777777" w:rsidTr="00324A25">
        <w:tc>
          <w:tcPr>
            <w:cnfStyle w:val="001000000000" w:firstRow="0" w:lastRow="0" w:firstColumn="1" w:lastColumn="0" w:oddVBand="0" w:evenVBand="0" w:oddHBand="0" w:evenHBand="0" w:firstRowFirstColumn="0" w:firstRowLastColumn="0" w:lastRowFirstColumn="0" w:lastRowLastColumn="0"/>
            <w:tcW w:w="1527" w:type="dxa"/>
            <w:vMerge/>
          </w:tcPr>
          <w:p w14:paraId="08B6ADB3" w14:textId="77777777" w:rsidR="003719CD" w:rsidRPr="00940E38" w:rsidRDefault="003719CD" w:rsidP="007D536F">
            <w:pPr>
              <w:rPr>
                <w:rFonts w:ascii="Arial" w:eastAsia="Calibri" w:hAnsi="Arial" w:cs="Arial"/>
                <w:b w:val="0"/>
              </w:rPr>
            </w:pPr>
          </w:p>
        </w:tc>
        <w:tc>
          <w:tcPr>
            <w:tcW w:w="6804" w:type="dxa"/>
          </w:tcPr>
          <w:p w14:paraId="633261C0" w14:textId="77777777" w:rsidR="003719CD" w:rsidRPr="00940E38" w:rsidRDefault="003719CD" w:rsidP="007D536F">
            <w:pPr>
              <w:cnfStyle w:val="000000000000" w:firstRow="0" w:lastRow="0" w:firstColumn="0" w:lastColumn="0" w:oddVBand="0" w:evenVBand="0" w:oddHBand="0" w:evenHBand="0" w:firstRowFirstColumn="0" w:firstRowLastColumn="0" w:lastRowFirstColumn="0" w:lastRowLastColumn="0"/>
            </w:pPr>
            <w:r w:rsidRPr="00940E38">
              <w:t>Balance sheet</w:t>
            </w:r>
          </w:p>
        </w:tc>
        <w:tc>
          <w:tcPr>
            <w:tcW w:w="1303" w:type="dxa"/>
            <w:gridSpan w:val="2"/>
          </w:tcPr>
          <w:p w14:paraId="1EDCE5A8" w14:textId="0A3ACC81" w:rsidR="003719CD" w:rsidRPr="002A0038" w:rsidRDefault="00AA4321" w:rsidP="007D536F">
            <w:pPr>
              <w:jc w:val="right"/>
              <w:cnfStyle w:val="000000000000" w:firstRow="0" w:lastRow="0" w:firstColumn="0" w:lastColumn="0" w:oddVBand="0" w:evenVBand="0" w:oddHBand="0" w:evenHBand="0" w:firstRowFirstColumn="0" w:firstRowLastColumn="0" w:lastRowFirstColumn="0" w:lastRowLastColumn="0"/>
              <w:rPr>
                <w:lang w:eastAsia="zh-CN"/>
              </w:rPr>
            </w:pPr>
            <w:r>
              <w:rPr>
                <w:lang w:eastAsia="zh-CN"/>
              </w:rPr>
              <w:fldChar w:fldCharType="begin"/>
            </w:r>
            <w:r>
              <w:rPr>
                <w:lang w:eastAsia="zh-CN"/>
              </w:rPr>
              <w:instrText xml:space="preserve"> </w:instrText>
            </w:r>
            <w:r>
              <w:rPr>
                <w:rFonts w:hint="eastAsia"/>
                <w:lang w:eastAsia="zh-CN"/>
              </w:rPr>
              <w:instrText>PAGEREF _Ref190331238 \h</w:instrText>
            </w:r>
            <w:r>
              <w:rPr>
                <w:lang w:eastAsia="zh-CN"/>
              </w:rPr>
              <w:instrText xml:space="preserve"> </w:instrText>
            </w:r>
            <w:r>
              <w:rPr>
                <w:lang w:eastAsia="zh-CN"/>
              </w:rPr>
            </w:r>
            <w:r>
              <w:rPr>
                <w:lang w:eastAsia="zh-CN"/>
              </w:rPr>
              <w:fldChar w:fldCharType="separate"/>
            </w:r>
            <w:r w:rsidR="0054242A">
              <w:rPr>
                <w:noProof/>
                <w:lang w:eastAsia="zh-CN"/>
              </w:rPr>
              <w:t>15</w:t>
            </w:r>
            <w:r>
              <w:rPr>
                <w:lang w:eastAsia="zh-CN"/>
              </w:rPr>
              <w:fldChar w:fldCharType="end"/>
            </w:r>
          </w:p>
        </w:tc>
      </w:tr>
      <w:tr w:rsidR="003719CD" w:rsidRPr="003870FB" w14:paraId="1FCAB07B" w14:textId="77777777" w:rsidTr="00324A25">
        <w:tc>
          <w:tcPr>
            <w:cnfStyle w:val="001000000000" w:firstRow="0" w:lastRow="0" w:firstColumn="1" w:lastColumn="0" w:oddVBand="0" w:evenVBand="0" w:oddHBand="0" w:evenHBand="0" w:firstRowFirstColumn="0" w:firstRowLastColumn="0" w:lastRowFirstColumn="0" w:lastRowLastColumn="0"/>
            <w:tcW w:w="1527" w:type="dxa"/>
            <w:vMerge/>
          </w:tcPr>
          <w:p w14:paraId="470A4734" w14:textId="77777777" w:rsidR="003719CD" w:rsidRPr="00940E38" w:rsidRDefault="003719CD" w:rsidP="007D536F">
            <w:pPr>
              <w:rPr>
                <w:rFonts w:ascii="Arial" w:eastAsia="Calibri" w:hAnsi="Arial" w:cs="Arial"/>
                <w:b w:val="0"/>
              </w:rPr>
            </w:pPr>
          </w:p>
        </w:tc>
        <w:tc>
          <w:tcPr>
            <w:tcW w:w="6804" w:type="dxa"/>
          </w:tcPr>
          <w:p w14:paraId="705A6B15" w14:textId="77777777" w:rsidR="003719CD" w:rsidRPr="00940E38" w:rsidRDefault="003719CD" w:rsidP="007D536F">
            <w:pPr>
              <w:cnfStyle w:val="000000000000" w:firstRow="0" w:lastRow="0" w:firstColumn="0" w:lastColumn="0" w:oddVBand="0" w:evenVBand="0" w:oddHBand="0" w:evenHBand="0" w:firstRowFirstColumn="0" w:firstRowLastColumn="0" w:lastRowFirstColumn="0" w:lastRowLastColumn="0"/>
            </w:pPr>
            <w:r w:rsidRPr="00940E38">
              <w:t>Cash flow statement</w:t>
            </w:r>
          </w:p>
        </w:tc>
        <w:tc>
          <w:tcPr>
            <w:tcW w:w="1303" w:type="dxa"/>
            <w:gridSpan w:val="2"/>
          </w:tcPr>
          <w:p w14:paraId="57CAF29F" w14:textId="5AD2B95D" w:rsidR="003719CD" w:rsidRPr="002A0038" w:rsidRDefault="00AA4321" w:rsidP="007D536F">
            <w:pPr>
              <w:jc w:val="right"/>
              <w:cnfStyle w:val="000000000000" w:firstRow="0" w:lastRow="0" w:firstColumn="0" w:lastColumn="0" w:oddVBand="0" w:evenVBand="0" w:oddHBand="0" w:evenHBand="0" w:firstRowFirstColumn="0" w:firstRowLastColumn="0" w:lastRowFirstColumn="0" w:lastRowLastColumn="0"/>
              <w:rPr>
                <w:lang w:eastAsia="zh-CN"/>
              </w:rPr>
            </w:pPr>
            <w:r>
              <w:rPr>
                <w:lang w:eastAsia="zh-CN"/>
              </w:rPr>
              <w:fldChar w:fldCharType="begin"/>
            </w:r>
            <w:r>
              <w:rPr>
                <w:lang w:eastAsia="zh-CN"/>
              </w:rPr>
              <w:instrText xml:space="preserve"> </w:instrText>
            </w:r>
            <w:r>
              <w:rPr>
                <w:rFonts w:hint="eastAsia"/>
                <w:lang w:eastAsia="zh-CN"/>
              </w:rPr>
              <w:instrText>PAGEREF _Ref190331239 \h</w:instrText>
            </w:r>
            <w:r>
              <w:rPr>
                <w:lang w:eastAsia="zh-CN"/>
              </w:rPr>
              <w:instrText xml:space="preserve"> </w:instrText>
            </w:r>
            <w:r>
              <w:rPr>
                <w:lang w:eastAsia="zh-CN"/>
              </w:rPr>
            </w:r>
            <w:r>
              <w:rPr>
                <w:lang w:eastAsia="zh-CN"/>
              </w:rPr>
              <w:fldChar w:fldCharType="separate"/>
            </w:r>
            <w:r w:rsidR="0054242A">
              <w:rPr>
                <w:noProof/>
                <w:lang w:eastAsia="zh-CN"/>
              </w:rPr>
              <w:t>17</w:t>
            </w:r>
            <w:r>
              <w:rPr>
                <w:lang w:eastAsia="zh-CN"/>
              </w:rPr>
              <w:fldChar w:fldCharType="end"/>
            </w:r>
          </w:p>
        </w:tc>
      </w:tr>
      <w:tr w:rsidR="003719CD" w:rsidRPr="003870FB" w14:paraId="609057EE" w14:textId="77777777" w:rsidTr="00324A25">
        <w:trPr>
          <w:trHeight w:val="70"/>
        </w:trPr>
        <w:tc>
          <w:tcPr>
            <w:cnfStyle w:val="001000000000" w:firstRow="0" w:lastRow="0" w:firstColumn="1" w:lastColumn="0" w:oddVBand="0" w:evenVBand="0" w:oddHBand="0" w:evenHBand="0" w:firstRowFirstColumn="0" w:firstRowLastColumn="0" w:lastRowFirstColumn="0" w:lastRowLastColumn="0"/>
            <w:tcW w:w="1527" w:type="dxa"/>
            <w:vMerge/>
          </w:tcPr>
          <w:p w14:paraId="3DE115AE" w14:textId="77777777" w:rsidR="003719CD" w:rsidRPr="00940E38" w:rsidRDefault="003719CD" w:rsidP="007D536F">
            <w:pPr>
              <w:rPr>
                <w:rFonts w:ascii="Arial" w:eastAsia="Calibri" w:hAnsi="Arial" w:cs="Arial"/>
                <w:b w:val="0"/>
              </w:rPr>
            </w:pPr>
          </w:p>
        </w:tc>
        <w:tc>
          <w:tcPr>
            <w:tcW w:w="6804" w:type="dxa"/>
          </w:tcPr>
          <w:p w14:paraId="7F099A7C" w14:textId="77777777" w:rsidR="003719CD" w:rsidRPr="00940E38" w:rsidRDefault="003719CD" w:rsidP="007D536F">
            <w:pPr>
              <w:cnfStyle w:val="000000000000" w:firstRow="0" w:lastRow="0" w:firstColumn="0" w:lastColumn="0" w:oddVBand="0" w:evenVBand="0" w:oddHBand="0" w:evenHBand="0" w:firstRowFirstColumn="0" w:firstRowLastColumn="0" w:lastRowFirstColumn="0" w:lastRowLastColumn="0"/>
            </w:pPr>
            <w:r w:rsidRPr="00940E38">
              <w:t>Statement of changes in equity</w:t>
            </w:r>
          </w:p>
        </w:tc>
        <w:tc>
          <w:tcPr>
            <w:tcW w:w="1303" w:type="dxa"/>
            <w:gridSpan w:val="2"/>
          </w:tcPr>
          <w:p w14:paraId="2E7884EE" w14:textId="563518E7" w:rsidR="003719CD" w:rsidRPr="002A0038" w:rsidRDefault="00AA4321" w:rsidP="007D536F">
            <w:pPr>
              <w:jc w:val="right"/>
              <w:cnfStyle w:val="000000000000" w:firstRow="0" w:lastRow="0" w:firstColumn="0" w:lastColumn="0" w:oddVBand="0" w:evenVBand="0" w:oddHBand="0" w:evenHBand="0" w:firstRowFirstColumn="0" w:firstRowLastColumn="0" w:lastRowFirstColumn="0" w:lastRowLastColumn="0"/>
              <w:rPr>
                <w:highlight w:val="yellow"/>
                <w:lang w:eastAsia="zh-CN"/>
              </w:rPr>
            </w:pPr>
            <w:r>
              <w:rPr>
                <w:lang w:eastAsia="zh-CN"/>
              </w:rPr>
              <w:fldChar w:fldCharType="begin"/>
            </w:r>
            <w:r>
              <w:rPr>
                <w:lang w:eastAsia="zh-CN"/>
              </w:rPr>
              <w:instrText xml:space="preserve"> </w:instrText>
            </w:r>
            <w:r>
              <w:rPr>
                <w:rFonts w:hint="eastAsia"/>
                <w:lang w:eastAsia="zh-CN"/>
              </w:rPr>
              <w:instrText>PAGEREF _Ref190331240 \h</w:instrText>
            </w:r>
            <w:r>
              <w:rPr>
                <w:lang w:eastAsia="zh-CN"/>
              </w:rPr>
              <w:instrText xml:space="preserve"> </w:instrText>
            </w:r>
            <w:r>
              <w:rPr>
                <w:lang w:eastAsia="zh-CN"/>
              </w:rPr>
            </w:r>
            <w:r>
              <w:rPr>
                <w:lang w:eastAsia="zh-CN"/>
              </w:rPr>
              <w:fldChar w:fldCharType="separate"/>
            </w:r>
            <w:r w:rsidR="00A74508">
              <w:rPr>
                <w:noProof/>
                <w:lang w:eastAsia="zh-CN"/>
              </w:rPr>
              <w:t>20</w:t>
            </w:r>
            <w:r>
              <w:rPr>
                <w:lang w:eastAsia="zh-CN"/>
              </w:rPr>
              <w:fldChar w:fldCharType="end"/>
            </w:r>
          </w:p>
        </w:tc>
      </w:tr>
      <w:tr w:rsidR="003719CD" w:rsidRPr="00940E38" w14:paraId="4F621128" w14:textId="77777777" w:rsidTr="00324A25">
        <w:tc>
          <w:tcPr>
            <w:cnfStyle w:val="001000000000" w:firstRow="0" w:lastRow="0" w:firstColumn="1" w:lastColumn="0" w:oddVBand="0" w:evenVBand="0" w:oddHBand="0" w:evenHBand="0" w:firstRowFirstColumn="0" w:firstRowLastColumn="0" w:lastRowFirstColumn="0" w:lastRowLastColumn="0"/>
            <w:tcW w:w="1527" w:type="dxa"/>
            <w:vMerge w:val="restart"/>
          </w:tcPr>
          <w:p w14:paraId="1C8A2B84" w14:textId="77777777" w:rsidR="003719CD" w:rsidRPr="00940E38" w:rsidRDefault="003719CD" w:rsidP="007D536F">
            <w:pPr>
              <w:rPr>
                <w:rFonts w:ascii="Arial" w:eastAsia="Calibri" w:hAnsi="Arial" w:cs="Arial"/>
                <w:b w:val="0"/>
              </w:rPr>
            </w:pPr>
            <w:r w:rsidRPr="00940E38">
              <w:rPr>
                <w:rFonts w:ascii="Arial" w:eastAsia="Calibri" w:hAnsi="Arial" w:cs="Arial"/>
              </w:rPr>
              <w:t xml:space="preserve">Notes to the financial statements </w:t>
            </w:r>
          </w:p>
        </w:tc>
        <w:tc>
          <w:tcPr>
            <w:tcW w:w="6804" w:type="dxa"/>
            <w:shd w:val="clear" w:color="auto" w:fill="E7E6E6" w:themeFill="background2"/>
          </w:tcPr>
          <w:p w14:paraId="7BB42990" w14:textId="77777777" w:rsidR="003719CD" w:rsidRPr="00940E38" w:rsidRDefault="003719CD" w:rsidP="007D536F">
            <w:pPr>
              <w:tabs>
                <w:tab w:val="left" w:pos="573"/>
              </w:tabs>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940E38">
              <w:rPr>
                <w:rFonts w:ascii="Arial" w:eastAsia="Calibri" w:hAnsi="Arial" w:cs="Arial"/>
                <w:b/>
              </w:rPr>
              <w:t xml:space="preserve">1. </w:t>
            </w:r>
            <w:r w:rsidRPr="00940E38">
              <w:rPr>
                <w:rFonts w:ascii="Arial" w:eastAsia="Calibri" w:hAnsi="Arial" w:cs="Arial"/>
                <w:b/>
              </w:rPr>
              <w:tab/>
              <w:t>About this report</w:t>
            </w:r>
          </w:p>
        </w:tc>
        <w:tc>
          <w:tcPr>
            <w:tcW w:w="1303" w:type="dxa"/>
            <w:gridSpan w:val="2"/>
            <w:shd w:val="clear" w:color="auto" w:fill="E7E6E6" w:themeFill="background2"/>
          </w:tcPr>
          <w:p w14:paraId="49AB6582" w14:textId="63FECDA4" w:rsidR="003719CD" w:rsidRPr="00E10CD7" w:rsidRDefault="008628F0" w:rsidP="007D536F">
            <w:pPr>
              <w:jc w:val="right"/>
              <w:cnfStyle w:val="000000000000" w:firstRow="0" w:lastRow="0" w:firstColumn="0" w:lastColumn="0" w:oddVBand="0" w:evenVBand="0" w:oddHBand="0" w:evenHBand="0" w:firstRowFirstColumn="0" w:firstRowLastColumn="0" w:lastRowFirstColumn="0" w:lastRowLastColumn="0"/>
              <w:rPr>
                <w:b/>
                <w:bCs/>
              </w:rPr>
            </w:pPr>
            <w:r>
              <w:rPr>
                <w:b/>
                <w:bCs/>
              </w:rPr>
              <w:fldChar w:fldCharType="begin"/>
            </w:r>
            <w:r>
              <w:rPr>
                <w:b/>
                <w:bCs/>
              </w:rPr>
              <w:instrText xml:space="preserve"> PAGEREF _Ref190331236 \h </w:instrText>
            </w:r>
            <w:r>
              <w:rPr>
                <w:b/>
                <w:bCs/>
              </w:rPr>
            </w:r>
            <w:r>
              <w:rPr>
                <w:b/>
                <w:bCs/>
              </w:rPr>
              <w:fldChar w:fldCharType="separate"/>
            </w:r>
            <w:r w:rsidR="00A74508">
              <w:rPr>
                <w:b/>
                <w:bCs/>
                <w:noProof/>
              </w:rPr>
              <w:t>21</w:t>
            </w:r>
            <w:r>
              <w:rPr>
                <w:b/>
                <w:bCs/>
              </w:rPr>
              <w:fldChar w:fldCharType="end"/>
            </w:r>
          </w:p>
        </w:tc>
      </w:tr>
      <w:tr w:rsidR="003719CD" w:rsidRPr="00940E38" w14:paraId="1768AA94" w14:textId="77777777" w:rsidTr="00324A25">
        <w:trPr>
          <w:trHeight w:val="116"/>
        </w:trPr>
        <w:tc>
          <w:tcPr>
            <w:cnfStyle w:val="001000000000" w:firstRow="0" w:lastRow="0" w:firstColumn="1" w:lastColumn="0" w:oddVBand="0" w:evenVBand="0" w:oddHBand="0" w:evenHBand="0" w:firstRowFirstColumn="0" w:firstRowLastColumn="0" w:lastRowFirstColumn="0" w:lastRowLastColumn="0"/>
            <w:tcW w:w="1527" w:type="dxa"/>
            <w:vMerge/>
          </w:tcPr>
          <w:p w14:paraId="0038F8B6" w14:textId="77777777" w:rsidR="003719CD" w:rsidRPr="00940E38" w:rsidRDefault="003719CD" w:rsidP="007D536F">
            <w:pPr>
              <w:rPr>
                <w:rFonts w:ascii="Arial" w:eastAsia="Calibri" w:hAnsi="Arial" w:cs="Arial"/>
                <w:b w:val="0"/>
              </w:rPr>
            </w:pPr>
          </w:p>
        </w:tc>
        <w:tc>
          <w:tcPr>
            <w:tcW w:w="8107" w:type="dxa"/>
            <w:gridSpan w:val="3"/>
          </w:tcPr>
          <w:p w14:paraId="24AA150B" w14:textId="28836C77" w:rsidR="003719CD" w:rsidRDefault="003719CD" w:rsidP="007D536F">
            <w:pPr>
              <w:cnfStyle w:val="000000000000" w:firstRow="0" w:lastRow="0" w:firstColumn="0" w:lastColumn="0" w:oddVBand="0" w:evenVBand="0" w:oddHBand="0" w:evenHBand="0" w:firstRowFirstColumn="0" w:firstRowLastColumn="0" w:lastRowFirstColumn="0" w:lastRowLastColumn="0"/>
            </w:pPr>
            <w:r w:rsidRPr="00940E38">
              <w:t xml:space="preserve">The basis on which the financial statements have been prepared and compliance with </w:t>
            </w:r>
            <w:r w:rsidRPr="00940E38">
              <w:br/>
              <w:t xml:space="preserve">reporting </w:t>
            </w:r>
            <w:r w:rsidR="00EC0CBB">
              <w:t>requirements</w:t>
            </w:r>
            <w:r>
              <w:t>.</w:t>
            </w:r>
          </w:p>
          <w:p w14:paraId="2BF5FFF2" w14:textId="77777777" w:rsidR="003719CD" w:rsidRPr="00940E38" w:rsidRDefault="003719CD" w:rsidP="007D536F">
            <w:pPr>
              <w:cnfStyle w:val="000000000000" w:firstRow="0" w:lastRow="0" w:firstColumn="0" w:lastColumn="0" w:oddVBand="0" w:evenVBand="0" w:oddHBand="0" w:evenHBand="0" w:firstRowFirstColumn="0" w:firstRowLastColumn="0" w:lastRowFirstColumn="0" w:lastRowLastColumn="0"/>
            </w:pPr>
          </w:p>
        </w:tc>
      </w:tr>
      <w:tr w:rsidR="003719CD" w:rsidRPr="00940E38" w14:paraId="490E4E0B" w14:textId="77777777" w:rsidTr="00324A25">
        <w:trPr>
          <w:trHeight w:val="65"/>
        </w:trPr>
        <w:tc>
          <w:tcPr>
            <w:cnfStyle w:val="001000000000" w:firstRow="0" w:lastRow="0" w:firstColumn="1" w:lastColumn="0" w:oddVBand="0" w:evenVBand="0" w:oddHBand="0" w:evenHBand="0" w:firstRowFirstColumn="0" w:firstRowLastColumn="0" w:lastRowFirstColumn="0" w:lastRowLastColumn="0"/>
            <w:tcW w:w="1527" w:type="dxa"/>
            <w:vMerge/>
          </w:tcPr>
          <w:p w14:paraId="2564A411" w14:textId="77777777" w:rsidR="003719CD" w:rsidRPr="00940E38" w:rsidRDefault="003719CD" w:rsidP="007D536F">
            <w:pPr>
              <w:rPr>
                <w:rFonts w:ascii="Arial" w:eastAsia="Calibri" w:hAnsi="Arial" w:cs="Arial"/>
                <w:b w:val="0"/>
              </w:rPr>
            </w:pPr>
          </w:p>
        </w:tc>
        <w:tc>
          <w:tcPr>
            <w:tcW w:w="6804" w:type="dxa"/>
            <w:shd w:val="clear" w:color="auto" w:fill="E7E6E6" w:themeFill="background2"/>
          </w:tcPr>
          <w:p w14:paraId="20F6F1C6" w14:textId="77777777" w:rsidR="003719CD" w:rsidRPr="00940E38" w:rsidRDefault="003719CD" w:rsidP="007D536F">
            <w:pPr>
              <w:tabs>
                <w:tab w:val="left" w:pos="573"/>
              </w:tabs>
              <w:cnfStyle w:val="000000000000" w:firstRow="0" w:lastRow="0" w:firstColumn="0" w:lastColumn="0" w:oddVBand="0" w:evenVBand="0" w:oddHBand="0" w:evenHBand="0" w:firstRowFirstColumn="0" w:firstRowLastColumn="0" w:lastRowFirstColumn="0" w:lastRowLastColumn="0"/>
              <w:rPr>
                <w:rFonts w:ascii="Arial" w:eastAsia="Calibri" w:hAnsi="Arial" w:cs="Arial"/>
                <w:i/>
              </w:rPr>
            </w:pPr>
            <w:r w:rsidRPr="00940E38">
              <w:rPr>
                <w:rFonts w:ascii="Arial" w:eastAsia="Calibri" w:hAnsi="Arial" w:cs="Arial"/>
                <w:b/>
              </w:rPr>
              <w:t xml:space="preserve">2. </w:t>
            </w:r>
            <w:r w:rsidRPr="00940E38">
              <w:rPr>
                <w:rFonts w:ascii="Arial" w:eastAsia="Calibri" w:hAnsi="Arial" w:cs="Arial"/>
                <w:b/>
              </w:rPr>
              <w:tab/>
              <w:t>Funding delivery of our services</w:t>
            </w:r>
          </w:p>
        </w:tc>
        <w:tc>
          <w:tcPr>
            <w:tcW w:w="1303" w:type="dxa"/>
            <w:gridSpan w:val="2"/>
            <w:shd w:val="clear" w:color="auto" w:fill="E7E6E6" w:themeFill="background2"/>
          </w:tcPr>
          <w:p w14:paraId="3CA60B5A" w14:textId="28F7519E" w:rsidR="003719CD" w:rsidRPr="00761CE8" w:rsidRDefault="003719CD" w:rsidP="007D536F">
            <w:pPr>
              <w:jc w:val="right"/>
              <w:cnfStyle w:val="000000000000" w:firstRow="0" w:lastRow="0" w:firstColumn="0" w:lastColumn="0" w:oddVBand="0" w:evenVBand="0" w:oddHBand="0" w:evenHBand="0" w:firstRowFirstColumn="0" w:firstRowLastColumn="0" w:lastRowFirstColumn="0" w:lastRowLastColumn="0"/>
              <w:rPr>
                <w:b/>
                <w:bCs/>
              </w:rPr>
            </w:pPr>
            <w:r w:rsidRPr="00761CE8">
              <w:rPr>
                <w:b/>
                <w:bCs/>
              </w:rPr>
              <w:fldChar w:fldCharType="begin"/>
            </w:r>
            <w:r w:rsidRPr="00761CE8">
              <w:rPr>
                <w:b/>
                <w:bCs/>
              </w:rPr>
              <w:instrText xml:space="preserve"> PAGEREF  Section</w:instrText>
            </w:r>
            <w:r>
              <w:rPr>
                <w:b/>
                <w:bCs/>
              </w:rPr>
              <w:instrText>_</w:instrText>
            </w:r>
            <w:r w:rsidRPr="00761CE8">
              <w:rPr>
                <w:b/>
                <w:bCs/>
              </w:rPr>
              <w:instrText xml:space="preserve">2 \h  \* MERGEFORMAT </w:instrText>
            </w:r>
            <w:r w:rsidRPr="00761CE8">
              <w:rPr>
                <w:b/>
                <w:bCs/>
              </w:rPr>
            </w:r>
            <w:r w:rsidRPr="00761CE8">
              <w:rPr>
                <w:b/>
                <w:bCs/>
              </w:rPr>
              <w:fldChar w:fldCharType="separate"/>
            </w:r>
            <w:r w:rsidR="0054242A">
              <w:rPr>
                <w:b/>
                <w:bCs/>
                <w:noProof/>
              </w:rPr>
              <w:t>23</w:t>
            </w:r>
            <w:r w:rsidRPr="00761CE8">
              <w:rPr>
                <w:b/>
                <w:bCs/>
              </w:rPr>
              <w:fldChar w:fldCharType="end"/>
            </w:r>
          </w:p>
        </w:tc>
      </w:tr>
      <w:tr w:rsidR="003719CD" w:rsidRPr="00940E38" w14:paraId="18639B01" w14:textId="77777777" w:rsidTr="00324A25">
        <w:tc>
          <w:tcPr>
            <w:cnfStyle w:val="001000000000" w:firstRow="0" w:lastRow="0" w:firstColumn="1" w:lastColumn="0" w:oddVBand="0" w:evenVBand="0" w:oddHBand="0" w:evenHBand="0" w:firstRowFirstColumn="0" w:firstRowLastColumn="0" w:lastRowFirstColumn="0" w:lastRowLastColumn="0"/>
            <w:tcW w:w="1527" w:type="dxa"/>
            <w:vMerge/>
          </w:tcPr>
          <w:p w14:paraId="44D4C760" w14:textId="77777777" w:rsidR="003719CD" w:rsidRPr="00940E38" w:rsidRDefault="003719CD" w:rsidP="007D536F">
            <w:pPr>
              <w:rPr>
                <w:rFonts w:ascii="Arial" w:eastAsia="Calibri" w:hAnsi="Arial" w:cs="Arial"/>
                <w:b w:val="0"/>
              </w:rPr>
            </w:pPr>
          </w:p>
        </w:tc>
        <w:tc>
          <w:tcPr>
            <w:tcW w:w="8107" w:type="dxa"/>
            <w:gridSpan w:val="3"/>
          </w:tcPr>
          <w:p w14:paraId="31F17D60" w14:textId="19CBBC22" w:rsidR="003719CD" w:rsidRPr="00940E38" w:rsidRDefault="003719CD" w:rsidP="007D536F">
            <w:pPr>
              <w:cnfStyle w:val="000000000000" w:firstRow="0" w:lastRow="0" w:firstColumn="0" w:lastColumn="0" w:oddVBand="0" w:evenVBand="0" w:oddHBand="0" w:evenHBand="0" w:firstRowFirstColumn="0" w:firstRowLastColumn="0" w:lastRowFirstColumn="0" w:lastRowLastColumn="0"/>
            </w:pPr>
            <w:r>
              <w:t xml:space="preserve">Income and </w:t>
            </w:r>
            <w:r w:rsidRPr="00940E38">
              <w:t>Revenue recognised from sales of goods and services</w:t>
            </w:r>
            <w:r w:rsidR="00CE38B7">
              <w:rPr>
                <w:rFonts w:hint="eastAsia"/>
                <w:lang w:eastAsia="zh-CN"/>
              </w:rPr>
              <w:t xml:space="preserve">, </w:t>
            </w:r>
            <w:r w:rsidR="00CE38B7" w:rsidRPr="00940E38">
              <w:t>grants</w:t>
            </w:r>
            <w:r w:rsidR="00CE38B7">
              <w:rPr>
                <w:rFonts w:hint="eastAsia"/>
                <w:lang w:eastAsia="zh-CN"/>
              </w:rPr>
              <w:t xml:space="preserve">, </w:t>
            </w:r>
            <w:r w:rsidRPr="00940E38">
              <w:t>and other sources</w:t>
            </w:r>
          </w:p>
        </w:tc>
      </w:tr>
      <w:tr w:rsidR="003719CD" w:rsidRPr="00940E38" w14:paraId="0243076E" w14:textId="77777777" w:rsidTr="00324A25">
        <w:trPr>
          <w:trHeight w:val="410"/>
        </w:trPr>
        <w:tc>
          <w:tcPr>
            <w:cnfStyle w:val="001000000000" w:firstRow="0" w:lastRow="0" w:firstColumn="1" w:lastColumn="0" w:oddVBand="0" w:evenVBand="0" w:oddHBand="0" w:evenHBand="0" w:firstRowFirstColumn="0" w:firstRowLastColumn="0" w:lastRowFirstColumn="0" w:lastRowLastColumn="0"/>
            <w:tcW w:w="1527" w:type="dxa"/>
            <w:vMerge/>
          </w:tcPr>
          <w:p w14:paraId="403E21A5" w14:textId="77777777" w:rsidR="003719CD" w:rsidRPr="00940E38" w:rsidRDefault="003719CD" w:rsidP="007D536F">
            <w:pPr>
              <w:rPr>
                <w:rFonts w:ascii="Arial" w:eastAsia="Calibri" w:hAnsi="Arial" w:cs="Arial"/>
                <w:b w:val="0"/>
              </w:rPr>
            </w:pPr>
          </w:p>
        </w:tc>
        <w:tc>
          <w:tcPr>
            <w:tcW w:w="8107" w:type="dxa"/>
            <w:gridSpan w:val="3"/>
          </w:tcPr>
          <w:p w14:paraId="3ECC5D01" w14:textId="07EB15ED" w:rsidR="00AA0D61" w:rsidRDefault="006468F8">
            <w:pPr>
              <w:pStyle w:val="TOC8"/>
              <w:cnfStyle w:val="000000000000" w:firstRow="0" w:lastRow="0" w:firstColumn="0" w:lastColumn="0" w:oddVBand="0" w:evenVBand="0" w:oddHBand="0" w:evenHBand="0" w:firstRowFirstColumn="0" w:firstRowLastColumn="0" w:lastRowFirstColumn="0" w:lastRowLastColumn="0"/>
              <w:rPr>
                <w:rFonts w:eastAsiaTheme="minorEastAsia"/>
                <w:noProof/>
                <w:kern w:val="2"/>
                <w:sz w:val="24"/>
                <w:szCs w:val="24"/>
                <w:lang w:eastAsia="en-AU"/>
                <w14:ligatures w14:val="standardContextual"/>
              </w:rPr>
            </w:pPr>
            <w:r>
              <w:fldChar w:fldCharType="begin"/>
            </w:r>
            <w:r>
              <w:instrText xml:space="preserve"> TOC \h \t "Heading 2 numbered,8" \b Section_2 </w:instrText>
            </w:r>
            <w:r>
              <w:fldChar w:fldCharType="separate"/>
            </w:r>
            <w:hyperlink w:anchor="_Toc190339861" w:history="1">
              <w:r w:rsidR="00AA0D61" w:rsidRPr="00180425">
                <w:rPr>
                  <w:rStyle w:val="Hyperlink"/>
                  <w:noProof/>
                </w:rPr>
                <w:t>2.1</w:t>
              </w:r>
              <w:r w:rsidR="00AA0D61">
                <w:rPr>
                  <w:rFonts w:eastAsiaTheme="minorEastAsia"/>
                  <w:noProof/>
                  <w:kern w:val="2"/>
                  <w:sz w:val="24"/>
                  <w:szCs w:val="24"/>
                  <w:lang w:eastAsia="en-AU"/>
                  <w14:ligatures w14:val="standardContextual"/>
                </w:rPr>
                <w:tab/>
              </w:r>
              <w:r w:rsidR="00AA0D61" w:rsidRPr="00180425">
                <w:rPr>
                  <w:rStyle w:val="Hyperlink"/>
                  <w:noProof/>
                </w:rPr>
                <w:t>Summary of revenue and income that funds the delivery of our services</w:t>
              </w:r>
              <w:r w:rsidR="00AA0D61">
                <w:rPr>
                  <w:noProof/>
                </w:rPr>
                <w:tab/>
              </w:r>
              <w:r w:rsidR="00AA0D61">
                <w:rPr>
                  <w:noProof/>
                </w:rPr>
                <w:fldChar w:fldCharType="begin"/>
              </w:r>
              <w:r w:rsidR="00AA0D61">
                <w:rPr>
                  <w:noProof/>
                </w:rPr>
                <w:instrText xml:space="preserve"> PAGEREF _Toc190339861 \h </w:instrText>
              </w:r>
              <w:r w:rsidR="00AA0D61">
                <w:rPr>
                  <w:noProof/>
                </w:rPr>
              </w:r>
              <w:r w:rsidR="00AA0D61">
                <w:rPr>
                  <w:noProof/>
                </w:rPr>
                <w:fldChar w:fldCharType="separate"/>
              </w:r>
              <w:r w:rsidR="00A74508">
                <w:rPr>
                  <w:noProof/>
                </w:rPr>
                <w:t>23</w:t>
              </w:r>
              <w:r w:rsidR="00AA0D61">
                <w:rPr>
                  <w:noProof/>
                </w:rPr>
                <w:fldChar w:fldCharType="end"/>
              </w:r>
            </w:hyperlink>
          </w:p>
          <w:p w14:paraId="4118BE90" w14:textId="0ED9A056" w:rsidR="00AA0D61" w:rsidRDefault="00AA0D61">
            <w:pPr>
              <w:pStyle w:val="TOC8"/>
              <w:cnfStyle w:val="000000000000" w:firstRow="0" w:lastRow="0" w:firstColumn="0" w:lastColumn="0" w:oddVBand="0" w:evenVBand="0" w:oddHBand="0" w:evenHBand="0" w:firstRowFirstColumn="0" w:firstRowLastColumn="0" w:lastRowFirstColumn="0" w:lastRowLastColumn="0"/>
              <w:rPr>
                <w:rFonts w:eastAsiaTheme="minorEastAsia"/>
                <w:noProof/>
                <w:kern w:val="2"/>
                <w:sz w:val="24"/>
                <w:szCs w:val="24"/>
                <w:lang w:eastAsia="en-AU"/>
                <w14:ligatures w14:val="standardContextual"/>
              </w:rPr>
            </w:pPr>
            <w:hyperlink w:anchor="_Toc190339862" w:history="1">
              <w:r w:rsidRPr="00180425">
                <w:rPr>
                  <w:rStyle w:val="Hyperlink"/>
                  <w:noProof/>
                </w:rPr>
                <w:t>2.2</w:t>
              </w:r>
              <w:r>
                <w:rPr>
                  <w:rFonts w:eastAsiaTheme="minorEastAsia"/>
                  <w:noProof/>
                  <w:kern w:val="2"/>
                  <w:sz w:val="24"/>
                  <w:szCs w:val="24"/>
                  <w:lang w:eastAsia="en-AU"/>
                  <w14:ligatures w14:val="standardContextual"/>
                </w:rPr>
                <w:tab/>
              </w:r>
              <w:r w:rsidRPr="00180425">
                <w:rPr>
                  <w:rStyle w:val="Hyperlink"/>
                  <w:noProof/>
                </w:rPr>
                <w:t>Income from transactions</w:t>
              </w:r>
              <w:r>
                <w:rPr>
                  <w:noProof/>
                </w:rPr>
                <w:tab/>
              </w:r>
              <w:r>
                <w:rPr>
                  <w:noProof/>
                </w:rPr>
                <w:fldChar w:fldCharType="begin"/>
              </w:r>
              <w:r>
                <w:rPr>
                  <w:noProof/>
                </w:rPr>
                <w:instrText xml:space="preserve"> PAGEREF _Toc190339862 \h </w:instrText>
              </w:r>
              <w:r>
                <w:rPr>
                  <w:noProof/>
                </w:rPr>
              </w:r>
              <w:r>
                <w:rPr>
                  <w:noProof/>
                </w:rPr>
                <w:fldChar w:fldCharType="separate"/>
              </w:r>
              <w:r w:rsidR="00A74508">
                <w:rPr>
                  <w:noProof/>
                </w:rPr>
                <w:t>23</w:t>
              </w:r>
              <w:r>
                <w:rPr>
                  <w:noProof/>
                </w:rPr>
                <w:fldChar w:fldCharType="end"/>
              </w:r>
            </w:hyperlink>
          </w:p>
          <w:p w14:paraId="56FEA66A" w14:textId="6D5373ED" w:rsidR="006468F8" w:rsidRPr="006468F8" w:rsidRDefault="006468F8" w:rsidP="006468F8">
            <w:pPr>
              <w:cnfStyle w:val="000000000000" w:firstRow="0" w:lastRow="0" w:firstColumn="0" w:lastColumn="0" w:oddVBand="0" w:evenVBand="0" w:oddHBand="0" w:evenHBand="0" w:firstRowFirstColumn="0" w:firstRowLastColumn="0" w:lastRowFirstColumn="0" w:lastRowLastColumn="0"/>
            </w:pPr>
            <w:r>
              <w:fldChar w:fldCharType="end"/>
            </w:r>
          </w:p>
        </w:tc>
      </w:tr>
      <w:tr w:rsidR="003719CD" w:rsidRPr="00940E38" w14:paraId="42CB3944" w14:textId="77777777" w:rsidTr="00324A25">
        <w:trPr>
          <w:trHeight w:val="80"/>
        </w:trPr>
        <w:tc>
          <w:tcPr>
            <w:cnfStyle w:val="001000000000" w:firstRow="0" w:lastRow="0" w:firstColumn="1" w:lastColumn="0" w:oddVBand="0" w:evenVBand="0" w:oddHBand="0" w:evenHBand="0" w:firstRowFirstColumn="0" w:firstRowLastColumn="0" w:lastRowFirstColumn="0" w:lastRowLastColumn="0"/>
            <w:tcW w:w="1527" w:type="dxa"/>
            <w:vMerge/>
          </w:tcPr>
          <w:p w14:paraId="6080AF0C" w14:textId="77777777" w:rsidR="003719CD" w:rsidRPr="00940E38" w:rsidRDefault="003719CD" w:rsidP="007D536F">
            <w:pPr>
              <w:rPr>
                <w:rFonts w:ascii="Arial" w:eastAsia="Calibri" w:hAnsi="Arial" w:cs="Arial"/>
                <w:b w:val="0"/>
              </w:rPr>
            </w:pPr>
          </w:p>
        </w:tc>
        <w:tc>
          <w:tcPr>
            <w:tcW w:w="6804" w:type="dxa"/>
            <w:shd w:val="clear" w:color="auto" w:fill="E7E6E6" w:themeFill="background2"/>
          </w:tcPr>
          <w:p w14:paraId="43C84005" w14:textId="77777777" w:rsidR="003719CD" w:rsidRPr="00940E38" w:rsidRDefault="003719CD" w:rsidP="007D536F">
            <w:pPr>
              <w:tabs>
                <w:tab w:val="left" w:pos="573"/>
              </w:tabs>
              <w:cnfStyle w:val="000000000000" w:firstRow="0" w:lastRow="0" w:firstColumn="0" w:lastColumn="0" w:oddVBand="0" w:evenVBand="0" w:oddHBand="0" w:evenHBand="0" w:firstRowFirstColumn="0" w:firstRowLastColumn="0" w:lastRowFirstColumn="0" w:lastRowLastColumn="0"/>
              <w:rPr>
                <w:rFonts w:ascii="Arial" w:eastAsia="Calibri" w:hAnsi="Arial" w:cs="Arial"/>
                <w:i/>
              </w:rPr>
            </w:pPr>
            <w:r w:rsidRPr="00940E38">
              <w:rPr>
                <w:rFonts w:ascii="Arial" w:eastAsia="Calibri" w:hAnsi="Arial" w:cs="Arial"/>
                <w:b/>
              </w:rPr>
              <w:t xml:space="preserve">3. </w:t>
            </w:r>
            <w:r w:rsidRPr="00940E38">
              <w:rPr>
                <w:rFonts w:ascii="Arial" w:eastAsia="Calibri" w:hAnsi="Arial" w:cs="Arial"/>
                <w:b/>
              </w:rPr>
              <w:tab/>
              <w:t>The cost of delivering services</w:t>
            </w:r>
          </w:p>
        </w:tc>
        <w:tc>
          <w:tcPr>
            <w:tcW w:w="1303" w:type="dxa"/>
            <w:gridSpan w:val="2"/>
            <w:shd w:val="clear" w:color="auto" w:fill="E7E6E6" w:themeFill="background2"/>
          </w:tcPr>
          <w:p w14:paraId="744CD66E" w14:textId="243E3B2F" w:rsidR="003719CD" w:rsidRPr="00761CE8" w:rsidRDefault="00E63A81" w:rsidP="007D536F">
            <w:pPr>
              <w:jc w:val="right"/>
              <w:cnfStyle w:val="000000000000" w:firstRow="0" w:lastRow="0" w:firstColumn="0" w:lastColumn="0" w:oddVBand="0" w:evenVBand="0" w:oddHBand="0" w:evenHBand="0" w:firstRowFirstColumn="0" w:firstRowLastColumn="0" w:lastRowFirstColumn="0" w:lastRowLastColumn="0"/>
              <w:rPr>
                <w:b/>
                <w:bCs/>
              </w:rPr>
            </w:pPr>
            <w:r w:rsidRPr="00761CE8">
              <w:rPr>
                <w:b/>
                <w:bCs/>
              </w:rPr>
              <w:fldChar w:fldCharType="begin"/>
            </w:r>
            <w:r w:rsidRPr="00761CE8">
              <w:rPr>
                <w:b/>
                <w:bCs/>
              </w:rPr>
              <w:instrText xml:space="preserve"> PAGEREF  Section</w:instrText>
            </w:r>
            <w:r>
              <w:rPr>
                <w:b/>
                <w:bCs/>
              </w:rPr>
              <w:instrText>_3</w:instrText>
            </w:r>
            <w:r w:rsidRPr="00761CE8">
              <w:rPr>
                <w:b/>
                <w:bCs/>
              </w:rPr>
              <w:instrText xml:space="preserve"> \h  \* MERGEFORMAT </w:instrText>
            </w:r>
            <w:r w:rsidRPr="00761CE8">
              <w:rPr>
                <w:b/>
                <w:bCs/>
              </w:rPr>
            </w:r>
            <w:r w:rsidRPr="00761CE8">
              <w:rPr>
                <w:b/>
                <w:bCs/>
              </w:rPr>
              <w:fldChar w:fldCharType="separate"/>
            </w:r>
            <w:r w:rsidR="0054242A">
              <w:rPr>
                <w:b/>
                <w:bCs/>
                <w:noProof/>
              </w:rPr>
              <w:t>27</w:t>
            </w:r>
            <w:r w:rsidRPr="00761CE8">
              <w:rPr>
                <w:b/>
                <w:bCs/>
              </w:rPr>
              <w:fldChar w:fldCharType="end"/>
            </w:r>
          </w:p>
        </w:tc>
      </w:tr>
      <w:tr w:rsidR="003719CD" w:rsidRPr="00940E38" w14:paraId="6AA7E8C2" w14:textId="77777777" w:rsidTr="00324A25">
        <w:trPr>
          <w:trHeight w:val="70"/>
        </w:trPr>
        <w:tc>
          <w:tcPr>
            <w:cnfStyle w:val="001000000000" w:firstRow="0" w:lastRow="0" w:firstColumn="1" w:lastColumn="0" w:oddVBand="0" w:evenVBand="0" w:oddHBand="0" w:evenHBand="0" w:firstRowFirstColumn="0" w:firstRowLastColumn="0" w:lastRowFirstColumn="0" w:lastRowLastColumn="0"/>
            <w:tcW w:w="1527" w:type="dxa"/>
            <w:vMerge/>
          </w:tcPr>
          <w:p w14:paraId="0960B08F" w14:textId="77777777" w:rsidR="003719CD" w:rsidRPr="00940E38" w:rsidRDefault="003719CD" w:rsidP="007D536F">
            <w:pPr>
              <w:rPr>
                <w:rFonts w:ascii="Arial" w:eastAsia="Calibri" w:hAnsi="Arial" w:cs="Arial"/>
                <w:b w:val="0"/>
              </w:rPr>
            </w:pPr>
          </w:p>
        </w:tc>
        <w:tc>
          <w:tcPr>
            <w:tcW w:w="6804" w:type="dxa"/>
          </w:tcPr>
          <w:p w14:paraId="5D622308" w14:textId="16BAE303" w:rsidR="003719CD" w:rsidRPr="00940E38" w:rsidRDefault="003719CD" w:rsidP="007D536F">
            <w:pPr>
              <w:cnfStyle w:val="000000000000" w:firstRow="0" w:lastRow="0" w:firstColumn="0" w:lastColumn="0" w:oddVBand="0" w:evenVBand="0" w:oddHBand="0" w:evenHBand="0" w:firstRowFirstColumn="0" w:firstRowLastColumn="0" w:lastRowFirstColumn="0" w:lastRowLastColumn="0"/>
              <w:rPr>
                <w:b/>
              </w:rPr>
            </w:pPr>
            <w:r w:rsidRPr="00940E38">
              <w:t xml:space="preserve">Operating expenses of </w:t>
            </w:r>
            <w:r w:rsidR="006B48BC">
              <w:t>TV</w:t>
            </w:r>
          </w:p>
        </w:tc>
        <w:tc>
          <w:tcPr>
            <w:tcW w:w="1303" w:type="dxa"/>
            <w:gridSpan w:val="2"/>
          </w:tcPr>
          <w:p w14:paraId="18E6D5E1" w14:textId="77777777" w:rsidR="003719CD" w:rsidRPr="00940E38" w:rsidRDefault="003719CD" w:rsidP="007D536F">
            <w:pPr>
              <w:jc w:val="right"/>
              <w:cnfStyle w:val="000000000000" w:firstRow="0" w:lastRow="0" w:firstColumn="0" w:lastColumn="0" w:oddVBand="0" w:evenVBand="0" w:oddHBand="0" w:evenHBand="0" w:firstRowFirstColumn="0" w:firstRowLastColumn="0" w:lastRowFirstColumn="0" w:lastRowLastColumn="0"/>
            </w:pPr>
          </w:p>
        </w:tc>
      </w:tr>
      <w:tr w:rsidR="003719CD" w:rsidRPr="00940E38" w14:paraId="028D42A0" w14:textId="77777777" w:rsidTr="00324A25">
        <w:tc>
          <w:tcPr>
            <w:cnfStyle w:val="001000000000" w:firstRow="0" w:lastRow="0" w:firstColumn="1" w:lastColumn="0" w:oddVBand="0" w:evenVBand="0" w:oddHBand="0" w:evenHBand="0" w:firstRowFirstColumn="0" w:firstRowLastColumn="0" w:lastRowFirstColumn="0" w:lastRowLastColumn="0"/>
            <w:tcW w:w="1527" w:type="dxa"/>
            <w:vMerge/>
          </w:tcPr>
          <w:p w14:paraId="46995A61" w14:textId="77777777" w:rsidR="003719CD" w:rsidRPr="00940E38" w:rsidRDefault="003719CD" w:rsidP="007D536F">
            <w:pPr>
              <w:rPr>
                <w:rFonts w:ascii="Arial" w:eastAsia="Calibri" w:hAnsi="Arial" w:cs="Arial"/>
              </w:rPr>
            </w:pPr>
          </w:p>
        </w:tc>
        <w:tc>
          <w:tcPr>
            <w:tcW w:w="8107" w:type="dxa"/>
            <w:gridSpan w:val="3"/>
          </w:tcPr>
          <w:p w14:paraId="249F673C" w14:textId="226FF304" w:rsidR="00AA0D61" w:rsidRDefault="0071546E">
            <w:pPr>
              <w:pStyle w:val="TOC8"/>
              <w:cnfStyle w:val="000000000000" w:firstRow="0" w:lastRow="0" w:firstColumn="0" w:lastColumn="0" w:oddVBand="0" w:evenVBand="0" w:oddHBand="0" w:evenHBand="0" w:firstRowFirstColumn="0" w:firstRowLastColumn="0" w:lastRowFirstColumn="0" w:lastRowLastColumn="0"/>
              <w:rPr>
                <w:rFonts w:eastAsiaTheme="minorEastAsia"/>
                <w:noProof/>
                <w:kern w:val="2"/>
                <w:sz w:val="24"/>
                <w:szCs w:val="24"/>
                <w:lang w:eastAsia="en-AU"/>
                <w14:ligatures w14:val="standardContextual"/>
              </w:rPr>
            </w:pPr>
            <w:r>
              <w:fldChar w:fldCharType="begin"/>
            </w:r>
            <w:r>
              <w:instrText xml:space="preserve"> TOC \h \t "Heading 2 numbered,8" \b Section_3 </w:instrText>
            </w:r>
            <w:r>
              <w:fldChar w:fldCharType="separate"/>
            </w:r>
            <w:hyperlink w:anchor="_Toc190339858" w:history="1">
              <w:r w:rsidR="00AA0D61" w:rsidRPr="0088643C">
                <w:rPr>
                  <w:rStyle w:val="Hyperlink"/>
                  <w:noProof/>
                </w:rPr>
                <w:t>3.1</w:t>
              </w:r>
              <w:r w:rsidR="00AA0D61">
                <w:rPr>
                  <w:rFonts w:eastAsiaTheme="minorEastAsia"/>
                  <w:noProof/>
                  <w:kern w:val="2"/>
                  <w:sz w:val="24"/>
                  <w:szCs w:val="24"/>
                  <w:lang w:eastAsia="en-AU"/>
                  <w14:ligatures w14:val="standardContextual"/>
                </w:rPr>
                <w:tab/>
              </w:r>
              <w:r w:rsidR="00AA0D61" w:rsidRPr="0088643C">
                <w:rPr>
                  <w:rStyle w:val="Hyperlink"/>
                  <w:noProof/>
                </w:rPr>
                <w:t>Expenses incurred in delivery of services</w:t>
              </w:r>
              <w:r w:rsidR="00AA0D61">
                <w:rPr>
                  <w:noProof/>
                </w:rPr>
                <w:tab/>
              </w:r>
              <w:r w:rsidR="00AA0D61">
                <w:rPr>
                  <w:noProof/>
                </w:rPr>
                <w:fldChar w:fldCharType="begin"/>
              </w:r>
              <w:r w:rsidR="00AA0D61">
                <w:rPr>
                  <w:noProof/>
                </w:rPr>
                <w:instrText xml:space="preserve"> PAGEREF _Toc190339858 \h </w:instrText>
              </w:r>
              <w:r w:rsidR="00AA0D61">
                <w:rPr>
                  <w:noProof/>
                </w:rPr>
              </w:r>
              <w:r w:rsidR="00AA0D61">
                <w:rPr>
                  <w:noProof/>
                </w:rPr>
                <w:fldChar w:fldCharType="separate"/>
              </w:r>
              <w:r w:rsidR="00A74508">
                <w:rPr>
                  <w:noProof/>
                </w:rPr>
                <w:t>27</w:t>
              </w:r>
              <w:r w:rsidR="00AA0D61">
                <w:rPr>
                  <w:noProof/>
                </w:rPr>
                <w:fldChar w:fldCharType="end"/>
              </w:r>
            </w:hyperlink>
          </w:p>
          <w:p w14:paraId="124821AC" w14:textId="13A4D1C2" w:rsidR="00AA0D61" w:rsidRDefault="00AA0D61">
            <w:pPr>
              <w:pStyle w:val="TOC8"/>
              <w:cnfStyle w:val="000000000000" w:firstRow="0" w:lastRow="0" w:firstColumn="0" w:lastColumn="0" w:oddVBand="0" w:evenVBand="0" w:oddHBand="0" w:evenHBand="0" w:firstRowFirstColumn="0" w:firstRowLastColumn="0" w:lastRowFirstColumn="0" w:lastRowLastColumn="0"/>
              <w:rPr>
                <w:rFonts w:eastAsiaTheme="minorEastAsia"/>
                <w:noProof/>
                <w:kern w:val="2"/>
                <w:sz w:val="24"/>
                <w:szCs w:val="24"/>
                <w:lang w:eastAsia="en-AU"/>
                <w14:ligatures w14:val="standardContextual"/>
              </w:rPr>
            </w:pPr>
            <w:hyperlink w:anchor="_Toc190339859" w:history="1">
              <w:r w:rsidRPr="0088643C">
                <w:rPr>
                  <w:rStyle w:val="Hyperlink"/>
                  <w:noProof/>
                </w:rPr>
                <w:t>3.2</w:t>
              </w:r>
              <w:r>
                <w:rPr>
                  <w:rFonts w:eastAsiaTheme="minorEastAsia"/>
                  <w:noProof/>
                  <w:kern w:val="2"/>
                  <w:sz w:val="24"/>
                  <w:szCs w:val="24"/>
                  <w:lang w:eastAsia="en-AU"/>
                  <w14:ligatures w14:val="standardContextual"/>
                </w:rPr>
                <w:tab/>
              </w:r>
              <w:r w:rsidRPr="0088643C">
                <w:rPr>
                  <w:rStyle w:val="Hyperlink"/>
                  <w:noProof/>
                </w:rPr>
                <w:t>Grant expenses</w:t>
              </w:r>
              <w:r>
                <w:rPr>
                  <w:noProof/>
                </w:rPr>
                <w:tab/>
              </w:r>
              <w:r>
                <w:rPr>
                  <w:noProof/>
                </w:rPr>
                <w:fldChar w:fldCharType="begin"/>
              </w:r>
              <w:r>
                <w:rPr>
                  <w:noProof/>
                </w:rPr>
                <w:instrText xml:space="preserve"> PAGEREF _Toc190339859 \h </w:instrText>
              </w:r>
              <w:r>
                <w:rPr>
                  <w:noProof/>
                </w:rPr>
              </w:r>
              <w:r>
                <w:rPr>
                  <w:noProof/>
                </w:rPr>
                <w:fldChar w:fldCharType="separate"/>
              </w:r>
              <w:r w:rsidR="00A74508">
                <w:rPr>
                  <w:noProof/>
                </w:rPr>
                <w:t>29</w:t>
              </w:r>
              <w:r>
                <w:rPr>
                  <w:noProof/>
                </w:rPr>
                <w:fldChar w:fldCharType="end"/>
              </w:r>
            </w:hyperlink>
          </w:p>
          <w:p w14:paraId="744071CA" w14:textId="064A50B6" w:rsidR="00AA0D61" w:rsidRDefault="00AA0D61">
            <w:pPr>
              <w:pStyle w:val="TOC8"/>
              <w:cnfStyle w:val="000000000000" w:firstRow="0" w:lastRow="0" w:firstColumn="0" w:lastColumn="0" w:oddVBand="0" w:evenVBand="0" w:oddHBand="0" w:evenHBand="0" w:firstRowFirstColumn="0" w:firstRowLastColumn="0" w:lastRowFirstColumn="0" w:lastRowLastColumn="0"/>
              <w:rPr>
                <w:rFonts w:eastAsiaTheme="minorEastAsia"/>
                <w:noProof/>
                <w:kern w:val="2"/>
                <w:sz w:val="24"/>
                <w:szCs w:val="24"/>
                <w:lang w:eastAsia="en-AU"/>
                <w14:ligatures w14:val="standardContextual"/>
              </w:rPr>
            </w:pPr>
            <w:hyperlink w:anchor="_Toc190339860" w:history="1">
              <w:r w:rsidRPr="0088643C">
                <w:rPr>
                  <w:rStyle w:val="Hyperlink"/>
                  <w:noProof/>
                </w:rPr>
                <w:t>3.3</w:t>
              </w:r>
              <w:r>
                <w:rPr>
                  <w:rFonts w:eastAsiaTheme="minorEastAsia"/>
                  <w:noProof/>
                  <w:kern w:val="2"/>
                  <w:sz w:val="24"/>
                  <w:szCs w:val="24"/>
                  <w:lang w:eastAsia="en-AU"/>
                  <w14:ligatures w14:val="standardContextual"/>
                </w:rPr>
                <w:tab/>
              </w:r>
              <w:r w:rsidRPr="0088643C">
                <w:rPr>
                  <w:rStyle w:val="Hyperlink"/>
                  <w:noProof/>
                </w:rPr>
                <w:t>Other operating expenses</w:t>
              </w:r>
              <w:r>
                <w:rPr>
                  <w:noProof/>
                </w:rPr>
                <w:tab/>
              </w:r>
              <w:r>
                <w:rPr>
                  <w:noProof/>
                </w:rPr>
                <w:fldChar w:fldCharType="begin"/>
              </w:r>
              <w:r>
                <w:rPr>
                  <w:noProof/>
                </w:rPr>
                <w:instrText xml:space="preserve"> PAGEREF _Toc190339860 \h </w:instrText>
              </w:r>
              <w:r>
                <w:rPr>
                  <w:noProof/>
                </w:rPr>
              </w:r>
              <w:r>
                <w:rPr>
                  <w:noProof/>
                </w:rPr>
                <w:fldChar w:fldCharType="separate"/>
              </w:r>
              <w:r w:rsidR="00A74508">
                <w:rPr>
                  <w:noProof/>
                </w:rPr>
                <w:t>29</w:t>
              </w:r>
              <w:r>
                <w:rPr>
                  <w:noProof/>
                </w:rPr>
                <w:fldChar w:fldCharType="end"/>
              </w:r>
            </w:hyperlink>
          </w:p>
          <w:p w14:paraId="0697A478" w14:textId="675A35F6" w:rsidR="009A29A5" w:rsidRPr="009A29A5" w:rsidRDefault="0071546E" w:rsidP="0071546E">
            <w:pPr>
              <w:cnfStyle w:val="000000000000" w:firstRow="0" w:lastRow="0" w:firstColumn="0" w:lastColumn="0" w:oddVBand="0" w:evenVBand="0" w:oddHBand="0" w:evenHBand="0" w:firstRowFirstColumn="0" w:firstRowLastColumn="0" w:lastRowFirstColumn="0" w:lastRowLastColumn="0"/>
            </w:pPr>
            <w:r>
              <w:fldChar w:fldCharType="end"/>
            </w:r>
          </w:p>
        </w:tc>
      </w:tr>
      <w:tr w:rsidR="003719CD" w:rsidRPr="00940E38" w14:paraId="02918402" w14:textId="77777777" w:rsidTr="00324A25">
        <w:tc>
          <w:tcPr>
            <w:cnfStyle w:val="001000000000" w:firstRow="0" w:lastRow="0" w:firstColumn="1" w:lastColumn="0" w:oddVBand="0" w:evenVBand="0" w:oddHBand="0" w:evenHBand="0" w:firstRowFirstColumn="0" w:firstRowLastColumn="0" w:lastRowFirstColumn="0" w:lastRowLastColumn="0"/>
            <w:tcW w:w="1527" w:type="dxa"/>
            <w:vMerge/>
          </w:tcPr>
          <w:p w14:paraId="00419BFE" w14:textId="77777777" w:rsidR="003719CD" w:rsidRPr="00940E38" w:rsidRDefault="003719CD" w:rsidP="007D536F">
            <w:pPr>
              <w:rPr>
                <w:rFonts w:ascii="Arial" w:eastAsia="Calibri" w:hAnsi="Arial" w:cs="Arial"/>
              </w:rPr>
            </w:pPr>
          </w:p>
        </w:tc>
        <w:tc>
          <w:tcPr>
            <w:tcW w:w="6804" w:type="dxa"/>
            <w:shd w:val="clear" w:color="auto" w:fill="E7E6E6" w:themeFill="background2"/>
          </w:tcPr>
          <w:p w14:paraId="700A04AA" w14:textId="4D1F7D3E" w:rsidR="003719CD" w:rsidRPr="00940E38" w:rsidRDefault="003719CD" w:rsidP="007D536F">
            <w:pPr>
              <w:tabs>
                <w:tab w:val="left" w:pos="573"/>
              </w:tabs>
              <w:cnfStyle w:val="000000000000" w:firstRow="0" w:lastRow="0" w:firstColumn="0" w:lastColumn="0" w:oddVBand="0" w:evenVBand="0" w:oddHBand="0" w:evenHBand="0" w:firstRowFirstColumn="0" w:firstRowLastColumn="0" w:lastRowFirstColumn="0" w:lastRowLastColumn="0"/>
              <w:rPr>
                <w:rFonts w:ascii="Arial" w:eastAsia="Calibri" w:hAnsi="Arial" w:cs="Arial"/>
                <w:i/>
              </w:rPr>
            </w:pPr>
            <w:r w:rsidRPr="00940E38">
              <w:rPr>
                <w:rFonts w:ascii="Arial" w:eastAsia="Calibri" w:hAnsi="Arial" w:cs="Arial"/>
                <w:b/>
              </w:rPr>
              <w:t xml:space="preserve">4. </w:t>
            </w:r>
            <w:r w:rsidRPr="00940E38">
              <w:rPr>
                <w:rFonts w:ascii="Arial" w:eastAsia="Calibri" w:hAnsi="Arial" w:cs="Arial"/>
                <w:b/>
              </w:rPr>
              <w:tab/>
            </w:r>
            <w:r w:rsidR="00CE38B7" w:rsidRPr="00940E38">
              <w:rPr>
                <w:rFonts w:ascii="Arial" w:eastAsia="Calibri" w:hAnsi="Arial" w:cs="Arial"/>
                <w:b/>
              </w:rPr>
              <w:t xml:space="preserve">Key assets to support </w:t>
            </w:r>
            <w:r w:rsidR="00A2333D">
              <w:rPr>
                <w:rFonts w:ascii="Arial" w:eastAsia="SimHei" w:hAnsi="Arial" w:cs="Arial" w:hint="eastAsia"/>
                <w:b/>
                <w:lang w:eastAsia="zh-CN"/>
              </w:rPr>
              <w:t>service</w:t>
            </w:r>
            <w:r w:rsidR="00CE38B7" w:rsidRPr="00940E38">
              <w:rPr>
                <w:rFonts w:ascii="Arial" w:eastAsia="Calibri" w:hAnsi="Arial" w:cs="Arial"/>
                <w:b/>
              </w:rPr>
              <w:t xml:space="preserve"> delivery</w:t>
            </w:r>
          </w:p>
        </w:tc>
        <w:tc>
          <w:tcPr>
            <w:tcW w:w="1303" w:type="dxa"/>
            <w:gridSpan w:val="2"/>
            <w:shd w:val="clear" w:color="auto" w:fill="E7E6E6" w:themeFill="background2"/>
          </w:tcPr>
          <w:p w14:paraId="4B61D0BB" w14:textId="357B8F93" w:rsidR="003719CD" w:rsidRPr="006177A0" w:rsidRDefault="006177A0" w:rsidP="007D536F">
            <w:pPr>
              <w:jc w:val="right"/>
              <w:cnfStyle w:val="000000000000" w:firstRow="0" w:lastRow="0" w:firstColumn="0" w:lastColumn="0" w:oddVBand="0" w:evenVBand="0" w:oddHBand="0" w:evenHBand="0" w:firstRowFirstColumn="0" w:firstRowLastColumn="0" w:lastRowFirstColumn="0" w:lastRowLastColumn="0"/>
              <w:rPr>
                <w:b/>
                <w:bCs/>
                <w:lang w:eastAsia="zh-CN"/>
              </w:rPr>
            </w:pPr>
            <w:r w:rsidRPr="006177A0">
              <w:rPr>
                <w:b/>
                <w:bCs/>
              </w:rPr>
              <w:fldChar w:fldCharType="begin"/>
            </w:r>
            <w:r w:rsidRPr="006177A0">
              <w:rPr>
                <w:b/>
                <w:bCs/>
              </w:rPr>
              <w:instrText xml:space="preserve"> PAGEREF  Section_4 \h  \* MERGEFORMAT </w:instrText>
            </w:r>
            <w:r w:rsidRPr="006177A0">
              <w:rPr>
                <w:b/>
                <w:bCs/>
              </w:rPr>
            </w:r>
            <w:r w:rsidRPr="006177A0">
              <w:rPr>
                <w:b/>
                <w:bCs/>
              </w:rPr>
              <w:fldChar w:fldCharType="separate"/>
            </w:r>
            <w:r w:rsidR="0054242A" w:rsidRPr="0054242A">
              <w:rPr>
                <w:b/>
                <w:bCs/>
                <w:noProof/>
                <w:lang w:val="en-US"/>
              </w:rPr>
              <w:t>31</w:t>
            </w:r>
            <w:r w:rsidRPr="006177A0">
              <w:rPr>
                <w:b/>
                <w:bCs/>
              </w:rPr>
              <w:fldChar w:fldCharType="end"/>
            </w:r>
          </w:p>
        </w:tc>
      </w:tr>
      <w:tr w:rsidR="003719CD" w:rsidRPr="00940E38" w14:paraId="29DED746" w14:textId="77777777" w:rsidTr="00324A25">
        <w:trPr>
          <w:trHeight w:val="181"/>
        </w:trPr>
        <w:tc>
          <w:tcPr>
            <w:cnfStyle w:val="001000000000" w:firstRow="0" w:lastRow="0" w:firstColumn="1" w:lastColumn="0" w:oddVBand="0" w:evenVBand="0" w:oddHBand="0" w:evenHBand="0" w:firstRowFirstColumn="0" w:firstRowLastColumn="0" w:lastRowFirstColumn="0" w:lastRowLastColumn="0"/>
            <w:tcW w:w="1527" w:type="dxa"/>
            <w:vMerge/>
          </w:tcPr>
          <w:p w14:paraId="2381EDB0" w14:textId="77777777" w:rsidR="003719CD" w:rsidRPr="00940E38" w:rsidRDefault="003719CD" w:rsidP="007D536F">
            <w:pPr>
              <w:rPr>
                <w:rFonts w:ascii="Arial" w:eastAsia="Calibri" w:hAnsi="Arial" w:cs="Arial"/>
              </w:rPr>
            </w:pPr>
          </w:p>
        </w:tc>
        <w:tc>
          <w:tcPr>
            <w:tcW w:w="6804" w:type="dxa"/>
          </w:tcPr>
          <w:p w14:paraId="4A882BD1" w14:textId="37DEC748" w:rsidR="003719CD" w:rsidRPr="00940E38" w:rsidRDefault="00CE38B7" w:rsidP="007D536F">
            <w:pPr>
              <w:cnfStyle w:val="000000000000" w:firstRow="0" w:lastRow="0" w:firstColumn="0" w:lastColumn="0" w:oddVBand="0" w:evenVBand="0" w:oddHBand="0" w:evenHBand="0" w:firstRowFirstColumn="0" w:firstRowLastColumn="0" w:lastRowFirstColumn="0" w:lastRowLastColumn="0"/>
              <w:rPr>
                <w:b/>
              </w:rPr>
            </w:pPr>
            <w:r w:rsidRPr="00940E38">
              <w:t>Land, property</w:t>
            </w:r>
            <w:r>
              <w:rPr>
                <w:rFonts w:hint="eastAsia"/>
                <w:lang w:eastAsia="zh-CN"/>
              </w:rPr>
              <w:t xml:space="preserve"> and </w:t>
            </w:r>
            <w:r w:rsidRPr="00940E38">
              <w:t>intangible assets</w:t>
            </w:r>
          </w:p>
        </w:tc>
        <w:tc>
          <w:tcPr>
            <w:tcW w:w="1303" w:type="dxa"/>
            <w:gridSpan w:val="2"/>
          </w:tcPr>
          <w:p w14:paraId="6505C837" w14:textId="77777777" w:rsidR="003719CD" w:rsidRPr="00940E38" w:rsidRDefault="003719CD" w:rsidP="007D536F">
            <w:pPr>
              <w:jc w:val="right"/>
              <w:cnfStyle w:val="000000000000" w:firstRow="0" w:lastRow="0" w:firstColumn="0" w:lastColumn="0" w:oddVBand="0" w:evenVBand="0" w:oddHBand="0" w:evenHBand="0" w:firstRowFirstColumn="0" w:firstRowLastColumn="0" w:lastRowFirstColumn="0" w:lastRowLastColumn="0"/>
            </w:pPr>
          </w:p>
        </w:tc>
      </w:tr>
      <w:tr w:rsidR="003719CD" w:rsidRPr="00940E38" w14:paraId="3AE75419" w14:textId="77777777" w:rsidTr="00324A25">
        <w:trPr>
          <w:trHeight w:val="70"/>
        </w:trPr>
        <w:tc>
          <w:tcPr>
            <w:cnfStyle w:val="001000000000" w:firstRow="0" w:lastRow="0" w:firstColumn="1" w:lastColumn="0" w:oddVBand="0" w:evenVBand="0" w:oddHBand="0" w:evenHBand="0" w:firstRowFirstColumn="0" w:firstRowLastColumn="0" w:lastRowFirstColumn="0" w:lastRowLastColumn="0"/>
            <w:tcW w:w="1527" w:type="dxa"/>
            <w:vMerge/>
          </w:tcPr>
          <w:p w14:paraId="64F5647B" w14:textId="77777777" w:rsidR="003719CD" w:rsidRPr="00940E38" w:rsidRDefault="003719CD" w:rsidP="007D536F">
            <w:pPr>
              <w:rPr>
                <w:rFonts w:ascii="Arial" w:eastAsia="Calibri" w:hAnsi="Arial" w:cs="Arial"/>
              </w:rPr>
            </w:pPr>
          </w:p>
        </w:tc>
        <w:tc>
          <w:tcPr>
            <w:tcW w:w="8107" w:type="dxa"/>
            <w:gridSpan w:val="3"/>
          </w:tcPr>
          <w:p w14:paraId="02E988C3" w14:textId="2FF60282" w:rsidR="00AA0D61" w:rsidRDefault="00AA0D61">
            <w:pPr>
              <w:pStyle w:val="TOC8"/>
              <w:cnfStyle w:val="000000000000" w:firstRow="0" w:lastRow="0" w:firstColumn="0" w:lastColumn="0" w:oddVBand="0" w:evenVBand="0" w:oddHBand="0" w:evenHBand="0" w:firstRowFirstColumn="0" w:firstRowLastColumn="0" w:lastRowFirstColumn="0" w:lastRowLastColumn="0"/>
              <w:rPr>
                <w:rFonts w:eastAsiaTheme="minorEastAsia"/>
                <w:noProof/>
                <w:kern w:val="2"/>
                <w:sz w:val="24"/>
                <w:szCs w:val="24"/>
                <w:lang w:eastAsia="en-AU"/>
                <w14:ligatures w14:val="standardContextual"/>
              </w:rPr>
            </w:pPr>
            <w:r>
              <w:fldChar w:fldCharType="begin"/>
            </w:r>
            <w:r>
              <w:instrText xml:space="preserve"> TOC \h \t "Heading 2 numbered,8" \b Section_4 </w:instrText>
            </w:r>
            <w:r>
              <w:fldChar w:fldCharType="separate"/>
            </w:r>
            <w:hyperlink w:anchor="_Toc190339882" w:history="1">
              <w:r w:rsidRPr="009D13D9">
                <w:rPr>
                  <w:rStyle w:val="Hyperlink"/>
                  <w:noProof/>
                </w:rPr>
                <w:t>4.1</w:t>
              </w:r>
              <w:r>
                <w:rPr>
                  <w:rFonts w:eastAsiaTheme="minorEastAsia"/>
                  <w:noProof/>
                  <w:kern w:val="2"/>
                  <w:sz w:val="24"/>
                  <w:szCs w:val="24"/>
                  <w:lang w:eastAsia="en-AU"/>
                  <w14:ligatures w14:val="standardContextual"/>
                </w:rPr>
                <w:tab/>
              </w:r>
              <w:r w:rsidRPr="009D13D9">
                <w:rPr>
                  <w:rStyle w:val="Hyperlink"/>
                  <w:noProof/>
                </w:rPr>
                <w:t>Property, plant and equipment</w:t>
              </w:r>
              <w:r>
                <w:rPr>
                  <w:noProof/>
                </w:rPr>
                <w:tab/>
              </w:r>
              <w:r>
                <w:rPr>
                  <w:noProof/>
                </w:rPr>
                <w:fldChar w:fldCharType="begin"/>
              </w:r>
              <w:r>
                <w:rPr>
                  <w:noProof/>
                </w:rPr>
                <w:instrText xml:space="preserve"> PAGEREF _Toc190339882 \h </w:instrText>
              </w:r>
              <w:r>
                <w:rPr>
                  <w:noProof/>
                </w:rPr>
              </w:r>
              <w:r>
                <w:rPr>
                  <w:noProof/>
                </w:rPr>
                <w:fldChar w:fldCharType="separate"/>
              </w:r>
              <w:r w:rsidR="00A74508">
                <w:rPr>
                  <w:noProof/>
                </w:rPr>
                <w:t>31</w:t>
              </w:r>
              <w:r>
                <w:rPr>
                  <w:noProof/>
                </w:rPr>
                <w:fldChar w:fldCharType="end"/>
              </w:r>
            </w:hyperlink>
          </w:p>
          <w:p w14:paraId="54304D32" w14:textId="221D7AA8" w:rsidR="00AA0D61" w:rsidRDefault="00AA0D61">
            <w:pPr>
              <w:pStyle w:val="TOC8"/>
              <w:cnfStyle w:val="000000000000" w:firstRow="0" w:lastRow="0" w:firstColumn="0" w:lastColumn="0" w:oddVBand="0" w:evenVBand="0" w:oddHBand="0" w:evenHBand="0" w:firstRowFirstColumn="0" w:firstRowLastColumn="0" w:lastRowFirstColumn="0" w:lastRowLastColumn="0"/>
              <w:rPr>
                <w:rFonts w:eastAsiaTheme="minorEastAsia"/>
                <w:noProof/>
                <w:kern w:val="2"/>
                <w:sz w:val="24"/>
                <w:szCs w:val="24"/>
                <w:lang w:eastAsia="en-AU"/>
                <w14:ligatures w14:val="standardContextual"/>
              </w:rPr>
            </w:pPr>
            <w:hyperlink w:anchor="_Toc190339883" w:history="1">
              <w:r w:rsidRPr="009D13D9">
                <w:rPr>
                  <w:rStyle w:val="Hyperlink"/>
                  <w:noProof/>
                </w:rPr>
                <w:t>4.2</w:t>
              </w:r>
              <w:r>
                <w:rPr>
                  <w:rFonts w:eastAsiaTheme="minorEastAsia"/>
                  <w:noProof/>
                  <w:kern w:val="2"/>
                  <w:sz w:val="24"/>
                  <w:szCs w:val="24"/>
                  <w:lang w:eastAsia="en-AU"/>
                  <w14:ligatures w14:val="standardContextual"/>
                </w:rPr>
                <w:tab/>
              </w:r>
              <w:r w:rsidRPr="009D13D9">
                <w:rPr>
                  <w:rStyle w:val="Hyperlink"/>
                  <w:noProof/>
                </w:rPr>
                <w:t>Intangible assets</w:t>
              </w:r>
              <w:r>
                <w:rPr>
                  <w:noProof/>
                </w:rPr>
                <w:tab/>
              </w:r>
              <w:r>
                <w:rPr>
                  <w:noProof/>
                </w:rPr>
                <w:fldChar w:fldCharType="begin"/>
              </w:r>
              <w:r>
                <w:rPr>
                  <w:noProof/>
                </w:rPr>
                <w:instrText xml:space="preserve"> PAGEREF _Toc190339883 \h </w:instrText>
              </w:r>
              <w:r>
                <w:rPr>
                  <w:noProof/>
                </w:rPr>
              </w:r>
              <w:r>
                <w:rPr>
                  <w:noProof/>
                </w:rPr>
                <w:fldChar w:fldCharType="separate"/>
              </w:r>
              <w:r w:rsidR="00A74508">
                <w:rPr>
                  <w:noProof/>
                </w:rPr>
                <w:t>36</w:t>
              </w:r>
              <w:r>
                <w:rPr>
                  <w:noProof/>
                </w:rPr>
                <w:fldChar w:fldCharType="end"/>
              </w:r>
            </w:hyperlink>
          </w:p>
          <w:p w14:paraId="6D359022" w14:textId="47236A46" w:rsidR="003719CD" w:rsidRPr="00940E38" w:rsidRDefault="00AA0D61" w:rsidP="00AA0D61">
            <w:pPr>
              <w:pStyle w:val="TOC8"/>
              <w:cnfStyle w:val="000000000000" w:firstRow="0" w:lastRow="0" w:firstColumn="0" w:lastColumn="0" w:oddVBand="0" w:evenVBand="0" w:oddHBand="0" w:evenHBand="0" w:firstRowFirstColumn="0" w:firstRowLastColumn="0" w:lastRowFirstColumn="0" w:lastRowLastColumn="0"/>
            </w:pPr>
            <w:r>
              <w:fldChar w:fldCharType="end"/>
            </w:r>
          </w:p>
        </w:tc>
      </w:tr>
      <w:tr w:rsidR="003719CD" w:rsidRPr="00940E38" w14:paraId="7024C14B" w14:textId="77777777" w:rsidTr="00324A25">
        <w:trPr>
          <w:trHeight w:val="87"/>
        </w:trPr>
        <w:tc>
          <w:tcPr>
            <w:cnfStyle w:val="001000000000" w:firstRow="0" w:lastRow="0" w:firstColumn="1" w:lastColumn="0" w:oddVBand="0" w:evenVBand="0" w:oddHBand="0" w:evenHBand="0" w:firstRowFirstColumn="0" w:firstRowLastColumn="0" w:lastRowFirstColumn="0" w:lastRowLastColumn="0"/>
            <w:tcW w:w="1527" w:type="dxa"/>
            <w:vMerge/>
          </w:tcPr>
          <w:p w14:paraId="579224B6" w14:textId="77777777" w:rsidR="003719CD" w:rsidRPr="00940E38" w:rsidRDefault="003719CD" w:rsidP="007D536F">
            <w:pPr>
              <w:rPr>
                <w:rFonts w:ascii="Arial" w:eastAsia="Calibri" w:hAnsi="Arial" w:cs="Arial"/>
              </w:rPr>
            </w:pPr>
          </w:p>
        </w:tc>
        <w:tc>
          <w:tcPr>
            <w:tcW w:w="6804" w:type="dxa"/>
            <w:shd w:val="clear" w:color="auto" w:fill="E7E6E6" w:themeFill="background2"/>
          </w:tcPr>
          <w:p w14:paraId="1C974DF5" w14:textId="6A006BBA" w:rsidR="003719CD" w:rsidRPr="00E10CD7" w:rsidRDefault="003719CD" w:rsidP="007D536F">
            <w:pPr>
              <w:tabs>
                <w:tab w:val="left" w:pos="573"/>
              </w:tabs>
              <w:cnfStyle w:val="000000000000" w:firstRow="0" w:lastRow="0" w:firstColumn="0" w:lastColumn="0" w:oddVBand="0" w:evenVBand="0" w:oddHBand="0" w:evenHBand="0" w:firstRowFirstColumn="0" w:firstRowLastColumn="0" w:lastRowFirstColumn="0" w:lastRowLastColumn="0"/>
              <w:rPr>
                <w:rFonts w:ascii="Arial" w:eastAsia="SimHei" w:hAnsi="Arial" w:cs="Arial"/>
                <w:lang w:eastAsia="zh-CN"/>
              </w:rPr>
            </w:pPr>
            <w:r w:rsidRPr="00940E38">
              <w:rPr>
                <w:rFonts w:ascii="Arial" w:eastAsia="Calibri" w:hAnsi="Arial" w:cs="Arial"/>
                <w:b/>
              </w:rPr>
              <w:t xml:space="preserve">5. </w:t>
            </w:r>
            <w:r w:rsidRPr="00940E38">
              <w:rPr>
                <w:rFonts w:ascii="Arial" w:eastAsia="Calibri" w:hAnsi="Arial" w:cs="Arial"/>
                <w:b/>
              </w:rPr>
              <w:tab/>
            </w:r>
            <w:r w:rsidR="004D2932">
              <w:rPr>
                <w:rFonts w:ascii="Arial" w:eastAsia="SimHei" w:hAnsi="Arial" w:cs="Arial" w:hint="eastAsia"/>
                <w:b/>
                <w:lang w:eastAsia="zh-CN"/>
              </w:rPr>
              <w:t>Other assets and liabilities</w:t>
            </w:r>
          </w:p>
        </w:tc>
        <w:tc>
          <w:tcPr>
            <w:tcW w:w="1303" w:type="dxa"/>
            <w:gridSpan w:val="2"/>
            <w:shd w:val="clear" w:color="auto" w:fill="E7E6E6" w:themeFill="background2"/>
          </w:tcPr>
          <w:p w14:paraId="739682CC" w14:textId="5154E950" w:rsidR="003719CD" w:rsidRPr="00761CE8" w:rsidRDefault="006177A0" w:rsidP="007D536F">
            <w:pPr>
              <w:jc w:val="right"/>
              <w:cnfStyle w:val="000000000000" w:firstRow="0" w:lastRow="0" w:firstColumn="0" w:lastColumn="0" w:oddVBand="0" w:evenVBand="0" w:oddHBand="0" w:evenHBand="0" w:firstRowFirstColumn="0" w:firstRowLastColumn="0" w:lastRowFirstColumn="0" w:lastRowLastColumn="0"/>
              <w:rPr>
                <w:b/>
                <w:bCs/>
              </w:rPr>
            </w:pPr>
            <w:r w:rsidRPr="006177A0">
              <w:rPr>
                <w:b/>
                <w:bCs/>
              </w:rPr>
              <w:fldChar w:fldCharType="begin"/>
            </w:r>
            <w:r w:rsidRPr="006177A0">
              <w:rPr>
                <w:b/>
                <w:bCs/>
              </w:rPr>
              <w:instrText xml:space="preserve"> PAGEREF  Section_</w:instrText>
            </w:r>
            <w:r>
              <w:rPr>
                <w:b/>
                <w:bCs/>
              </w:rPr>
              <w:instrText>5</w:instrText>
            </w:r>
            <w:r w:rsidRPr="006177A0">
              <w:rPr>
                <w:b/>
                <w:bCs/>
              </w:rPr>
              <w:instrText xml:space="preserve"> \h  \* MERGEFORMAT </w:instrText>
            </w:r>
            <w:r w:rsidRPr="006177A0">
              <w:rPr>
                <w:b/>
                <w:bCs/>
              </w:rPr>
            </w:r>
            <w:r w:rsidRPr="006177A0">
              <w:rPr>
                <w:b/>
                <w:bCs/>
              </w:rPr>
              <w:fldChar w:fldCharType="separate"/>
            </w:r>
            <w:r w:rsidR="0054242A" w:rsidRPr="0054242A">
              <w:rPr>
                <w:b/>
                <w:bCs/>
                <w:noProof/>
                <w:lang w:val="en-US"/>
              </w:rPr>
              <w:t>37</w:t>
            </w:r>
            <w:r w:rsidRPr="006177A0">
              <w:rPr>
                <w:b/>
                <w:bCs/>
              </w:rPr>
              <w:fldChar w:fldCharType="end"/>
            </w:r>
          </w:p>
        </w:tc>
      </w:tr>
      <w:tr w:rsidR="003719CD" w:rsidRPr="00940E38" w14:paraId="07A48B3B" w14:textId="77777777" w:rsidTr="00324A25">
        <w:tc>
          <w:tcPr>
            <w:cnfStyle w:val="001000000000" w:firstRow="0" w:lastRow="0" w:firstColumn="1" w:lastColumn="0" w:oddVBand="0" w:evenVBand="0" w:oddHBand="0" w:evenHBand="0" w:firstRowFirstColumn="0" w:firstRowLastColumn="0" w:lastRowFirstColumn="0" w:lastRowLastColumn="0"/>
            <w:tcW w:w="1527" w:type="dxa"/>
            <w:vMerge/>
          </w:tcPr>
          <w:p w14:paraId="4D185DBF" w14:textId="77777777" w:rsidR="003719CD" w:rsidRPr="00940E38" w:rsidRDefault="003719CD" w:rsidP="007D536F">
            <w:pPr>
              <w:rPr>
                <w:rFonts w:ascii="Arial" w:eastAsia="Calibri" w:hAnsi="Arial" w:cs="Arial"/>
              </w:rPr>
            </w:pPr>
          </w:p>
        </w:tc>
        <w:tc>
          <w:tcPr>
            <w:tcW w:w="8107" w:type="dxa"/>
            <w:gridSpan w:val="3"/>
          </w:tcPr>
          <w:p w14:paraId="3AD139D6" w14:textId="25757C51" w:rsidR="003719CD" w:rsidRPr="00940E38" w:rsidRDefault="00CE38B7" w:rsidP="007D536F">
            <w:pPr>
              <w:cnfStyle w:val="000000000000" w:firstRow="0" w:lastRow="0" w:firstColumn="0" w:lastColumn="0" w:oddVBand="0" w:evenVBand="0" w:oddHBand="0" w:evenHBand="0" w:firstRowFirstColumn="0" w:firstRowLastColumn="0" w:lastRowFirstColumn="0" w:lastRowLastColumn="0"/>
            </w:pPr>
            <w:r w:rsidRPr="00940E38">
              <w:t>Working capital balances, and other key assets and liabilities</w:t>
            </w:r>
          </w:p>
        </w:tc>
      </w:tr>
      <w:tr w:rsidR="003719CD" w:rsidRPr="00940E38" w14:paraId="7AE48032" w14:textId="77777777" w:rsidTr="00324A25">
        <w:trPr>
          <w:trHeight w:val="70"/>
        </w:trPr>
        <w:tc>
          <w:tcPr>
            <w:cnfStyle w:val="001000000000" w:firstRow="0" w:lastRow="0" w:firstColumn="1" w:lastColumn="0" w:oddVBand="0" w:evenVBand="0" w:oddHBand="0" w:evenHBand="0" w:firstRowFirstColumn="0" w:firstRowLastColumn="0" w:lastRowFirstColumn="0" w:lastRowLastColumn="0"/>
            <w:tcW w:w="1527" w:type="dxa"/>
            <w:vMerge/>
          </w:tcPr>
          <w:p w14:paraId="4E7E0AA8" w14:textId="77777777" w:rsidR="003719CD" w:rsidRPr="00940E38" w:rsidRDefault="003719CD" w:rsidP="007D536F">
            <w:pPr>
              <w:rPr>
                <w:rFonts w:ascii="Arial" w:eastAsia="Calibri" w:hAnsi="Arial" w:cs="Arial"/>
              </w:rPr>
            </w:pPr>
          </w:p>
        </w:tc>
        <w:tc>
          <w:tcPr>
            <w:tcW w:w="8107" w:type="dxa"/>
            <w:gridSpan w:val="3"/>
          </w:tcPr>
          <w:p w14:paraId="36CAF3F2" w14:textId="2D53692E" w:rsidR="00EF7A02" w:rsidRDefault="00EF7A02">
            <w:pPr>
              <w:pStyle w:val="TOC8"/>
              <w:cnfStyle w:val="000000000000" w:firstRow="0" w:lastRow="0" w:firstColumn="0" w:lastColumn="0" w:oddVBand="0" w:evenVBand="0" w:oddHBand="0" w:evenHBand="0" w:firstRowFirstColumn="0" w:firstRowLastColumn="0" w:lastRowFirstColumn="0" w:lastRowLastColumn="0"/>
              <w:rPr>
                <w:rFonts w:eastAsiaTheme="minorEastAsia"/>
                <w:noProof/>
                <w:kern w:val="2"/>
                <w:sz w:val="24"/>
                <w:szCs w:val="24"/>
                <w:lang w:eastAsia="en-AU"/>
                <w14:ligatures w14:val="standardContextual"/>
              </w:rPr>
            </w:pPr>
            <w:r>
              <w:fldChar w:fldCharType="begin"/>
            </w:r>
            <w:r>
              <w:instrText xml:space="preserve"> TOC \h \t "Heading 2 numbered,8" \b Section_5 </w:instrText>
            </w:r>
            <w:r>
              <w:fldChar w:fldCharType="separate"/>
            </w:r>
            <w:hyperlink w:anchor="_Toc190333089" w:history="1">
              <w:r w:rsidRPr="00154E5A">
                <w:rPr>
                  <w:rStyle w:val="Hyperlink"/>
                  <w:noProof/>
                </w:rPr>
                <w:t>5.1</w:t>
              </w:r>
              <w:r>
                <w:rPr>
                  <w:rFonts w:eastAsiaTheme="minorEastAsia"/>
                  <w:noProof/>
                  <w:kern w:val="2"/>
                  <w:sz w:val="24"/>
                  <w:szCs w:val="24"/>
                  <w:lang w:eastAsia="en-AU"/>
                  <w14:ligatures w14:val="standardContextual"/>
                </w:rPr>
                <w:tab/>
              </w:r>
              <w:r w:rsidRPr="00154E5A">
                <w:rPr>
                  <w:rStyle w:val="Hyperlink"/>
                  <w:rFonts w:eastAsia="SimHei"/>
                  <w:noProof/>
                  <w:lang w:eastAsia="zh-CN"/>
                </w:rPr>
                <w:t>Other assets</w:t>
              </w:r>
              <w:r>
                <w:rPr>
                  <w:noProof/>
                </w:rPr>
                <w:tab/>
              </w:r>
              <w:r>
                <w:rPr>
                  <w:noProof/>
                </w:rPr>
                <w:fldChar w:fldCharType="begin"/>
              </w:r>
              <w:r>
                <w:rPr>
                  <w:noProof/>
                </w:rPr>
                <w:instrText xml:space="preserve"> PAGEREF _Toc190333089 \h </w:instrText>
              </w:r>
              <w:r>
                <w:rPr>
                  <w:noProof/>
                </w:rPr>
              </w:r>
              <w:r>
                <w:rPr>
                  <w:noProof/>
                </w:rPr>
                <w:fldChar w:fldCharType="separate"/>
              </w:r>
              <w:r w:rsidR="00A74508">
                <w:rPr>
                  <w:noProof/>
                </w:rPr>
                <w:t>38</w:t>
              </w:r>
              <w:r>
                <w:rPr>
                  <w:noProof/>
                </w:rPr>
                <w:fldChar w:fldCharType="end"/>
              </w:r>
            </w:hyperlink>
          </w:p>
          <w:p w14:paraId="22FD5D90" w14:textId="1FCFDD6E" w:rsidR="00EF7A02" w:rsidRDefault="00EF7A02">
            <w:pPr>
              <w:pStyle w:val="TOC8"/>
              <w:cnfStyle w:val="000000000000" w:firstRow="0" w:lastRow="0" w:firstColumn="0" w:lastColumn="0" w:oddVBand="0" w:evenVBand="0" w:oddHBand="0" w:evenHBand="0" w:firstRowFirstColumn="0" w:firstRowLastColumn="0" w:lastRowFirstColumn="0" w:lastRowLastColumn="0"/>
              <w:rPr>
                <w:rFonts w:eastAsiaTheme="minorEastAsia"/>
                <w:noProof/>
                <w:kern w:val="2"/>
                <w:sz w:val="24"/>
                <w:szCs w:val="24"/>
                <w:lang w:eastAsia="en-AU"/>
                <w14:ligatures w14:val="standardContextual"/>
              </w:rPr>
            </w:pPr>
            <w:hyperlink w:anchor="_Toc190333090" w:history="1">
              <w:r w:rsidRPr="00154E5A">
                <w:rPr>
                  <w:rStyle w:val="Hyperlink"/>
                  <w:noProof/>
                </w:rPr>
                <w:t>5.2</w:t>
              </w:r>
              <w:r>
                <w:rPr>
                  <w:rFonts w:eastAsiaTheme="minorEastAsia"/>
                  <w:noProof/>
                  <w:kern w:val="2"/>
                  <w:sz w:val="24"/>
                  <w:szCs w:val="24"/>
                  <w:lang w:eastAsia="en-AU"/>
                  <w14:ligatures w14:val="standardContextual"/>
                </w:rPr>
                <w:tab/>
              </w:r>
              <w:r w:rsidRPr="00154E5A">
                <w:rPr>
                  <w:rStyle w:val="Hyperlink"/>
                  <w:noProof/>
                </w:rPr>
                <w:t>Other liabilities</w:t>
              </w:r>
              <w:r>
                <w:rPr>
                  <w:noProof/>
                </w:rPr>
                <w:tab/>
              </w:r>
              <w:r>
                <w:rPr>
                  <w:noProof/>
                </w:rPr>
                <w:fldChar w:fldCharType="begin"/>
              </w:r>
              <w:r>
                <w:rPr>
                  <w:noProof/>
                </w:rPr>
                <w:instrText xml:space="preserve"> PAGEREF _Toc190333090 \h </w:instrText>
              </w:r>
              <w:r>
                <w:rPr>
                  <w:noProof/>
                </w:rPr>
              </w:r>
              <w:r>
                <w:rPr>
                  <w:noProof/>
                </w:rPr>
                <w:fldChar w:fldCharType="separate"/>
              </w:r>
              <w:r w:rsidR="00A74508">
                <w:rPr>
                  <w:noProof/>
                </w:rPr>
                <w:t>40</w:t>
              </w:r>
              <w:r>
                <w:rPr>
                  <w:noProof/>
                </w:rPr>
                <w:fldChar w:fldCharType="end"/>
              </w:r>
            </w:hyperlink>
          </w:p>
          <w:p w14:paraId="6CFB1E33" w14:textId="4FAFA60C" w:rsidR="00EF7A02" w:rsidRDefault="00EF7A02">
            <w:pPr>
              <w:pStyle w:val="TOC8"/>
              <w:cnfStyle w:val="000000000000" w:firstRow="0" w:lastRow="0" w:firstColumn="0" w:lastColumn="0" w:oddVBand="0" w:evenVBand="0" w:oddHBand="0" w:evenHBand="0" w:firstRowFirstColumn="0" w:firstRowLastColumn="0" w:lastRowFirstColumn="0" w:lastRowLastColumn="0"/>
              <w:rPr>
                <w:rFonts w:eastAsiaTheme="minorEastAsia"/>
                <w:noProof/>
                <w:kern w:val="2"/>
                <w:sz w:val="24"/>
                <w:szCs w:val="24"/>
                <w:lang w:eastAsia="en-AU"/>
                <w14:ligatures w14:val="standardContextual"/>
              </w:rPr>
            </w:pPr>
            <w:hyperlink w:anchor="_Toc190333091" w:history="1">
              <w:r w:rsidRPr="00154E5A">
                <w:rPr>
                  <w:rStyle w:val="Hyperlink"/>
                  <w:noProof/>
                </w:rPr>
                <w:t>5.3</w:t>
              </w:r>
              <w:r>
                <w:rPr>
                  <w:rFonts w:eastAsiaTheme="minorEastAsia"/>
                  <w:noProof/>
                  <w:kern w:val="2"/>
                  <w:sz w:val="24"/>
                  <w:szCs w:val="24"/>
                  <w:lang w:eastAsia="en-AU"/>
                  <w14:ligatures w14:val="standardContextual"/>
                </w:rPr>
                <w:tab/>
              </w:r>
              <w:r w:rsidRPr="00154E5A">
                <w:rPr>
                  <w:rStyle w:val="Hyperlink"/>
                  <w:noProof/>
                </w:rPr>
                <w:t>Inventories</w:t>
              </w:r>
              <w:r>
                <w:rPr>
                  <w:noProof/>
                </w:rPr>
                <w:tab/>
              </w:r>
              <w:r>
                <w:rPr>
                  <w:noProof/>
                </w:rPr>
                <w:fldChar w:fldCharType="begin"/>
              </w:r>
              <w:r>
                <w:rPr>
                  <w:noProof/>
                </w:rPr>
                <w:instrText xml:space="preserve"> PAGEREF _Toc190333091 \h </w:instrText>
              </w:r>
              <w:r>
                <w:rPr>
                  <w:noProof/>
                </w:rPr>
              </w:r>
              <w:r>
                <w:rPr>
                  <w:noProof/>
                </w:rPr>
                <w:fldChar w:fldCharType="separate"/>
              </w:r>
              <w:r w:rsidR="00A74508">
                <w:rPr>
                  <w:noProof/>
                </w:rPr>
                <w:t>42</w:t>
              </w:r>
              <w:r>
                <w:rPr>
                  <w:noProof/>
                </w:rPr>
                <w:fldChar w:fldCharType="end"/>
              </w:r>
            </w:hyperlink>
          </w:p>
          <w:p w14:paraId="78C26FE7" w14:textId="455602B3" w:rsidR="00EF7A02" w:rsidRDefault="00EF7A02">
            <w:pPr>
              <w:pStyle w:val="TOC8"/>
              <w:cnfStyle w:val="000000000000" w:firstRow="0" w:lastRow="0" w:firstColumn="0" w:lastColumn="0" w:oddVBand="0" w:evenVBand="0" w:oddHBand="0" w:evenHBand="0" w:firstRowFirstColumn="0" w:firstRowLastColumn="0" w:lastRowFirstColumn="0" w:lastRowLastColumn="0"/>
              <w:rPr>
                <w:rFonts w:eastAsiaTheme="minorEastAsia"/>
                <w:noProof/>
                <w:kern w:val="2"/>
                <w:sz w:val="24"/>
                <w:szCs w:val="24"/>
                <w:lang w:eastAsia="en-AU"/>
                <w14:ligatures w14:val="standardContextual"/>
              </w:rPr>
            </w:pPr>
            <w:hyperlink w:anchor="_Toc190333092" w:history="1">
              <w:r w:rsidRPr="00154E5A">
                <w:rPr>
                  <w:rStyle w:val="Hyperlink"/>
                  <w:noProof/>
                </w:rPr>
                <w:t>5.4</w:t>
              </w:r>
              <w:r>
                <w:rPr>
                  <w:rFonts w:eastAsiaTheme="minorEastAsia"/>
                  <w:noProof/>
                  <w:kern w:val="2"/>
                  <w:sz w:val="24"/>
                  <w:szCs w:val="24"/>
                  <w:lang w:eastAsia="en-AU"/>
                  <w14:ligatures w14:val="standardContextual"/>
                </w:rPr>
                <w:tab/>
              </w:r>
              <w:r w:rsidRPr="00154E5A">
                <w:rPr>
                  <w:rStyle w:val="Hyperlink"/>
                  <w:noProof/>
                </w:rPr>
                <w:t>Other non-financial assets</w:t>
              </w:r>
              <w:r>
                <w:rPr>
                  <w:noProof/>
                </w:rPr>
                <w:tab/>
              </w:r>
              <w:r>
                <w:rPr>
                  <w:noProof/>
                </w:rPr>
                <w:fldChar w:fldCharType="begin"/>
              </w:r>
              <w:r>
                <w:rPr>
                  <w:noProof/>
                </w:rPr>
                <w:instrText xml:space="preserve"> PAGEREF _Toc190333092 \h </w:instrText>
              </w:r>
              <w:r>
                <w:rPr>
                  <w:noProof/>
                </w:rPr>
              </w:r>
              <w:r>
                <w:rPr>
                  <w:noProof/>
                </w:rPr>
                <w:fldChar w:fldCharType="separate"/>
              </w:r>
              <w:r w:rsidR="00A74508">
                <w:rPr>
                  <w:noProof/>
                </w:rPr>
                <w:t>43</w:t>
              </w:r>
              <w:r>
                <w:rPr>
                  <w:noProof/>
                </w:rPr>
                <w:fldChar w:fldCharType="end"/>
              </w:r>
            </w:hyperlink>
          </w:p>
          <w:p w14:paraId="564BE7FA" w14:textId="38D7FEE5" w:rsidR="00EF7A02" w:rsidRDefault="00EF7A02">
            <w:pPr>
              <w:pStyle w:val="TOC8"/>
              <w:cnfStyle w:val="000000000000" w:firstRow="0" w:lastRow="0" w:firstColumn="0" w:lastColumn="0" w:oddVBand="0" w:evenVBand="0" w:oddHBand="0" w:evenHBand="0" w:firstRowFirstColumn="0" w:firstRowLastColumn="0" w:lastRowFirstColumn="0" w:lastRowLastColumn="0"/>
              <w:rPr>
                <w:rFonts w:eastAsiaTheme="minorEastAsia"/>
                <w:noProof/>
                <w:kern w:val="2"/>
                <w:sz w:val="24"/>
                <w:szCs w:val="24"/>
                <w:lang w:eastAsia="en-AU"/>
                <w14:ligatures w14:val="standardContextual"/>
              </w:rPr>
            </w:pPr>
            <w:hyperlink w:anchor="_Toc190333093" w:history="1">
              <w:r w:rsidRPr="00154E5A">
                <w:rPr>
                  <w:rStyle w:val="Hyperlink"/>
                  <w:noProof/>
                </w:rPr>
                <w:t>5.5</w:t>
              </w:r>
              <w:r>
                <w:rPr>
                  <w:rFonts w:eastAsiaTheme="minorEastAsia"/>
                  <w:noProof/>
                  <w:kern w:val="2"/>
                  <w:sz w:val="24"/>
                  <w:szCs w:val="24"/>
                  <w:lang w:eastAsia="en-AU"/>
                  <w14:ligatures w14:val="standardContextual"/>
                </w:rPr>
                <w:tab/>
              </w:r>
              <w:r w:rsidRPr="00154E5A">
                <w:rPr>
                  <w:rStyle w:val="Hyperlink"/>
                  <w:noProof/>
                </w:rPr>
                <w:t>Other provisions</w:t>
              </w:r>
              <w:r>
                <w:rPr>
                  <w:noProof/>
                </w:rPr>
                <w:tab/>
              </w:r>
              <w:r>
                <w:rPr>
                  <w:noProof/>
                </w:rPr>
                <w:fldChar w:fldCharType="begin"/>
              </w:r>
              <w:r>
                <w:rPr>
                  <w:noProof/>
                </w:rPr>
                <w:instrText xml:space="preserve"> PAGEREF _Toc190333093 \h </w:instrText>
              </w:r>
              <w:r>
                <w:rPr>
                  <w:noProof/>
                </w:rPr>
              </w:r>
              <w:r>
                <w:rPr>
                  <w:noProof/>
                </w:rPr>
                <w:fldChar w:fldCharType="separate"/>
              </w:r>
              <w:r w:rsidR="00A74508">
                <w:rPr>
                  <w:noProof/>
                </w:rPr>
                <w:t>43</w:t>
              </w:r>
              <w:r>
                <w:rPr>
                  <w:noProof/>
                </w:rPr>
                <w:fldChar w:fldCharType="end"/>
              </w:r>
            </w:hyperlink>
          </w:p>
          <w:p w14:paraId="404D91F0" w14:textId="390F53C9" w:rsidR="003719CD" w:rsidRPr="00940E38" w:rsidRDefault="00EF7A02" w:rsidP="00EF7A02">
            <w:pPr>
              <w:pStyle w:val="TOC8"/>
              <w:cnfStyle w:val="000000000000" w:firstRow="0" w:lastRow="0" w:firstColumn="0" w:lastColumn="0" w:oddVBand="0" w:evenVBand="0" w:oddHBand="0" w:evenHBand="0" w:firstRowFirstColumn="0" w:firstRowLastColumn="0" w:lastRowFirstColumn="0" w:lastRowLastColumn="0"/>
            </w:pPr>
            <w:r>
              <w:fldChar w:fldCharType="end"/>
            </w:r>
          </w:p>
        </w:tc>
      </w:tr>
      <w:tr w:rsidR="003719CD" w:rsidRPr="00940E38" w14:paraId="7E72D300" w14:textId="77777777" w:rsidTr="00324A25">
        <w:trPr>
          <w:trHeight w:val="70"/>
        </w:trPr>
        <w:tc>
          <w:tcPr>
            <w:cnfStyle w:val="001000000000" w:firstRow="0" w:lastRow="0" w:firstColumn="1" w:lastColumn="0" w:oddVBand="0" w:evenVBand="0" w:oddHBand="0" w:evenHBand="0" w:firstRowFirstColumn="0" w:firstRowLastColumn="0" w:lastRowFirstColumn="0" w:lastRowLastColumn="0"/>
            <w:tcW w:w="1527" w:type="dxa"/>
            <w:vMerge w:val="restart"/>
          </w:tcPr>
          <w:p w14:paraId="2B170077" w14:textId="77777777" w:rsidR="003719CD" w:rsidRPr="00940E38" w:rsidRDefault="003719CD" w:rsidP="007D536F">
            <w:pPr>
              <w:pageBreakBefore/>
              <w:rPr>
                <w:rFonts w:ascii="Arial" w:eastAsia="Calibri" w:hAnsi="Arial" w:cs="Arial"/>
              </w:rPr>
            </w:pPr>
            <w:r w:rsidRPr="00940E38">
              <w:rPr>
                <w:rFonts w:ascii="Arial" w:eastAsia="Calibri" w:hAnsi="Arial" w:cs="Arial"/>
              </w:rPr>
              <w:t xml:space="preserve">Notes to the financial statements </w:t>
            </w:r>
            <w:r w:rsidRPr="00FA4323">
              <w:rPr>
                <w:rFonts w:ascii="Arial" w:eastAsia="Calibri" w:hAnsi="Arial" w:cs="Arial"/>
                <w:i/>
                <w:iCs/>
              </w:rPr>
              <w:t>(continued)</w:t>
            </w:r>
          </w:p>
        </w:tc>
        <w:tc>
          <w:tcPr>
            <w:tcW w:w="6976" w:type="dxa"/>
            <w:gridSpan w:val="2"/>
            <w:shd w:val="clear" w:color="auto" w:fill="E7E6E6" w:themeFill="background2"/>
          </w:tcPr>
          <w:p w14:paraId="2C79AA47" w14:textId="0E0092CF" w:rsidR="003719CD" w:rsidRPr="00940E38" w:rsidRDefault="003719CD" w:rsidP="007D536F">
            <w:pPr>
              <w:tabs>
                <w:tab w:val="left" w:pos="573"/>
              </w:tabs>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40E38">
              <w:rPr>
                <w:rFonts w:ascii="Arial" w:eastAsia="Calibri" w:hAnsi="Arial" w:cs="Arial"/>
                <w:b/>
              </w:rPr>
              <w:t xml:space="preserve">6. </w:t>
            </w:r>
            <w:r w:rsidRPr="00940E38">
              <w:rPr>
                <w:rFonts w:ascii="Arial" w:eastAsia="Calibri" w:hAnsi="Arial" w:cs="Arial"/>
                <w:b/>
              </w:rPr>
              <w:tab/>
            </w:r>
            <w:r w:rsidR="0072777D">
              <w:rPr>
                <w:rFonts w:ascii="Arial" w:eastAsia="SimHei" w:hAnsi="Arial" w:cs="Arial" w:hint="eastAsia"/>
                <w:b/>
                <w:lang w:eastAsia="zh-CN"/>
              </w:rPr>
              <w:t>How we financed</w:t>
            </w:r>
            <w:r w:rsidR="00CE38B7" w:rsidRPr="00940E38">
              <w:rPr>
                <w:rFonts w:ascii="Arial" w:eastAsia="Calibri" w:hAnsi="Arial" w:cs="Arial"/>
                <w:b/>
              </w:rPr>
              <w:t xml:space="preserve"> our operations</w:t>
            </w:r>
          </w:p>
        </w:tc>
        <w:tc>
          <w:tcPr>
            <w:tcW w:w="1131" w:type="dxa"/>
            <w:shd w:val="clear" w:color="auto" w:fill="E7E6E6" w:themeFill="background2"/>
          </w:tcPr>
          <w:p w14:paraId="52861F7D" w14:textId="7476DD12" w:rsidR="003719CD" w:rsidRPr="00761CE8" w:rsidRDefault="006177A0" w:rsidP="007D536F">
            <w:pPr>
              <w:jc w:val="right"/>
              <w:cnfStyle w:val="000000000000" w:firstRow="0" w:lastRow="0" w:firstColumn="0" w:lastColumn="0" w:oddVBand="0" w:evenVBand="0" w:oddHBand="0" w:evenHBand="0" w:firstRowFirstColumn="0" w:firstRowLastColumn="0" w:lastRowFirstColumn="0" w:lastRowLastColumn="0"/>
              <w:rPr>
                <w:b/>
                <w:bCs/>
              </w:rPr>
            </w:pPr>
            <w:r w:rsidRPr="006177A0">
              <w:rPr>
                <w:b/>
                <w:bCs/>
              </w:rPr>
              <w:fldChar w:fldCharType="begin"/>
            </w:r>
            <w:r w:rsidRPr="006177A0">
              <w:rPr>
                <w:b/>
                <w:bCs/>
              </w:rPr>
              <w:instrText xml:space="preserve"> PAGEREF  Section_</w:instrText>
            </w:r>
            <w:r w:rsidR="00723E28">
              <w:rPr>
                <w:b/>
                <w:bCs/>
              </w:rPr>
              <w:instrText>6</w:instrText>
            </w:r>
            <w:r w:rsidRPr="006177A0">
              <w:rPr>
                <w:b/>
                <w:bCs/>
              </w:rPr>
              <w:instrText xml:space="preserve"> \h  \* MERGEFORMAT </w:instrText>
            </w:r>
            <w:r w:rsidRPr="006177A0">
              <w:rPr>
                <w:b/>
                <w:bCs/>
              </w:rPr>
            </w:r>
            <w:r w:rsidRPr="006177A0">
              <w:rPr>
                <w:b/>
                <w:bCs/>
              </w:rPr>
              <w:fldChar w:fldCharType="separate"/>
            </w:r>
            <w:r w:rsidR="0054242A" w:rsidRPr="0054242A">
              <w:rPr>
                <w:b/>
                <w:bCs/>
                <w:noProof/>
                <w:lang w:val="en-US"/>
              </w:rPr>
              <w:t>44</w:t>
            </w:r>
            <w:r w:rsidRPr="006177A0">
              <w:rPr>
                <w:b/>
                <w:bCs/>
              </w:rPr>
              <w:fldChar w:fldCharType="end"/>
            </w:r>
          </w:p>
        </w:tc>
      </w:tr>
      <w:tr w:rsidR="003719CD" w:rsidRPr="00940E38" w14:paraId="691DB71E" w14:textId="77777777" w:rsidTr="00324A25">
        <w:trPr>
          <w:trHeight w:val="70"/>
        </w:trPr>
        <w:tc>
          <w:tcPr>
            <w:cnfStyle w:val="001000000000" w:firstRow="0" w:lastRow="0" w:firstColumn="1" w:lastColumn="0" w:oddVBand="0" w:evenVBand="0" w:oddHBand="0" w:evenHBand="0" w:firstRowFirstColumn="0" w:firstRowLastColumn="0" w:lastRowFirstColumn="0" w:lastRowLastColumn="0"/>
            <w:tcW w:w="1527" w:type="dxa"/>
            <w:vMerge/>
          </w:tcPr>
          <w:p w14:paraId="1615A9FA" w14:textId="77777777" w:rsidR="003719CD" w:rsidRPr="00940E38" w:rsidRDefault="003719CD" w:rsidP="007D536F">
            <w:pPr>
              <w:rPr>
                <w:rFonts w:ascii="Arial" w:eastAsia="Calibri" w:hAnsi="Arial" w:cs="Arial"/>
              </w:rPr>
            </w:pPr>
          </w:p>
        </w:tc>
        <w:tc>
          <w:tcPr>
            <w:tcW w:w="6976" w:type="dxa"/>
            <w:gridSpan w:val="2"/>
          </w:tcPr>
          <w:p w14:paraId="5826A2C7" w14:textId="255F278B" w:rsidR="003719CD" w:rsidRPr="00940E38" w:rsidRDefault="00CE38B7" w:rsidP="007D536F">
            <w:pPr>
              <w:cnfStyle w:val="000000000000" w:firstRow="0" w:lastRow="0" w:firstColumn="0" w:lastColumn="0" w:oddVBand="0" w:evenVBand="0" w:oddHBand="0" w:evenHBand="0" w:firstRowFirstColumn="0" w:firstRowLastColumn="0" w:lastRowFirstColumn="0" w:lastRowLastColumn="0"/>
              <w:rPr>
                <w:b/>
              </w:rPr>
            </w:pPr>
            <w:r w:rsidRPr="00940E38">
              <w:t>Borrowings, cash flow information</w:t>
            </w:r>
            <w:r>
              <w:rPr>
                <w:rFonts w:hint="eastAsia"/>
                <w:lang w:eastAsia="zh-CN"/>
              </w:rPr>
              <w:t xml:space="preserve"> and</w:t>
            </w:r>
            <w:r w:rsidRPr="00940E38">
              <w:t xml:space="preserve"> leases</w:t>
            </w:r>
          </w:p>
        </w:tc>
        <w:tc>
          <w:tcPr>
            <w:tcW w:w="1131" w:type="dxa"/>
          </w:tcPr>
          <w:p w14:paraId="5D3F86A8" w14:textId="77777777" w:rsidR="003719CD" w:rsidRPr="00940E38" w:rsidRDefault="003719CD" w:rsidP="007D536F">
            <w:pPr>
              <w:jc w:val="right"/>
              <w:cnfStyle w:val="000000000000" w:firstRow="0" w:lastRow="0" w:firstColumn="0" w:lastColumn="0" w:oddVBand="0" w:evenVBand="0" w:oddHBand="0" w:evenHBand="0" w:firstRowFirstColumn="0" w:firstRowLastColumn="0" w:lastRowFirstColumn="0" w:lastRowLastColumn="0"/>
            </w:pPr>
          </w:p>
        </w:tc>
      </w:tr>
      <w:tr w:rsidR="003719CD" w:rsidRPr="00940E38" w14:paraId="57BF9A9B" w14:textId="77777777" w:rsidTr="00324A25">
        <w:trPr>
          <w:trHeight w:val="70"/>
        </w:trPr>
        <w:tc>
          <w:tcPr>
            <w:cnfStyle w:val="001000000000" w:firstRow="0" w:lastRow="0" w:firstColumn="1" w:lastColumn="0" w:oddVBand="0" w:evenVBand="0" w:oddHBand="0" w:evenHBand="0" w:firstRowFirstColumn="0" w:firstRowLastColumn="0" w:lastRowFirstColumn="0" w:lastRowLastColumn="0"/>
            <w:tcW w:w="1527" w:type="dxa"/>
            <w:vMerge/>
          </w:tcPr>
          <w:p w14:paraId="3406DCCE" w14:textId="77777777" w:rsidR="003719CD" w:rsidRPr="00940E38" w:rsidRDefault="003719CD" w:rsidP="007D536F">
            <w:pPr>
              <w:rPr>
                <w:rFonts w:ascii="Arial" w:eastAsia="Calibri" w:hAnsi="Arial" w:cs="Arial"/>
              </w:rPr>
            </w:pPr>
          </w:p>
        </w:tc>
        <w:tc>
          <w:tcPr>
            <w:tcW w:w="8107" w:type="dxa"/>
            <w:gridSpan w:val="3"/>
          </w:tcPr>
          <w:p w14:paraId="171C464C" w14:textId="7A8ED273" w:rsidR="007F12C4" w:rsidRDefault="00EF7A02">
            <w:pPr>
              <w:pStyle w:val="TOC8"/>
              <w:cnfStyle w:val="000000000000" w:firstRow="0" w:lastRow="0" w:firstColumn="0" w:lastColumn="0" w:oddVBand="0" w:evenVBand="0" w:oddHBand="0" w:evenHBand="0" w:firstRowFirstColumn="0" w:firstRowLastColumn="0" w:lastRowFirstColumn="0" w:lastRowLastColumn="0"/>
              <w:rPr>
                <w:rFonts w:eastAsiaTheme="minorEastAsia"/>
                <w:noProof/>
                <w:kern w:val="2"/>
                <w:sz w:val="24"/>
                <w:szCs w:val="24"/>
                <w:lang w:eastAsia="en-AU"/>
                <w14:ligatures w14:val="standardContextual"/>
              </w:rPr>
            </w:pPr>
            <w:r>
              <w:fldChar w:fldCharType="begin"/>
            </w:r>
            <w:r>
              <w:instrText xml:space="preserve"> TOC \h \t "Heading 2 numbered,8" \b Section_6 </w:instrText>
            </w:r>
            <w:r>
              <w:fldChar w:fldCharType="separate"/>
            </w:r>
            <w:hyperlink w:anchor="_Toc190333173" w:history="1">
              <w:r w:rsidR="007F12C4" w:rsidRPr="001D33CE">
                <w:rPr>
                  <w:rStyle w:val="Hyperlink"/>
                  <w:noProof/>
                </w:rPr>
                <w:t>6.1</w:t>
              </w:r>
              <w:r w:rsidR="007F12C4">
                <w:rPr>
                  <w:rFonts w:eastAsiaTheme="minorEastAsia"/>
                  <w:noProof/>
                  <w:kern w:val="2"/>
                  <w:sz w:val="24"/>
                  <w:szCs w:val="24"/>
                  <w:lang w:eastAsia="en-AU"/>
                  <w14:ligatures w14:val="standardContextual"/>
                </w:rPr>
                <w:tab/>
              </w:r>
              <w:r w:rsidR="007F12C4" w:rsidRPr="001D33CE">
                <w:rPr>
                  <w:rStyle w:val="Hyperlink"/>
                  <w:noProof/>
                </w:rPr>
                <w:t>Borrowings</w:t>
              </w:r>
              <w:r w:rsidR="007F12C4">
                <w:rPr>
                  <w:noProof/>
                </w:rPr>
                <w:tab/>
              </w:r>
              <w:r w:rsidR="007F12C4">
                <w:rPr>
                  <w:noProof/>
                </w:rPr>
                <w:fldChar w:fldCharType="begin"/>
              </w:r>
              <w:r w:rsidR="007F12C4">
                <w:rPr>
                  <w:noProof/>
                </w:rPr>
                <w:instrText xml:space="preserve"> PAGEREF _Toc190333173 \h </w:instrText>
              </w:r>
              <w:r w:rsidR="007F12C4">
                <w:rPr>
                  <w:noProof/>
                </w:rPr>
              </w:r>
              <w:r w:rsidR="007F12C4">
                <w:rPr>
                  <w:noProof/>
                </w:rPr>
                <w:fldChar w:fldCharType="separate"/>
              </w:r>
              <w:r w:rsidR="00A74508">
                <w:rPr>
                  <w:noProof/>
                </w:rPr>
                <w:t>45</w:t>
              </w:r>
              <w:r w:rsidR="007F12C4">
                <w:rPr>
                  <w:noProof/>
                </w:rPr>
                <w:fldChar w:fldCharType="end"/>
              </w:r>
            </w:hyperlink>
          </w:p>
          <w:p w14:paraId="32C18DDA" w14:textId="29ED6039" w:rsidR="007F12C4" w:rsidRDefault="007F12C4">
            <w:pPr>
              <w:pStyle w:val="TOC8"/>
              <w:cnfStyle w:val="000000000000" w:firstRow="0" w:lastRow="0" w:firstColumn="0" w:lastColumn="0" w:oddVBand="0" w:evenVBand="0" w:oddHBand="0" w:evenHBand="0" w:firstRowFirstColumn="0" w:firstRowLastColumn="0" w:lastRowFirstColumn="0" w:lastRowLastColumn="0"/>
              <w:rPr>
                <w:rFonts w:eastAsiaTheme="minorEastAsia"/>
                <w:noProof/>
                <w:kern w:val="2"/>
                <w:sz w:val="24"/>
                <w:szCs w:val="24"/>
                <w:lang w:eastAsia="en-AU"/>
                <w14:ligatures w14:val="standardContextual"/>
              </w:rPr>
            </w:pPr>
            <w:hyperlink w:anchor="_Toc190333174" w:history="1">
              <w:r w:rsidRPr="001D33CE">
                <w:rPr>
                  <w:rStyle w:val="Hyperlink"/>
                  <w:noProof/>
                </w:rPr>
                <w:t>6.2</w:t>
              </w:r>
              <w:r>
                <w:rPr>
                  <w:rFonts w:eastAsiaTheme="minorEastAsia"/>
                  <w:noProof/>
                  <w:kern w:val="2"/>
                  <w:sz w:val="24"/>
                  <w:szCs w:val="24"/>
                  <w:lang w:eastAsia="en-AU"/>
                  <w14:ligatures w14:val="standardContextual"/>
                </w:rPr>
                <w:tab/>
              </w:r>
              <w:r w:rsidRPr="001D33CE">
                <w:rPr>
                  <w:rStyle w:val="Hyperlink"/>
                  <w:noProof/>
                </w:rPr>
                <w:t>Leases</w:t>
              </w:r>
              <w:r>
                <w:rPr>
                  <w:noProof/>
                </w:rPr>
                <w:tab/>
              </w:r>
              <w:r>
                <w:rPr>
                  <w:noProof/>
                </w:rPr>
                <w:fldChar w:fldCharType="begin"/>
              </w:r>
              <w:r>
                <w:rPr>
                  <w:noProof/>
                </w:rPr>
                <w:instrText xml:space="preserve"> PAGEREF _Toc190333174 \h </w:instrText>
              </w:r>
              <w:r>
                <w:rPr>
                  <w:noProof/>
                </w:rPr>
              </w:r>
              <w:r>
                <w:rPr>
                  <w:noProof/>
                </w:rPr>
                <w:fldChar w:fldCharType="separate"/>
              </w:r>
              <w:r w:rsidR="00A74508">
                <w:rPr>
                  <w:noProof/>
                </w:rPr>
                <w:t>47</w:t>
              </w:r>
              <w:r>
                <w:rPr>
                  <w:noProof/>
                </w:rPr>
                <w:fldChar w:fldCharType="end"/>
              </w:r>
            </w:hyperlink>
          </w:p>
          <w:p w14:paraId="466BBF88" w14:textId="639C2CA8" w:rsidR="007F12C4" w:rsidRDefault="007F12C4">
            <w:pPr>
              <w:pStyle w:val="TOC8"/>
              <w:cnfStyle w:val="000000000000" w:firstRow="0" w:lastRow="0" w:firstColumn="0" w:lastColumn="0" w:oddVBand="0" w:evenVBand="0" w:oddHBand="0" w:evenHBand="0" w:firstRowFirstColumn="0" w:firstRowLastColumn="0" w:lastRowFirstColumn="0" w:lastRowLastColumn="0"/>
              <w:rPr>
                <w:rFonts w:eastAsiaTheme="minorEastAsia"/>
                <w:noProof/>
                <w:kern w:val="2"/>
                <w:sz w:val="24"/>
                <w:szCs w:val="24"/>
                <w:lang w:eastAsia="en-AU"/>
                <w14:ligatures w14:val="standardContextual"/>
              </w:rPr>
            </w:pPr>
            <w:hyperlink w:anchor="_Toc190333175" w:history="1">
              <w:r w:rsidRPr="001D33CE">
                <w:rPr>
                  <w:rStyle w:val="Hyperlink"/>
                  <w:noProof/>
                </w:rPr>
                <w:t>6.3</w:t>
              </w:r>
              <w:r>
                <w:rPr>
                  <w:rFonts w:eastAsiaTheme="minorEastAsia"/>
                  <w:noProof/>
                  <w:kern w:val="2"/>
                  <w:sz w:val="24"/>
                  <w:szCs w:val="24"/>
                  <w:lang w:eastAsia="en-AU"/>
                  <w14:ligatures w14:val="standardContextual"/>
                </w:rPr>
                <w:tab/>
              </w:r>
              <w:r w:rsidRPr="001D33CE">
                <w:rPr>
                  <w:rStyle w:val="Hyperlink"/>
                  <w:noProof/>
                </w:rPr>
                <w:t>Cash flow information and balances</w:t>
              </w:r>
              <w:r>
                <w:rPr>
                  <w:noProof/>
                </w:rPr>
                <w:tab/>
              </w:r>
              <w:r>
                <w:rPr>
                  <w:noProof/>
                </w:rPr>
                <w:fldChar w:fldCharType="begin"/>
              </w:r>
              <w:r>
                <w:rPr>
                  <w:noProof/>
                </w:rPr>
                <w:instrText xml:space="preserve"> PAGEREF _Toc190333175 \h </w:instrText>
              </w:r>
              <w:r>
                <w:rPr>
                  <w:noProof/>
                </w:rPr>
              </w:r>
              <w:r>
                <w:rPr>
                  <w:noProof/>
                </w:rPr>
                <w:fldChar w:fldCharType="separate"/>
              </w:r>
              <w:r w:rsidR="00A74508">
                <w:rPr>
                  <w:noProof/>
                </w:rPr>
                <w:t>49</w:t>
              </w:r>
              <w:r>
                <w:rPr>
                  <w:noProof/>
                </w:rPr>
                <w:fldChar w:fldCharType="end"/>
              </w:r>
            </w:hyperlink>
          </w:p>
          <w:p w14:paraId="2E9FAE5B" w14:textId="3050D6DC" w:rsidR="007F12C4" w:rsidRDefault="007F12C4">
            <w:pPr>
              <w:pStyle w:val="TOC8"/>
              <w:cnfStyle w:val="000000000000" w:firstRow="0" w:lastRow="0" w:firstColumn="0" w:lastColumn="0" w:oddVBand="0" w:evenVBand="0" w:oddHBand="0" w:evenHBand="0" w:firstRowFirstColumn="0" w:firstRowLastColumn="0" w:lastRowFirstColumn="0" w:lastRowLastColumn="0"/>
              <w:rPr>
                <w:rFonts w:eastAsiaTheme="minorEastAsia"/>
                <w:noProof/>
                <w:kern w:val="2"/>
                <w:sz w:val="24"/>
                <w:szCs w:val="24"/>
                <w:lang w:eastAsia="en-AU"/>
                <w14:ligatures w14:val="standardContextual"/>
              </w:rPr>
            </w:pPr>
            <w:hyperlink w:anchor="_Toc190333176" w:history="1">
              <w:r w:rsidRPr="001D33CE">
                <w:rPr>
                  <w:rStyle w:val="Hyperlink"/>
                  <w:noProof/>
                </w:rPr>
                <w:t>6.4</w:t>
              </w:r>
              <w:r>
                <w:rPr>
                  <w:rFonts w:eastAsiaTheme="minorEastAsia"/>
                  <w:noProof/>
                  <w:kern w:val="2"/>
                  <w:sz w:val="24"/>
                  <w:szCs w:val="24"/>
                  <w:lang w:eastAsia="en-AU"/>
                  <w14:ligatures w14:val="standardContextual"/>
                </w:rPr>
                <w:tab/>
              </w:r>
              <w:r w:rsidRPr="001D33CE">
                <w:rPr>
                  <w:rStyle w:val="Hyperlink"/>
                  <w:noProof/>
                </w:rPr>
                <w:t>Commitments for expenditure</w:t>
              </w:r>
              <w:r>
                <w:rPr>
                  <w:noProof/>
                </w:rPr>
                <w:tab/>
              </w:r>
              <w:r>
                <w:rPr>
                  <w:noProof/>
                </w:rPr>
                <w:fldChar w:fldCharType="begin"/>
              </w:r>
              <w:r>
                <w:rPr>
                  <w:noProof/>
                </w:rPr>
                <w:instrText xml:space="preserve"> PAGEREF _Toc190333176 \h </w:instrText>
              </w:r>
              <w:r>
                <w:rPr>
                  <w:noProof/>
                </w:rPr>
              </w:r>
              <w:r>
                <w:rPr>
                  <w:noProof/>
                </w:rPr>
                <w:fldChar w:fldCharType="separate"/>
              </w:r>
              <w:r w:rsidR="00A74508">
                <w:rPr>
                  <w:noProof/>
                </w:rPr>
                <w:t>50</w:t>
              </w:r>
              <w:r>
                <w:rPr>
                  <w:noProof/>
                </w:rPr>
                <w:fldChar w:fldCharType="end"/>
              </w:r>
            </w:hyperlink>
          </w:p>
          <w:p w14:paraId="16871865" w14:textId="3EF0ACC1" w:rsidR="00EF7A02" w:rsidRPr="00EF7A02" w:rsidRDefault="00EF7A02" w:rsidP="00EF7A02">
            <w:pPr>
              <w:cnfStyle w:val="000000000000" w:firstRow="0" w:lastRow="0" w:firstColumn="0" w:lastColumn="0" w:oddVBand="0" w:evenVBand="0" w:oddHBand="0" w:evenHBand="0" w:firstRowFirstColumn="0" w:firstRowLastColumn="0" w:lastRowFirstColumn="0" w:lastRowLastColumn="0"/>
            </w:pPr>
            <w:r>
              <w:fldChar w:fldCharType="end"/>
            </w:r>
          </w:p>
        </w:tc>
      </w:tr>
      <w:tr w:rsidR="003719CD" w:rsidRPr="00940E38" w14:paraId="051933EE" w14:textId="77777777" w:rsidTr="00324A25">
        <w:trPr>
          <w:trHeight w:val="70"/>
        </w:trPr>
        <w:tc>
          <w:tcPr>
            <w:cnfStyle w:val="001000000000" w:firstRow="0" w:lastRow="0" w:firstColumn="1" w:lastColumn="0" w:oddVBand="0" w:evenVBand="0" w:oddHBand="0" w:evenHBand="0" w:firstRowFirstColumn="0" w:firstRowLastColumn="0" w:lastRowFirstColumn="0" w:lastRowLastColumn="0"/>
            <w:tcW w:w="1527" w:type="dxa"/>
          </w:tcPr>
          <w:p w14:paraId="6C9B03D3" w14:textId="77777777" w:rsidR="003719CD" w:rsidRPr="00940E38" w:rsidRDefault="003719CD" w:rsidP="007D536F">
            <w:pPr>
              <w:rPr>
                <w:rFonts w:ascii="Arial" w:eastAsia="Calibri" w:hAnsi="Arial" w:cs="Arial"/>
              </w:rPr>
            </w:pPr>
          </w:p>
        </w:tc>
        <w:tc>
          <w:tcPr>
            <w:tcW w:w="6976" w:type="dxa"/>
            <w:gridSpan w:val="2"/>
            <w:shd w:val="clear" w:color="auto" w:fill="E7E6E6" w:themeFill="background2"/>
          </w:tcPr>
          <w:p w14:paraId="11EE957D" w14:textId="123888C7" w:rsidR="003719CD" w:rsidRPr="00940E38" w:rsidRDefault="003719CD" w:rsidP="007D536F">
            <w:pPr>
              <w:tabs>
                <w:tab w:val="left" w:pos="573"/>
              </w:tabs>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40E38">
              <w:rPr>
                <w:rFonts w:ascii="Arial" w:eastAsia="Calibri" w:hAnsi="Arial" w:cs="Arial"/>
                <w:b/>
              </w:rPr>
              <w:t xml:space="preserve">7. </w:t>
            </w:r>
            <w:r w:rsidRPr="00940E38">
              <w:rPr>
                <w:rFonts w:ascii="Arial" w:eastAsia="Calibri" w:hAnsi="Arial" w:cs="Arial"/>
                <w:b/>
              </w:rPr>
              <w:tab/>
            </w:r>
            <w:r w:rsidR="00CE38B7">
              <w:rPr>
                <w:rFonts w:ascii="Arial" w:eastAsia="SimHei" w:hAnsi="Arial" w:cs="Arial" w:hint="eastAsia"/>
                <w:b/>
                <w:lang w:eastAsia="zh-CN"/>
              </w:rPr>
              <w:t xml:space="preserve">Financial instruments, </w:t>
            </w:r>
            <w:r w:rsidR="00CE38B7" w:rsidRPr="00940E38">
              <w:rPr>
                <w:rFonts w:ascii="Arial" w:eastAsia="Calibri" w:hAnsi="Arial" w:cs="Arial"/>
                <w:b/>
              </w:rPr>
              <w:t>contingencies and valuation judgements</w:t>
            </w:r>
          </w:p>
        </w:tc>
        <w:tc>
          <w:tcPr>
            <w:tcW w:w="1131" w:type="dxa"/>
            <w:shd w:val="clear" w:color="auto" w:fill="E7E6E6" w:themeFill="background2"/>
          </w:tcPr>
          <w:p w14:paraId="08E99C2E" w14:textId="63B12CF0" w:rsidR="003719CD" w:rsidRPr="00761CE8" w:rsidRDefault="00723E28" w:rsidP="007D536F">
            <w:pPr>
              <w:jc w:val="right"/>
              <w:cnfStyle w:val="000000000000" w:firstRow="0" w:lastRow="0" w:firstColumn="0" w:lastColumn="0" w:oddVBand="0" w:evenVBand="0" w:oddHBand="0" w:evenHBand="0" w:firstRowFirstColumn="0" w:firstRowLastColumn="0" w:lastRowFirstColumn="0" w:lastRowLastColumn="0"/>
              <w:rPr>
                <w:b/>
                <w:bCs/>
              </w:rPr>
            </w:pPr>
            <w:r w:rsidRPr="006177A0">
              <w:rPr>
                <w:b/>
                <w:bCs/>
              </w:rPr>
              <w:fldChar w:fldCharType="begin"/>
            </w:r>
            <w:r w:rsidRPr="006177A0">
              <w:rPr>
                <w:b/>
                <w:bCs/>
              </w:rPr>
              <w:instrText xml:space="preserve"> PAGEREF  Section_</w:instrText>
            </w:r>
            <w:r>
              <w:rPr>
                <w:b/>
                <w:bCs/>
              </w:rPr>
              <w:instrText>7</w:instrText>
            </w:r>
            <w:r w:rsidRPr="006177A0">
              <w:rPr>
                <w:b/>
                <w:bCs/>
              </w:rPr>
              <w:instrText xml:space="preserve"> \h  \* MERGEFORMAT </w:instrText>
            </w:r>
            <w:r w:rsidRPr="006177A0">
              <w:rPr>
                <w:b/>
                <w:bCs/>
              </w:rPr>
            </w:r>
            <w:r w:rsidRPr="006177A0">
              <w:rPr>
                <w:b/>
                <w:bCs/>
              </w:rPr>
              <w:fldChar w:fldCharType="separate"/>
            </w:r>
            <w:r w:rsidR="0054242A" w:rsidRPr="0054242A">
              <w:rPr>
                <w:b/>
                <w:bCs/>
                <w:noProof/>
                <w:lang w:val="en-US"/>
              </w:rPr>
              <w:t>50</w:t>
            </w:r>
            <w:r w:rsidRPr="006177A0">
              <w:rPr>
                <w:b/>
                <w:bCs/>
              </w:rPr>
              <w:fldChar w:fldCharType="end"/>
            </w:r>
          </w:p>
        </w:tc>
      </w:tr>
      <w:tr w:rsidR="003719CD" w:rsidRPr="00940E38" w14:paraId="740DBACF" w14:textId="77777777" w:rsidTr="00324A25">
        <w:trPr>
          <w:trHeight w:val="70"/>
        </w:trPr>
        <w:tc>
          <w:tcPr>
            <w:cnfStyle w:val="001000000000" w:firstRow="0" w:lastRow="0" w:firstColumn="1" w:lastColumn="0" w:oddVBand="0" w:evenVBand="0" w:oddHBand="0" w:evenHBand="0" w:firstRowFirstColumn="0" w:firstRowLastColumn="0" w:lastRowFirstColumn="0" w:lastRowLastColumn="0"/>
            <w:tcW w:w="1527" w:type="dxa"/>
          </w:tcPr>
          <w:p w14:paraId="32E9F32D" w14:textId="77777777" w:rsidR="003719CD" w:rsidRPr="00940E38" w:rsidRDefault="003719CD" w:rsidP="007D536F">
            <w:pPr>
              <w:rPr>
                <w:rFonts w:ascii="Arial" w:eastAsia="Calibri" w:hAnsi="Arial" w:cs="Arial"/>
              </w:rPr>
            </w:pPr>
          </w:p>
        </w:tc>
        <w:tc>
          <w:tcPr>
            <w:tcW w:w="6976" w:type="dxa"/>
            <w:gridSpan w:val="2"/>
          </w:tcPr>
          <w:p w14:paraId="5422C449" w14:textId="5D47277E" w:rsidR="003719CD" w:rsidRPr="00940E38" w:rsidRDefault="00CE38B7" w:rsidP="007D536F">
            <w:pPr>
              <w:cnfStyle w:val="000000000000" w:firstRow="0" w:lastRow="0" w:firstColumn="0" w:lastColumn="0" w:oddVBand="0" w:evenVBand="0" w:oddHBand="0" w:evenHBand="0" w:firstRowFirstColumn="0" w:firstRowLastColumn="0" w:lastRowFirstColumn="0" w:lastRowLastColumn="0"/>
              <w:rPr>
                <w:b/>
              </w:rPr>
            </w:pPr>
            <w:r>
              <w:rPr>
                <w:rFonts w:hint="eastAsia"/>
                <w:lang w:eastAsia="zh-CN"/>
              </w:rPr>
              <w:t xml:space="preserve">Financial instruments, </w:t>
            </w:r>
            <w:r w:rsidRPr="00940E38">
              <w:t>contingent assets and liabilities as well as fair value determination</w:t>
            </w:r>
          </w:p>
        </w:tc>
        <w:tc>
          <w:tcPr>
            <w:tcW w:w="1131" w:type="dxa"/>
          </w:tcPr>
          <w:p w14:paraId="54D11489" w14:textId="77777777" w:rsidR="003719CD" w:rsidRPr="00940E38" w:rsidRDefault="003719CD" w:rsidP="007D536F">
            <w:pPr>
              <w:jc w:val="right"/>
              <w:cnfStyle w:val="000000000000" w:firstRow="0" w:lastRow="0" w:firstColumn="0" w:lastColumn="0" w:oddVBand="0" w:evenVBand="0" w:oddHBand="0" w:evenHBand="0" w:firstRowFirstColumn="0" w:firstRowLastColumn="0" w:lastRowFirstColumn="0" w:lastRowLastColumn="0"/>
            </w:pPr>
          </w:p>
        </w:tc>
      </w:tr>
      <w:tr w:rsidR="003719CD" w:rsidRPr="00940E38" w14:paraId="70DB894F" w14:textId="77777777" w:rsidTr="00324A25">
        <w:trPr>
          <w:trHeight w:val="920"/>
        </w:trPr>
        <w:tc>
          <w:tcPr>
            <w:cnfStyle w:val="001000000000" w:firstRow="0" w:lastRow="0" w:firstColumn="1" w:lastColumn="0" w:oddVBand="0" w:evenVBand="0" w:oddHBand="0" w:evenHBand="0" w:firstRowFirstColumn="0" w:firstRowLastColumn="0" w:lastRowFirstColumn="0" w:lastRowLastColumn="0"/>
            <w:tcW w:w="1527" w:type="dxa"/>
          </w:tcPr>
          <w:p w14:paraId="4DC49EBE" w14:textId="77777777" w:rsidR="003719CD" w:rsidRPr="00940E38" w:rsidRDefault="003719CD" w:rsidP="007D536F">
            <w:pPr>
              <w:rPr>
                <w:rFonts w:ascii="Arial" w:eastAsia="Calibri" w:hAnsi="Arial" w:cs="Arial"/>
              </w:rPr>
            </w:pPr>
          </w:p>
        </w:tc>
        <w:tc>
          <w:tcPr>
            <w:tcW w:w="8107" w:type="dxa"/>
            <w:gridSpan w:val="3"/>
          </w:tcPr>
          <w:p w14:paraId="441E5D7A" w14:textId="7F5DCFF4" w:rsidR="001946E5" w:rsidRDefault="001946E5">
            <w:pPr>
              <w:pStyle w:val="TOC8"/>
              <w:cnfStyle w:val="000000000000" w:firstRow="0" w:lastRow="0" w:firstColumn="0" w:lastColumn="0" w:oddVBand="0" w:evenVBand="0" w:oddHBand="0" w:evenHBand="0" w:firstRowFirstColumn="0" w:firstRowLastColumn="0" w:lastRowFirstColumn="0" w:lastRowLastColumn="0"/>
              <w:rPr>
                <w:rFonts w:eastAsiaTheme="minorEastAsia"/>
                <w:noProof/>
                <w:kern w:val="2"/>
                <w:sz w:val="24"/>
                <w:szCs w:val="24"/>
                <w:lang w:eastAsia="en-AU"/>
                <w14:ligatures w14:val="standardContextual"/>
              </w:rPr>
            </w:pPr>
            <w:r>
              <w:fldChar w:fldCharType="begin"/>
            </w:r>
            <w:r>
              <w:instrText xml:space="preserve"> TOC \h \t "Heading 2 numbered,8" \b Section_7 </w:instrText>
            </w:r>
            <w:r>
              <w:fldChar w:fldCharType="separate"/>
            </w:r>
            <w:hyperlink w:anchor="_Toc190333399" w:history="1">
              <w:r w:rsidRPr="00FC4941">
                <w:rPr>
                  <w:rStyle w:val="Hyperlink"/>
                  <w:noProof/>
                </w:rPr>
                <w:t>7.1</w:t>
              </w:r>
              <w:r>
                <w:rPr>
                  <w:rFonts w:eastAsiaTheme="minorEastAsia"/>
                  <w:noProof/>
                  <w:kern w:val="2"/>
                  <w:sz w:val="24"/>
                  <w:szCs w:val="24"/>
                  <w:lang w:eastAsia="en-AU"/>
                  <w14:ligatures w14:val="standardContextual"/>
                </w:rPr>
                <w:tab/>
              </w:r>
              <w:r w:rsidRPr="00FC4941">
                <w:rPr>
                  <w:rStyle w:val="Hyperlink"/>
                  <w:noProof/>
                </w:rPr>
                <w:t>Financial instruments specific disclosures</w:t>
              </w:r>
              <w:r>
                <w:rPr>
                  <w:noProof/>
                </w:rPr>
                <w:tab/>
              </w:r>
              <w:r>
                <w:rPr>
                  <w:noProof/>
                </w:rPr>
                <w:fldChar w:fldCharType="begin"/>
              </w:r>
              <w:r>
                <w:rPr>
                  <w:noProof/>
                </w:rPr>
                <w:instrText xml:space="preserve"> PAGEREF _Toc190333399 \h </w:instrText>
              </w:r>
              <w:r>
                <w:rPr>
                  <w:noProof/>
                </w:rPr>
              </w:r>
              <w:r>
                <w:rPr>
                  <w:noProof/>
                </w:rPr>
                <w:fldChar w:fldCharType="separate"/>
              </w:r>
              <w:r w:rsidR="00A74508">
                <w:rPr>
                  <w:noProof/>
                </w:rPr>
                <w:t>51</w:t>
              </w:r>
              <w:r>
                <w:rPr>
                  <w:noProof/>
                </w:rPr>
                <w:fldChar w:fldCharType="end"/>
              </w:r>
            </w:hyperlink>
          </w:p>
          <w:p w14:paraId="5BF4F07A" w14:textId="57B04F27" w:rsidR="001946E5" w:rsidRDefault="001946E5">
            <w:pPr>
              <w:pStyle w:val="TOC8"/>
              <w:cnfStyle w:val="000000000000" w:firstRow="0" w:lastRow="0" w:firstColumn="0" w:lastColumn="0" w:oddVBand="0" w:evenVBand="0" w:oddHBand="0" w:evenHBand="0" w:firstRowFirstColumn="0" w:firstRowLastColumn="0" w:lastRowFirstColumn="0" w:lastRowLastColumn="0"/>
              <w:rPr>
                <w:rFonts w:eastAsiaTheme="minorEastAsia"/>
                <w:noProof/>
                <w:kern w:val="2"/>
                <w:sz w:val="24"/>
                <w:szCs w:val="24"/>
                <w:lang w:eastAsia="en-AU"/>
                <w14:ligatures w14:val="standardContextual"/>
              </w:rPr>
            </w:pPr>
            <w:hyperlink w:anchor="_Toc190333400" w:history="1">
              <w:r w:rsidRPr="00FC4941">
                <w:rPr>
                  <w:rStyle w:val="Hyperlink"/>
                  <w:noProof/>
                </w:rPr>
                <w:t>7.2</w:t>
              </w:r>
              <w:r>
                <w:rPr>
                  <w:rFonts w:eastAsiaTheme="minorEastAsia"/>
                  <w:noProof/>
                  <w:kern w:val="2"/>
                  <w:sz w:val="24"/>
                  <w:szCs w:val="24"/>
                  <w:lang w:eastAsia="en-AU"/>
                  <w14:ligatures w14:val="standardContextual"/>
                </w:rPr>
                <w:tab/>
              </w:r>
              <w:r w:rsidRPr="00FC4941">
                <w:rPr>
                  <w:rStyle w:val="Hyperlink"/>
                  <w:noProof/>
                </w:rPr>
                <w:t>Contingent assets and contingent liabilities</w:t>
              </w:r>
              <w:r>
                <w:rPr>
                  <w:noProof/>
                </w:rPr>
                <w:tab/>
              </w:r>
              <w:r>
                <w:rPr>
                  <w:noProof/>
                </w:rPr>
                <w:fldChar w:fldCharType="begin"/>
              </w:r>
              <w:r>
                <w:rPr>
                  <w:noProof/>
                </w:rPr>
                <w:instrText xml:space="preserve"> PAGEREF _Toc190333400 \h </w:instrText>
              </w:r>
              <w:r>
                <w:rPr>
                  <w:noProof/>
                </w:rPr>
              </w:r>
              <w:r>
                <w:rPr>
                  <w:noProof/>
                </w:rPr>
                <w:fldChar w:fldCharType="separate"/>
              </w:r>
              <w:r w:rsidR="00A74508">
                <w:rPr>
                  <w:noProof/>
                </w:rPr>
                <w:t>55</w:t>
              </w:r>
              <w:r>
                <w:rPr>
                  <w:noProof/>
                </w:rPr>
                <w:fldChar w:fldCharType="end"/>
              </w:r>
            </w:hyperlink>
          </w:p>
          <w:p w14:paraId="5EBA6C62" w14:textId="1679EABE" w:rsidR="001946E5" w:rsidRDefault="001946E5">
            <w:pPr>
              <w:pStyle w:val="TOC8"/>
              <w:cnfStyle w:val="000000000000" w:firstRow="0" w:lastRow="0" w:firstColumn="0" w:lastColumn="0" w:oddVBand="0" w:evenVBand="0" w:oddHBand="0" w:evenHBand="0" w:firstRowFirstColumn="0" w:firstRowLastColumn="0" w:lastRowFirstColumn="0" w:lastRowLastColumn="0"/>
              <w:rPr>
                <w:rFonts w:eastAsiaTheme="minorEastAsia"/>
                <w:noProof/>
                <w:kern w:val="2"/>
                <w:sz w:val="24"/>
                <w:szCs w:val="24"/>
                <w:lang w:eastAsia="en-AU"/>
                <w14:ligatures w14:val="standardContextual"/>
              </w:rPr>
            </w:pPr>
            <w:hyperlink w:anchor="_Toc190333401" w:history="1">
              <w:r w:rsidRPr="00FC4941">
                <w:rPr>
                  <w:rStyle w:val="Hyperlink"/>
                  <w:noProof/>
                </w:rPr>
                <w:t>7.3</w:t>
              </w:r>
              <w:r>
                <w:rPr>
                  <w:rFonts w:eastAsiaTheme="minorEastAsia"/>
                  <w:noProof/>
                  <w:kern w:val="2"/>
                  <w:sz w:val="24"/>
                  <w:szCs w:val="24"/>
                  <w:lang w:eastAsia="en-AU"/>
                  <w14:ligatures w14:val="standardContextual"/>
                </w:rPr>
                <w:tab/>
              </w:r>
              <w:r w:rsidRPr="00FC4941">
                <w:rPr>
                  <w:rStyle w:val="Hyperlink"/>
                  <w:noProof/>
                </w:rPr>
                <w:t>Fair value determination</w:t>
              </w:r>
              <w:r>
                <w:rPr>
                  <w:noProof/>
                </w:rPr>
                <w:tab/>
              </w:r>
              <w:r>
                <w:rPr>
                  <w:noProof/>
                </w:rPr>
                <w:fldChar w:fldCharType="begin"/>
              </w:r>
              <w:r>
                <w:rPr>
                  <w:noProof/>
                </w:rPr>
                <w:instrText xml:space="preserve"> PAGEREF _Toc190333401 \h </w:instrText>
              </w:r>
              <w:r>
                <w:rPr>
                  <w:noProof/>
                </w:rPr>
              </w:r>
              <w:r>
                <w:rPr>
                  <w:noProof/>
                </w:rPr>
                <w:fldChar w:fldCharType="separate"/>
              </w:r>
              <w:r w:rsidR="00A74508">
                <w:rPr>
                  <w:noProof/>
                </w:rPr>
                <w:t>56</w:t>
              </w:r>
              <w:r>
                <w:rPr>
                  <w:noProof/>
                </w:rPr>
                <w:fldChar w:fldCharType="end"/>
              </w:r>
            </w:hyperlink>
          </w:p>
          <w:p w14:paraId="4F5E5479" w14:textId="6DEE71FD" w:rsidR="00CE38B7" w:rsidRPr="00DA31C0" w:rsidRDefault="001946E5" w:rsidP="001946E5">
            <w:pPr>
              <w:pStyle w:val="TOC8"/>
              <w:cnfStyle w:val="000000000000" w:firstRow="0" w:lastRow="0" w:firstColumn="0" w:lastColumn="0" w:oddVBand="0" w:evenVBand="0" w:oddHBand="0" w:evenHBand="0" w:firstRowFirstColumn="0" w:firstRowLastColumn="0" w:lastRowFirstColumn="0" w:lastRowLastColumn="0"/>
              <w:rPr>
                <w:noProof/>
              </w:rPr>
            </w:pPr>
            <w:r>
              <w:fldChar w:fldCharType="end"/>
            </w:r>
          </w:p>
        </w:tc>
      </w:tr>
      <w:tr w:rsidR="003719CD" w:rsidRPr="00940E38" w14:paraId="4B83F9FF" w14:textId="77777777" w:rsidTr="00324A25">
        <w:trPr>
          <w:trHeight w:val="70"/>
        </w:trPr>
        <w:tc>
          <w:tcPr>
            <w:cnfStyle w:val="001000000000" w:firstRow="0" w:lastRow="0" w:firstColumn="1" w:lastColumn="0" w:oddVBand="0" w:evenVBand="0" w:oddHBand="0" w:evenHBand="0" w:firstRowFirstColumn="0" w:firstRowLastColumn="0" w:lastRowFirstColumn="0" w:lastRowLastColumn="0"/>
            <w:tcW w:w="1527" w:type="dxa"/>
          </w:tcPr>
          <w:p w14:paraId="312F965C" w14:textId="77777777" w:rsidR="003719CD" w:rsidRPr="00940E38" w:rsidRDefault="003719CD" w:rsidP="007D536F">
            <w:pPr>
              <w:rPr>
                <w:rFonts w:ascii="Arial" w:eastAsia="Calibri" w:hAnsi="Arial" w:cs="Arial"/>
              </w:rPr>
            </w:pPr>
          </w:p>
        </w:tc>
        <w:tc>
          <w:tcPr>
            <w:tcW w:w="6976" w:type="dxa"/>
            <w:gridSpan w:val="2"/>
            <w:shd w:val="clear" w:color="auto" w:fill="E7E6E6" w:themeFill="background2"/>
          </w:tcPr>
          <w:p w14:paraId="09A8083D" w14:textId="08CF996E" w:rsidR="003719CD" w:rsidRPr="00CE38B7" w:rsidRDefault="003719CD" w:rsidP="007D536F">
            <w:pPr>
              <w:tabs>
                <w:tab w:val="left" w:pos="573"/>
              </w:tabs>
              <w:cnfStyle w:val="000000000000" w:firstRow="0" w:lastRow="0" w:firstColumn="0" w:lastColumn="0" w:oddVBand="0" w:evenVBand="0" w:oddHBand="0" w:evenHBand="0" w:firstRowFirstColumn="0" w:firstRowLastColumn="0" w:lastRowFirstColumn="0" w:lastRowLastColumn="0"/>
              <w:rPr>
                <w:rFonts w:ascii="Arial" w:eastAsia="SimHei" w:hAnsi="Arial" w:cs="Arial"/>
                <w:lang w:eastAsia="zh-CN"/>
              </w:rPr>
            </w:pPr>
            <w:r w:rsidRPr="00940E38">
              <w:rPr>
                <w:rFonts w:ascii="Arial" w:eastAsia="Calibri" w:hAnsi="Arial" w:cs="Arial"/>
                <w:b/>
              </w:rPr>
              <w:t xml:space="preserve">8. </w:t>
            </w:r>
            <w:r w:rsidRPr="00940E38">
              <w:rPr>
                <w:rFonts w:ascii="Arial" w:eastAsia="Calibri" w:hAnsi="Arial" w:cs="Arial"/>
                <w:b/>
              </w:rPr>
              <w:tab/>
            </w:r>
            <w:r w:rsidR="00CE38B7">
              <w:rPr>
                <w:rFonts w:ascii="Arial" w:eastAsia="SimHei" w:hAnsi="Arial" w:cs="Arial" w:hint="eastAsia"/>
                <w:b/>
                <w:lang w:eastAsia="zh-CN"/>
              </w:rPr>
              <w:t>Other disclosures</w:t>
            </w:r>
          </w:p>
        </w:tc>
        <w:tc>
          <w:tcPr>
            <w:tcW w:w="1131" w:type="dxa"/>
            <w:shd w:val="clear" w:color="auto" w:fill="E7E6E6" w:themeFill="background2"/>
          </w:tcPr>
          <w:p w14:paraId="0E50C436" w14:textId="6B01C098" w:rsidR="003719CD" w:rsidRPr="00761CE8" w:rsidRDefault="00723E28" w:rsidP="007D536F">
            <w:pPr>
              <w:jc w:val="right"/>
              <w:cnfStyle w:val="000000000000" w:firstRow="0" w:lastRow="0" w:firstColumn="0" w:lastColumn="0" w:oddVBand="0" w:evenVBand="0" w:oddHBand="0" w:evenHBand="0" w:firstRowFirstColumn="0" w:firstRowLastColumn="0" w:lastRowFirstColumn="0" w:lastRowLastColumn="0"/>
              <w:rPr>
                <w:b/>
                <w:bCs/>
              </w:rPr>
            </w:pPr>
            <w:r w:rsidRPr="006177A0">
              <w:rPr>
                <w:b/>
                <w:bCs/>
              </w:rPr>
              <w:fldChar w:fldCharType="begin"/>
            </w:r>
            <w:r w:rsidRPr="006177A0">
              <w:rPr>
                <w:b/>
                <w:bCs/>
              </w:rPr>
              <w:instrText xml:space="preserve"> PAGEREF  Section_</w:instrText>
            </w:r>
            <w:r>
              <w:rPr>
                <w:b/>
                <w:bCs/>
              </w:rPr>
              <w:instrText>8</w:instrText>
            </w:r>
            <w:r w:rsidRPr="006177A0">
              <w:rPr>
                <w:b/>
                <w:bCs/>
              </w:rPr>
              <w:instrText xml:space="preserve"> \h  \* MERGEFORMAT </w:instrText>
            </w:r>
            <w:r w:rsidRPr="006177A0">
              <w:rPr>
                <w:b/>
                <w:bCs/>
              </w:rPr>
            </w:r>
            <w:r w:rsidRPr="006177A0">
              <w:rPr>
                <w:b/>
                <w:bCs/>
              </w:rPr>
              <w:fldChar w:fldCharType="separate"/>
            </w:r>
            <w:r w:rsidR="0054242A" w:rsidRPr="0054242A">
              <w:rPr>
                <w:b/>
                <w:bCs/>
                <w:noProof/>
                <w:lang w:val="en-US"/>
              </w:rPr>
              <w:t>57</w:t>
            </w:r>
            <w:r w:rsidRPr="006177A0">
              <w:rPr>
                <w:b/>
                <w:bCs/>
              </w:rPr>
              <w:fldChar w:fldCharType="end"/>
            </w:r>
          </w:p>
        </w:tc>
      </w:tr>
      <w:tr w:rsidR="003719CD" w:rsidRPr="00940E38" w14:paraId="69DB7E37" w14:textId="77777777" w:rsidTr="00324A25">
        <w:trPr>
          <w:trHeight w:val="70"/>
        </w:trPr>
        <w:tc>
          <w:tcPr>
            <w:cnfStyle w:val="001000000000" w:firstRow="0" w:lastRow="0" w:firstColumn="1" w:lastColumn="0" w:oddVBand="0" w:evenVBand="0" w:oddHBand="0" w:evenHBand="0" w:firstRowFirstColumn="0" w:firstRowLastColumn="0" w:lastRowFirstColumn="0" w:lastRowLastColumn="0"/>
            <w:tcW w:w="1527" w:type="dxa"/>
          </w:tcPr>
          <w:p w14:paraId="4F010433" w14:textId="77777777" w:rsidR="003719CD" w:rsidRPr="00940E38" w:rsidRDefault="003719CD" w:rsidP="007D536F">
            <w:pPr>
              <w:rPr>
                <w:rFonts w:ascii="Arial" w:eastAsia="Calibri" w:hAnsi="Arial" w:cs="Arial"/>
              </w:rPr>
            </w:pPr>
          </w:p>
        </w:tc>
        <w:tc>
          <w:tcPr>
            <w:tcW w:w="8107" w:type="dxa"/>
            <w:gridSpan w:val="3"/>
          </w:tcPr>
          <w:p w14:paraId="37A0BA70" w14:textId="3B01E5B7" w:rsidR="001946E5" w:rsidRDefault="007F12C4">
            <w:pPr>
              <w:pStyle w:val="TOC8"/>
              <w:cnfStyle w:val="000000000000" w:firstRow="0" w:lastRow="0" w:firstColumn="0" w:lastColumn="0" w:oddVBand="0" w:evenVBand="0" w:oddHBand="0" w:evenHBand="0" w:firstRowFirstColumn="0" w:firstRowLastColumn="0" w:lastRowFirstColumn="0" w:lastRowLastColumn="0"/>
              <w:rPr>
                <w:rFonts w:eastAsiaTheme="minorEastAsia"/>
                <w:noProof/>
                <w:kern w:val="2"/>
                <w:sz w:val="24"/>
                <w:szCs w:val="24"/>
                <w:lang w:eastAsia="en-AU"/>
                <w14:ligatures w14:val="standardContextual"/>
              </w:rPr>
            </w:pPr>
            <w:r>
              <w:fldChar w:fldCharType="begin"/>
            </w:r>
            <w:r>
              <w:instrText xml:space="preserve"> TOC \h \t "Heading 2 numbered,8" \b Section_8 </w:instrText>
            </w:r>
            <w:r>
              <w:fldChar w:fldCharType="separate"/>
            </w:r>
            <w:hyperlink w:anchor="_Toc190333405" w:history="1">
              <w:r w:rsidR="001946E5" w:rsidRPr="004830B1">
                <w:rPr>
                  <w:rStyle w:val="Hyperlink"/>
                  <w:noProof/>
                </w:rPr>
                <w:t>8.1</w:t>
              </w:r>
              <w:r w:rsidR="001946E5">
                <w:rPr>
                  <w:rFonts w:eastAsiaTheme="minorEastAsia"/>
                  <w:noProof/>
                  <w:kern w:val="2"/>
                  <w:sz w:val="24"/>
                  <w:szCs w:val="24"/>
                  <w:lang w:eastAsia="en-AU"/>
                  <w14:ligatures w14:val="standardContextual"/>
                </w:rPr>
                <w:tab/>
              </w:r>
              <w:r w:rsidR="001946E5" w:rsidRPr="004830B1">
                <w:rPr>
                  <w:rStyle w:val="Hyperlink"/>
                  <w:noProof/>
                </w:rPr>
                <w:t>Ex gratia expenses</w:t>
              </w:r>
              <w:r w:rsidR="001946E5">
                <w:rPr>
                  <w:noProof/>
                </w:rPr>
                <w:tab/>
              </w:r>
              <w:r w:rsidR="001946E5">
                <w:rPr>
                  <w:noProof/>
                </w:rPr>
                <w:fldChar w:fldCharType="begin"/>
              </w:r>
              <w:r w:rsidR="001946E5">
                <w:rPr>
                  <w:noProof/>
                </w:rPr>
                <w:instrText xml:space="preserve"> PAGEREF _Toc190333405 \h </w:instrText>
              </w:r>
              <w:r w:rsidR="001946E5">
                <w:rPr>
                  <w:noProof/>
                </w:rPr>
              </w:r>
              <w:r w:rsidR="001946E5">
                <w:rPr>
                  <w:noProof/>
                </w:rPr>
                <w:fldChar w:fldCharType="separate"/>
              </w:r>
              <w:r w:rsidR="00A74508">
                <w:rPr>
                  <w:noProof/>
                </w:rPr>
                <w:t>60</w:t>
              </w:r>
              <w:r w:rsidR="001946E5">
                <w:rPr>
                  <w:noProof/>
                </w:rPr>
                <w:fldChar w:fldCharType="end"/>
              </w:r>
            </w:hyperlink>
          </w:p>
          <w:p w14:paraId="2C1D1A74" w14:textId="36B86039" w:rsidR="001946E5" w:rsidRDefault="001946E5">
            <w:pPr>
              <w:pStyle w:val="TOC8"/>
              <w:cnfStyle w:val="000000000000" w:firstRow="0" w:lastRow="0" w:firstColumn="0" w:lastColumn="0" w:oddVBand="0" w:evenVBand="0" w:oddHBand="0" w:evenHBand="0" w:firstRowFirstColumn="0" w:firstRowLastColumn="0" w:lastRowFirstColumn="0" w:lastRowLastColumn="0"/>
              <w:rPr>
                <w:rFonts w:eastAsiaTheme="minorEastAsia"/>
                <w:noProof/>
                <w:kern w:val="2"/>
                <w:sz w:val="24"/>
                <w:szCs w:val="24"/>
                <w:lang w:eastAsia="en-AU"/>
                <w14:ligatures w14:val="standardContextual"/>
              </w:rPr>
            </w:pPr>
            <w:hyperlink w:anchor="_Toc190333406" w:history="1">
              <w:r w:rsidRPr="004830B1">
                <w:rPr>
                  <w:rStyle w:val="Hyperlink"/>
                  <w:noProof/>
                </w:rPr>
                <w:t>8.2</w:t>
              </w:r>
              <w:r>
                <w:rPr>
                  <w:rFonts w:eastAsiaTheme="minorEastAsia"/>
                  <w:noProof/>
                  <w:kern w:val="2"/>
                  <w:sz w:val="24"/>
                  <w:szCs w:val="24"/>
                  <w:lang w:eastAsia="en-AU"/>
                  <w14:ligatures w14:val="standardContextual"/>
                </w:rPr>
                <w:tab/>
              </w:r>
              <w:r w:rsidRPr="004830B1">
                <w:rPr>
                  <w:rStyle w:val="Hyperlink"/>
                  <w:noProof/>
                </w:rPr>
                <w:t>Other economic flows included in net result</w:t>
              </w:r>
              <w:r>
                <w:rPr>
                  <w:noProof/>
                </w:rPr>
                <w:tab/>
              </w:r>
              <w:r>
                <w:rPr>
                  <w:noProof/>
                </w:rPr>
                <w:fldChar w:fldCharType="begin"/>
              </w:r>
              <w:r>
                <w:rPr>
                  <w:noProof/>
                </w:rPr>
                <w:instrText xml:space="preserve"> PAGEREF _Toc190333406 \h </w:instrText>
              </w:r>
              <w:r>
                <w:rPr>
                  <w:noProof/>
                </w:rPr>
              </w:r>
              <w:r>
                <w:rPr>
                  <w:noProof/>
                </w:rPr>
                <w:fldChar w:fldCharType="separate"/>
              </w:r>
              <w:r w:rsidR="00A74508">
                <w:rPr>
                  <w:noProof/>
                </w:rPr>
                <w:t>61</w:t>
              </w:r>
              <w:r>
                <w:rPr>
                  <w:noProof/>
                </w:rPr>
                <w:fldChar w:fldCharType="end"/>
              </w:r>
            </w:hyperlink>
          </w:p>
          <w:p w14:paraId="738C9DB8" w14:textId="4930A20F" w:rsidR="001946E5" w:rsidRDefault="001946E5">
            <w:pPr>
              <w:pStyle w:val="TOC8"/>
              <w:cnfStyle w:val="000000000000" w:firstRow="0" w:lastRow="0" w:firstColumn="0" w:lastColumn="0" w:oddVBand="0" w:evenVBand="0" w:oddHBand="0" w:evenHBand="0" w:firstRowFirstColumn="0" w:firstRowLastColumn="0" w:lastRowFirstColumn="0" w:lastRowLastColumn="0"/>
              <w:rPr>
                <w:rFonts w:eastAsiaTheme="minorEastAsia"/>
                <w:noProof/>
                <w:kern w:val="2"/>
                <w:sz w:val="24"/>
                <w:szCs w:val="24"/>
                <w:lang w:eastAsia="en-AU"/>
                <w14:ligatures w14:val="standardContextual"/>
              </w:rPr>
            </w:pPr>
            <w:hyperlink w:anchor="_Toc190333407" w:history="1">
              <w:r w:rsidRPr="004830B1">
                <w:rPr>
                  <w:rStyle w:val="Hyperlink"/>
                  <w:noProof/>
                </w:rPr>
                <w:t>8.3</w:t>
              </w:r>
              <w:r>
                <w:rPr>
                  <w:rFonts w:eastAsiaTheme="minorEastAsia"/>
                  <w:noProof/>
                  <w:kern w:val="2"/>
                  <w:sz w:val="24"/>
                  <w:szCs w:val="24"/>
                  <w:lang w:eastAsia="en-AU"/>
                  <w14:ligatures w14:val="standardContextual"/>
                </w:rPr>
                <w:tab/>
              </w:r>
              <w:r w:rsidRPr="004830B1">
                <w:rPr>
                  <w:rStyle w:val="Hyperlink"/>
                  <w:noProof/>
                </w:rPr>
                <w:t>Responsible persons</w:t>
              </w:r>
              <w:r>
                <w:rPr>
                  <w:noProof/>
                </w:rPr>
                <w:tab/>
              </w:r>
              <w:r>
                <w:rPr>
                  <w:noProof/>
                </w:rPr>
                <w:fldChar w:fldCharType="begin"/>
              </w:r>
              <w:r>
                <w:rPr>
                  <w:noProof/>
                </w:rPr>
                <w:instrText xml:space="preserve"> PAGEREF _Toc190333407 \h </w:instrText>
              </w:r>
              <w:r>
                <w:rPr>
                  <w:noProof/>
                </w:rPr>
              </w:r>
              <w:r>
                <w:rPr>
                  <w:noProof/>
                </w:rPr>
                <w:fldChar w:fldCharType="separate"/>
              </w:r>
              <w:r w:rsidR="00A74508">
                <w:rPr>
                  <w:noProof/>
                </w:rPr>
                <w:t>62</w:t>
              </w:r>
              <w:r>
                <w:rPr>
                  <w:noProof/>
                </w:rPr>
                <w:fldChar w:fldCharType="end"/>
              </w:r>
            </w:hyperlink>
          </w:p>
          <w:p w14:paraId="748B83EB" w14:textId="4743E044" w:rsidR="001946E5" w:rsidRDefault="001946E5">
            <w:pPr>
              <w:pStyle w:val="TOC8"/>
              <w:cnfStyle w:val="000000000000" w:firstRow="0" w:lastRow="0" w:firstColumn="0" w:lastColumn="0" w:oddVBand="0" w:evenVBand="0" w:oddHBand="0" w:evenHBand="0" w:firstRowFirstColumn="0" w:firstRowLastColumn="0" w:lastRowFirstColumn="0" w:lastRowLastColumn="0"/>
              <w:rPr>
                <w:rFonts w:eastAsiaTheme="minorEastAsia"/>
                <w:noProof/>
                <w:kern w:val="2"/>
                <w:sz w:val="24"/>
                <w:szCs w:val="24"/>
                <w:lang w:eastAsia="en-AU"/>
                <w14:ligatures w14:val="standardContextual"/>
              </w:rPr>
            </w:pPr>
            <w:hyperlink w:anchor="_Toc190333408" w:history="1">
              <w:r w:rsidRPr="004830B1">
                <w:rPr>
                  <w:rStyle w:val="Hyperlink"/>
                  <w:noProof/>
                </w:rPr>
                <w:t>8.4</w:t>
              </w:r>
              <w:r>
                <w:rPr>
                  <w:rFonts w:eastAsiaTheme="minorEastAsia"/>
                  <w:noProof/>
                  <w:kern w:val="2"/>
                  <w:sz w:val="24"/>
                  <w:szCs w:val="24"/>
                  <w:lang w:eastAsia="en-AU"/>
                  <w14:ligatures w14:val="standardContextual"/>
                </w:rPr>
                <w:tab/>
              </w:r>
              <w:r w:rsidRPr="004830B1">
                <w:rPr>
                  <w:rStyle w:val="Hyperlink"/>
                  <w:noProof/>
                </w:rPr>
                <w:t>Remuneration of executives</w:t>
              </w:r>
              <w:r>
                <w:rPr>
                  <w:noProof/>
                </w:rPr>
                <w:tab/>
              </w:r>
              <w:r>
                <w:rPr>
                  <w:noProof/>
                </w:rPr>
                <w:fldChar w:fldCharType="begin"/>
              </w:r>
              <w:r>
                <w:rPr>
                  <w:noProof/>
                </w:rPr>
                <w:instrText xml:space="preserve"> PAGEREF _Toc190333408 \h </w:instrText>
              </w:r>
              <w:r>
                <w:rPr>
                  <w:noProof/>
                </w:rPr>
              </w:r>
              <w:r>
                <w:rPr>
                  <w:noProof/>
                </w:rPr>
                <w:fldChar w:fldCharType="separate"/>
              </w:r>
              <w:r w:rsidR="00A74508">
                <w:rPr>
                  <w:noProof/>
                </w:rPr>
                <w:t>64</w:t>
              </w:r>
              <w:r>
                <w:rPr>
                  <w:noProof/>
                </w:rPr>
                <w:fldChar w:fldCharType="end"/>
              </w:r>
            </w:hyperlink>
          </w:p>
          <w:p w14:paraId="2750B3C0" w14:textId="7429BE36" w:rsidR="001946E5" w:rsidRDefault="001946E5">
            <w:pPr>
              <w:pStyle w:val="TOC8"/>
              <w:cnfStyle w:val="000000000000" w:firstRow="0" w:lastRow="0" w:firstColumn="0" w:lastColumn="0" w:oddVBand="0" w:evenVBand="0" w:oddHBand="0" w:evenHBand="0" w:firstRowFirstColumn="0" w:firstRowLastColumn="0" w:lastRowFirstColumn="0" w:lastRowLastColumn="0"/>
              <w:rPr>
                <w:rFonts w:eastAsiaTheme="minorEastAsia"/>
                <w:noProof/>
                <w:kern w:val="2"/>
                <w:sz w:val="24"/>
                <w:szCs w:val="24"/>
                <w:lang w:eastAsia="en-AU"/>
                <w14:ligatures w14:val="standardContextual"/>
              </w:rPr>
            </w:pPr>
            <w:hyperlink w:anchor="_Toc190333409" w:history="1">
              <w:r w:rsidRPr="004830B1">
                <w:rPr>
                  <w:rStyle w:val="Hyperlink"/>
                  <w:noProof/>
                </w:rPr>
                <w:t>8.5</w:t>
              </w:r>
              <w:r>
                <w:rPr>
                  <w:rFonts w:eastAsiaTheme="minorEastAsia"/>
                  <w:noProof/>
                  <w:kern w:val="2"/>
                  <w:sz w:val="24"/>
                  <w:szCs w:val="24"/>
                  <w:lang w:eastAsia="en-AU"/>
                  <w14:ligatures w14:val="standardContextual"/>
                </w:rPr>
                <w:tab/>
              </w:r>
              <w:r w:rsidRPr="004830B1">
                <w:rPr>
                  <w:rStyle w:val="Hyperlink"/>
                  <w:noProof/>
                </w:rPr>
                <w:t>Related parties</w:t>
              </w:r>
              <w:r>
                <w:rPr>
                  <w:noProof/>
                </w:rPr>
                <w:tab/>
              </w:r>
              <w:r>
                <w:rPr>
                  <w:noProof/>
                </w:rPr>
                <w:fldChar w:fldCharType="begin"/>
              </w:r>
              <w:r>
                <w:rPr>
                  <w:noProof/>
                </w:rPr>
                <w:instrText xml:space="preserve"> PAGEREF _Toc190333409 \h </w:instrText>
              </w:r>
              <w:r>
                <w:rPr>
                  <w:noProof/>
                </w:rPr>
              </w:r>
              <w:r>
                <w:rPr>
                  <w:noProof/>
                </w:rPr>
                <w:fldChar w:fldCharType="separate"/>
              </w:r>
              <w:r w:rsidR="00A74508">
                <w:rPr>
                  <w:noProof/>
                </w:rPr>
                <w:t>65</w:t>
              </w:r>
              <w:r>
                <w:rPr>
                  <w:noProof/>
                </w:rPr>
                <w:fldChar w:fldCharType="end"/>
              </w:r>
            </w:hyperlink>
          </w:p>
          <w:p w14:paraId="5E0C9D72" w14:textId="472838DC" w:rsidR="001946E5" w:rsidRDefault="001946E5">
            <w:pPr>
              <w:pStyle w:val="TOC8"/>
              <w:cnfStyle w:val="000000000000" w:firstRow="0" w:lastRow="0" w:firstColumn="0" w:lastColumn="0" w:oddVBand="0" w:evenVBand="0" w:oddHBand="0" w:evenHBand="0" w:firstRowFirstColumn="0" w:firstRowLastColumn="0" w:lastRowFirstColumn="0" w:lastRowLastColumn="0"/>
              <w:rPr>
                <w:rFonts w:eastAsiaTheme="minorEastAsia"/>
                <w:noProof/>
                <w:kern w:val="2"/>
                <w:sz w:val="24"/>
                <w:szCs w:val="24"/>
                <w:lang w:eastAsia="en-AU"/>
                <w14:ligatures w14:val="standardContextual"/>
              </w:rPr>
            </w:pPr>
            <w:hyperlink w:anchor="_Toc190333410" w:history="1">
              <w:r w:rsidRPr="004830B1">
                <w:rPr>
                  <w:rStyle w:val="Hyperlink"/>
                  <w:noProof/>
                </w:rPr>
                <w:t>8.6</w:t>
              </w:r>
              <w:r>
                <w:rPr>
                  <w:rFonts w:eastAsiaTheme="minorEastAsia"/>
                  <w:noProof/>
                  <w:kern w:val="2"/>
                  <w:sz w:val="24"/>
                  <w:szCs w:val="24"/>
                  <w:lang w:eastAsia="en-AU"/>
                  <w14:ligatures w14:val="standardContextual"/>
                </w:rPr>
                <w:tab/>
              </w:r>
              <w:r w:rsidRPr="004830B1">
                <w:rPr>
                  <w:rStyle w:val="Hyperlink"/>
                  <w:noProof/>
                </w:rPr>
                <w:t>Remuneration of auditors</w:t>
              </w:r>
              <w:r>
                <w:rPr>
                  <w:noProof/>
                </w:rPr>
                <w:tab/>
              </w:r>
              <w:r>
                <w:rPr>
                  <w:noProof/>
                </w:rPr>
                <w:fldChar w:fldCharType="begin"/>
              </w:r>
              <w:r>
                <w:rPr>
                  <w:noProof/>
                </w:rPr>
                <w:instrText xml:space="preserve"> PAGEREF _Toc190333410 \h </w:instrText>
              </w:r>
              <w:r>
                <w:rPr>
                  <w:noProof/>
                </w:rPr>
              </w:r>
              <w:r>
                <w:rPr>
                  <w:noProof/>
                </w:rPr>
                <w:fldChar w:fldCharType="separate"/>
              </w:r>
              <w:r w:rsidR="00A74508">
                <w:rPr>
                  <w:noProof/>
                </w:rPr>
                <w:t>67</w:t>
              </w:r>
              <w:r>
                <w:rPr>
                  <w:noProof/>
                </w:rPr>
                <w:fldChar w:fldCharType="end"/>
              </w:r>
            </w:hyperlink>
          </w:p>
          <w:p w14:paraId="2501104F" w14:textId="33980077" w:rsidR="001946E5" w:rsidRDefault="001946E5">
            <w:pPr>
              <w:pStyle w:val="TOC8"/>
              <w:cnfStyle w:val="000000000000" w:firstRow="0" w:lastRow="0" w:firstColumn="0" w:lastColumn="0" w:oddVBand="0" w:evenVBand="0" w:oddHBand="0" w:evenHBand="0" w:firstRowFirstColumn="0" w:firstRowLastColumn="0" w:lastRowFirstColumn="0" w:lastRowLastColumn="0"/>
              <w:rPr>
                <w:rFonts w:eastAsiaTheme="minorEastAsia"/>
                <w:noProof/>
                <w:kern w:val="2"/>
                <w:sz w:val="24"/>
                <w:szCs w:val="24"/>
                <w:lang w:eastAsia="en-AU"/>
                <w14:ligatures w14:val="standardContextual"/>
              </w:rPr>
            </w:pPr>
            <w:hyperlink w:anchor="_Toc190333411" w:history="1">
              <w:r w:rsidRPr="004830B1">
                <w:rPr>
                  <w:rStyle w:val="Hyperlink"/>
                  <w:noProof/>
                </w:rPr>
                <w:t>8.7</w:t>
              </w:r>
              <w:r>
                <w:rPr>
                  <w:rFonts w:eastAsiaTheme="minorEastAsia"/>
                  <w:noProof/>
                  <w:kern w:val="2"/>
                  <w:sz w:val="24"/>
                  <w:szCs w:val="24"/>
                  <w:lang w:eastAsia="en-AU"/>
                  <w14:ligatures w14:val="standardContextual"/>
                </w:rPr>
                <w:tab/>
              </w:r>
              <w:r w:rsidRPr="004830B1">
                <w:rPr>
                  <w:rStyle w:val="Hyperlink"/>
                  <w:noProof/>
                </w:rPr>
                <w:t>Subsequent events</w:t>
              </w:r>
              <w:r>
                <w:rPr>
                  <w:noProof/>
                </w:rPr>
                <w:tab/>
              </w:r>
              <w:r>
                <w:rPr>
                  <w:noProof/>
                </w:rPr>
                <w:fldChar w:fldCharType="begin"/>
              </w:r>
              <w:r>
                <w:rPr>
                  <w:noProof/>
                </w:rPr>
                <w:instrText xml:space="preserve"> PAGEREF _Toc190333411 \h </w:instrText>
              </w:r>
              <w:r>
                <w:rPr>
                  <w:noProof/>
                </w:rPr>
              </w:r>
              <w:r>
                <w:rPr>
                  <w:noProof/>
                </w:rPr>
                <w:fldChar w:fldCharType="separate"/>
              </w:r>
              <w:r w:rsidR="00A74508">
                <w:rPr>
                  <w:noProof/>
                </w:rPr>
                <w:t>68</w:t>
              </w:r>
              <w:r>
                <w:rPr>
                  <w:noProof/>
                </w:rPr>
                <w:fldChar w:fldCharType="end"/>
              </w:r>
            </w:hyperlink>
          </w:p>
          <w:p w14:paraId="6D477835" w14:textId="25DBDF52" w:rsidR="003719CD" w:rsidRPr="00940E38" w:rsidRDefault="007F12C4" w:rsidP="007F12C4">
            <w:pPr>
              <w:pStyle w:val="TOC8"/>
              <w:cnfStyle w:val="000000000000" w:firstRow="0" w:lastRow="0" w:firstColumn="0" w:lastColumn="0" w:oddVBand="0" w:evenVBand="0" w:oddHBand="0" w:evenHBand="0" w:firstRowFirstColumn="0" w:firstRowLastColumn="0" w:lastRowFirstColumn="0" w:lastRowLastColumn="0"/>
              <w:rPr>
                <w:noProof/>
              </w:rPr>
            </w:pPr>
            <w:r>
              <w:fldChar w:fldCharType="end"/>
            </w:r>
          </w:p>
        </w:tc>
      </w:tr>
    </w:tbl>
    <w:p w14:paraId="288DFFD0" w14:textId="77777777" w:rsidR="003719CD" w:rsidRDefault="003719CD" w:rsidP="00DC39DE"/>
    <w:p w14:paraId="6A9BA554" w14:textId="77777777" w:rsidR="003719CD" w:rsidRDefault="003719CD" w:rsidP="00DC39DE"/>
    <w:p w14:paraId="6F265919" w14:textId="77777777" w:rsidR="00FA4323" w:rsidRDefault="00FA4323">
      <w:pPr>
        <w:keepLines w:val="0"/>
        <w:rPr>
          <w:rFonts w:asciiTheme="majorHAnsi" w:eastAsiaTheme="majorEastAsia" w:hAnsiTheme="majorHAnsi" w:cstheme="majorBidi"/>
          <w:b/>
          <w:bCs/>
          <w:iCs/>
          <w:color w:val="FFFFFF" w:themeColor="background1"/>
          <w:sz w:val="20"/>
          <w:szCs w:val="24"/>
        </w:rPr>
      </w:pPr>
      <w:r>
        <w:br w:type="page"/>
      </w:r>
    </w:p>
    <w:p w14:paraId="70226E64" w14:textId="6AD4574F" w:rsidR="003719CD" w:rsidRDefault="003719CD" w:rsidP="002002F4">
      <w:pPr>
        <w:pStyle w:val="GuidanceBlockHeading"/>
      </w:pPr>
      <w:bookmarkStart w:id="109" w:name="_Toc179811125"/>
      <w:bookmarkStart w:id="110" w:name="_Toc179816825"/>
      <w:bookmarkStart w:id="111" w:name="_Toc179822525"/>
      <w:r>
        <w:t>Guidance: Financial report structure</w:t>
      </w:r>
      <w:bookmarkEnd w:id="109"/>
      <w:bookmarkEnd w:id="110"/>
      <w:bookmarkEnd w:id="111"/>
    </w:p>
    <w:p w14:paraId="73F1DB3A" w14:textId="45072618" w:rsidR="003719CD" w:rsidRPr="002A0038" w:rsidRDefault="003719CD" w:rsidP="002A0038">
      <w:pPr>
        <w:pStyle w:val="GuidanceHeading"/>
        <w:spacing w:before="120" w:after="0"/>
        <w:rPr>
          <w:b w:val="0"/>
        </w:rPr>
      </w:pPr>
      <w:r w:rsidRPr="002A0038">
        <w:rPr>
          <w:rStyle w:val="Guidance"/>
          <w:b w:val="0"/>
          <w:sz w:val="18"/>
        </w:rPr>
        <w:t>A complete set of financial statements comprises the following</w:t>
      </w:r>
      <w:r w:rsidR="00743552" w:rsidRPr="002A0038">
        <w:rPr>
          <w:b w:val="0"/>
          <w:lang w:eastAsia="zh-CN"/>
        </w:rPr>
        <w:t>:</w:t>
      </w:r>
    </w:p>
    <w:p w14:paraId="0B6CD821" w14:textId="22CB3B08" w:rsidR="001F3C22" w:rsidRPr="002A0038" w:rsidRDefault="00B56E48" w:rsidP="002A0038">
      <w:pPr>
        <w:pStyle w:val="ListBullet"/>
        <w:numPr>
          <w:ilvl w:val="0"/>
          <w:numId w:val="300"/>
        </w:numPr>
        <w:spacing w:after="0"/>
        <w:ind w:left="357" w:hanging="357"/>
        <w:rPr>
          <w:rStyle w:val="Guidance"/>
          <w:sz w:val="20"/>
        </w:rPr>
      </w:pPr>
      <w:r>
        <w:rPr>
          <w:color w:val="4472C4" w:themeColor="accent1"/>
        </w:rPr>
        <w:t>A</w:t>
      </w:r>
      <w:r w:rsidR="001F3C22" w:rsidRPr="00574A98">
        <w:rPr>
          <w:color w:val="4472C4" w:themeColor="accent1"/>
        </w:rPr>
        <w:t xml:space="preserve"> statement of financial position as at the reporting date</w:t>
      </w:r>
    </w:p>
    <w:p w14:paraId="106E8ADD" w14:textId="69A4572E" w:rsidR="00264228" w:rsidRPr="00574A98" w:rsidRDefault="00F467B9" w:rsidP="002A0038">
      <w:pPr>
        <w:pStyle w:val="ListBullet"/>
        <w:numPr>
          <w:ilvl w:val="0"/>
          <w:numId w:val="300"/>
        </w:numPr>
        <w:spacing w:after="0"/>
        <w:ind w:left="357" w:hanging="357"/>
        <w:rPr>
          <w:color w:val="4472C4" w:themeColor="accent1"/>
        </w:rPr>
      </w:pPr>
      <w:r>
        <w:rPr>
          <w:color w:val="4472C4" w:themeColor="accent1"/>
        </w:rPr>
        <w:t>E</w:t>
      </w:r>
      <w:r w:rsidR="00264228" w:rsidRPr="00574A98">
        <w:rPr>
          <w:color w:val="4472C4" w:themeColor="accent1"/>
        </w:rPr>
        <w:t>ither:</w:t>
      </w:r>
    </w:p>
    <w:p w14:paraId="3F259590" w14:textId="7059660E" w:rsidR="00264228" w:rsidRPr="00264228" w:rsidRDefault="00264228" w:rsidP="00AA0D61">
      <w:pPr>
        <w:pStyle w:val="ListBullet"/>
        <w:numPr>
          <w:ilvl w:val="0"/>
          <w:numId w:val="308"/>
        </w:numPr>
        <w:spacing w:after="0"/>
        <w:ind w:left="697" w:right="-172" w:hanging="357"/>
        <w:rPr>
          <w:color w:val="4472C4" w:themeColor="accent1"/>
        </w:rPr>
      </w:pPr>
      <w:r w:rsidRPr="00574A98">
        <w:rPr>
          <w:color w:val="4472C4" w:themeColor="accent1"/>
        </w:rPr>
        <w:t>a single statement of profit or loss and other comprehensive income for the reporting period displaying all items of income and expense recognised during the period including those items recognised in determining profit or loss (which is a subtotal in the statement of comprehensive income) and items of other comprehensive income;</w:t>
      </w:r>
      <w:r w:rsidRPr="00264228">
        <w:rPr>
          <w:color w:val="4472C4" w:themeColor="accent1"/>
        </w:rPr>
        <w:t xml:space="preserve"> or</w:t>
      </w:r>
    </w:p>
    <w:p w14:paraId="63C6A911" w14:textId="6B1F510A" w:rsidR="003719CD" w:rsidRPr="002002F4" w:rsidRDefault="00264228" w:rsidP="002A0038">
      <w:pPr>
        <w:pStyle w:val="ListBullet"/>
        <w:numPr>
          <w:ilvl w:val="0"/>
          <w:numId w:val="308"/>
        </w:numPr>
        <w:spacing w:after="0"/>
        <w:ind w:left="697" w:hanging="357"/>
        <w:rPr>
          <w:rStyle w:val="Guidance"/>
        </w:rPr>
      </w:pPr>
      <w:r w:rsidRPr="00264228">
        <w:rPr>
          <w:color w:val="4472C4" w:themeColor="accent1"/>
        </w:rPr>
        <w:t>a separate statement of profit or loss and a separate statement of comprehensive income.</w:t>
      </w:r>
      <w:r>
        <w:rPr>
          <w:color w:val="4472C4" w:themeColor="accent1"/>
        </w:rPr>
        <w:t xml:space="preserve"> </w:t>
      </w:r>
      <w:r w:rsidRPr="00264228">
        <w:rPr>
          <w:color w:val="4472C4" w:themeColor="accent1"/>
        </w:rPr>
        <w:t>If an entity chooses to present both a statement of profit or loss and a statement of</w:t>
      </w:r>
      <w:r>
        <w:rPr>
          <w:color w:val="4472C4" w:themeColor="accent1"/>
        </w:rPr>
        <w:t xml:space="preserve"> </w:t>
      </w:r>
      <w:r w:rsidRPr="00264228">
        <w:rPr>
          <w:color w:val="4472C4" w:themeColor="accent1"/>
        </w:rPr>
        <w:t>comprehensive income, the statement of comprehensive income begins with profit or</w:t>
      </w:r>
      <w:r>
        <w:rPr>
          <w:color w:val="4472C4" w:themeColor="accent1"/>
        </w:rPr>
        <w:t xml:space="preserve"> </w:t>
      </w:r>
      <w:r w:rsidRPr="00264228">
        <w:rPr>
          <w:color w:val="4472C4" w:themeColor="accent1"/>
        </w:rPr>
        <w:t>loss and then displays the items of other comprehensive income</w:t>
      </w:r>
      <w:r w:rsidR="000B16E3">
        <w:rPr>
          <w:color w:val="4472C4" w:themeColor="accent1"/>
        </w:rPr>
        <w:t>.</w:t>
      </w:r>
    </w:p>
    <w:p w14:paraId="755A8EC6" w14:textId="60B1762C" w:rsidR="00264228" w:rsidRPr="002002F4" w:rsidRDefault="00F467B9" w:rsidP="002A0038">
      <w:pPr>
        <w:pStyle w:val="ListBullet"/>
        <w:numPr>
          <w:ilvl w:val="0"/>
          <w:numId w:val="300"/>
        </w:numPr>
        <w:spacing w:after="0"/>
        <w:ind w:left="357" w:hanging="357"/>
        <w:rPr>
          <w:rStyle w:val="Guidance"/>
        </w:rPr>
      </w:pPr>
      <w:r>
        <w:rPr>
          <w:color w:val="4472C4" w:themeColor="accent1"/>
          <w:lang w:eastAsia="zh-CN"/>
        </w:rPr>
        <w:t>A</w:t>
      </w:r>
      <w:r w:rsidR="00574A98">
        <w:rPr>
          <w:rFonts w:hint="eastAsia"/>
          <w:color w:val="4472C4" w:themeColor="accent1"/>
          <w:lang w:eastAsia="zh-CN"/>
        </w:rPr>
        <w:t xml:space="preserve"> s</w:t>
      </w:r>
      <w:r w:rsidR="00264228" w:rsidRPr="00264228">
        <w:rPr>
          <w:color w:val="4472C4" w:themeColor="accent1"/>
        </w:rPr>
        <w:t>tatement of changes in equity for the reporting period</w:t>
      </w:r>
    </w:p>
    <w:p w14:paraId="4BA938DF" w14:textId="130F567F" w:rsidR="00246184" w:rsidRPr="002002F4" w:rsidRDefault="00F467B9" w:rsidP="002A0038">
      <w:pPr>
        <w:pStyle w:val="ListBullet"/>
        <w:numPr>
          <w:ilvl w:val="0"/>
          <w:numId w:val="300"/>
        </w:numPr>
        <w:spacing w:after="0"/>
        <w:ind w:left="357" w:hanging="357"/>
        <w:rPr>
          <w:rStyle w:val="Guidance"/>
        </w:rPr>
      </w:pPr>
      <w:r>
        <w:rPr>
          <w:color w:val="4472C4" w:themeColor="accent1"/>
        </w:rPr>
        <w:t>A</w:t>
      </w:r>
      <w:r w:rsidR="00246184" w:rsidRPr="00246184">
        <w:rPr>
          <w:color w:val="4472C4" w:themeColor="accent1"/>
        </w:rPr>
        <w:t xml:space="preserve"> statement of cash flows for the reporting period; and</w:t>
      </w:r>
    </w:p>
    <w:p w14:paraId="2AFC3A63" w14:textId="4E75F7D0" w:rsidR="003719CD" w:rsidRPr="002002F4" w:rsidRDefault="00F467B9" w:rsidP="002A0038">
      <w:pPr>
        <w:pStyle w:val="ListBullet"/>
        <w:numPr>
          <w:ilvl w:val="0"/>
          <w:numId w:val="300"/>
        </w:numPr>
        <w:spacing w:after="0"/>
        <w:ind w:left="357" w:hanging="357"/>
        <w:rPr>
          <w:rStyle w:val="Guidance"/>
        </w:rPr>
      </w:pPr>
      <w:r>
        <w:rPr>
          <w:color w:val="4472C4" w:themeColor="accent1"/>
        </w:rPr>
        <w:t>N</w:t>
      </w:r>
      <w:r w:rsidR="00246184" w:rsidRPr="00246184">
        <w:rPr>
          <w:color w:val="4472C4" w:themeColor="accent1"/>
        </w:rPr>
        <w:t>otes, comprising material accounting policy information and other explanatory information.</w:t>
      </w:r>
      <w:r w:rsidR="00743552">
        <w:rPr>
          <w:rFonts w:hint="eastAsia"/>
          <w:color w:val="4472C4" w:themeColor="accent1"/>
          <w:lang w:eastAsia="zh-CN"/>
        </w:rPr>
        <w:t xml:space="preserve"> </w:t>
      </w:r>
      <w:r w:rsidR="00743552" w:rsidRPr="00164614">
        <w:rPr>
          <w:rStyle w:val="Reference"/>
          <w:bCs/>
        </w:rPr>
        <w:t>[</w:t>
      </w:r>
      <w:r w:rsidR="0007383E">
        <w:rPr>
          <w:rStyle w:val="Reference"/>
          <w:bCs/>
        </w:rPr>
        <w:t>AASB </w:t>
      </w:r>
      <w:r w:rsidR="00743552" w:rsidRPr="00164614">
        <w:rPr>
          <w:rStyle w:val="Reference"/>
          <w:bCs/>
        </w:rPr>
        <w:t>1060.</w:t>
      </w:r>
      <w:r w:rsidR="00743552">
        <w:rPr>
          <w:rStyle w:val="Reference"/>
          <w:rFonts w:hint="eastAsia"/>
          <w:bCs/>
          <w:lang w:eastAsia="zh-CN"/>
        </w:rPr>
        <w:t>25</w:t>
      </w:r>
      <w:r w:rsidR="00743552" w:rsidRPr="00164614">
        <w:rPr>
          <w:rStyle w:val="Reference"/>
          <w:bCs/>
        </w:rPr>
        <w:t>]</w:t>
      </w:r>
    </w:p>
    <w:p w14:paraId="2958A123" w14:textId="77777777" w:rsidR="003719CD" w:rsidRPr="006C4F60" w:rsidRDefault="003719CD" w:rsidP="002A0038">
      <w:pPr>
        <w:pStyle w:val="GuidanceHeading"/>
        <w:spacing w:before="120" w:after="0"/>
      </w:pPr>
      <w:r w:rsidRPr="006C4F60">
        <w:t>Contents of the notes to the financial statements</w:t>
      </w:r>
    </w:p>
    <w:p w14:paraId="769A3647" w14:textId="75713F1D" w:rsidR="00D94FF1" w:rsidRDefault="00D94FF1" w:rsidP="002A0038">
      <w:pPr>
        <w:pStyle w:val="GuidanceHeading"/>
        <w:spacing w:before="120" w:after="0"/>
        <w:rPr>
          <w:rStyle w:val="Guidance"/>
          <w:b w:val="0"/>
          <w:sz w:val="18"/>
        </w:rPr>
      </w:pPr>
      <w:r w:rsidRPr="00D94FF1">
        <w:rPr>
          <w:rStyle w:val="Guidance"/>
          <w:b w:val="0"/>
          <w:sz w:val="18"/>
        </w:rPr>
        <w:t>The notes shall:</w:t>
      </w:r>
    </w:p>
    <w:p w14:paraId="68428B5B" w14:textId="3CCBE0CD" w:rsidR="00F551B4" w:rsidRDefault="00F551B4" w:rsidP="00F551B4">
      <w:pPr>
        <w:pStyle w:val="ListParagraph"/>
        <w:numPr>
          <w:ilvl w:val="0"/>
          <w:numId w:val="301"/>
        </w:numPr>
        <w:rPr>
          <w:color w:val="4472C4" w:themeColor="accent1"/>
          <w:lang w:eastAsia="zh-CN"/>
        </w:rPr>
      </w:pPr>
      <w:r>
        <w:rPr>
          <w:rFonts w:hint="eastAsia"/>
          <w:color w:val="4472C4" w:themeColor="accent1"/>
          <w:lang w:eastAsia="zh-CN"/>
        </w:rPr>
        <w:t>present information about the basis of preparation of the financial statements and the specific accounting policies applied</w:t>
      </w:r>
    </w:p>
    <w:p w14:paraId="58608551" w14:textId="0A63D639" w:rsidR="00F551B4" w:rsidRPr="00F551B4" w:rsidRDefault="00F551B4" w:rsidP="00F551B4">
      <w:pPr>
        <w:pStyle w:val="ListParagraph"/>
        <w:numPr>
          <w:ilvl w:val="0"/>
          <w:numId w:val="301"/>
        </w:numPr>
        <w:rPr>
          <w:color w:val="4472C4" w:themeColor="accent1"/>
          <w:lang w:eastAsia="zh-CN"/>
        </w:rPr>
      </w:pPr>
      <w:r>
        <w:rPr>
          <w:rFonts w:hint="eastAsia"/>
          <w:color w:val="4472C4" w:themeColor="accent1"/>
          <w:lang w:eastAsia="zh-CN"/>
        </w:rPr>
        <w:t xml:space="preserve">disclose the information required by </w:t>
      </w:r>
      <w:r w:rsidR="0007383E">
        <w:rPr>
          <w:rFonts w:hint="eastAsia"/>
          <w:color w:val="4472C4" w:themeColor="accent1"/>
          <w:lang w:eastAsia="zh-CN"/>
        </w:rPr>
        <w:t>AASB</w:t>
      </w:r>
      <w:r w:rsidR="0007383E">
        <w:rPr>
          <w:color w:val="4472C4" w:themeColor="accent1"/>
          <w:lang w:eastAsia="zh-CN"/>
        </w:rPr>
        <w:t> </w:t>
      </w:r>
      <w:r>
        <w:rPr>
          <w:rFonts w:hint="eastAsia"/>
          <w:color w:val="4472C4" w:themeColor="accent1"/>
          <w:lang w:eastAsia="zh-CN"/>
        </w:rPr>
        <w:t xml:space="preserve">1060 that is not presented </w:t>
      </w:r>
      <w:r>
        <w:rPr>
          <w:color w:val="4472C4" w:themeColor="accent1"/>
          <w:lang w:eastAsia="zh-CN"/>
        </w:rPr>
        <w:t>elsewhere</w:t>
      </w:r>
      <w:r>
        <w:rPr>
          <w:rFonts w:hint="eastAsia"/>
          <w:color w:val="4472C4" w:themeColor="accent1"/>
          <w:lang w:eastAsia="zh-CN"/>
        </w:rPr>
        <w:t xml:space="preserve"> in the financial statements; and</w:t>
      </w:r>
    </w:p>
    <w:p w14:paraId="3AB4B958" w14:textId="1E8EBDB3" w:rsidR="00743552" w:rsidRDefault="00C678EB" w:rsidP="002A0038">
      <w:pPr>
        <w:pStyle w:val="ListBullet"/>
        <w:numPr>
          <w:ilvl w:val="0"/>
          <w:numId w:val="301"/>
        </w:numPr>
        <w:spacing w:after="0"/>
        <w:rPr>
          <w:rStyle w:val="Guidance"/>
        </w:rPr>
      </w:pPr>
      <w:r w:rsidRPr="00743552">
        <w:rPr>
          <w:color w:val="4472C4" w:themeColor="accent1"/>
        </w:rPr>
        <w:t>provide information that is not presented elsewhere in the financial statements but is relevant to an understanding of any of them.</w:t>
      </w:r>
      <w:r w:rsidR="00743552" w:rsidRPr="00743552">
        <w:rPr>
          <w:rFonts w:hint="eastAsia"/>
          <w:color w:val="4472C4" w:themeColor="accent1"/>
          <w:lang w:eastAsia="zh-CN"/>
        </w:rPr>
        <w:t xml:space="preserve"> </w:t>
      </w:r>
      <w:r w:rsidR="00743552" w:rsidRPr="00743552">
        <w:rPr>
          <w:rStyle w:val="Reference"/>
          <w:bCs/>
        </w:rPr>
        <w:t>[</w:t>
      </w:r>
      <w:r w:rsidR="0007383E">
        <w:rPr>
          <w:rStyle w:val="Reference"/>
          <w:bCs/>
        </w:rPr>
        <w:t>AASB </w:t>
      </w:r>
      <w:r w:rsidR="00743552" w:rsidRPr="00743552">
        <w:rPr>
          <w:rStyle w:val="Reference"/>
          <w:bCs/>
        </w:rPr>
        <w:t>1060.91]</w:t>
      </w:r>
    </w:p>
    <w:p w14:paraId="6F3BC7AA" w14:textId="3B3A1FAC" w:rsidR="00B65E98" w:rsidRPr="002A0038" w:rsidRDefault="00455A33" w:rsidP="002A0038">
      <w:pPr>
        <w:keepLines w:val="0"/>
        <w:autoSpaceDE w:val="0"/>
        <w:autoSpaceDN w:val="0"/>
        <w:adjustRightInd w:val="0"/>
        <w:spacing w:before="120" w:after="0"/>
        <w:rPr>
          <w:rFonts w:ascii="TimesNewRomanPSMT" w:hAnsi="TimesNewRomanPSMT" w:cs="TimesNewRomanPSMT"/>
          <w:sz w:val="19"/>
          <w:szCs w:val="19"/>
        </w:rPr>
      </w:pPr>
      <w:r w:rsidRPr="002A0038">
        <w:rPr>
          <w:rStyle w:val="Guidance"/>
        </w:rPr>
        <w:t>An entity shall, as far as practicable, present the notes in a systematic manner. An entity shall cross-reference each item in the financial statements to any related information in the notes.</w:t>
      </w:r>
      <w:r w:rsidRPr="002A0038">
        <w:rPr>
          <w:rFonts w:ascii="TimesNewRomanPSMT" w:hAnsi="TimesNewRomanPSMT" w:cs="TimesNewRomanPSMT"/>
          <w:sz w:val="19"/>
          <w:szCs w:val="19"/>
        </w:rPr>
        <w:t xml:space="preserve"> </w:t>
      </w:r>
      <w:r w:rsidRPr="00455A33">
        <w:rPr>
          <w:rStyle w:val="Reference"/>
        </w:rPr>
        <w:t>[</w:t>
      </w:r>
      <w:r w:rsidR="0007383E">
        <w:rPr>
          <w:rStyle w:val="Reference"/>
        </w:rPr>
        <w:t>AASB </w:t>
      </w:r>
      <w:r w:rsidRPr="00455A33">
        <w:rPr>
          <w:rStyle w:val="Reference"/>
        </w:rPr>
        <w:t>1060.92]</w:t>
      </w:r>
    </w:p>
    <w:p w14:paraId="26C91721" w14:textId="3B8C99AC" w:rsidR="003719CD" w:rsidRDefault="00487146" w:rsidP="002A0038">
      <w:pPr>
        <w:spacing w:before="120" w:after="0"/>
      </w:pPr>
      <w:r w:rsidRPr="002A0038">
        <w:rPr>
          <w:rStyle w:val="Guidance"/>
        </w:rPr>
        <w:t xml:space="preserve">An entity may present notes providing information about the basis of preparation of the financial statements and specific accounting policies as a separate section of the financial statements. </w:t>
      </w:r>
      <w:r w:rsidRPr="00455A33">
        <w:rPr>
          <w:rStyle w:val="Reference"/>
        </w:rPr>
        <w:t>[</w:t>
      </w:r>
      <w:r w:rsidR="0007383E">
        <w:rPr>
          <w:rStyle w:val="Reference"/>
        </w:rPr>
        <w:t>AASB </w:t>
      </w:r>
      <w:r w:rsidRPr="00455A33">
        <w:rPr>
          <w:rStyle w:val="Reference"/>
        </w:rPr>
        <w:t>1060.9</w:t>
      </w:r>
      <w:r>
        <w:rPr>
          <w:rStyle w:val="Reference"/>
        </w:rPr>
        <w:t>4</w:t>
      </w:r>
      <w:r w:rsidRPr="00455A33">
        <w:rPr>
          <w:rStyle w:val="Reference"/>
        </w:rPr>
        <w:t>]</w:t>
      </w:r>
    </w:p>
    <w:p w14:paraId="5B26F173" w14:textId="77777777" w:rsidR="00487146" w:rsidRDefault="00487146" w:rsidP="00487146">
      <w:pPr>
        <w:pStyle w:val="GuidanceEnd"/>
      </w:pPr>
    </w:p>
    <w:p w14:paraId="0B8906FC" w14:textId="77777777" w:rsidR="003719CD" w:rsidRDefault="003719CD" w:rsidP="00DC39DE"/>
    <w:p w14:paraId="22DDBBA7" w14:textId="47465ABE" w:rsidR="003719CD" w:rsidRDefault="00976AFC" w:rsidP="00976AFC">
      <w:pPr>
        <w:pStyle w:val="Heading1"/>
        <w:pageBreakBefore/>
      </w:pPr>
      <w:bookmarkStart w:id="112" w:name="INDEX_ComplianceMinDirection"/>
      <w:bookmarkStart w:id="113" w:name="_Toc179811126"/>
      <w:bookmarkStart w:id="114" w:name="_Toc179816826"/>
      <w:bookmarkStart w:id="115" w:name="_Toc179822526"/>
      <w:bookmarkStart w:id="116" w:name="_Toc179828219"/>
      <w:bookmarkStart w:id="117" w:name="_Toc179859749"/>
      <w:bookmarkStart w:id="118" w:name="_Toc179867091"/>
      <w:bookmarkStart w:id="119" w:name="_Toc179871484"/>
      <w:bookmarkStart w:id="120" w:name="_Toc179875877"/>
      <w:bookmarkStart w:id="121" w:name="_Toc179880271"/>
      <w:bookmarkStart w:id="122" w:name="_Toc179880296"/>
      <w:bookmarkEnd w:id="112"/>
      <w:r>
        <w:t>Declaration in the financial statements</w:t>
      </w:r>
      <w:bookmarkEnd w:id="113"/>
      <w:bookmarkEnd w:id="114"/>
      <w:bookmarkEnd w:id="115"/>
      <w:bookmarkEnd w:id="116"/>
      <w:bookmarkEnd w:id="117"/>
      <w:bookmarkEnd w:id="118"/>
      <w:bookmarkEnd w:id="119"/>
      <w:bookmarkEnd w:id="120"/>
      <w:bookmarkEnd w:id="121"/>
      <w:bookmarkEnd w:id="122"/>
    </w:p>
    <w:p w14:paraId="2F74C1CC" w14:textId="1364AE28" w:rsidR="003719CD" w:rsidRDefault="003719CD" w:rsidP="00DC39DE">
      <w:r>
        <w:t xml:space="preserve">The attached financial statements for the </w:t>
      </w:r>
      <w:r w:rsidR="00126FA5">
        <w:t>Technology Victoria</w:t>
      </w:r>
      <w:r>
        <w:rPr>
          <w:lang w:eastAsia="zh-CN"/>
        </w:rPr>
        <w:t xml:space="preserve"> </w:t>
      </w:r>
      <w:r w:rsidR="00410F00">
        <w:rPr>
          <w:rFonts w:hint="eastAsia"/>
          <w:lang w:eastAsia="zh-CN"/>
        </w:rPr>
        <w:t>(TV)</w:t>
      </w:r>
      <w:r>
        <w:t xml:space="preserve"> have been prepared in accordance with Direction 5.2 of the Standing Directions of the </w:t>
      </w:r>
      <w:r w:rsidR="004844DA">
        <w:rPr>
          <w:rFonts w:hint="eastAsia"/>
          <w:lang w:eastAsia="zh-CN"/>
        </w:rPr>
        <w:t>Minister for Finance</w:t>
      </w:r>
      <w:r>
        <w:t xml:space="preserve"> under the </w:t>
      </w:r>
      <w:r w:rsidRPr="002640E1">
        <w:rPr>
          <w:i/>
          <w:iCs/>
        </w:rPr>
        <w:t>Financial Management Act 1994</w:t>
      </w:r>
      <w:r>
        <w:t>, applicable Financial Reporting Directions, Australian Accounting Standards including interpretations, and other mandatory professional reporting requirements.</w:t>
      </w:r>
      <w:r w:rsidRPr="002640E1">
        <w:rPr>
          <w:rStyle w:val="Reference"/>
        </w:rPr>
        <w:t xml:space="preserve"> [SD 5.2.1, 5.2.2(b)]</w:t>
      </w:r>
    </w:p>
    <w:p w14:paraId="2D3B7791" w14:textId="4D0353D9" w:rsidR="003719CD" w:rsidRDefault="003719CD" w:rsidP="00DC39DE">
      <w:r>
        <w:t xml:space="preserve">We further state that, in our opinion, the information set out in the comprehensive operating statement, balance sheet, statement of changes in equity, cash flow statement and accompanying notes, presents fairly the financial transactions during the year ended 30 June </w:t>
      </w:r>
      <w:fldSimple w:instr="DOCPROPERTY  YearCurrent  \* MERGEFORMAT">
        <w:r w:rsidR="0054242A">
          <w:t>20X2</w:t>
        </w:r>
      </w:fldSimple>
      <w:r>
        <w:t xml:space="preserve"> and financial position of </w:t>
      </w:r>
      <w:r w:rsidR="00B85E40">
        <w:t>TV</w:t>
      </w:r>
      <w:r>
        <w:t xml:space="preserve"> at 30 June </w:t>
      </w:r>
      <w:fldSimple w:instr="DOCPROPERTY  YearCurrent  \* MERGEFORMAT">
        <w:r w:rsidR="0054242A">
          <w:t>20X2</w:t>
        </w:r>
      </w:fldSimple>
      <w:r>
        <w:t>.</w:t>
      </w:r>
    </w:p>
    <w:p w14:paraId="5D66C1F4" w14:textId="77777777" w:rsidR="003719CD" w:rsidRDefault="003719CD" w:rsidP="00DC39DE">
      <w:r>
        <w:t xml:space="preserve">At the time of signing, we are not aware of any circumstance which would render any particulars included in the financial statements to be misleading or inaccurate. </w:t>
      </w:r>
      <w:r w:rsidRPr="002640E1">
        <w:rPr>
          <w:rStyle w:val="Reference"/>
        </w:rPr>
        <w:t>[SD 5.2.2(b)]</w:t>
      </w:r>
    </w:p>
    <w:p w14:paraId="4A2B8408" w14:textId="0EE09004" w:rsidR="003719CD" w:rsidRDefault="003719CD" w:rsidP="00DC39DE">
      <w:r>
        <w:t xml:space="preserve">We authorise the attached financial statements for issue on 14 August </w:t>
      </w:r>
      <w:fldSimple w:instr="DOCPROPERTY  YearCurrent  \* MERGEFORMAT">
        <w:r w:rsidR="0054242A">
          <w:t>20X2</w:t>
        </w:r>
      </w:fldSimple>
      <w:r>
        <w:t>.</w:t>
      </w:r>
    </w:p>
    <w:p w14:paraId="0275114F" w14:textId="77777777" w:rsidR="003719CD" w:rsidRDefault="003719CD" w:rsidP="00DC39DE"/>
    <w:p w14:paraId="6025B47A" w14:textId="77777777" w:rsidR="003719CD" w:rsidRDefault="003719CD" w:rsidP="00DC39DE"/>
    <w:p w14:paraId="21898FAE" w14:textId="77777777" w:rsidR="003719CD" w:rsidRPr="00940E38" w:rsidRDefault="003719CD" w:rsidP="002640E1">
      <w:pPr>
        <w:tabs>
          <w:tab w:val="left" w:leader="dot" w:pos="2835"/>
          <w:tab w:val="left" w:pos="5103"/>
          <w:tab w:val="left" w:leader="dot" w:pos="7938"/>
        </w:tabs>
      </w:pPr>
      <w:r w:rsidRPr="00940E38">
        <w:tab/>
      </w:r>
      <w:r w:rsidRPr="00940E38">
        <w:tab/>
      </w:r>
      <w:r w:rsidRPr="00940E38">
        <w:tab/>
      </w:r>
    </w:p>
    <w:p w14:paraId="3559CB25" w14:textId="77777777" w:rsidR="003719CD" w:rsidRPr="00940E38" w:rsidRDefault="003719CD" w:rsidP="002640E1">
      <w:pPr>
        <w:tabs>
          <w:tab w:val="left" w:pos="5103"/>
        </w:tabs>
      </w:pPr>
      <w:r w:rsidRPr="00940E38">
        <w:t>R McIvor</w:t>
      </w:r>
      <w:r w:rsidRPr="00940E38">
        <w:tab/>
        <w:t>J Smith</w:t>
      </w:r>
    </w:p>
    <w:p w14:paraId="50D3287A" w14:textId="77777777" w:rsidR="003719CD" w:rsidRPr="00940E38" w:rsidRDefault="003719CD" w:rsidP="002640E1">
      <w:pPr>
        <w:tabs>
          <w:tab w:val="left" w:pos="5103"/>
        </w:tabs>
      </w:pPr>
    </w:p>
    <w:p w14:paraId="4FC4A896" w14:textId="7A198D1A" w:rsidR="003719CD" w:rsidRPr="00940E38" w:rsidRDefault="003719CD" w:rsidP="00FF4F58">
      <w:pPr>
        <w:tabs>
          <w:tab w:val="left" w:pos="5103"/>
        </w:tabs>
        <w:spacing w:before="0" w:after="0"/>
      </w:pPr>
      <w:r w:rsidRPr="00940E38">
        <w:t>Chief Financ</w:t>
      </w:r>
      <w:r w:rsidR="00684606">
        <w:t>ial</w:t>
      </w:r>
      <w:r w:rsidRPr="00940E38">
        <w:t xml:space="preserve"> Officer</w:t>
      </w:r>
      <w:r w:rsidRPr="00940E38">
        <w:tab/>
      </w:r>
      <w:r w:rsidR="00684606">
        <w:t>Chief Executive Officer</w:t>
      </w:r>
    </w:p>
    <w:p w14:paraId="46845B48" w14:textId="604A39CE" w:rsidR="003719CD" w:rsidRPr="00940E38" w:rsidRDefault="00126FA5" w:rsidP="002640E1">
      <w:pPr>
        <w:tabs>
          <w:tab w:val="left" w:pos="5103"/>
        </w:tabs>
        <w:spacing w:before="0"/>
      </w:pPr>
      <w:r>
        <w:t>Technology Victoria</w:t>
      </w:r>
      <w:r w:rsidR="003719CD" w:rsidRPr="00940E38">
        <w:tab/>
      </w:r>
      <w:r>
        <w:t>Technology Victoria</w:t>
      </w:r>
    </w:p>
    <w:p w14:paraId="5EAEBC5C" w14:textId="77777777" w:rsidR="003719CD" w:rsidRPr="00940E38" w:rsidRDefault="003719CD" w:rsidP="002640E1">
      <w:pPr>
        <w:tabs>
          <w:tab w:val="left" w:pos="5103"/>
        </w:tabs>
      </w:pPr>
    </w:p>
    <w:p w14:paraId="707D0224" w14:textId="77777777" w:rsidR="003719CD" w:rsidRPr="00940E38" w:rsidRDefault="003719CD" w:rsidP="00FF4F58">
      <w:pPr>
        <w:tabs>
          <w:tab w:val="left" w:pos="5103"/>
        </w:tabs>
        <w:spacing w:before="0" w:after="0"/>
      </w:pPr>
      <w:r w:rsidRPr="00940E38">
        <w:t>Melbourne</w:t>
      </w:r>
      <w:r w:rsidRPr="00940E38">
        <w:tab/>
      </w:r>
      <w:proofErr w:type="spellStart"/>
      <w:r w:rsidRPr="00940E38">
        <w:t>Melbourne</w:t>
      </w:r>
      <w:proofErr w:type="spellEnd"/>
    </w:p>
    <w:p w14:paraId="06C80E6D" w14:textId="37622B33" w:rsidR="003719CD" w:rsidRPr="00940E38" w:rsidRDefault="003719CD" w:rsidP="002640E1">
      <w:pPr>
        <w:tabs>
          <w:tab w:val="left" w:pos="5103"/>
        </w:tabs>
        <w:spacing w:before="0"/>
      </w:pPr>
      <w:r w:rsidRPr="00940E38">
        <w:t xml:space="preserve">14 August </w:t>
      </w:r>
      <w:fldSimple w:instr="DOCPROPERTY  YearCurrent  \* MERGEFORMAT">
        <w:r w:rsidR="0054242A">
          <w:t>20X2</w:t>
        </w:r>
      </w:fldSimple>
      <w:r w:rsidRPr="00940E38">
        <w:tab/>
        <w:t xml:space="preserve">14 August </w:t>
      </w:r>
      <w:fldSimple w:instr="DOCPROPERTY  YearCurrent  \* MERGEFORMAT">
        <w:r w:rsidR="0054242A">
          <w:t>20X2</w:t>
        </w:r>
      </w:fldSimple>
    </w:p>
    <w:p w14:paraId="43DE1C14" w14:textId="77777777" w:rsidR="003719CD" w:rsidRDefault="003719CD" w:rsidP="00DC39DE"/>
    <w:p w14:paraId="3AE7F2BF" w14:textId="0E85BA89" w:rsidR="003719CD" w:rsidRDefault="003719CD" w:rsidP="00197D8A">
      <w:pPr>
        <w:pStyle w:val="GuidanceBlockHeading"/>
      </w:pPr>
      <w:bookmarkStart w:id="123" w:name="_Toc179811127"/>
      <w:bookmarkStart w:id="124" w:name="_Toc179816827"/>
      <w:bookmarkStart w:id="125" w:name="_Toc179822527"/>
      <w:r>
        <w:t>Guidance: Declaration in financial statements</w:t>
      </w:r>
      <w:bookmarkEnd w:id="123"/>
      <w:bookmarkEnd w:id="124"/>
      <w:bookmarkEnd w:id="125"/>
      <w:r w:rsidR="00086FAA">
        <w:t xml:space="preserve"> [REVISED]</w:t>
      </w:r>
    </w:p>
    <w:p w14:paraId="6F586E2A" w14:textId="77777777" w:rsidR="003719CD" w:rsidRDefault="003719CD">
      <w:pPr>
        <w:spacing w:before="120" w:after="0"/>
        <w:rPr>
          <w:rStyle w:val="Reference"/>
        </w:rPr>
      </w:pPr>
      <w:r w:rsidRPr="00197D8A">
        <w:rPr>
          <w:rStyle w:val="Guidance"/>
        </w:rPr>
        <w:t xml:space="preserve">The Accountable Officer is required to implement and maintain a process to ensure the agency’s annual report is prepared in accordance with the </w:t>
      </w:r>
      <w:r w:rsidRPr="00197D8A">
        <w:rPr>
          <w:rStyle w:val="Guidance"/>
          <w:i/>
          <w:iCs/>
        </w:rPr>
        <w:t>Financial Management Act 1994</w:t>
      </w:r>
      <w:r w:rsidRPr="00197D8A">
        <w:rPr>
          <w:rStyle w:val="Guidance"/>
        </w:rPr>
        <w:t xml:space="preserve"> (FMA), the Standing Directions (SD) and its supporting Instructions, applicable Australian Accounting Standards (AASs) and Financial Reporting Directions (FRDs). </w:t>
      </w:r>
      <w:r w:rsidRPr="00197D8A">
        <w:rPr>
          <w:rStyle w:val="Reference"/>
        </w:rPr>
        <w:t>[SD 5.2.1]</w:t>
      </w:r>
    </w:p>
    <w:p w14:paraId="7193235A" w14:textId="31CB0CEF" w:rsidR="00973CE9" w:rsidRPr="00E10CD7" w:rsidRDefault="00973CE9" w:rsidP="00973CE9">
      <w:pPr>
        <w:spacing w:before="120" w:after="0"/>
        <w:rPr>
          <w:rStyle w:val="Guidance"/>
        </w:rPr>
      </w:pPr>
      <w:r w:rsidRPr="00E10CD7">
        <w:rPr>
          <w:rStyle w:val="Guidance"/>
        </w:rPr>
        <w:t>SD 5.2.2</w:t>
      </w:r>
      <w:r w:rsidR="00127871">
        <w:rPr>
          <w:rStyle w:val="Guidance"/>
        </w:rPr>
        <w:t xml:space="preserve"> </w:t>
      </w:r>
      <w:r w:rsidRPr="00E10CD7">
        <w:rPr>
          <w:rStyle w:val="Guidance"/>
        </w:rPr>
        <w:t>requires that the financial statements of agencies must, where applicable, be signed and dated by the Accountable</w:t>
      </w:r>
      <w:r w:rsidR="002D1F29">
        <w:rPr>
          <w:rStyle w:val="Guidance"/>
        </w:rPr>
        <w:t xml:space="preserve"> </w:t>
      </w:r>
      <w:r w:rsidRPr="00E10CD7">
        <w:rPr>
          <w:rStyle w:val="Guidance"/>
        </w:rPr>
        <w:t xml:space="preserve">Officer and Chief Finance Officer (CFO) and a member of the Responsible Body. </w:t>
      </w:r>
      <w:r w:rsidRPr="002D1F29">
        <w:rPr>
          <w:rStyle w:val="Reference"/>
        </w:rPr>
        <w:t>[SD 5.2.2]</w:t>
      </w:r>
    </w:p>
    <w:p w14:paraId="31AE5F35" w14:textId="138D5CAA" w:rsidR="00973CE9" w:rsidRPr="00E10CD7" w:rsidRDefault="00973CE9" w:rsidP="00973CE9">
      <w:pPr>
        <w:spacing w:before="120" w:after="0"/>
        <w:rPr>
          <w:rStyle w:val="Guidance"/>
        </w:rPr>
      </w:pPr>
      <w:r w:rsidRPr="00E10CD7">
        <w:rPr>
          <w:rStyle w:val="Guidance"/>
        </w:rPr>
        <w:t>For public bodies, if the Accountable Officer or the CFO is a member of the public</w:t>
      </w:r>
      <w:r w:rsidR="002D1F29">
        <w:rPr>
          <w:rStyle w:val="Guidance"/>
        </w:rPr>
        <w:t xml:space="preserve"> </w:t>
      </w:r>
      <w:r w:rsidRPr="00E10CD7">
        <w:rPr>
          <w:rStyle w:val="Guidance"/>
        </w:rPr>
        <w:t>body’s board, two signatories are required. However, three signatures are required if the Accountable Officer or the CFO</w:t>
      </w:r>
      <w:r w:rsidR="002D1F29">
        <w:rPr>
          <w:rStyle w:val="Guidance"/>
        </w:rPr>
        <w:t xml:space="preserve"> </w:t>
      </w:r>
      <w:r w:rsidRPr="00E10CD7">
        <w:rPr>
          <w:rStyle w:val="Guidance"/>
        </w:rPr>
        <w:t>is not a member of the public body’s board.</w:t>
      </w:r>
    </w:p>
    <w:p w14:paraId="2930B08A" w14:textId="1EB0D0D0" w:rsidR="00973CE9" w:rsidRPr="00E10CD7" w:rsidRDefault="00973CE9" w:rsidP="00973CE9">
      <w:pPr>
        <w:spacing w:before="120" w:after="0"/>
        <w:rPr>
          <w:rStyle w:val="Guidance"/>
        </w:rPr>
      </w:pPr>
      <w:r w:rsidRPr="00E10CD7">
        <w:rPr>
          <w:rStyle w:val="Guidance"/>
        </w:rPr>
        <w:t>Direction 2.4.5 requires a CFO to be suitably experienced, hold a graduate or post-graduate qualification in accounting or</w:t>
      </w:r>
      <w:r w:rsidR="00AC79F7">
        <w:rPr>
          <w:rStyle w:val="Guidance"/>
        </w:rPr>
        <w:t xml:space="preserve"> </w:t>
      </w:r>
      <w:r w:rsidRPr="00E10CD7">
        <w:rPr>
          <w:rStyle w:val="Guidance"/>
        </w:rPr>
        <w:t xml:space="preserve">other relevant discipline granted by a tertiary provider, and keep their knowledge and expertise </w:t>
      </w:r>
      <w:r w:rsidR="007661B0" w:rsidRPr="00E10CD7">
        <w:rPr>
          <w:rStyle w:val="Guidance"/>
        </w:rPr>
        <w:t>up to date</w:t>
      </w:r>
      <w:r w:rsidRPr="00E10CD7">
        <w:rPr>
          <w:rStyle w:val="Guidance"/>
        </w:rPr>
        <w:t xml:space="preserve"> with current</w:t>
      </w:r>
      <w:r w:rsidR="00AC79F7">
        <w:rPr>
          <w:rStyle w:val="Guidance"/>
        </w:rPr>
        <w:t xml:space="preserve"> </w:t>
      </w:r>
      <w:r w:rsidRPr="00E10CD7">
        <w:rPr>
          <w:rStyle w:val="Guidance"/>
        </w:rPr>
        <w:t xml:space="preserve">developments in financial management and AASs. </w:t>
      </w:r>
      <w:r w:rsidRPr="00AC79F7">
        <w:rPr>
          <w:rStyle w:val="Reference"/>
        </w:rPr>
        <w:t>[SD</w:t>
      </w:r>
      <w:r w:rsidR="00086FAA">
        <w:rPr>
          <w:rStyle w:val="Reference"/>
        </w:rPr>
        <w:t xml:space="preserve"> </w:t>
      </w:r>
      <w:r w:rsidRPr="00AC79F7">
        <w:rPr>
          <w:rStyle w:val="Reference"/>
        </w:rPr>
        <w:t>2.4.5]</w:t>
      </w:r>
    </w:p>
    <w:p w14:paraId="090581E8" w14:textId="1472B990" w:rsidR="00C030F3" w:rsidRPr="00E10CD7" w:rsidRDefault="00973CE9" w:rsidP="00973CE9">
      <w:pPr>
        <w:spacing w:before="120" w:after="0"/>
        <w:rPr>
          <w:rStyle w:val="Guidance"/>
        </w:rPr>
      </w:pPr>
      <w:r w:rsidRPr="00E10CD7">
        <w:rPr>
          <w:rStyle w:val="Guidance"/>
        </w:rPr>
        <w:t>What constitutes a relevant discipline will depend on the judgement of the Accountable Officer having regard to the</w:t>
      </w:r>
      <w:r w:rsidR="00AC79F7">
        <w:rPr>
          <w:rStyle w:val="Guidance"/>
        </w:rPr>
        <w:t xml:space="preserve"> </w:t>
      </w:r>
      <w:r w:rsidRPr="00E10CD7">
        <w:rPr>
          <w:rStyle w:val="Guidance"/>
        </w:rPr>
        <w:t>circumstances of the entity. It may include a qualification in finance, business or economics and relevant prior</w:t>
      </w:r>
      <w:r w:rsidR="009E7970">
        <w:rPr>
          <w:rStyle w:val="Guidance"/>
        </w:rPr>
        <w:t xml:space="preserve"> </w:t>
      </w:r>
      <w:r w:rsidRPr="00E10CD7">
        <w:rPr>
          <w:rStyle w:val="Guidance"/>
        </w:rPr>
        <w:t>experience.</w:t>
      </w:r>
    </w:p>
    <w:p w14:paraId="24987956" w14:textId="6ACCF0B7" w:rsidR="008059EB" w:rsidRPr="002A0038" w:rsidRDefault="008059EB" w:rsidP="002A0038">
      <w:pPr>
        <w:spacing w:before="120" w:after="0"/>
        <w:rPr>
          <w:rStyle w:val="Guidance"/>
        </w:rPr>
      </w:pPr>
      <w:r w:rsidRPr="002A0038">
        <w:rPr>
          <w:rStyle w:val="Guidance"/>
        </w:rPr>
        <w:t>An entity shall disclose the date when the financial statements were authorised for issue and who gave that authorisation. If the entity’s owners or others have the power to amend the financial statements after issue, the entity shall disclose that fact.</w:t>
      </w:r>
      <w:r>
        <w:rPr>
          <w:rStyle w:val="Guidance"/>
        </w:rPr>
        <w:t xml:space="preserve"> </w:t>
      </w:r>
      <w:r w:rsidRPr="00197D8A">
        <w:rPr>
          <w:rStyle w:val="Reference"/>
        </w:rPr>
        <w:t>[</w:t>
      </w:r>
      <w:r w:rsidR="0007383E">
        <w:rPr>
          <w:rStyle w:val="Reference"/>
        </w:rPr>
        <w:t>AASB </w:t>
      </w:r>
      <w:r>
        <w:rPr>
          <w:rStyle w:val="Reference"/>
        </w:rPr>
        <w:t>1060.186</w:t>
      </w:r>
      <w:r w:rsidRPr="00197D8A">
        <w:rPr>
          <w:rStyle w:val="Reference"/>
        </w:rPr>
        <w:t>]</w:t>
      </w:r>
    </w:p>
    <w:p w14:paraId="530E4F55" w14:textId="30910C66" w:rsidR="003719CD" w:rsidRDefault="003719CD" w:rsidP="00AA0D61">
      <w:pPr>
        <w:pStyle w:val="GuidanceHeading"/>
        <w:spacing w:before="120" w:after="0"/>
      </w:pPr>
      <w:r>
        <w:t>Abolished agencies and declaration in financial statements required by SD 5.2.2</w:t>
      </w:r>
    </w:p>
    <w:p w14:paraId="67063FD3" w14:textId="411F1205" w:rsidR="003719CD" w:rsidRPr="00197D8A" w:rsidRDefault="00943801" w:rsidP="00AA0D61">
      <w:pPr>
        <w:keepNext/>
        <w:spacing w:before="120" w:after="0"/>
        <w:rPr>
          <w:rStyle w:val="Guidance"/>
          <w:b/>
          <w:sz w:val="20"/>
        </w:rPr>
      </w:pPr>
      <w:r>
        <w:rPr>
          <w:rStyle w:val="Guidance"/>
        </w:rPr>
        <w:t>Under Section 8B of the FMA, when intending to abolish a body the relevant Minister must consult with the Minister for Finance. W</w:t>
      </w:r>
      <w:r w:rsidR="003719CD" w:rsidRPr="00197D8A">
        <w:rPr>
          <w:rStyle w:val="Guidance"/>
        </w:rPr>
        <w:t xml:space="preserve">here an entity has been or is expected to be abolished, the entity </w:t>
      </w:r>
      <w:r>
        <w:rPr>
          <w:rStyle w:val="Guidance"/>
        </w:rPr>
        <w:t>should</w:t>
      </w:r>
      <w:r w:rsidR="003719CD" w:rsidRPr="00197D8A">
        <w:rPr>
          <w:rStyle w:val="Guidance"/>
        </w:rPr>
        <w:t xml:space="preserve"> engage with the Department of Treasury and Finance (DTF) as early as practicable</w:t>
      </w:r>
      <w:r>
        <w:rPr>
          <w:rStyle w:val="Guidance"/>
        </w:rPr>
        <w:t>, prior to writing to the Minister for Finance,</w:t>
      </w:r>
      <w:r w:rsidR="003719CD" w:rsidRPr="00197D8A">
        <w:rPr>
          <w:rStyle w:val="Guidance"/>
        </w:rPr>
        <w:t xml:space="preserve"> to determine the arrangements for reporting, including who will sign the declaration in financial statements as required by SD 5.2.2.</w:t>
      </w:r>
    </w:p>
    <w:p w14:paraId="75CB7A95" w14:textId="0A73C9C7" w:rsidR="003719CD" w:rsidRPr="00197D8A" w:rsidRDefault="00E63471" w:rsidP="002A0038">
      <w:pPr>
        <w:spacing w:before="120" w:after="0"/>
        <w:rPr>
          <w:rStyle w:val="Guidance"/>
        </w:rPr>
      </w:pPr>
      <w:r>
        <w:rPr>
          <w:rStyle w:val="Guidance"/>
        </w:rPr>
        <w:t>T</w:t>
      </w:r>
      <w:r w:rsidR="003719CD" w:rsidRPr="00197D8A">
        <w:rPr>
          <w:rStyle w:val="Guidance"/>
        </w:rPr>
        <w:t xml:space="preserve">ransitional arrangements </w:t>
      </w:r>
      <w:r>
        <w:rPr>
          <w:rStyle w:val="Guidance"/>
        </w:rPr>
        <w:t xml:space="preserve">for the abolishment of entities </w:t>
      </w:r>
      <w:r w:rsidR="003719CD" w:rsidRPr="00197D8A">
        <w:rPr>
          <w:rStyle w:val="Guidance"/>
        </w:rPr>
        <w:t xml:space="preserve">(for instance, by way of legislation or legislative instrument) </w:t>
      </w:r>
      <w:r w:rsidR="00F127D6">
        <w:rPr>
          <w:rStyle w:val="Guidance"/>
        </w:rPr>
        <w:t>will</w:t>
      </w:r>
      <w:r w:rsidRPr="00197D8A">
        <w:rPr>
          <w:rStyle w:val="Guidance"/>
        </w:rPr>
        <w:t xml:space="preserve"> </w:t>
      </w:r>
      <w:r w:rsidR="003719CD" w:rsidRPr="00197D8A">
        <w:rPr>
          <w:rStyle w:val="Guidance"/>
        </w:rPr>
        <w:t xml:space="preserve">make provisions for the authorisation of the final set of financial statements. In the absence of any such provisions, the agency taking on the bulk of the abolished </w:t>
      </w:r>
      <w:r w:rsidR="00AF3FCB" w:rsidRPr="00197D8A">
        <w:rPr>
          <w:rStyle w:val="Guidance"/>
        </w:rPr>
        <w:t>agenc</w:t>
      </w:r>
      <w:r w:rsidR="00AF3FCB">
        <w:rPr>
          <w:rStyle w:val="Guidance"/>
        </w:rPr>
        <w:t>y’s</w:t>
      </w:r>
      <w:r w:rsidR="00AF3FCB" w:rsidRPr="00197D8A">
        <w:rPr>
          <w:rStyle w:val="Guidance"/>
        </w:rPr>
        <w:t xml:space="preserve"> </w:t>
      </w:r>
      <w:r w:rsidR="003719CD" w:rsidRPr="00197D8A">
        <w:rPr>
          <w:rStyle w:val="Guidance"/>
        </w:rPr>
        <w:t>ongoing operations should take on the responsibility for meeting the requirements of SD 5.2.2.</w:t>
      </w:r>
      <w:r w:rsidR="00F127D6">
        <w:rPr>
          <w:rStyle w:val="Guidance"/>
        </w:rPr>
        <w:t xml:space="preserve"> Please refer to the SRIM</w:t>
      </w:r>
      <w:r w:rsidR="004C3F67">
        <w:rPr>
          <w:rStyle w:val="Guidance"/>
        </w:rPr>
        <w:t>S</w:t>
      </w:r>
      <w:r w:rsidR="00F127D6">
        <w:rPr>
          <w:rStyle w:val="Guidance"/>
        </w:rPr>
        <w:t xml:space="preserve"> website for the transitional arrangements.</w:t>
      </w:r>
    </w:p>
    <w:p w14:paraId="1A2AACC7" w14:textId="0F0C33BF" w:rsidR="003719CD" w:rsidRPr="00197D8A" w:rsidRDefault="003719CD" w:rsidP="002A0038">
      <w:pPr>
        <w:spacing w:before="120" w:after="0"/>
        <w:rPr>
          <w:rStyle w:val="Guidance"/>
        </w:rPr>
      </w:pPr>
      <w:r w:rsidRPr="00197D8A">
        <w:rPr>
          <w:rStyle w:val="Guidance"/>
        </w:rPr>
        <w:t xml:space="preserve">If for any reason no such agency exists and no provision has been made regarding the final set of financial statements, the entity to be wound up should seek independent legal advice and liaise with DTF to agree to appropriate arrangements on a </w:t>
      </w:r>
      <w:r w:rsidR="00DB59D5" w:rsidRPr="00197D8A">
        <w:rPr>
          <w:rStyle w:val="Guidance"/>
        </w:rPr>
        <w:t>case-by-case</w:t>
      </w:r>
      <w:r w:rsidRPr="00197D8A">
        <w:rPr>
          <w:rStyle w:val="Guidance"/>
        </w:rPr>
        <w:t xml:space="preserve"> basis. </w:t>
      </w:r>
    </w:p>
    <w:p w14:paraId="72331180" w14:textId="17108920" w:rsidR="003719CD" w:rsidRPr="00197D8A" w:rsidRDefault="003719CD" w:rsidP="002A0038">
      <w:pPr>
        <w:spacing w:before="120" w:after="0"/>
        <w:rPr>
          <w:rStyle w:val="Guidance"/>
        </w:rPr>
      </w:pPr>
      <w:r w:rsidRPr="00197D8A">
        <w:rPr>
          <w:rStyle w:val="Guidance"/>
        </w:rPr>
        <w:t>In the absence of an existing CFO in the abolished entity, it is recommended that anyone signing a declaration in the place of a CFO is required to have the experience and qualifications of CFOs.</w:t>
      </w:r>
    </w:p>
    <w:p w14:paraId="28AA26BD" w14:textId="77777777" w:rsidR="003719CD" w:rsidRDefault="003719CD" w:rsidP="00197D8A">
      <w:pPr>
        <w:pStyle w:val="GuidanceEnd"/>
      </w:pPr>
    </w:p>
    <w:p w14:paraId="18B7DE31" w14:textId="77777777" w:rsidR="00612D9A" w:rsidRDefault="00612D9A">
      <w:pPr>
        <w:keepLines w:val="0"/>
      </w:pPr>
      <w:r>
        <w:br w:type="page"/>
      </w:r>
    </w:p>
    <w:p w14:paraId="229CE4EC" w14:textId="74A66457" w:rsidR="00612D9A" w:rsidRDefault="00612D9A" w:rsidP="002A0038">
      <w:pPr>
        <w:pStyle w:val="Heading1"/>
      </w:pPr>
      <w:bookmarkStart w:id="126" w:name="_Toc179811128"/>
      <w:bookmarkStart w:id="127" w:name="_Toc179816828"/>
      <w:bookmarkStart w:id="128" w:name="_Toc179822528"/>
      <w:bookmarkStart w:id="129" w:name="_Toc179828220"/>
      <w:bookmarkStart w:id="130" w:name="_Toc179859750"/>
      <w:bookmarkStart w:id="131" w:name="_Toc179867092"/>
      <w:bookmarkStart w:id="132" w:name="_Toc179871485"/>
      <w:bookmarkStart w:id="133" w:name="_Toc179875878"/>
      <w:bookmarkStart w:id="134" w:name="_Toc179880272"/>
      <w:bookmarkStart w:id="135" w:name="_Toc179880297"/>
      <w:r>
        <w:t>PLACEHOLDER FOR VAGO REPORT</w:t>
      </w:r>
      <w:bookmarkEnd w:id="126"/>
      <w:bookmarkEnd w:id="127"/>
      <w:bookmarkEnd w:id="128"/>
      <w:bookmarkEnd w:id="129"/>
      <w:bookmarkEnd w:id="130"/>
      <w:bookmarkEnd w:id="131"/>
      <w:bookmarkEnd w:id="132"/>
      <w:bookmarkEnd w:id="133"/>
      <w:bookmarkEnd w:id="134"/>
      <w:bookmarkEnd w:id="135"/>
    </w:p>
    <w:p w14:paraId="45B8EB18" w14:textId="70693C15" w:rsidR="006E3C94" w:rsidRPr="006E3C94" w:rsidRDefault="006E3C94" w:rsidP="00B8370D">
      <w:r>
        <w:t>[</w:t>
      </w:r>
      <w:r w:rsidR="00C268D7">
        <w:t xml:space="preserve">Please </w:t>
      </w:r>
      <w:r w:rsidR="00C57A4F">
        <w:t>i</w:t>
      </w:r>
      <w:r>
        <w:t xml:space="preserve">nsert </w:t>
      </w:r>
      <w:r w:rsidR="00B8370D">
        <w:t xml:space="preserve">your </w:t>
      </w:r>
      <w:r w:rsidR="000B3076">
        <w:t>entity’s</w:t>
      </w:r>
      <w:r>
        <w:t xml:space="preserve"> audit report</w:t>
      </w:r>
      <w:r w:rsidR="00B7324A">
        <w:t xml:space="preserve"> from </w:t>
      </w:r>
      <w:r w:rsidR="00B15B49">
        <w:t xml:space="preserve">the </w:t>
      </w:r>
      <w:r w:rsidR="00B7324A">
        <w:t>V</w:t>
      </w:r>
      <w:r w:rsidR="00B15B49">
        <w:t xml:space="preserve">ictorian </w:t>
      </w:r>
      <w:r w:rsidR="00B7324A">
        <w:t>A</w:t>
      </w:r>
      <w:r w:rsidR="00B15B49">
        <w:t>uditor-</w:t>
      </w:r>
      <w:r w:rsidR="00B7324A">
        <w:t>G</w:t>
      </w:r>
      <w:r w:rsidR="00B15B49">
        <w:t xml:space="preserve">eneral’s </w:t>
      </w:r>
      <w:r w:rsidR="00B7324A">
        <w:t>O</w:t>
      </w:r>
      <w:r w:rsidR="00B15B49">
        <w:t>ffice</w:t>
      </w:r>
      <w:r>
        <w:t>]</w:t>
      </w:r>
    </w:p>
    <w:p w14:paraId="2E644229" w14:textId="62057F4F" w:rsidR="00612D9A" w:rsidRDefault="00612D9A">
      <w:pPr>
        <w:keepLines w:val="0"/>
      </w:pPr>
    </w:p>
    <w:p w14:paraId="4923A277" w14:textId="478D414F" w:rsidR="003719CD" w:rsidRDefault="003719CD" w:rsidP="00DC39DE"/>
    <w:p w14:paraId="771C8791" w14:textId="77777777" w:rsidR="003719CD" w:rsidRDefault="003719CD" w:rsidP="00DC39DE">
      <w:r>
        <w:t xml:space="preserve"> </w:t>
      </w:r>
    </w:p>
    <w:p w14:paraId="1C89CBCD" w14:textId="77777777" w:rsidR="003719CD" w:rsidRDefault="003719CD">
      <w:pPr>
        <w:keepLines w:val="0"/>
      </w:pPr>
      <w:r>
        <w:br w:type="page"/>
      </w:r>
    </w:p>
    <w:p w14:paraId="6D5C3057" w14:textId="542BC748" w:rsidR="003719CD" w:rsidRDefault="003719CD" w:rsidP="00197D8A">
      <w:pPr>
        <w:pStyle w:val="Heading2"/>
      </w:pPr>
      <w:bookmarkStart w:id="136" w:name="_Toc179811129"/>
      <w:bookmarkStart w:id="137" w:name="_Toc179816829"/>
      <w:bookmarkStart w:id="138" w:name="_Toc179822529"/>
      <w:bookmarkStart w:id="139" w:name="_Toc179828221"/>
      <w:bookmarkStart w:id="140" w:name="_Toc179859751"/>
      <w:bookmarkStart w:id="141" w:name="_Toc179867093"/>
      <w:bookmarkStart w:id="142" w:name="_Toc179871486"/>
      <w:bookmarkStart w:id="143" w:name="_Toc179875879"/>
      <w:bookmarkStart w:id="144" w:name="_Toc179880298"/>
      <w:bookmarkStart w:id="145" w:name="_Ref190331237"/>
      <w:r>
        <w:t xml:space="preserve">Comprehensive operating statement </w:t>
      </w:r>
      <w:r w:rsidRPr="00CD06B1">
        <w:rPr>
          <w:vertAlign w:val="superscript"/>
        </w:rPr>
        <w:t>(a)</w:t>
      </w:r>
      <w:bookmarkEnd w:id="136"/>
      <w:bookmarkEnd w:id="137"/>
      <w:bookmarkEnd w:id="138"/>
      <w:bookmarkEnd w:id="139"/>
      <w:bookmarkEnd w:id="140"/>
      <w:bookmarkEnd w:id="141"/>
      <w:bookmarkEnd w:id="142"/>
      <w:bookmarkEnd w:id="143"/>
      <w:bookmarkEnd w:id="144"/>
      <w:bookmarkEnd w:id="145"/>
      <w:r w:rsidR="00FC48A0">
        <w:rPr>
          <w:vertAlign w:val="superscript"/>
        </w:rPr>
        <w:t xml:space="preserve"> </w:t>
      </w:r>
      <w:r w:rsidR="00FC48A0" w:rsidRPr="00E51206">
        <w:rPr>
          <w:color w:val="C00000"/>
          <w:sz w:val="20"/>
          <w:szCs w:val="20"/>
        </w:rPr>
        <w:t>[REVISED]</w:t>
      </w:r>
    </w:p>
    <w:p w14:paraId="04B774A4" w14:textId="04C06B98" w:rsidR="003719CD" w:rsidRDefault="003719CD" w:rsidP="007D536F">
      <w:pPr>
        <w:pStyle w:val="Caption"/>
      </w:pPr>
      <w:r>
        <w:t xml:space="preserve">For the financial year ended 30 June </w:t>
      </w:r>
      <w:fldSimple w:instr="DOCPROPERTY  YearCurrent \* MERGEFORMAT">
        <w:r w:rsidR="0054242A">
          <w:t>20X2</w:t>
        </w:r>
      </w:fldSimple>
      <w:r>
        <w:tab/>
        <w:t xml:space="preserve">($ thousand) </w:t>
      </w:r>
    </w:p>
    <w:tbl>
      <w:tblPr>
        <w:tblStyle w:val="DTFTable"/>
        <w:tblW w:w="9639" w:type="dxa"/>
        <w:tblLayout w:type="fixed"/>
        <w:tblLook w:val="06A0" w:firstRow="1" w:lastRow="0" w:firstColumn="1" w:lastColumn="0" w:noHBand="1" w:noVBand="1"/>
      </w:tblPr>
      <w:tblGrid>
        <w:gridCol w:w="1418"/>
        <w:gridCol w:w="5245"/>
        <w:gridCol w:w="992"/>
        <w:gridCol w:w="992"/>
        <w:gridCol w:w="992"/>
      </w:tblGrid>
      <w:tr w:rsidR="00182709" w14:paraId="003A96D8" w14:textId="77777777" w:rsidTr="002A003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418" w:type="dxa"/>
            <w:tcBorders>
              <w:top w:val="nil"/>
              <w:bottom w:val="nil"/>
            </w:tcBorders>
            <w:shd w:val="clear" w:color="auto" w:fill="FFFFFF" w:themeFill="background1"/>
          </w:tcPr>
          <w:p w14:paraId="4272390D" w14:textId="22FDCDA5" w:rsidR="00182709" w:rsidRDefault="0044097C">
            <w:pPr>
              <w:keepNext/>
            </w:pPr>
            <w:r>
              <w:rPr>
                <w:color w:val="4472C4"/>
                <w:sz w:val="13"/>
              </w:rPr>
              <w:t>Source reference</w:t>
            </w:r>
          </w:p>
        </w:tc>
        <w:tc>
          <w:tcPr>
            <w:tcW w:w="5245" w:type="dxa"/>
          </w:tcPr>
          <w:p w14:paraId="33037413" w14:textId="77777777" w:rsidR="00182709" w:rsidRDefault="00182709">
            <w:pPr>
              <w:keepNext/>
              <w:jc w:val="left"/>
              <w:cnfStyle w:val="100000000000" w:firstRow="1" w:lastRow="0" w:firstColumn="0" w:lastColumn="0" w:oddVBand="0" w:evenVBand="0" w:oddHBand="0" w:evenHBand="0" w:firstRowFirstColumn="0" w:firstRowLastColumn="0" w:lastRowFirstColumn="0" w:lastRowLastColumn="0"/>
            </w:pPr>
          </w:p>
        </w:tc>
        <w:tc>
          <w:tcPr>
            <w:tcW w:w="992" w:type="dxa"/>
          </w:tcPr>
          <w:p w14:paraId="2688DA44" w14:textId="5E6B9532" w:rsidR="00182709" w:rsidRDefault="00E71E36">
            <w:pPr>
              <w:keepNext/>
              <w:jc w:val="center"/>
              <w:cnfStyle w:val="100000000000" w:firstRow="1" w:lastRow="0" w:firstColumn="0" w:lastColumn="0" w:oddVBand="0" w:evenVBand="0" w:oddHBand="0" w:evenHBand="0" w:firstRowFirstColumn="0" w:firstRowLastColumn="0" w:lastRowFirstColumn="0" w:lastRowLastColumn="0"/>
            </w:pPr>
            <w:r>
              <w:t>Notes</w:t>
            </w:r>
          </w:p>
        </w:tc>
        <w:tc>
          <w:tcPr>
            <w:tcW w:w="992" w:type="dxa"/>
          </w:tcPr>
          <w:p w14:paraId="6B2A229D" w14:textId="77777777" w:rsidR="00182709" w:rsidRDefault="0044097C">
            <w:pPr>
              <w:keepNext/>
              <w:cnfStyle w:val="100000000000" w:firstRow="1" w:lastRow="0" w:firstColumn="0" w:lastColumn="0" w:oddVBand="0" w:evenVBand="0" w:oddHBand="0" w:evenHBand="0" w:firstRowFirstColumn="0" w:firstRowLastColumn="0" w:lastRowFirstColumn="0" w:lastRowLastColumn="0"/>
            </w:pPr>
            <w:r>
              <w:t>20X2</w:t>
            </w:r>
          </w:p>
        </w:tc>
        <w:tc>
          <w:tcPr>
            <w:tcW w:w="992" w:type="dxa"/>
          </w:tcPr>
          <w:p w14:paraId="4A7EDEEA" w14:textId="77777777" w:rsidR="00182709" w:rsidRDefault="0044097C">
            <w:pPr>
              <w:keepNext/>
              <w:cnfStyle w:val="100000000000" w:firstRow="1" w:lastRow="0" w:firstColumn="0" w:lastColumn="0" w:oddVBand="0" w:evenVBand="0" w:oddHBand="0" w:evenHBand="0" w:firstRowFirstColumn="0" w:firstRowLastColumn="0" w:lastRowFirstColumn="0" w:lastRowLastColumn="0"/>
            </w:pPr>
            <w:r>
              <w:t>20X1</w:t>
            </w:r>
          </w:p>
        </w:tc>
      </w:tr>
      <w:tr w:rsidR="00182709" w14:paraId="63B0B0B9" w14:textId="77777777" w:rsidTr="002A0038">
        <w:tc>
          <w:tcPr>
            <w:cnfStyle w:val="001000000000" w:firstRow="0" w:lastRow="0" w:firstColumn="1" w:lastColumn="0" w:oddVBand="0" w:evenVBand="0" w:oddHBand="0" w:evenHBand="0" w:firstRowFirstColumn="0" w:firstRowLastColumn="0" w:lastRowFirstColumn="0" w:lastRowLastColumn="0"/>
            <w:tcW w:w="1418" w:type="dxa"/>
          </w:tcPr>
          <w:p w14:paraId="62B99C28" w14:textId="77777777" w:rsidR="00182709" w:rsidRDefault="00182709"/>
        </w:tc>
        <w:tc>
          <w:tcPr>
            <w:tcW w:w="5245" w:type="dxa"/>
          </w:tcPr>
          <w:p w14:paraId="05A89383" w14:textId="77777777" w:rsidR="00182709" w:rsidRDefault="0044097C">
            <w:pPr>
              <w:jc w:val="left"/>
              <w:cnfStyle w:val="000000000000" w:firstRow="0" w:lastRow="0" w:firstColumn="0" w:lastColumn="0" w:oddVBand="0" w:evenVBand="0" w:oddHBand="0" w:evenHBand="0" w:firstRowFirstColumn="0" w:firstRowLastColumn="0" w:lastRowFirstColumn="0" w:lastRowLastColumn="0"/>
            </w:pPr>
            <w:r>
              <w:rPr>
                <w:b/>
              </w:rPr>
              <w:t>Continuing operations</w:t>
            </w:r>
          </w:p>
        </w:tc>
        <w:tc>
          <w:tcPr>
            <w:tcW w:w="992" w:type="dxa"/>
          </w:tcPr>
          <w:p w14:paraId="2F2FB673" w14:textId="77777777" w:rsidR="00182709" w:rsidRDefault="00182709">
            <w:pPr>
              <w:jc w:val="center"/>
              <w:cnfStyle w:val="000000000000" w:firstRow="0" w:lastRow="0" w:firstColumn="0" w:lastColumn="0" w:oddVBand="0" w:evenVBand="0" w:oddHBand="0" w:evenHBand="0" w:firstRowFirstColumn="0" w:firstRowLastColumn="0" w:lastRowFirstColumn="0" w:lastRowLastColumn="0"/>
            </w:pPr>
          </w:p>
        </w:tc>
        <w:tc>
          <w:tcPr>
            <w:tcW w:w="992" w:type="dxa"/>
          </w:tcPr>
          <w:p w14:paraId="5477138C" w14:textId="77777777" w:rsidR="00182709" w:rsidRDefault="00182709">
            <w:pPr>
              <w:cnfStyle w:val="000000000000" w:firstRow="0" w:lastRow="0" w:firstColumn="0" w:lastColumn="0" w:oddVBand="0" w:evenVBand="0" w:oddHBand="0" w:evenHBand="0" w:firstRowFirstColumn="0" w:firstRowLastColumn="0" w:lastRowFirstColumn="0" w:lastRowLastColumn="0"/>
            </w:pPr>
          </w:p>
        </w:tc>
        <w:tc>
          <w:tcPr>
            <w:tcW w:w="992" w:type="dxa"/>
          </w:tcPr>
          <w:p w14:paraId="7735BD6B" w14:textId="77777777" w:rsidR="00182709" w:rsidRDefault="00182709">
            <w:pPr>
              <w:cnfStyle w:val="000000000000" w:firstRow="0" w:lastRow="0" w:firstColumn="0" w:lastColumn="0" w:oddVBand="0" w:evenVBand="0" w:oddHBand="0" w:evenHBand="0" w:firstRowFirstColumn="0" w:firstRowLastColumn="0" w:lastRowFirstColumn="0" w:lastRowLastColumn="0"/>
            </w:pPr>
          </w:p>
        </w:tc>
      </w:tr>
      <w:tr w:rsidR="00182709" w14:paraId="41939C3A" w14:textId="77777777" w:rsidTr="002A0038">
        <w:tc>
          <w:tcPr>
            <w:cnfStyle w:val="001000000000" w:firstRow="0" w:lastRow="0" w:firstColumn="1" w:lastColumn="0" w:oddVBand="0" w:evenVBand="0" w:oddHBand="0" w:evenHBand="0" w:firstRowFirstColumn="0" w:firstRowLastColumn="0" w:lastRowFirstColumn="0" w:lastRowLastColumn="0"/>
            <w:tcW w:w="1418" w:type="dxa"/>
          </w:tcPr>
          <w:p w14:paraId="0C7896FB" w14:textId="30ABFAAF" w:rsidR="00182709" w:rsidRDefault="0007383E">
            <w:r>
              <w:rPr>
                <w:color w:val="4472C4"/>
                <w:sz w:val="13"/>
              </w:rPr>
              <w:t>AASB </w:t>
            </w:r>
            <w:r w:rsidR="0044097C">
              <w:rPr>
                <w:color w:val="4472C4"/>
                <w:sz w:val="13"/>
              </w:rPr>
              <w:t>10</w:t>
            </w:r>
            <w:r w:rsidR="005A5BFE">
              <w:rPr>
                <w:rFonts w:hint="eastAsia"/>
                <w:color w:val="4472C4"/>
                <w:sz w:val="13"/>
                <w:lang w:eastAsia="zh-CN"/>
              </w:rPr>
              <w:t>60.52</w:t>
            </w:r>
            <w:r w:rsidR="0044097C">
              <w:rPr>
                <w:color w:val="4472C4"/>
                <w:sz w:val="13"/>
              </w:rPr>
              <w:t xml:space="preserve"> (a)</w:t>
            </w:r>
          </w:p>
        </w:tc>
        <w:tc>
          <w:tcPr>
            <w:tcW w:w="5245" w:type="dxa"/>
          </w:tcPr>
          <w:p w14:paraId="0944D2A2" w14:textId="77777777" w:rsidR="00182709" w:rsidRDefault="0044097C">
            <w:pPr>
              <w:jc w:val="left"/>
              <w:cnfStyle w:val="000000000000" w:firstRow="0" w:lastRow="0" w:firstColumn="0" w:lastColumn="0" w:oddVBand="0" w:evenVBand="0" w:oddHBand="0" w:evenHBand="0" w:firstRowFirstColumn="0" w:firstRowLastColumn="0" w:lastRowFirstColumn="0" w:lastRowLastColumn="0"/>
            </w:pPr>
            <w:r>
              <w:rPr>
                <w:b/>
              </w:rPr>
              <w:t>Revenue and income from transactions</w:t>
            </w:r>
          </w:p>
        </w:tc>
        <w:tc>
          <w:tcPr>
            <w:tcW w:w="992" w:type="dxa"/>
          </w:tcPr>
          <w:p w14:paraId="30515437" w14:textId="77777777" w:rsidR="00182709" w:rsidRDefault="00182709">
            <w:pPr>
              <w:jc w:val="center"/>
              <w:cnfStyle w:val="000000000000" w:firstRow="0" w:lastRow="0" w:firstColumn="0" w:lastColumn="0" w:oddVBand="0" w:evenVBand="0" w:oddHBand="0" w:evenHBand="0" w:firstRowFirstColumn="0" w:firstRowLastColumn="0" w:lastRowFirstColumn="0" w:lastRowLastColumn="0"/>
            </w:pPr>
          </w:p>
        </w:tc>
        <w:tc>
          <w:tcPr>
            <w:tcW w:w="992" w:type="dxa"/>
          </w:tcPr>
          <w:p w14:paraId="3B1880C5" w14:textId="77777777" w:rsidR="00182709" w:rsidRDefault="00182709">
            <w:pPr>
              <w:cnfStyle w:val="000000000000" w:firstRow="0" w:lastRow="0" w:firstColumn="0" w:lastColumn="0" w:oddVBand="0" w:evenVBand="0" w:oddHBand="0" w:evenHBand="0" w:firstRowFirstColumn="0" w:firstRowLastColumn="0" w:lastRowFirstColumn="0" w:lastRowLastColumn="0"/>
            </w:pPr>
          </w:p>
        </w:tc>
        <w:tc>
          <w:tcPr>
            <w:tcW w:w="992" w:type="dxa"/>
          </w:tcPr>
          <w:p w14:paraId="3610E7A6" w14:textId="77777777" w:rsidR="00182709" w:rsidRDefault="00182709">
            <w:pPr>
              <w:cnfStyle w:val="000000000000" w:firstRow="0" w:lastRow="0" w:firstColumn="0" w:lastColumn="0" w:oddVBand="0" w:evenVBand="0" w:oddHBand="0" w:evenHBand="0" w:firstRowFirstColumn="0" w:firstRowLastColumn="0" w:lastRowFirstColumn="0" w:lastRowLastColumn="0"/>
            </w:pPr>
          </w:p>
        </w:tc>
      </w:tr>
      <w:tr w:rsidR="004F11C7" w14:paraId="1FCC20C6" w14:textId="77777777" w:rsidTr="002A0038">
        <w:tc>
          <w:tcPr>
            <w:cnfStyle w:val="001000000000" w:firstRow="0" w:lastRow="0" w:firstColumn="1" w:lastColumn="0" w:oddVBand="0" w:evenVBand="0" w:oddHBand="0" w:evenHBand="0" w:firstRowFirstColumn="0" w:firstRowLastColumn="0" w:lastRowFirstColumn="0" w:lastRowLastColumn="0"/>
            <w:tcW w:w="1418" w:type="dxa"/>
          </w:tcPr>
          <w:p w14:paraId="2CAD3915" w14:textId="798347A2" w:rsidR="004F11C7" w:rsidRDefault="0007383E" w:rsidP="004F11C7">
            <w:r>
              <w:rPr>
                <w:color w:val="4472C4"/>
                <w:sz w:val="13"/>
              </w:rPr>
              <w:t>AASB </w:t>
            </w:r>
            <w:r w:rsidR="004F11C7">
              <w:rPr>
                <w:color w:val="4472C4"/>
                <w:sz w:val="13"/>
              </w:rPr>
              <w:t>10</w:t>
            </w:r>
            <w:r w:rsidR="004F11C7">
              <w:rPr>
                <w:rFonts w:hint="eastAsia"/>
                <w:color w:val="4472C4"/>
                <w:sz w:val="13"/>
                <w:lang w:eastAsia="zh-CN"/>
              </w:rPr>
              <w:t>60</w:t>
            </w:r>
            <w:r w:rsidR="004F11C7">
              <w:rPr>
                <w:color w:val="4472C4"/>
                <w:sz w:val="13"/>
              </w:rPr>
              <w:t>.</w:t>
            </w:r>
            <w:r w:rsidR="004F11C7">
              <w:rPr>
                <w:rFonts w:hint="eastAsia"/>
                <w:color w:val="4472C4"/>
                <w:sz w:val="13"/>
                <w:lang w:eastAsia="zh-CN"/>
              </w:rPr>
              <w:t>5</w:t>
            </w:r>
            <w:r w:rsidR="004F11C7">
              <w:rPr>
                <w:color w:val="4472C4"/>
                <w:sz w:val="13"/>
              </w:rPr>
              <w:t>2 (a)</w:t>
            </w:r>
          </w:p>
        </w:tc>
        <w:tc>
          <w:tcPr>
            <w:tcW w:w="5245" w:type="dxa"/>
          </w:tcPr>
          <w:p w14:paraId="0C73A6AF" w14:textId="77777777" w:rsidR="004F11C7" w:rsidRDefault="004F11C7" w:rsidP="004F11C7">
            <w:pPr>
              <w:jc w:val="left"/>
              <w:cnfStyle w:val="000000000000" w:firstRow="0" w:lastRow="0" w:firstColumn="0" w:lastColumn="0" w:oddVBand="0" w:evenVBand="0" w:oddHBand="0" w:evenHBand="0" w:firstRowFirstColumn="0" w:firstRowLastColumn="0" w:lastRowFirstColumn="0" w:lastRowLastColumn="0"/>
            </w:pPr>
            <w:r>
              <w:t>Sale of goods and services</w:t>
            </w:r>
          </w:p>
        </w:tc>
        <w:tc>
          <w:tcPr>
            <w:tcW w:w="992" w:type="dxa"/>
            <w:vAlign w:val="center"/>
          </w:tcPr>
          <w:p w14:paraId="4BCE4910" w14:textId="2CDA8519" w:rsidR="004F11C7" w:rsidRDefault="004F11C7" w:rsidP="004F11C7">
            <w:pPr>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16"/>
              </w:rPr>
              <w:t>2.2.2</w:t>
            </w:r>
          </w:p>
        </w:tc>
        <w:tc>
          <w:tcPr>
            <w:tcW w:w="992" w:type="dxa"/>
            <w:vAlign w:val="center"/>
          </w:tcPr>
          <w:p w14:paraId="43D5BB36" w14:textId="5630E1C1" w:rsidR="004F11C7" w:rsidRDefault="004F11C7" w:rsidP="004F11C7">
            <w:pP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16"/>
              </w:rPr>
              <w:t>82</w:t>
            </w:r>
            <w:r w:rsidR="003E3065">
              <w:rPr>
                <w:rFonts w:ascii="Arial" w:hAnsi="Arial" w:cs="Arial" w:hint="eastAsia"/>
                <w:color w:val="000000"/>
                <w:szCs w:val="16"/>
                <w:lang w:eastAsia="zh-CN"/>
              </w:rPr>
              <w:t xml:space="preserve"> </w:t>
            </w:r>
            <w:r>
              <w:rPr>
                <w:rFonts w:ascii="Arial" w:hAnsi="Arial" w:cs="Arial"/>
                <w:color w:val="000000"/>
                <w:szCs w:val="16"/>
              </w:rPr>
              <w:t>392</w:t>
            </w:r>
          </w:p>
        </w:tc>
        <w:tc>
          <w:tcPr>
            <w:tcW w:w="992" w:type="dxa"/>
            <w:vAlign w:val="center"/>
          </w:tcPr>
          <w:p w14:paraId="797BDCA2" w14:textId="517AD562" w:rsidR="004F11C7" w:rsidRDefault="004F11C7" w:rsidP="004F11C7">
            <w:pP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16"/>
              </w:rPr>
              <w:t>64</w:t>
            </w:r>
            <w:r w:rsidR="003E3065">
              <w:rPr>
                <w:rFonts w:ascii="Arial" w:hAnsi="Arial" w:cs="Arial" w:hint="eastAsia"/>
                <w:color w:val="000000"/>
                <w:szCs w:val="16"/>
                <w:lang w:eastAsia="zh-CN"/>
              </w:rPr>
              <w:t xml:space="preserve"> </w:t>
            </w:r>
            <w:r>
              <w:rPr>
                <w:rFonts w:ascii="Arial" w:hAnsi="Arial" w:cs="Arial"/>
                <w:color w:val="000000"/>
                <w:szCs w:val="16"/>
              </w:rPr>
              <w:t>466</w:t>
            </w:r>
          </w:p>
        </w:tc>
      </w:tr>
      <w:tr w:rsidR="004F11C7" w14:paraId="5DBD393D" w14:textId="77777777" w:rsidTr="002A0038">
        <w:tc>
          <w:tcPr>
            <w:cnfStyle w:val="001000000000" w:firstRow="0" w:lastRow="0" w:firstColumn="1" w:lastColumn="0" w:oddVBand="0" w:evenVBand="0" w:oddHBand="0" w:evenHBand="0" w:firstRowFirstColumn="0" w:firstRowLastColumn="0" w:lastRowFirstColumn="0" w:lastRowLastColumn="0"/>
            <w:tcW w:w="1418" w:type="dxa"/>
          </w:tcPr>
          <w:p w14:paraId="75121163" w14:textId="4CCC92F8" w:rsidR="004F11C7" w:rsidRDefault="0007383E" w:rsidP="004F11C7">
            <w:r>
              <w:rPr>
                <w:color w:val="4472C4"/>
                <w:sz w:val="13"/>
              </w:rPr>
              <w:t>AASB </w:t>
            </w:r>
            <w:r w:rsidR="004F11C7">
              <w:rPr>
                <w:color w:val="4472C4"/>
                <w:sz w:val="13"/>
              </w:rPr>
              <w:t>10</w:t>
            </w:r>
            <w:r w:rsidR="004F11C7">
              <w:rPr>
                <w:rFonts w:hint="eastAsia"/>
                <w:color w:val="4472C4"/>
                <w:sz w:val="13"/>
                <w:lang w:eastAsia="zh-CN"/>
              </w:rPr>
              <w:t>60</w:t>
            </w:r>
            <w:r w:rsidR="004F11C7">
              <w:rPr>
                <w:color w:val="4472C4"/>
                <w:sz w:val="13"/>
              </w:rPr>
              <w:t>.2</w:t>
            </w:r>
            <w:r w:rsidR="004F11C7">
              <w:rPr>
                <w:rFonts w:hint="eastAsia"/>
                <w:color w:val="4472C4"/>
                <w:sz w:val="13"/>
                <w:lang w:eastAsia="zh-CN"/>
              </w:rPr>
              <w:t>29</w:t>
            </w:r>
            <w:r w:rsidR="004F11C7">
              <w:rPr>
                <w:color w:val="4472C4"/>
                <w:sz w:val="13"/>
              </w:rPr>
              <w:t xml:space="preserve"> (a)</w:t>
            </w:r>
          </w:p>
        </w:tc>
        <w:tc>
          <w:tcPr>
            <w:tcW w:w="5245" w:type="dxa"/>
          </w:tcPr>
          <w:p w14:paraId="5131EB6A" w14:textId="77777777" w:rsidR="004F11C7" w:rsidRDefault="004F11C7" w:rsidP="004F11C7">
            <w:pPr>
              <w:jc w:val="left"/>
              <w:cnfStyle w:val="000000000000" w:firstRow="0" w:lastRow="0" w:firstColumn="0" w:lastColumn="0" w:oddVBand="0" w:evenVBand="0" w:oddHBand="0" w:evenHBand="0" w:firstRowFirstColumn="0" w:firstRowLastColumn="0" w:lastRowFirstColumn="0" w:lastRowLastColumn="0"/>
            </w:pPr>
            <w:r>
              <w:t>Grants</w:t>
            </w:r>
          </w:p>
        </w:tc>
        <w:tc>
          <w:tcPr>
            <w:tcW w:w="992" w:type="dxa"/>
            <w:vAlign w:val="center"/>
          </w:tcPr>
          <w:p w14:paraId="03212371" w14:textId="1E2D9E0C" w:rsidR="004F11C7" w:rsidRDefault="004F11C7" w:rsidP="004F11C7">
            <w:pPr>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16"/>
              </w:rPr>
              <w:t>2.2.3</w:t>
            </w:r>
          </w:p>
        </w:tc>
        <w:tc>
          <w:tcPr>
            <w:tcW w:w="992" w:type="dxa"/>
            <w:vAlign w:val="center"/>
          </w:tcPr>
          <w:p w14:paraId="2959690A" w14:textId="5714EB9A" w:rsidR="004F11C7" w:rsidRDefault="004F11C7" w:rsidP="004F11C7">
            <w:pP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16"/>
              </w:rPr>
              <w:t>13</w:t>
            </w:r>
            <w:r w:rsidR="003E3065">
              <w:rPr>
                <w:rFonts w:ascii="Arial" w:hAnsi="Arial" w:cs="Arial" w:hint="eastAsia"/>
                <w:color w:val="000000"/>
                <w:szCs w:val="16"/>
                <w:lang w:eastAsia="zh-CN"/>
              </w:rPr>
              <w:t xml:space="preserve"> </w:t>
            </w:r>
            <w:r>
              <w:rPr>
                <w:rFonts w:ascii="Arial" w:hAnsi="Arial" w:cs="Arial"/>
                <w:color w:val="000000"/>
                <w:szCs w:val="16"/>
              </w:rPr>
              <w:t>338</w:t>
            </w:r>
          </w:p>
        </w:tc>
        <w:tc>
          <w:tcPr>
            <w:tcW w:w="992" w:type="dxa"/>
            <w:vAlign w:val="center"/>
          </w:tcPr>
          <w:p w14:paraId="661F66F2" w14:textId="589F6A74" w:rsidR="004F11C7" w:rsidRDefault="004F11C7" w:rsidP="004F11C7">
            <w:pP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16"/>
              </w:rPr>
              <w:t>12</w:t>
            </w:r>
            <w:r w:rsidR="003E3065">
              <w:rPr>
                <w:rFonts w:ascii="Arial" w:hAnsi="Arial" w:cs="Arial" w:hint="eastAsia"/>
                <w:color w:val="000000"/>
                <w:szCs w:val="16"/>
                <w:lang w:eastAsia="zh-CN"/>
              </w:rPr>
              <w:t xml:space="preserve"> </w:t>
            </w:r>
            <w:r>
              <w:rPr>
                <w:rFonts w:ascii="Arial" w:hAnsi="Arial" w:cs="Arial"/>
                <w:color w:val="000000"/>
                <w:szCs w:val="16"/>
              </w:rPr>
              <w:t>213</w:t>
            </w:r>
          </w:p>
        </w:tc>
      </w:tr>
      <w:tr w:rsidR="004F11C7" w14:paraId="50CC68D4" w14:textId="77777777" w:rsidTr="002A0038">
        <w:tc>
          <w:tcPr>
            <w:cnfStyle w:val="001000000000" w:firstRow="0" w:lastRow="0" w:firstColumn="1" w:lastColumn="0" w:oddVBand="0" w:evenVBand="0" w:oddHBand="0" w:evenHBand="0" w:firstRowFirstColumn="0" w:firstRowLastColumn="0" w:lastRowFirstColumn="0" w:lastRowLastColumn="0"/>
            <w:tcW w:w="0" w:type="dxa"/>
          </w:tcPr>
          <w:p w14:paraId="3EA7115B" w14:textId="29B80CB3" w:rsidR="004F11C7" w:rsidRDefault="0007383E" w:rsidP="004F11C7">
            <w:pPr>
              <w:rPr>
                <w:color w:val="4472C4"/>
                <w:sz w:val="13"/>
              </w:rPr>
            </w:pPr>
            <w:r>
              <w:rPr>
                <w:color w:val="4472C4"/>
                <w:sz w:val="13"/>
              </w:rPr>
              <w:t>AASB </w:t>
            </w:r>
            <w:r w:rsidR="004F11C7">
              <w:rPr>
                <w:color w:val="4472C4"/>
                <w:sz w:val="13"/>
              </w:rPr>
              <w:t>10</w:t>
            </w:r>
            <w:r w:rsidR="004F11C7">
              <w:rPr>
                <w:rFonts w:hint="eastAsia"/>
                <w:color w:val="4472C4"/>
                <w:sz w:val="13"/>
                <w:lang w:eastAsia="zh-CN"/>
              </w:rPr>
              <w:t>60</w:t>
            </w:r>
            <w:r w:rsidR="004F11C7">
              <w:rPr>
                <w:color w:val="4472C4"/>
                <w:sz w:val="13"/>
              </w:rPr>
              <w:t>.</w:t>
            </w:r>
            <w:r w:rsidR="004F11C7">
              <w:rPr>
                <w:rFonts w:hint="eastAsia"/>
                <w:color w:val="4472C4"/>
                <w:sz w:val="13"/>
                <w:lang w:eastAsia="zh-CN"/>
              </w:rPr>
              <w:t>52</w:t>
            </w:r>
            <w:r w:rsidR="004F11C7">
              <w:rPr>
                <w:color w:val="4472C4"/>
                <w:sz w:val="13"/>
              </w:rPr>
              <w:t xml:space="preserve"> (a)</w:t>
            </w:r>
          </w:p>
        </w:tc>
        <w:tc>
          <w:tcPr>
            <w:tcW w:w="0" w:type="dxa"/>
          </w:tcPr>
          <w:p w14:paraId="2A51A88D" w14:textId="2CBA9D87" w:rsidR="004F11C7" w:rsidRDefault="004F11C7" w:rsidP="002A0038">
            <w:pPr>
              <w:jc w:val="left"/>
              <w:cnfStyle w:val="000000000000" w:firstRow="0" w:lastRow="0" w:firstColumn="0" w:lastColumn="0" w:oddVBand="0" w:evenVBand="0" w:oddHBand="0" w:evenHBand="0" w:firstRowFirstColumn="0" w:firstRowLastColumn="0" w:lastRowFirstColumn="0" w:lastRowLastColumn="0"/>
            </w:pPr>
            <w:r>
              <w:t>Interest</w:t>
            </w:r>
            <w:r w:rsidR="00CB1708">
              <w:rPr>
                <w:rFonts w:hint="eastAsia"/>
                <w:lang w:eastAsia="zh-CN"/>
              </w:rPr>
              <w:t xml:space="preserve"> income</w:t>
            </w:r>
          </w:p>
        </w:tc>
        <w:tc>
          <w:tcPr>
            <w:tcW w:w="0" w:type="dxa"/>
            <w:vAlign w:val="center"/>
          </w:tcPr>
          <w:p w14:paraId="19BBF08F" w14:textId="1614F4F2" w:rsidR="004F11C7" w:rsidRDefault="004F11C7" w:rsidP="004F11C7">
            <w:pPr>
              <w:jc w:val="center"/>
              <w:cnfStyle w:val="000000000000" w:firstRow="0" w:lastRow="0" w:firstColumn="0" w:lastColumn="0" w:oddVBand="0" w:evenVBand="0" w:oddHBand="0" w:evenHBand="0" w:firstRowFirstColumn="0" w:firstRowLastColumn="0" w:lastRowFirstColumn="0" w:lastRowLastColumn="0"/>
              <w:rPr>
                <w:lang w:eastAsia="zh-CN"/>
              </w:rPr>
            </w:pPr>
            <w:r>
              <w:rPr>
                <w:rFonts w:ascii="Arial" w:hAnsi="Arial" w:cs="Arial"/>
                <w:color w:val="000000"/>
                <w:szCs w:val="16"/>
              </w:rPr>
              <w:t>2.2.1</w:t>
            </w:r>
          </w:p>
        </w:tc>
        <w:tc>
          <w:tcPr>
            <w:tcW w:w="0" w:type="dxa"/>
            <w:vAlign w:val="center"/>
          </w:tcPr>
          <w:p w14:paraId="5A084E6D" w14:textId="54719FBC" w:rsidR="004F11C7" w:rsidRDefault="004F11C7" w:rsidP="004F11C7">
            <w:pP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16"/>
              </w:rPr>
              <w:t>3</w:t>
            </w:r>
            <w:r w:rsidR="003E3065">
              <w:rPr>
                <w:rFonts w:ascii="Arial" w:hAnsi="Arial" w:cs="Arial" w:hint="eastAsia"/>
                <w:color w:val="000000"/>
                <w:szCs w:val="16"/>
                <w:lang w:eastAsia="zh-CN"/>
              </w:rPr>
              <w:t xml:space="preserve"> </w:t>
            </w:r>
            <w:r>
              <w:rPr>
                <w:rFonts w:ascii="Arial" w:hAnsi="Arial" w:cs="Arial"/>
                <w:color w:val="000000"/>
                <w:szCs w:val="16"/>
              </w:rPr>
              <w:t>864</w:t>
            </w:r>
          </w:p>
        </w:tc>
        <w:tc>
          <w:tcPr>
            <w:tcW w:w="0" w:type="dxa"/>
            <w:vAlign w:val="center"/>
          </w:tcPr>
          <w:p w14:paraId="0BB59972" w14:textId="7D83307F" w:rsidR="004F11C7" w:rsidRDefault="004F11C7" w:rsidP="004F11C7">
            <w:pP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16"/>
              </w:rPr>
              <w:t>2</w:t>
            </w:r>
            <w:r w:rsidR="003E3065">
              <w:rPr>
                <w:rFonts w:ascii="Arial" w:hAnsi="Arial" w:cs="Arial" w:hint="eastAsia"/>
                <w:color w:val="000000"/>
                <w:szCs w:val="16"/>
                <w:lang w:eastAsia="zh-CN"/>
              </w:rPr>
              <w:t xml:space="preserve"> </w:t>
            </w:r>
            <w:r>
              <w:rPr>
                <w:rFonts w:ascii="Arial" w:hAnsi="Arial" w:cs="Arial"/>
                <w:color w:val="000000"/>
                <w:szCs w:val="16"/>
              </w:rPr>
              <w:t>897</w:t>
            </w:r>
          </w:p>
        </w:tc>
      </w:tr>
      <w:tr w:rsidR="004F11C7" w14:paraId="18B539E6" w14:textId="77777777" w:rsidTr="002A0038">
        <w:tc>
          <w:tcPr>
            <w:cnfStyle w:val="001000000000" w:firstRow="0" w:lastRow="0" w:firstColumn="1" w:lastColumn="0" w:oddVBand="0" w:evenVBand="0" w:oddHBand="0" w:evenHBand="0" w:firstRowFirstColumn="0" w:firstRowLastColumn="0" w:lastRowFirstColumn="0" w:lastRowLastColumn="0"/>
            <w:tcW w:w="1418" w:type="dxa"/>
          </w:tcPr>
          <w:p w14:paraId="3F49C582" w14:textId="6E528E4C" w:rsidR="004F11C7" w:rsidRDefault="0007383E" w:rsidP="004F11C7">
            <w:r>
              <w:rPr>
                <w:color w:val="4472C4"/>
                <w:sz w:val="13"/>
              </w:rPr>
              <w:t>AASB </w:t>
            </w:r>
            <w:r w:rsidR="004F11C7">
              <w:rPr>
                <w:color w:val="4472C4"/>
                <w:sz w:val="13"/>
              </w:rPr>
              <w:t>10</w:t>
            </w:r>
            <w:r w:rsidR="004F11C7">
              <w:rPr>
                <w:rFonts w:hint="eastAsia"/>
                <w:color w:val="4472C4"/>
                <w:sz w:val="13"/>
                <w:lang w:eastAsia="zh-CN"/>
              </w:rPr>
              <w:t>60</w:t>
            </w:r>
            <w:r w:rsidR="004F11C7">
              <w:rPr>
                <w:color w:val="4472C4"/>
                <w:sz w:val="13"/>
              </w:rPr>
              <w:t>.2</w:t>
            </w:r>
            <w:r w:rsidR="004F11C7">
              <w:rPr>
                <w:rFonts w:hint="eastAsia"/>
                <w:color w:val="4472C4"/>
                <w:sz w:val="13"/>
                <w:lang w:eastAsia="zh-CN"/>
              </w:rPr>
              <w:t>29</w:t>
            </w:r>
            <w:r w:rsidR="004F11C7">
              <w:rPr>
                <w:color w:val="4472C4"/>
                <w:sz w:val="13"/>
              </w:rPr>
              <w:t xml:space="preserve"> (a)</w:t>
            </w:r>
          </w:p>
        </w:tc>
        <w:tc>
          <w:tcPr>
            <w:tcW w:w="5245" w:type="dxa"/>
          </w:tcPr>
          <w:p w14:paraId="0C2AD8BB" w14:textId="04DBF3BD" w:rsidR="004F11C7" w:rsidRDefault="00EF0406" w:rsidP="004F11C7">
            <w:pPr>
              <w:jc w:val="left"/>
              <w:cnfStyle w:val="000000000000" w:firstRow="0" w:lastRow="0" w:firstColumn="0" w:lastColumn="0" w:oddVBand="0" w:evenVBand="0" w:oddHBand="0" w:evenHBand="0" w:firstRowFirstColumn="0" w:firstRowLastColumn="0" w:lastRowFirstColumn="0" w:lastRowLastColumn="0"/>
              <w:rPr>
                <w:lang w:eastAsia="zh-CN"/>
              </w:rPr>
            </w:pPr>
            <w:r>
              <w:t>A</w:t>
            </w:r>
            <w:r w:rsidR="004F11C7">
              <w:t>ssets and services received free of charge or for nominal consideration</w:t>
            </w:r>
            <w:r w:rsidR="00DD2DB1">
              <w:rPr>
                <w:rFonts w:hint="eastAsia"/>
                <w:lang w:eastAsia="zh-CN"/>
              </w:rPr>
              <w:t xml:space="preserve"> </w:t>
            </w:r>
          </w:p>
        </w:tc>
        <w:tc>
          <w:tcPr>
            <w:tcW w:w="992" w:type="dxa"/>
            <w:vAlign w:val="center"/>
          </w:tcPr>
          <w:p w14:paraId="62C942DE" w14:textId="54FDD3E5" w:rsidR="004F11C7" w:rsidRDefault="004F11C7" w:rsidP="004F11C7">
            <w:pPr>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16"/>
              </w:rPr>
              <w:t>2.2.4</w:t>
            </w:r>
          </w:p>
        </w:tc>
        <w:tc>
          <w:tcPr>
            <w:tcW w:w="992" w:type="dxa"/>
            <w:vAlign w:val="center"/>
          </w:tcPr>
          <w:p w14:paraId="5E171CAF" w14:textId="28B6E3CA" w:rsidR="004F11C7" w:rsidRDefault="004F11C7" w:rsidP="004F11C7">
            <w:pP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16"/>
              </w:rPr>
              <w:t>1</w:t>
            </w:r>
            <w:r w:rsidR="003E3065">
              <w:rPr>
                <w:rFonts w:ascii="Arial" w:hAnsi="Arial" w:cs="Arial" w:hint="eastAsia"/>
                <w:color w:val="000000"/>
                <w:szCs w:val="16"/>
                <w:lang w:eastAsia="zh-CN"/>
              </w:rPr>
              <w:t xml:space="preserve"> </w:t>
            </w:r>
            <w:r>
              <w:rPr>
                <w:rFonts w:ascii="Arial" w:hAnsi="Arial" w:cs="Arial"/>
                <w:color w:val="000000"/>
                <w:szCs w:val="16"/>
              </w:rPr>
              <w:t>589</w:t>
            </w:r>
          </w:p>
        </w:tc>
        <w:tc>
          <w:tcPr>
            <w:tcW w:w="992" w:type="dxa"/>
            <w:vAlign w:val="center"/>
          </w:tcPr>
          <w:p w14:paraId="37B43DD7" w14:textId="0B4D8FEE" w:rsidR="004F11C7" w:rsidRDefault="004F11C7" w:rsidP="004F11C7">
            <w:pP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16"/>
              </w:rPr>
              <w:t>1</w:t>
            </w:r>
            <w:r w:rsidR="003E3065">
              <w:rPr>
                <w:rFonts w:ascii="Arial" w:hAnsi="Arial" w:cs="Arial" w:hint="eastAsia"/>
                <w:color w:val="000000"/>
                <w:szCs w:val="16"/>
                <w:lang w:eastAsia="zh-CN"/>
              </w:rPr>
              <w:t xml:space="preserve"> </w:t>
            </w:r>
            <w:r>
              <w:rPr>
                <w:rFonts w:ascii="Arial" w:hAnsi="Arial" w:cs="Arial"/>
                <w:color w:val="000000"/>
                <w:szCs w:val="16"/>
              </w:rPr>
              <w:t>708</w:t>
            </w:r>
          </w:p>
        </w:tc>
      </w:tr>
      <w:tr w:rsidR="004F11C7" w14:paraId="154E37EC" w14:textId="77777777" w:rsidTr="002A0038">
        <w:tc>
          <w:tcPr>
            <w:cnfStyle w:val="001000000000" w:firstRow="0" w:lastRow="0" w:firstColumn="1" w:lastColumn="0" w:oddVBand="0" w:evenVBand="0" w:oddHBand="0" w:evenHBand="0" w:firstRowFirstColumn="0" w:firstRowLastColumn="0" w:lastRowFirstColumn="0" w:lastRowLastColumn="0"/>
            <w:tcW w:w="1418" w:type="dxa"/>
          </w:tcPr>
          <w:p w14:paraId="7B7AE965" w14:textId="14789CDD" w:rsidR="004F11C7" w:rsidRDefault="0007383E" w:rsidP="004F11C7">
            <w:r>
              <w:rPr>
                <w:color w:val="4472C4"/>
                <w:sz w:val="13"/>
              </w:rPr>
              <w:t>AASB </w:t>
            </w:r>
            <w:r w:rsidR="004F11C7">
              <w:rPr>
                <w:color w:val="4472C4"/>
                <w:sz w:val="13"/>
              </w:rPr>
              <w:t>10</w:t>
            </w:r>
            <w:r w:rsidR="004F11C7">
              <w:rPr>
                <w:rFonts w:hint="eastAsia"/>
                <w:color w:val="4472C4"/>
                <w:sz w:val="13"/>
                <w:lang w:eastAsia="zh-CN"/>
              </w:rPr>
              <w:t>60</w:t>
            </w:r>
            <w:r w:rsidR="004F11C7">
              <w:rPr>
                <w:color w:val="4472C4"/>
                <w:sz w:val="13"/>
              </w:rPr>
              <w:t>.</w:t>
            </w:r>
            <w:r w:rsidR="004F11C7">
              <w:rPr>
                <w:rFonts w:hint="eastAsia"/>
                <w:color w:val="4472C4"/>
                <w:sz w:val="13"/>
                <w:lang w:eastAsia="zh-CN"/>
              </w:rPr>
              <w:t>56</w:t>
            </w:r>
          </w:p>
        </w:tc>
        <w:tc>
          <w:tcPr>
            <w:tcW w:w="5245" w:type="dxa"/>
            <w:tcBorders>
              <w:bottom w:val="single" w:sz="12" w:space="0" w:color="auto"/>
            </w:tcBorders>
          </w:tcPr>
          <w:p w14:paraId="3558B46A" w14:textId="77777777" w:rsidR="004F11C7" w:rsidRDefault="004F11C7" w:rsidP="004F11C7">
            <w:pPr>
              <w:jc w:val="left"/>
              <w:cnfStyle w:val="000000000000" w:firstRow="0" w:lastRow="0" w:firstColumn="0" w:lastColumn="0" w:oddVBand="0" w:evenVBand="0" w:oddHBand="0" w:evenHBand="0" w:firstRowFirstColumn="0" w:firstRowLastColumn="0" w:lastRowFirstColumn="0" w:lastRowLastColumn="0"/>
            </w:pPr>
            <w:r>
              <w:t>Other income</w:t>
            </w:r>
          </w:p>
        </w:tc>
        <w:tc>
          <w:tcPr>
            <w:tcW w:w="992" w:type="dxa"/>
            <w:tcBorders>
              <w:bottom w:val="single" w:sz="12" w:space="0" w:color="auto"/>
            </w:tcBorders>
            <w:vAlign w:val="center"/>
          </w:tcPr>
          <w:p w14:paraId="270E0F91" w14:textId="13FE61AF" w:rsidR="004F11C7" w:rsidRDefault="004F11C7" w:rsidP="004F11C7">
            <w:pPr>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16"/>
              </w:rPr>
              <w:t>2.2.5</w:t>
            </w:r>
          </w:p>
        </w:tc>
        <w:tc>
          <w:tcPr>
            <w:tcW w:w="992" w:type="dxa"/>
            <w:tcBorders>
              <w:bottom w:val="single" w:sz="12" w:space="0" w:color="auto"/>
            </w:tcBorders>
            <w:vAlign w:val="center"/>
          </w:tcPr>
          <w:p w14:paraId="6177E4F9" w14:textId="20F6373E" w:rsidR="004F11C7" w:rsidRDefault="004F11C7" w:rsidP="004F11C7">
            <w:pP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16"/>
              </w:rPr>
              <w:t>3</w:t>
            </w:r>
            <w:r w:rsidR="003E3065">
              <w:rPr>
                <w:rFonts w:ascii="Arial" w:hAnsi="Arial" w:cs="Arial" w:hint="eastAsia"/>
                <w:color w:val="000000"/>
                <w:szCs w:val="16"/>
                <w:lang w:eastAsia="zh-CN"/>
              </w:rPr>
              <w:t xml:space="preserve"> </w:t>
            </w:r>
            <w:r>
              <w:rPr>
                <w:rFonts w:ascii="Arial" w:hAnsi="Arial" w:cs="Arial"/>
                <w:color w:val="000000"/>
                <w:szCs w:val="16"/>
              </w:rPr>
              <w:t>213</w:t>
            </w:r>
          </w:p>
        </w:tc>
        <w:tc>
          <w:tcPr>
            <w:tcW w:w="992" w:type="dxa"/>
            <w:tcBorders>
              <w:bottom w:val="single" w:sz="12" w:space="0" w:color="auto"/>
            </w:tcBorders>
            <w:vAlign w:val="center"/>
          </w:tcPr>
          <w:p w14:paraId="4F98003E" w14:textId="20B1FD4B" w:rsidR="004F11C7" w:rsidRDefault="004F11C7" w:rsidP="004F11C7">
            <w:pP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16"/>
              </w:rPr>
              <w:t>3</w:t>
            </w:r>
            <w:r w:rsidR="003E3065">
              <w:rPr>
                <w:rFonts w:ascii="Arial" w:hAnsi="Arial" w:cs="Arial" w:hint="eastAsia"/>
                <w:color w:val="000000"/>
                <w:szCs w:val="16"/>
                <w:lang w:eastAsia="zh-CN"/>
              </w:rPr>
              <w:t xml:space="preserve"> </w:t>
            </w:r>
            <w:r>
              <w:rPr>
                <w:rFonts w:ascii="Arial" w:hAnsi="Arial" w:cs="Arial"/>
                <w:color w:val="000000"/>
                <w:szCs w:val="16"/>
              </w:rPr>
              <w:t>826</w:t>
            </w:r>
          </w:p>
        </w:tc>
      </w:tr>
      <w:tr w:rsidR="00C92156" w14:paraId="4C7B9992" w14:textId="77777777" w:rsidTr="002A0038">
        <w:tc>
          <w:tcPr>
            <w:cnfStyle w:val="001000000000" w:firstRow="0" w:lastRow="0" w:firstColumn="1" w:lastColumn="0" w:oddVBand="0" w:evenVBand="0" w:oddHBand="0" w:evenHBand="0" w:firstRowFirstColumn="0" w:firstRowLastColumn="0" w:lastRowFirstColumn="0" w:lastRowLastColumn="0"/>
            <w:tcW w:w="1418" w:type="dxa"/>
          </w:tcPr>
          <w:p w14:paraId="74C413B3" w14:textId="77777777" w:rsidR="00C92156" w:rsidRDefault="00C92156" w:rsidP="00C92156"/>
        </w:tc>
        <w:tc>
          <w:tcPr>
            <w:tcW w:w="5245" w:type="dxa"/>
          </w:tcPr>
          <w:p w14:paraId="2134B85C" w14:textId="77777777" w:rsidR="00C92156" w:rsidRDefault="00C92156" w:rsidP="00C92156">
            <w:pPr>
              <w:jc w:val="left"/>
              <w:cnfStyle w:val="000000000000" w:firstRow="0" w:lastRow="0" w:firstColumn="0" w:lastColumn="0" w:oddVBand="0" w:evenVBand="0" w:oddHBand="0" w:evenHBand="0" w:firstRowFirstColumn="0" w:firstRowLastColumn="0" w:lastRowFirstColumn="0" w:lastRowLastColumn="0"/>
            </w:pPr>
            <w:r>
              <w:rPr>
                <w:b/>
              </w:rPr>
              <w:t>Total revenue and income from transactions</w:t>
            </w:r>
          </w:p>
        </w:tc>
        <w:tc>
          <w:tcPr>
            <w:tcW w:w="992" w:type="dxa"/>
          </w:tcPr>
          <w:p w14:paraId="7E915E7C" w14:textId="77777777" w:rsidR="00C92156" w:rsidRDefault="00C92156" w:rsidP="00C92156">
            <w:pPr>
              <w:jc w:val="center"/>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29E2BCAD" w14:textId="05224712" w:rsidR="00C92156" w:rsidRDefault="00C92156" w:rsidP="00C92156">
            <w:pPr>
              <w:cnfStyle w:val="000000000000" w:firstRow="0" w:lastRow="0" w:firstColumn="0" w:lastColumn="0" w:oddVBand="0" w:evenVBand="0" w:oddHBand="0" w:evenHBand="0" w:firstRowFirstColumn="0" w:firstRowLastColumn="0" w:lastRowFirstColumn="0" w:lastRowLastColumn="0"/>
            </w:pPr>
            <w:r>
              <w:rPr>
                <w:rFonts w:ascii="Arial" w:hAnsi="Arial" w:cs="Arial"/>
                <w:b/>
                <w:bCs/>
                <w:color w:val="000000"/>
                <w:szCs w:val="16"/>
              </w:rPr>
              <w:t>104</w:t>
            </w:r>
            <w:r w:rsidR="00DC1255">
              <w:rPr>
                <w:rFonts w:ascii="Arial" w:hAnsi="Arial" w:cs="Arial" w:hint="eastAsia"/>
                <w:b/>
                <w:bCs/>
                <w:color w:val="000000"/>
                <w:szCs w:val="16"/>
                <w:lang w:eastAsia="zh-CN"/>
              </w:rPr>
              <w:t xml:space="preserve"> </w:t>
            </w:r>
            <w:r>
              <w:rPr>
                <w:rFonts w:ascii="Arial" w:hAnsi="Arial" w:cs="Arial"/>
                <w:b/>
                <w:bCs/>
                <w:color w:val="000000"/>
                <w:szCs w:val="16"/>
              </w:rPr>
              <w:t>396</w:t>
            </w:r>
          </w:p>
        </w:tc>
        <w:tc>
          <w:tcPr>
            <w:tcW w:w="992" w:type="dxa"/>
            <w:vAlign w:val="center"/>
          </w:tcPr>
          <w:p w14:paraId="7A6CF59C" w14:textId="56A48425" w:rsidR="00C92156" w:rsidRDefault="00C92156" w:rsidP="00C92156">
            <w:pPr>
              <w:cnfStyle w:val="000000000000" w:firstRow="0" w:lastRow="0" w:firstColumn="0" w:lastColumn="0" w:oddVBand="0" w:evenVBand="0" w:oddHBand="0" w:evenHBand="0" w:firstRowFirstColumn="0" w:firstRowLastColumn="0" w:lastRowFirstColumn="0" w:lastRowLastColumn="0"/>
            </w:pPr>
            <w:r>
              <w:rPr>
                <w:rFonts w:ascii="Arial" w:hAnsi="Arial" w:cs="Arial"/>
                <w:b/>
                <w:bCs/>
                <w:color w:val="000000"/>
                <w:szCs w:val="16"/>
              </w:rPr>
              <w:t>85</w:t>
            </w:r>
            <w:r w:rsidR="003E3065">
              <w:rPr>
                <w:rFonts w:ascii="Arial" w:hAnsi="Arial" w:cs="Arial" w:hint="eastAsia"/>
                <w:b/>
                <w:bCs/>
                <w:color w:val="000000"/>
                <w:szCs w:val="16"/>
                <w:lang w:eastAsia="zh-CN"/>
              </w:rPr>
              <w:t xml:space="preserve"> </w:t>
            </w:r>
            <w:r>
              <w:rPr>
                <w:rFonts w:ascii="Arial" w:hAnsi="Arial" w:cs="Arial"/>
                <w:b/>
                <w:bCs/>
                <w:color w:val="000000"/>
                <w:szCs w:val="16"/>
              </w:rPr>
              <w:t>110</w:t>
            </w:r>
          </w:p>
        </w:tc>
      </w:tr>
      <w:tr w:rsidR="00182709" w14:paraId="62B17591" w14:textId="77777777" w:rsidTr="002A0038">
        <w:tc>
          <w:tcPr>
            <w:cnfStyle w:val="001000000000" w:firstRow="0" w:lastRow="0" w:firstColumn="1" w:lastColumn="0" w:oddVBand="0" w:evenVBand="0" w:oddHBand="0" w:evenHBand="0" w:firstRowFirstColumn="0" w:firstRowLastColumn="0" w:lastRowFirstColumn="0" w:lastRowLastColumn="0"/>
            <w:tcW w:w="1418" w:type="dxa"/>
          </w:tcPr>
          <w:p w14:paraId="3ADBABA2" w14:textId="77777777" w:rsidR="00182709" w:rsidRDefault="00182709"/>
        </w:tc>
        <w:tc>
          <w:tcPr>
            <w:tcW w:w="5245" w:type="dxa"/>
          </w:tcPr>
          <w:p w14:paraId="18544A1C" w14:textId="77777777" w:rsidR="00182709" w:rsidRDefault="0044097C">
            <w:pPr>
              <w:jc w:val="left"/>
              <w:cnfStyle w:val="000000000000" w:firstRow="0" w:lastRow="0" w:firstColumn="0" w:lastColumn="0" w:oddVBand="0" w:evenVBand="0" w:oddHBand="0" w:evenHBand="0" w:firstRowFirstColumn="0" w:firstRowLastColumn="0" w:lastRowFirstColumn="0" w:lastRowLastColumn="0"/>
            </w:pPr>
            <w:r>
              <w:rPr>
                <w:b/>
              </w:rPr>
              <w:t>Expenses from transactions</w:t>
            </w:r>
          </w:p>
        </w:tc>
        <w:tc>
          <w:tcPr>
            <w:tcW w:w="992" w:type="dxa"/>
          </w:tcPr>
          <w:p w14:paraId="74ABC8FE" w14:textId="77777777" w:rsidR="00182709" w:rsidRDefault="00182709">
            <w:pPr>
              <w:jc w:val="center"/>
              <w:cnfStyle w:val="000000000000" w:firstRow="0" w:lastRow="0" w:firstColumn="0" w:lastColumn="0" w:oddVBand="0" w:evenVBand="0" w:oddHBand="0" w:evenHBand="0" w:firstRowFirstColumn="0" w:firstRowLastColumn="0" w:lastRowFirstColumn="0" w:lastRowLastColumn="0"/>
            </w:pPr>
          </w:p>
        </w:tc>
        <w:tc>
          <w:tcPr>
            <w:tcW w:w="992" w:type="dxa"/>
          </w:tcPr>
          <w:p w14:paraId="7D4ABAA5" w14:textId="77777777" w:rsidR="00182709" w:rsidRDefault="00182709">
            <w:pPr>
              <w:cnfStyle w:val="000000000000" w:firstRow="0" w:lastRow="0" w:firstColumn="0" w:lastColumn="0" w:oddVBand="0" w:evenVBand="0" w:oddHBand="0" w:evenHBand="0" w:firstRowFirstColumn="0" w:firstRowLastColumn="0" w:lastRowFirstColumn="0" w:lastRowLastColumn="0"/>
            </w:pPr>
          </w:p>
        </w:tc>
        <w:tc>
          <w:tcPr>
            <w:tcW w:w="992" w:type="dxa"/>
          </w:tcPr>
          <w:p w14:paraId="36E74E3E" w14:textId="77777777" w:rsidR="00182709" w:rsidRDefault="00182709">
            <w:pPr>
              <w:cnfStyle w:val="000000000000" w:firstRow="0" w:lastRow="0" w:firstColumn="0" w:lastColumn="0" w:oddVBand="0" w:evenVBand="0" w:oddHBand="0" w:evenHBand="0" w:firstRowFirstColumn="0" w:firstRowLastColumn="0" w:lastRowFirstColumn="0" w:lastRowLastColumn="0"/>
            </w:pPr>
          </w:p>
        </w:tc>
      </w:tr>
      <w:tr w:rsidR="00C92156" w14:paraId="6BB48171" w14:textId="77777777" w:rsidTr="002A0038">
        <w:tc>
          <w:tcPr>
            <w:cnfStyle w:val="001000000000" w:firstRow="0" w:lastRow="0" w:firstColumn="1" w:lastColumn="0" w:oddVBand="0" w:evenVBand="0" w:oddHBand="0" w:evenHBand="0" w:firstRowFirstColumn="0" w:firstRowLastColumn="0" w:lastRowFirstColumn="0" w:lastRowLastColumn="0"/>
            <w:tcW w:w="1418" w:type="dxa"/>
          </w:tcPr>
          <w:p w14:paraId="4CF81BBC" w14:textId="4A03EFE4" w:rsidR="00C92156" w:rsidRDefault="0007383E" w:rsidP="00C92156">
            <w:r>
              <w:rPr>
                <w:color w:val="4472C4"/>
                <w:sz w:val="13"/>
              </w:rPr>
              <w:t>AASB </w:t>
            </w:r>
            <w:r w:rsidR="00C92156">
              <w:rPr>
                <w:color w:val="4472C4"/>
                <w:sz w:val="13"/>
              </w:rPr>
              <w:t>10</w:t>
            </w:r>
            <w:r w:rsidR="00C92156">
              <w:rPr>
                <w:rFonts w:hint="eastAsia"/>
                <w:color w:val="4472C4"/>
                <w:sz w:val="13"/>
                <w:lang w:eastAsia="zh-CN"/>
              </w:rPr>
              <w:t>60.58 (a)</w:t>
            </w:r>
          </w:p>
        </w:tc>
        <w:tc>
          <w:tcPr>
            <w:tcW w:w="5245" w:type="dxa"/>
          </w:tcPr>
          <w:p w14:paraId="654CCFE4" w14:textId="7C5CB165" w:rsidR="00C92156" w:rsidRDefault="00C92156" w:rsidP="00C92156">
            <w:pPr>
              <w:jc w:val="left"/>
              <w:cnfStyle w:val="000000000000" w:firstRow="0" w:lastRow="0" w:firstColumn="0" w:lastColumn="0" w:oddVBand="0" w:evenVBand="0" w:oddHBand="0" w:evenHBand="0" w:firstRowFirstColumn="0" w:firstRowLastColumn="0" w:lastRowFirstColumn="0" w:lastRowLastColumn="0"/>
            </w:pPr>
            <w:r>
              <w:t>Employee expenses</w:t>
            </w:r>
          </w:p>
        </w:tc>
        <w:tc>
          <w:tcPr>
            <w:tcW w:w="992" w:type="dxa"/>
            <w:vAlign w:val="center"/>
          </w:tcPr>
          <w:p w14:paraId="4ED03A70" w14:textId="2774AD86" w:rsidR="00C92156" w:rsidRDefault="00C92156" w:rsidP="00C92156">
            <w:pPr>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16"/>
              </w:rPr>
              <w:t>3.1.1</w:t>
            </w:r>
          </w:p>
        </w:tc>
        <w:tc>
          <w:tcPr>
            <w:tcW w:w="992" w:type="dxa"/>
            <w:vAlign w:val="center"/>
          </w:tcPr>
          <w:p w14:paraId="255EC803" w14:textId="4231BA8F" w:rsidR="00C92156" w:rsidRDefault="00C92156" w:rsidP="00C92156">
            <w:pP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16"/>
              </w:rPr>
              <w:t>(13</w:t>
            </w:r>
            <w:r w:rsidR="003E3065">
              <w:rPr>
                <w:rFonts w:ascii="Arial" w:hAnsi="Arial" w:cs="Arial" w:hint="eastAsia"/>
                <w:color w:val="000000"/>
                <w:szCs w:val="16"/>
                <w:lang w:eastAsia="zh-CN"/>
              </w:rPr>
              <w:t xml:space="preserve"> </w:t>
            </w:r>
            <w:r>
              <w:rPr>
                <w:rFonts w:ascii="Arial" w:hAnsi="Arial" w:cs="Arial"/>
                <w:color w:val="000000"/>
                <w:szCs w:val="16"/>
              </w:rPr>
              <w:t>767)</w:t>
            </w:r>
          </w:p>
        </w:tc>
        <w:tc>
          <w:tcPr>
            <w:tcW w:w="992" w:type="dxa"/>
            <w:vAlign w:val="center"/>
          </w:tcPr>
          <w:p w14:paraId="402BCF17" w14:textId="08CECCDE" w:rsidR="00C92156" w:rsidRDefault="00C92156" w:rsidP="00C92156">
            <w:pP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16"/>
              </w:rPr>
              <w:t>(10</w:t>
            </w:r>
            <w:r w:rsidR="003E3065">
              <w:rPr>
                <w:rFonts w:ascii="Arial" w:hAnsi="Arial" w:cs="Arial" w:hint="eastAsia"/>
                <w:color w:val="000000"/>
                <w:szCs w:val="16"/>
                <w:lang w:eastAsia="zh-CN"/>
              </w:rPr>
              <w:t xml:space="preserve"> </w:t>
            </w:r>
            <w:r>
              <w:rPr>
                <w:rFonts w:ascii="Arial" w:hAnsi="Arial" w:cs="Arial"/>
                <w:color w:val="000000"/>
                <w:szCs w:val="16"/>
              </w:rPr>
              <w:t>970)</w:t>
            </w:r>
          </w:p>
        </w:tc>
      </w:tr>
      <w:tr w:rsidR="00C92156" w14:paraId="0DC16C8C" w14:textId="77777777" w:rsidTr="002A0038">
        <w:tc>
          <w:tcPr>
            <w:cnfStyle w:val="001000000000" w:firstRow="0" w:lastRow="0" w:firstColumn="1" w:lastColumn="0" w:oddVBand="0" w:evenVBand="0" w:oddHBand="0" w:evenHBand="0" w:firstRowFirstColumn="0" w:firstRowLastColumn="0" w:lastRowFirstColumn="0" w:lastRowLastColumn="0"/>
            <w:tcW w:w="1418" w:type="dxa"/>
          </w:tcPr>
          <w:p w14:paraId="06D6AEF6" w14:textId="4B458DD4" w:rsidR="00C92156" w:rsidRDefault="0007383E" w:rsidP="00C92156">
            <w:r>
              <w:rPr>
                <w:color w:val="4472C4"/>
                <w:sz w:val="13"/>
              </w:rPr>
              <w:t>AASB </w:t>
            </w:r>
            <w:r w:rsidR="00C92156">
              <w:rPr>
                <w:color w:val="4472C4"/>
                <w:sz w:val="13"/>
              </w:rPr>
              <w:t>10</w:t>
            </w:r>
            <w:r w:rsidR="00C92156">
              <w:rPr>
                <w:rFonts w:hint="eastAsia"/>
                <w:color w:val="4472C4"/>
                <w:sz w:val="13"/>
                <w:lang w:eastAsia="zh-CN"/>
              </w:rPr>
              <w:t>60.58 (a)</w:t>
            </w:r>
          </w:p>
        </w:tc>
        <w:tc>
          <w:tcPr>
            <w:tcW w:w="5245" w:type="dxa"/>
          </w:tcPr>
          <w:p w14:paraId="7502BDD9" w14:textId="22FFF281" w:rsidR="00C92156" w:rsidRDefault="00C92156" w:rsidP="00C92156">
            <w:pPr>
              <w:jc w:val="left"/>
              <w:cnfStyle w:val="000000000000" w:firstRow="0" w:lastRow="0" w:firstColumn="0" w:lastColumn="0" w:oddVBand="0" w:evenVBand="0" w:oddHBand="0" w:evenHBand="0" w:firstRowFirstColumn="0" w:firstRowLastColumn="0" w:lastRowFirstColumn="0" w:lastRowLastColumn="0"/>
            </w:pPr>
            <w:r>
              <w:t>Depreciation</w:t>
            </w:r>
            <w:r w:rsidR="0032329F">
              <w:t xml:space="preserve"> and amortisation</w:t>
            </w:r>
          </w:p>
        </w:tc>
        <w:tc>
          <w:tcPr>
            <w:tcW w:w="992" w:type="dxa"/>
            <w:vAlign w:val="center"/>
          </w:tcPr>
          <w:p w14:paraId="053A2DAA" w14:textId="184CC446" w:rsidR="00C92156" w:rsidRDefault="00C92156" w:rsidP="00C92156">
            <w:pPr>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16"/>
              </w:rPr>
              <w:t>4.1.3 &amp; 4.2</w:t>
            </w:r>
          </w:p>
        </w:tc>
        <w:tc>
          <w:tcPr>
            <w:tcW w:w="992" w:type="dxa"/>
            <w:vAlign w:val="center"/>
          </w:tcPr>
          <w:p w14:paraId="23F681BD" w14:textId="54127684" w:rsidR="00C92156" w:rsidRDefault="00C92156" w:rsidP="00C92156">
            <w:pP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16"/>
              </w:rPr>
              <w:t>(12</w:t>
            </w:r>
            <w:r w:rsidR="003E3065">
              <w:rPr>
                <w:rFonts w:ascii="Arial" w:hAnsi="Arial" w:cs="Arial" w:hint="eastAsia"/>
                <w:color w:val="000000"/>
                <w:szCs w:val="16"/>
                <w:lang w:eastAsia="zh-CN"/>
              </w:rPr>
              <w:t xml:space="preserve"> </w:t>
            </w:r>
            <w:r>
              <w:rPr>
                <w:rFonts w:ascii="Arial" w:hAnsi="Arial" w:cs="Arial"/>
                <w:color w:val="000000"/>
                <w:szCs w:val="16"/>
              </w:rPr>
              <w:t>879)</w:t>
            </w:r>
          </w:p>
        </w:tc>
        <w:tc>
          <w:tcPr>
            <w:tcW w:w="992" w:type="dxa"/>
            <w:vAlign w:val="center"/>
          </w:tcPr>
          <w:p w14:paraId="42DC053A" w14:textId="63597710" w:rsidR="00C92156" w:rsidRDefault="00C92156" w:rsidP="00C92156">
            <w:pP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16"/>
              </w:rPr>
              <w:t>(13</w:t>
            </w:r>
            <w:r w:rsidR="003E3065">
              <w:rPr>
                <w:rFonts w:ascii="Arial" w:hAnsi="Arial" w:cs="Arial" w:hint="eastAsia"/>
                <w:color w:val="000000"/>
                <w:szCs w:val="16"/>
                <w:lang w:eastAsia="zh-CN"/>
              </w:rPr>
              <w:t xml:space="preserve"> </w:t>
            </w:r>
            <w:r>
              <w:rPr>
                <w:rFonts w:ascii="Arial" w:hAnsi="Arial" w:cs="Arial"/>
                <w:color w:val="000000"/>
                <w:szCs w:val="16"/>
              </w:rPr>
              <w:t>358)</w:t>
            </w:r>
          </w:p>
        </w:tc>
      </w:tr>
      <w:tr w:rsidR="00C92156" w14:paraId="466DF44A" w14:textId="77777777" w:rsidTr="002A0038">
        <w:tc>
          <w:tcPr>
            <w:cnfStyle w:val="001000000000" w:firstRow="0" w:lastRow="0" w:firstColumn="1" w:lastColumn="0" w:oddVBand="0" w:evenVBand="0" w:oddHBand="0" w:evenHBand="0" w:firstRowFirstColumn="0" w:firstRowLastColumn="0" w:lastRowFirstColumn="0" w:lastRowLastColumn="0"/>
            <w:tcW w:w="1418" w:type="dxa"/>
          </w:tcPr>
          <w:p w14:paraId="506DEE9B" w14:textId="3EAB8851" w:rsidR="00C92156" w:rsidRDefault="0007383E" w:rsidP="00C92156">
            <w:r>
              <w:rPr>
                <w:color w:val="4472C4"/>
                <w:sz w:val="13"/>
              </w:rPr>
              <w:t>AASB </w:t>
            </w:r>
            <w:r w:rsidR="00C92156">
              <w:rPr>
                <w:color w:val="4472C4"/>
                <w:sz w:val="13"/>
              </w:rPr>
              <w:t>10</w:t>
            </w:r>
            <w:r w:rsidR="00C92156">
              <w:rPr>
                <w:rFonts w:hint="eastAsia"/>
                <w:color w:val="4472C4"/>
                <w:sz w:val="13"/>
                <w:lang w:eastAsia="zh-CN"/>
              </w:rPr>
              <w:t>60</w:t>
            </w:r>
            <w:r w:rsidR="00C92156">
              <w:rPr>
                <w:color w:val="4472C4"/>
                <w:sz w:val="13"/>
              </w:rPr>
              <w:t>.</w:t>
            </w:r>
            <w:r w:rsidR="00C92156">
              <w:rPr>
                <w:rFonts w:hint="eastAsia"/>
                <w:color w:val="4472C4"/>
                <w:sz w:val="13"/>
                <w:lang w:eastAsia="zh-CN"/>
              </w:rPr>
              <w:t>52 (b)</w:t>
            </w:r>
          </w:p>
        </w:tc>
        <w:tc>
          <w:tcPr>
            <w:tcW w:w="5245" w:type="dxa"/>
          </w:tcPr>
          <w:p w14:paraId="24678F8B" w14:textId="77777777" w:rsidR="00C92156" w:rsidRDefault="00C92156" w:rsidP="00C92156">
            <w:pPr>
              <w:jc w:val="left"/>
              <w:cnfStyle w:val="000000000000" w:firstRow="0" w:lastRow="0" w:firstColumn="0" w:lastColumn="0" w:oddVBand="0" w:evenVBand="0" w:oddHBand="0" w:evenHBand="0" w:firstRowFirstColumn="0" w:firstRowLastColumn="0" w:lastRowFirstColumn="0" w:lastRowLastColumn="0"/>
            </w:pPr>
            <w:r>
              <w:t>Interest expense</w:t>
            </w:r>
          </w:p>
        </w:tc>
        <w:tc>
          <w:tcPr>
            <w:tcW w:w="992" w:type="dxa"/>
            <w:vAlign w:val="center"/>
          </w:tcPr>
          <w:p w14:paraId="33FA9C2B" w14:textId="01FD07F8" w:rsidR="00C92156" w:rsidRDefault="00C92156" w:rsidP="00C92156">
            <w:pPr>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16"/>
              </w:rPr>
              <w:t>6.1</w:t>
            </w:r>
          </w:p>
        </w:tc>
        <w:tc>
          <w:tcPr>
            <w:tcW w:w="992" w:type="dxa"/>
            <w:vAlign w:val="center"/>
          </w:tcPr>
          <w:p w14:paraId="3045DAD7" w14:textId="632755E9" w:rsidR="00C92156" w:rsidRDefault="00C92156" w:rsidP="00C92156">
            <w:pP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16"/>
              </w:rPr>
              <w:t>(1</w:t>
            </w:r>
            <w:r w:rsidR="003E3065">
              <w:rPr>
                <w:rFonts w:ascii="Arial" w:hAnsi="Arial" w:cs="Arial" w:hint="eastAsia"/>
                <w:color w:val="000000"/>
                <w:szCs w:val="16"/>
                <w:lang w:eastAsia="zh-CN"/>
              </w:rPr>
              <w:t xml:space="preserve"> </w:t>
            </w:r>
            <w:r>
              <w:rPr>
                <w:rFonts w:ascii="Arial" w:hAnsi="Arial" w:cs="Arial"/>
                <w:color w:val="000000"/>
                <w:szCs w:val="16"/>
              </w:rPr>
              <w:t>485)</w:t>
            </w:r>
          </w:p>
        </w:tc>
        <w:tc>
          <w:tcPr>
            <w:tcW w:w="992" w:type="dxa"/>
            <w:vAlign w:val="center"/>
          </w:tcPr>
          <w:p w14:paraId="02E92CF2" w14:textId="7717BAEA" w:rsidR="00C92156" w:rsidRDefault="00C92156" w:rsidP="00C92156">
            <w:pP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16"/>
              </w:rPr>
              <w:t>(1</w:t>
            </w:r>
            <w:r w:rsidR="003E3065">
              <w:rPr>
                <w:rFonts w:ascii="Arial" w:hAnsi="Arial" w:cs="Arial" w:hint="eastAsia"/>
                <w:color w:val="000000"/>
                <w:szCs w:val="16"/>
                <w:lang w:eastAsia="zh-CN"/>
              </w:rPr>
              <w:t xml:space="preserve"> </w:t>
            </w:r>
            <w:r>
              <w:rPr>
                <w:rFonts w:ascii="Arial" w:hAnsi="Arial" w:cs="Arial"/>
                <w:color w:val="000000"/>
                <w:szCs w:val="16"/>
              </w:rPr>
              <w:t>310)</w:t>
            </w:r>
          </w:p>
        </w:tc>
      </w:tr>
      <w:tr w:rsidR="00C92156" w14:paraId="6DC8E05D" w14:textId="77777777" w:rsidTr="002A0038">
        <w:tc>
          <w:tcPr>
            <w:cnfStyle w:val="001000000000" w:firstRow="0" w:lastRow="0" w:firstColumn="1" w:lastColumn="0" w:oddVBand="0" w:evenVBand="0" w:oddHBand="0" w:evenHBand="0" w:firstRowFirstColumn="0" w:firstRowLastColumn="0" w:lastRowFirstColumn="0" w:lastRowLastColumn="0"/>
            <w:tcW w:w="1418" w:type="dxa"/>
          </w:tcPr>
          <w:p w14:paraId="03419374" w14:textId="62A11173" w:rsidR="00C92156" w:rsidRDefault="0007383E" w:rsidP="00C92156">
            <w:r>
              <w:rPr>
                <w:color w:val="4472C4"/>
                <w:sz w:val="13"/>
              </w:rPr>
              <w:t>AASB </w:t>
            </w:r>
            <w:r w:rsidR="00C92156">
              <w:rPr>
                <w:color w:val="4472C4"/>
                <w:sz w:val="13"/>
              </w:rPr>
              <w:t>10</w:t>
            </w:r>
            <w:r w:rsidR="00C92156">
              <w:rPr>
                <w:rFonts w:hint="eastAsia"/>
                <w:color w:val="4472C4"/>
                <w:sz w:val="13"/>
                <w:lang w:eastAsia="zh-CN"/>
              </w:rPr>
              <w:t>60</w:t>
            </w:r>
            <w:r w:rsidR="00C92156">
              <w:rPr>
                <w:color w:val="4472C4"/>
                <w:sz w:val="13"/>
              </w:rPr>
              <w:t>.</w:t>
            </w:r>
            <w:r w:rsidR="00965AE1">
              <w:rPr>
                <w:rFonts w:hint="eastAsia"/>
                <w:color w:val="4472C4"/>
                <w:sz w:val="13"/>
                <w:lang w:eastAsia="zh-CN"/>
              </w:rPr>
              <w:t>58</w:t>
            </w:r>
            <w:r w:rsidR="00413EEF">
              <w:rPr>
                <w:color w:val="4472C4"/>
                <w:sz w:val="13"/>
                <w:lang w:eastAsia="zh-CN"/>
              </w:rPr>
              <w:t xml:space="preserve"> </w:t>
            </w:r>
            <w:r w:rsidR="00C92156">
              <w:rPr>
                <w:rFonts w:hint="eastAsia"/>
                <w:color w:val="4472C4"/>
                <w:sz w:val="13"/>
                <w:lang w:eastAsia="zh-CN"/>
              </w:rPr>
              <w:t>(a)</w:t>
            </w:r>
          </w:p>
        </w:tc>
        <w:tc>
          <w:tcPr>
            <w:tcW w:w="5245" w:type="dxa"/>
          </w:tcPr>
          <w:p w14:paraId="05C28816" w14:textId="77777777" w:rsidR="00C92156" w:rsidRDefault="00C92156" w:rsidP="00C92156">
            <w:pPr>
              <w:jc w:val="left"/>
              <w:cnfStyle w:val="000000000000" w:firstRow="0" w:lastRow="0" w:firstColumn="0" w:lastColumn="0" w:oddVBand="0" w:evenVBand="0" w:oddHBand="0" w:evenHBand="0" w:firstRowFirstColumn="0" w:firstRowLastColumn="0" w:lastRowFirstColumn="0" w:lastRowLastColumn="0"/>
            </w:pPr>
            <w:r>
              <w:t>Grant expenses</w:t>
            </w:r>
          </w:p>
        </w:tc>
        <w:tc>
          <w:tcPr>
            <w:tcW w:w="992" w:type="dxa"/>
            <w:vAlign w:val="center"/>
          </w:tcPr>
          <w:p w14:paraId="12EB574A" w14:textId="45D5CD51" w:rsidR="00C92156" w:rsidRDefault="00C92156" w:rsidP="00C92156">
            <w:pPr>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16"/>
              </w:rPr>
              <w:t>3.2</w:t>
            </w:r>
          </w:p>
        </w:tc>
        <w:tc>
          <w:tcPr>
            <w:tcW w:w="992" w:type="dxa"/>
            <w:vAlign w:val="center"/>
          </w:tcPr>
          <w:p w14:paraId="69806B31" w14:textId="3632809B" w:rsidR="00C92156" w:rsidRDefault="00C92156" w:rsidP="00C92156">
            <w:pP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16"/>
              </w:rPr>
              <w:t>(43</w:t>
            </w:r>
            <w:r w:rsidR="003E3065">
              <w:rPr>
                <w:rFonts w:ascii="Arial" w:hAnsi="Arial" w:cs="Arial" w:hint="eastAsia"/>
                <w:color w:val="000000"/>
                <w:szCs w:val="16"/>
                <w:lang w:eastAsia="zh-CN"/>
              </w:rPr>
              <w:t xml:space="preserve"> </w:t>
            </w:r>
            <w:r>
              <w:rPr>
                <w:rFonts w:ascii="Arial" w:hAnsi="Arial" w:cs="Arial"/>
                <w:color w:val="000000"/>
                <w:szCs w:val="16"/>
              </w:rPr>
              <w:t>934)</w:t>
            </w:r>
          </w:p>
        </w:tc>
        <w:tc>
          <w:tcPr>
            <w:tcW w:w="992" w:type="dxa"/>
            <w:vAlign w:val="center"/>
          </w:tcPr>
          <w:p w14:paraId="7E9D2607" w14:textId="4A7C8E87" w:rsidR="00C92156" w:rsidRDefault="00C92156" w:rsidP="00C92156">
            <w:pP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16"/>
              </w:rPr>
              <w:t>(43</w:t>
            </w:r>
            <w:r w:rsidR="003E3065">
              <w:rPr>
                <w:rFonts w:ascii="Arial" w:hAnsi="Arial" w:cs="Arial" w:hint="eastAsia"/>
                <w:color w:val="000000"/>
                <w:szCs w:val="16"/>
                <w:lang w:eastAsia="zh-CN"/>
              </w:rPr>
              <w:t xml:space="preserve"> </w:t>
            </w:r>
            <w:r>
              <w:rPr>
                <w:rFonts w:ascii="Arial" w:hAnsi="Arial" w:cs="Arial"/>
                <w:color w:val="000000"/>
                <w:szCs w:val="16"/>
              </w:rPr>
              <w:t>040)</w:t>
            </w:r>
          </w:p>
        </w:tc>
      </w:tr>
      <w:tr w:rsidR="00C92156" w14:paraId="5FB9B512" w14:textId="77777777" w:rsidTr="002A0038">
        <w:tc>
          <w:tcPr>
            <w:cnfStyle w:val="001000000000" w:firstRow="0" w:lastRow="0" w:firstColumn="1" w:lastColumn="0" w:oddVBand="0" w:evenVBand="0" w:oddHBand="0" w:evenHBand="0" w:firstRowFirstColumn="0" w:firstRowLastColumn="0" w:lastRowFirstColumn="0" w:lastRowLastColumn="0"/>
            <w:tcW w:w="1418" w:type="dxa"/>
          </w:tcPr>
          <w:p w14:paraId="77D8E669" w14:textId="6C603C1F" w:rsidR="00C92156" w:rsidRDefault="0007383E" w:rsidP="00C92156">
            <w:r>
              <w:rPr>
                <w:color w:val="4472C4"/>
                <w:sz w:val="13"/>
              </w:rPr>
              <w:t>AASB </w:t>
            </w:r>
            <w:r w:rsidR="00C92156">
              <w:rPr>
                <w:color w:val="4472C4"/>
                <w:sz w:val="13"/>
              </w:rPr>
              <w:t>10</w:t>
            </w:r>
            <w:r w:rsidR="00C92156">
              <w:rPr>
                <w:rFonts w:hint="eastAsia"/>
                <w:color w:val="4472C4"/>
                <w:sz w:val="13"/>
                <w:lang w:eastAsia="zh-CN"/>
              </w:rPr>
              <w:t>60.56</w:t>
            </w:r>
          </w:p>
        </w:tc>
        <w:tc>
          <w:tcPr>
            <w:tcW w:w="5245" w:type="dxa"/>
            <w:tcBorders>
              <w:bottom w:val="single" w:sz="12" w:space="0" w:color="auto"/>
            </w:tcBorders>
          </w:tcPr>
          <w:p w14:paraId="570C3B96" w14:textId="77777777" w:rsidR="00C92156" w:rsidRDefault="00C92156" w:rsidP="00C92156">
            <w:pPr>
              <w:jc w:val="left"/>
              <w:cnfStyle w:val="000000000000" w:firstRow="0" w:lastRow="0" w:firstColumn="0" w:lastColumn="0" w:oddVBand="0" w:evenVBand="0" w:oddHBand="0" w:evenHBand="0" w:firstRowFirstColumn="0" w:firstRowLastColumn="0" w:lastRowFirstColumn="0" w:lastRowLastColumn="0"/>
            </w:pPr>
            <w:r>
              <w:t>Other operating expenses</w:t>
            </w:r>
          </w:p>
        </w:tc>
        <w:tc>
          <w:tcPr>
            <w:tcW w:w="992" w:type="dxa"/>
            <w:tcBorders>
              <w:bottom w:val="single" w:sz="12" w:space="0" w:color="auto"/>
            </w:tcBorders>
            <w:vAlign w:val="center"/>
          </w:tcPr>
          <w:p w14:paraId="0B56C3A2" w14:textId="42BDE6E9" w:rsidR="00C92156" w:rsidRDefault="00C92156" w:rsidP="00C92156">
            <w:pPr>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16"/>
              </w:rPr>
              <w:t>3.3</w:t>
            </w:r>
          </w:p>
        </w:tc>
        <w:tc>
          <w:tcPr>
            <w:tcW w:w="992" w:type="dxa"/>
            <w:tcBorders>
              <w:bottom w:val="single" w:sz="12" w:space="0" w:color="auto"/>
            </w:tcBorders>
            <w:vAlign w:val="center"/>
          </w:tcPr>
          <w:p w14:paraId="1A9BE509" w14:textId="0A505123" w:rsidR="00C92156" w:rsidRDefault="00C92156" w:rsidP="00C92156">
            <w:pP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16"/>
              </w:rPr>
              <w:t>(16</w:t>
            </w:r>
            <w:r w:rsidR="003E3065">
              <w:rPr>
                <w:rFonts w:ascii="Arial" w:hAnsi="Arial" w:cs="Arial" w:hint="eastAsia"/>
                <w:color w:val="000000"/>
                <w:szCs w:val="16"/>
                <w:lang w:eastAsia="zh-CN"/>
              </w:rPr>
              <w:t xml:space="preserve"> </w:t>
            </w:r>
            <w:r>
              <w:rPr>
                <w:rFonts w:ascii="Arial" w:hAnsi="Arial" w:cs="Arial"/>
                <w:color w:val="000000"/>
                <w:szCs w:val="16"/>
              </w:rPr>
              <w:t>328)</w:t>
            </w:r>
          </w:p>
        </w:tc>
        <w:tc>
          <w:tcPr>
            <w:tcW w:w="992" w:type="dxa"/>
            <w:tcBorders>
              <w:bottom w:val="single" w:sz="12" w:space="0" w:color="auto"/>
            </w:tcBorders>
            <w:vAlign w:val="center"/>
          </w:tcPr>
          <w:p w14:paraId="69AE532C" w14:textId="4645730C" w:rsidR="00C92156" w:rsidRDefault="00C92156" w:rsidP="00C92156">
            <w:pP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16"/>
              </w:rPr>
              <w:t>(8</w:t>
            </w:r>
            <w:r w:rsidR="003E3065">
              <w:rPr>
                <w:rFonts w:ascii="Arial" w:hAnsi="Arial" w:cs="Arial" w:hint="eastAsia"/>
                <w:color w:val="000000"/>
                <w:szCs w:val="16"/>
                <w:lang w:eastAsia="zh-CN"/>
              </w:rPr>
              <w:t xml:space="preserve"> </w:t>
            </w:r>
            <w:r>
              <w:rPr>
                <w:rFonts w:ascii="Arial" w:hAnsi="Arial" w:cs="Arial"/>
                <w:color w:val="000000"/>
                <w:szCs w:val="16"/>
              </w:rPr>
              <w:t>822)</w:t>
            </w:r>
          </w:p>
        </w:tc>
      </w:tr>
      <w:tr w:rsidR="00683412" w14:paraId="150E9DE4" w14:textId="77777777" w:rsidTr="002A0038">
        <w:trPr>
          <w:trHeight w:val="257"/>
        </w:trPr>
        <w:tc>
          <w:tcPr>
            <w:cnfStyle w:val="001000000000" w:firstRow="0" w:lastRow="0" w:firstColumn="1" w:lastColumn="0" w:oddVBand="0" w:evenVBand="0" w:oddHBand="0" w:evenHBand="0" w:firstRowFirstColumn="0" w:firstRowLastColumn="0" w:lastRowFirstColumn="0" w:lastRowLastColumn="0"/>
            <w:tcW w:w="1418" w:type="dxa"/>
          </w:tcPr>
          <w:p w14:paraId="72645791" w14:textId="5033275B" w:rsidR="00683412" w:rsidRDefault="00683412" w:rsidP="00683412"/>
        </w:tc>
        <w:tc>
          <w:tcPr>
            <w:tcW w:w="5245" w:type="dxa"/>
          </w:tcPr>
          <w:p w14:paraId="0E804253" w14:textId="77777777" w:rsidR="00683412" w:rsidRDefault="00683412" w:rsidP="00683412">
            <w:pPr>
              <w:jc w:val="left"/>
              <w:cnfStyle w:val="000000000000" w:firstRow="0" w:lastRow="0" w:firstColumn="0" w:lastColumn="0" w:oddVBand="0" w:evenVBand="0" w:oddHBand="0" w:evenHBand="0" w:firstRowFirstColumn="0" w:firstRowLastColumn="0" w:lastRowFirstColumn="0" w:lastRowLastColumn="0"/>
            </w:pPr>
            <w:r>
              <w:rPr>
                <w:b/>
              </w:rPr>
              <w:t>Total expenses from transactions</w:t>
            </w:r>
          </w:p>
        </w:tc>
        <w:tc>
          <w:tcPr>
            <w:tcW w:w="992" w:type="dxa"/>
          </w:tcPr>
          <w:p w14:paraId="697D2C50" w14:textId="77777777" w:rsidR="00683412" w:rsidRDefault="00683412" w:rsidP="00683412">
            <w:pPr>
              <w:jc w:val="center"/>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0219E1D1" w14:textId="37FCCAC9" w:rsidR="00683412" w:rsidRDefault="00683412" w:rsidP="00683412">
            <w:pPr>
              <w:cnfStyle w:val="000000000000" w:firstRow="0" w:lastRow="0" w:firstColumn="0" w:lastColumn="0" w:oddVBand="0" w:evenVBand="0" w:oddHBand="0" w:evenHBand="0" w:firstRowFirstColumn="0" w:firstRowLastColumn="0" w:lastRowFirstColumn="0" w:lastRowLastColumn="0"/>
            </w:pPr>
            <w:r>
              <w:rPr>
                <w:rFonts w:ascii="Arial" w:hAnsi="Arial" w:cs="Arial"/>
                <w:b/>
                <w:bCs/>
                <w:color w:val="000000"/>
                <w:szCs w:val="16"/>
              </w:rPr>
              <w:t>(88</w:t>
            </w:r>
            <w:r w:rsidR="003E3065">
              <w:rPr>
                <w:rFonts w:ascii="Arial" w:hAnsi="Arial" w:cs="Arial" w:hint="eastAsia"/>
                <w:b/>
                <w:bCs/>
                <w:color w:val="000000"/>
                <w:szCs w:val="16"/>
                <w:lang w:eastAsia="zh-CN"/>
              </w:rPr>
              <w:t xml:space="preserve"> </w:t>
            </w:r>
            <w:r>
              <w:rPr>
                <w:rFonts w:ascii="Arial" w:hAnsi="Arial" w:cs="Arial"/>
                <w:b/>
                <w:bCs/>
                <w:color w:val="000000"/>
                <w:szCs w:val="16"/>
              </w:rPr>
              <w:t>393)</w:t>
            </w:r>
          </w:p>
        </w:tc>
        <w:tc>
          <w:tcPr>
            <w:tcW w:w="992" w:type="dxa"/>
            <w:vAlign w:val="center"/>
          </w:tcPr>
          <w:p w14:paraId="35F8BFDB" w14:textId="77FC607A" w:rsidR="00683412" w:rsidRDefault="00683412" w:rsidP="00683412">
            <w:pPr>
              <w:cnfStyle w:val="000000000000" w:firstRow="0" w:lastRow="0" w:firstColumn="0" w:lastColumn="0" w:oddVBand="0" w:evenVBand="0" w:oddHBand="0" w:evenHBand="0" w:firstRowFirstColumn="0" w:firstRowLastColumn="0" w:lastRowFirstColumn="0" w:lastRowLastColumn="0"/>
            </w:pPr>
            <w:r>
              <w:rPr>
                <w:rFonts w:ascii="Arial" w:hAnsi="Arial" w:cs="Arial"/>
                <w:b/>
                <w:bCs/>
                <w:color w:val="000000"/>
                <w:szCs w:val="16"/>
              </w:rPr>
              <w:t>(77</w:t>
            </w:r>
            <w:r w:rsidR="003E3065">
              <w:rPr>
                <w:rFonts w:ascii="Arial" w:hAnsi="Arial" w:cs="Arial" w:hint="eastAsia"/>
                <w:b/>
                <w:bCs/>
                <w:color w:val="000000"/>
                <w:szCs w:val="16"/>
                <w:lang w:eastAsia="zh-CN"/>
              </w:rPr>
              <w:t xml:space="preserve"> </w:t>
            </w:r>
            <w:r>
              <w:rPr>
                <w:rFonts w:ascii="Arial" w:hAnsi="Arial" w:cs="Arial"/>
                <w:b/>
                <w:bCs/>
                <w:color w:val="000000"/>
                <w:szCs w:val="16"/>
              </w:rPr>
              <w:t>500)</w:t>
            </w:r>
          </w:p>
        </w:tc>
      </w:tr>
      <w:tr w:rsidR="00683412" w14:paraId="691E82D8" w14:textId="77777777" w:rsidTr="002A0038">
        <w:tc>
          <w:tcPr>
            <w:cnfStyle w:val="001000000000" w:firstRow="0" w:lastRow="0" w:firstColumn="1" w:lastColumn="0" w:oddVBand="0" w:evenVBand="0" w:oddHBand="0" w:evenHBand="0" w:firstRowFirstColumn="0" w:firstRowLastColumn="0" w:lastRowFirstColumn="0" w:lastRowLastColumn="0"/>
            <w:tcW w:w="1418" w:type="dxa"/>
          </w:tcPr>
          <w:p w14:paraId="462A4177" w14:textId="74543142" w:rsidR="00683412" w:rsidRDefault="0007383E" w:rsidP="00683412">
            <w:r>
              <w:rPr>
                <w:color w:val="4472C4"/>
                <w:sz w:val="13"/>
              </w:rPr>
              <w:t>AASB </w:t>
            </w:r>
            <w:r w:rsidR="00683412">
              <w:rPr>
                <w:color w:val="4472C4"/>
                <w:sz w:val="13"/>
              </w:rPr>
              <w:t>1049.32</w:t>
            </w:r>
          </w:p>
        </w:tc>
        <w:tc>
          <w:tcPr>
            <w:tcW w:w="5245" w:type="dxa"/>
          </w:tcPr>
          <w:p w14:paraId="5E1E5103" w14:textId="77777777" w:rsidR="00683412" w:rsidRDefault="00683412" w:rsidP="00683412">
            <w:pPr>
              <w:jc w:val="left"/>
              <w:cnfStyle w:val="000000000000" w:firstRow="0" w:lastRow="0" w:firstColumn="0" w:lastColumn="0" w:oddVBand="0" w:evenVBand="0" w:oddHBand="0" w:evenHBand="0" w:firstRowFirstColumn="0" w:firstRowLastColumn="0" w:lastRowFirstColumn="0" w:lastRowLastColumn="0"/>
            </w:pPr>
            <w:r>
              <w:rPr>
                <w:b/>
              </w:rPr>
              <w:t>Net result from transactions (net operating balance)</w:t>
            </w:r>
          </w:p>
        </w:tc>
        <w:tc>
          <w:tcPr>
            <w:tcW w:w="992" w:type="dxa"/>
          </w:tcPr>
          <w:p w14:paraId="4C16D7AD" w14:textId="77777777" w:rsidR="00683412" w:rsidRDefault="00683412" w:rsidP="00683412">
            <w:pPr>
              <w:jc w:val="center"/>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235CDDCB" w14:textId="280E11E5" w:rsidR="00683412" w:rsidRDefault="00683412" w:rsidP="00683412">
            <w:pPr>
              <w:cnfStyle w:val="000000000000" w:firstRow="0" w:lastRow="0" w:firstColumn="0" w:lastColumn="0" w:oddVBand="0" w:evenVBand="0" w:oddHBand="0" w:evenHBand="0" w:firstRowFirstColumn="0" w:firstRowLastColumn="0" w:lastRowFirstColumn="0" w:lastRowLastColumn="0"/>
            </w:pPr>
            <w:r>
              <w:rPr>
                <w:rFonts w:ascii="Arial" w:hAnsi="Arial" w:cs="Arial"/>
                <w:b/>
                <w:bCs/>
                <w:color w:val="000000"/>
                <w:szCs w:val="16"/>
              </w:rPr>
              <w:t>16</w:t>
            </w:r>
            <w:r w:rsidR="003E3065">
              <w:rPr>
                <w:rFonts w:ascii="Arial" w:hAnsi="Arial" w:cs="Arial" w:hint="eastAsia"/>
                <w:b/>
                <w:bCs/>
                <w:color w:val="000000"/>
                <w:szCs w:val="16"/>
                <w:lang w:eastAsia="zh-CN"/>
              </w:rPr>
              <w:t xml:space="preserve"> </w:t>
            </w:r>
            <w:r>
              <w:rPr>
                <w:rFonts w:ascii="Arial" w:hAnsi="Arial" w:cs="Arial"/>
                <w:b/>
                <w:bCs/>
                <w:color w:val="000000"/>
                <w:szCs w:val="16"/>
              </w:rPr>
              <w:t>003</w:t>
            </w:r>
          </w:p>
        </w:tc>
        <w:tc>
          <w:tcPr>
            <w:tcW w:w="992" w:type="dxa"/>
            <w:vAlign w:val="center"/>
          </w:tcPr>
          <w:p w14:paraId="3CB57556" w14:textId="3ED1557C" w:rsidR="00683412" w:rsidRDefault="00683412" w:rsidP="00683412">
            <w:pPr>
              <w:cnfStyle w:val="000000000000" w:firstRow="0" w:lastRow="0" w:firstColumn="0" w:lastColumn="0" w:oddVBand="0" w:evenVBand="0" w:oddHBand="0" w:evenHBand="0" w:firstRowFirstColumn="0" w:firstRowLastColumn="0" w:lastRowFirstColumn="0" w:lastRowLastColumn="0"/>
            </w:pPr>
            <w:r>
              <w:rPr>
                <w:rFonts w:ascii="Arial" w:hAnsi="Arial" w:cs="Arial"/>
                <w:b/>
                <w:bCs/>
                <w:color w:val="000000"/>
                <w:szCs w:val="16"/>
              </w:rPr>
              <w:t>7</w:t>
            </w:r>
            <w:r w:rsidR="003E3065">
              <w:rPr>
                <w:rFonts w:ascii="Arial" w:hAnsi="Arial" w:cs="Arial" w:hint="eastAsia"/>
                <w:b/>
                <w:bCs/>
                <w:color w:val="000000"/>
                <w:szCs w:val="16"/>
                <w:lang w:eastAsia="zh-CN"/>
              </w:rPr>
              <w:t xml:space="preserve"> </w:t>
            </w:r>
            <w:r>
              <w:rPr>
                <w:rFonts w:ascii="Arial" w:hAnsi="Arial" w:cs="Arial"/>
                <w:b/>
                <w:bCs/>
                <w:color w:val="000000"/>
                <w:szCs w:val="16"/>
              </w:rPr>
              <w:t>610</w:t>
            </w:r>
          </w:p>
        </w:tc>
      </w:tr>
      <w:tr w:rsidR="00671D55" w14:paraId="4355D23A" w14:textId="77777777" w:rsidTr="002A0038">
        <w:tc>
          <w:tcPr>
            <w:cnfStyle w:val="001000000000" w:firstRow="0" w:lastRow="0" w:firstColumn="1" w:lastColumn="0" w:oddVBand="0" w:evenVBand="0" w:oddHBand="0" w:evenHBand="0" w:firstRowFirstColumn="0" w:firstRowLastColumn="0" w:lastRowFirstColumn="0" w:lastRowLastColumn="0"/>
            <w:tcW w:w="1418" w:type="dxa"/>
          </w:tcPr>
          <w:p w14:paraId="2FDED97F" w14:textId="4164E7CF" w:rsidR="00182709" w:rsidRDefault="00182709"/>
        </w:tc>
        <w:tc>
          <w:tcPr>
            <w:tcW w:w="5245" w:type="dxa"/>
          </w:tcPr>
          <w:p w14:paraId="134AA033" w14:textId="77777777" w:rsidR="00182709" w:rsidRDefault="0044097C">
            <w:pPr>
              <w:jc w:val="left"/>
              <w:cnfStyle w:val="000000000000" w:firstRow="0" w:lastRow="0" w:firstColumn="0" w:lastColumn="0" w:oddVBand="0" w:evenVBand="0" w:oddHBand="0" w:evenHBand="0" w:firstRowFirstColumn="0" w:firstRowLastColumn="0" w:lastRowFirstColumn="0" w:lastRowLastColumn="0"/>
            </w:pPr>
            <w:r>
              <w:rPr>
                <w:b/>
              </w:rPr>
              <w:t>Other economic flows included in net result</w:t>
            </w:r>
          </w:p>
        </w:tc>
        <w:tc>
          <w:tcPr>
            <w:tcW w:w="992" w:type="dxa"/>
          </w:tcPr>
          <w:p w14:paraId="30F08DCF" w14:textId="77777777" w:rsidR="00182709" w:rsidRDefault="00182709">
            <w:pPr>
              <w:jc w:val="center"/>
              <w:cnfStyle w:val="000000000000" w:firstRow="0" w:lastRow="0" w:firstColumn="0" w:lastColumn="0" w:oddVBand="0" w:evenVBand="0" w:oddHBand="0" w:evenHBand="0" w:firstRowFirstColumn="0" w:firstRowLastColumn="0" w:lastRowFirstColumn="0" w:lastRowLastColumn="0"/>
            </w:pPr>
          </w:p>
        </w:tc>
        <w:tc>
          <w:tcPr>
            <w:tcW w:w="992" w:type="dxa"/>
          </w:tcPr>
          <w:p w14:paraId="177D0A67" w14:textId="77777777" w:rsidR="00182709" w:rsidRDefault="00182709">
            <w:pPr>
              <w:cnfStyle w:val="000000000000" w:firstRow="0" w:lastRow="0" w:firstColumn="0" w:lastColumn="0" w:oddVBand="0" w:evenVBand="0" w:oddHBand="0" w:evenHBand="0" w:firstRowFirstColumn="0" w:firstRowLastColumn="0" w:lastRowFirstColumn="0" w:lastRowLastColumn="0"/>
            </w:pPr>
          </w:p>
        </w:tc>
        <w:tc>
          <w:tcPr>
            <w:tcW w:w="992" w:type="dxa"/>
          </w:tcPr>
          <w:p w14:paraId="3304E0D8" w14:textId="77777777" w:rsidR="00182709" w:rsidRDefault="00182709">
            <w:pPr>
              <w:cnfStyle w:val="000000000000" w:firstRow="0" w:lastRow="0" w:firstColumn="0" w:lastColumn="0" w:oddVBand="0" w:evenVBand="0" w:oddHBand="0" w:evenHBand="0" w:firstRowFirstColumn="0" w:firstRowLastColumn="0" w:lastRowFirstColumn="0" w:lastRowLastColumn="0"/>
            </w:pPr>
          </w:p>
        </w:tc>
      </w:tr>
      <w:tr w:rsidR="00617E8E" w14:paraId="02BA43B7" w14:textId="77777777" w:rsidTr="002A0038">
        <w:tc>
          <w:tcPr>
            <w:cnfStyle w:val="001000000000" w:firstRow="0" w:lastRow="0" w:firstColumn="1" w:lastColumn="0" w:oddVBand="0" w:evenVBand="0" w:oddHBand="0" w:evenHBand="0" w:firstRowFirstColumn="0" w:firstRowLastColumn="0" w:lastRowFirstColumn="0" w:lastRowLastColumn="0"/>
            <w:tcW w:w="1418" w:type="dxa"/>
          </w:tcPr>
          <w:p w14:paraId="76637EE4" w14:textId="61E94D0B" w:rsidR="00617E8E" w:rsidRDefault="0007383E" w:rsidP="00617E8E">
            <w:r>
              <w:rPr>
                <w:color w:val="4472C4"/>
                <w:sz w:val="13"/>
              </w:rPr>
              <w:t>AASB </w:t>
            </w:r>
            <w:r w:rsidR="00617E8E">
              <w:rPr>
                <w:color w:val="4472C4"/>
                <w:sz w:val="13"/>
              </w:rPr>
              <w:t>10</w:t>
            </w:r>
            <w:r w:rsidR="00617E8E">
              <w:rPr>
                <w:rFonts w:hint="eastAsia"/>
                <w:color w:val="4472C4"/>
                <w:sz w:val="13"/>
                <w:lang w:eastAsia="zh-CN"/>
              </w:rPr>
              <w:t>60</w:t>
            </w:r>
            <w:r w:rsidR="00617E8E">
              <w:rPr>
                <w:color w:val="4472C4"/>
                <w:sz w:val="13"/>
              </w:rPr>
              <w:t>.</w:t>
            </w:r>
            <w:r w:rsidR="00617E8E">
              <w:rPr>
                <w:rFonts w:hint="eastAsia"/>
                <w:color w:val="4472C4"/>
                <w:sz w:val="13"/>
                <w:lang w:eastAsia="zh-CN"/>
              </w:rPr>
              <w:t>56</w:t>
            </w:r>
          </w:p>
        </w:tc>
        <w:tc>
          <w:tcPr>
            <w:tcW w:w="5245" w:type="dxa"/>
          </w:tcPr>
          <w:p w14:paraId="6207D7B4" w14:textId="659B1949" w:rsidR="00617E8E" w:rsidRDefault="00617E8E" w:rsidP="00617E8E">
            <w:pPr>
              <w:jc w:val="left"/>
              <w:cnfStyle w:val="000000000000" w:firstRow="0" w:lastRow="0" w:firstColumn="0" w:lastColumn="0" w:oddVBand="0" w:evenVBand="0" w:oddHBand="0" w:evenHBand="0" w:firstRowFirstColumn="0" w:firstRowLastColumn="0" w:lastRowFirstColumn="0" w:lastRowLastColumn="0"/>
            </w:pPr>
            <w:r>
              <w:t>Net gain/(loss) on non</w:t>
            </w:r>
            <w:r>
              <w:rPr>
                <w:rFonts w:ascii="Cambria Math" w:hAnsi="Cambria Math" w:cs="Cambria Math"/>
              </w:rPr>
              <w:t>‑</w:t>
            </w:r>
            <w:r>
              <w:t>financial assets</w:t>
            </w:r>
            <w:r>
              <w:rPr>
                <w:vertAlign w:val="superscript"/>
              </w:rPr>
              <w:t xml:space="preserve"> (b)</w:t>
            </w:r>
          </w:p>
        </w:tc>
        <w:tc>
          <w:tcPr>
            <w:tcW w:w="992" w:type="dxa"/>
            <w:vAlign w:val="center"/>
          </w:tcPr>
          <w:p w14:paraId="61EAFD5D" w14:textId="6FF1DB7B" w:rsidR="00617E8E" w:rsidRDefault="00617E8E" w:rsidP="00617E8E">
            <w:pPr>
              <w:jc w:val="center"/>
              <w:cnfStyle w:val="000000000000" w:firstRow="0" w:lastRow="0" w:firstColumn="0" w:lastColumn="0" w:oddVBand="0" w:evenVBand="0" w:oddHBand="0" w:evenHBand="0" w:firstRowFirstColumn="0" w:firstRowLastColumn="0" w:lastRowFirstColumn="0" w:lastRowLastColumn="0"/>
              <w:rPr>
                <w:lang w:eastAsia="zh-CN"/>
              </w:rPr>
            </w:pPr>
            <w:r>
              <w:rPr>
                <w:rFonts w:ascii="Arial" w:hAnsi="Arial" w:cs="Arial"/>
                <w:color w:val="000000"/>
                <w:szCs w:val="16"/>
              </w:rPr>
              <w:t>8.2</w:t>
            </w:r>
          </w:p>
        </w:tc>
        <w:tc>
          <w:tcPr>
            <w:tcW w:w="992" w:type="dxa"/>
            <w:vAlign w:val="center"/>
          </w:tcPr>
          <w:p w14:paraId="0F06C4FC" w14:textId="75D2BE0B" w:rsidR="00617E8E" w:rsidRDefault="00617E8E" w:rsidP="00617E8E">
            <w:pP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16"/>
              </w:rPr>
              <w:t>(3</w:t>
            </w:r>
            <w:r w:rsidR="003E3065">
              <w:rPr>
                <w:rFonts w:ascii="Arial" w:hAnsi="Arial" w:cs="Arial" w:hint="eastAsia"/>
                <w:color w:val="000000"/>
                <w:szCs w:val="16"/>
                <w:lang w:eastAsia="zh-CN"/>
              </w:rPr>
              <w:t xml:space="preserve"> </w:t>
            </w:r>
            <w:r>
              <w:rPr>
                <w:rFonts w:ascii="Arial" w:hAnsi="Arial" w:cs="Arial"/>
                <w:color w:val="000000"/>
                <w:szCs w:val="16"/>
              </w:rPr>
              <w:t>032)</w:t>
            </w:r>
          </w:p>
        </w:tc>
        <w:tc>
          <w:tcPr>
            <w:tcW w:w="992" w:type="dxa"/>
            <w:vAlign w:val="center"/>
          </w:tcPr>
          <w:p w14:paraId="11BFB61D" w14:textId="30D19F3D" w:rsidR="00617E8E" w:rsidRDefault="00617E8E" w:rsidP="00617E8E">
            <w:pP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16"/>
              </w:rPr>
              <w:t>330</w:t>
            </w:r>
          </w:p>
        </w:tc>
      </w:tr>
      <w:tr w:rsidR="00617E8E" w:rsidDel="00E76E86" w14:paraId="470435C4" w14:textId="687EE5C3" w:rsidTr="00E10CD7">
        <w:tc>
          <w:tcPr>
            <w:cnfStyle w:val="001000000000" w:firstRow="0" w:lastRow="0" w:firstColumn="1" w:lastColumn="0" w:oddVBand="0" w:evenVBand="0" w:oddHBand="0" w:evenHBand="0" w:firstRowFirstColumn="0" w:firstRowLastColumn="0" w:lastRowFirstColumn="0" w:lastRowLastColumn="0"/>
            <w:tcW w:w="0" w:type="dxa"/>
          </w:tcPr>
          <w:p w14:paraId="3EC47A67" w14:textId="2C1CE432" w:rsidR="00617E8E" w:rsidDel="00E76E86" w:rsidRDefault="0007383E" w:rsidP="00617E8E">
            <w:r>
              <w:rPr>
                <w:color w:val="4472C4"/>
                <w:sz w:val="13"/>
              </w:rPr>
              <w:t>AASB </w:t>
            </w:r>
            <w:r w:rsidR="00617E8E">
              <w:rPr>
                <w:color w:val="4472C4"/>
                <w:sz w:val="13"/>
              </w:rPr>
              <w:t>10</w:t>
            </w:r>
            <w:r w:rsidR="00617E8E">
              <w:rPr>
                <w:rFonts w:hint="eastAsia"/>
                <w:color w:val="4472C4"/>
                <w:sz w:val="13"/>
                <w:lang w:eastAsia="zh-CN"/>
              </w:rPr>
              <w:t>60</w:t>
            </w:r>
            <w:r w:rsidR="00617E8E">
              <w:rPr>
                <w:color w:val="4472C4"/>
                <w:sz w:val="13"/>
              </w:rPr>
              <w:t>.</w:t>
            </w:r>
            <w:r w:rsidR="00617E8E">
              <w:rPr>
                <w:rFonts w:hint="eastAsia"/>
                <w:color w:val="4472C4"/>
                <w:sz w:val="13"/>
                <w:lang w:eastAsia="zh-CN"/>
              </w:rPr>
              <w:t>56</w:t>
            </w:r>
          </w:p>
        </w:tc>
        <w:tc>
          <w:tcPr>
            <w:tcW w:w="0" w:type="dxa"/>
            <w:tcBorders>
              <w:bottom w:val="nil"/>
            </w:tcBorders>
          </w:tcPr>
          <w:p w14:paraId="1298A0BB" w14:textId="0CD11174" w:rsidR="00617E8E" w:rsidDel="00E76E86" w:rsidRDefault="00617E8E" w:rsidP="00617E8E">
            <w:pPr>
              <w:jc w:val="left"/>
              <w:cnfStyle w:val="000000000000" w:firstRow="0" w:lastRow="0" w:firstColumn="0" w:lastColumn="0" w:oddVBand="0" w:evenVBand="0" w:oddHBand="0" w:evenHBand="0" w:firstRowFirstColumn="0" w:firstRowLastColumn="0" w:lastRowFirstColumn="0" w:lastRowLastColumn="0"/>
            </w:pPr>
            <w:r w:rsidDel="00E76E86">
              <w:t>Net gain/(loss) on financial instruments</w:t>
            </w:r>
            <w:r w:rsidDel="00E76E86">
              <w:rPr>
                <w:vertAlign w:val="superscript"/>
              </w:rPr>
              <w:t xml:space="preserve"> (</w:t>
            </w:r>
            <w:r>
              <w:rPr>
                <w:vertAlign w:val="superscript"/>
              </w:rPr>
              <w:t>c</w:t>
            </w:r>
            <w:r w:rsidDel="00E76E86">
              <w:rPr>
                <w:vertAlign w:val="superscript"/>
              </w:rPr>
              <w:t>)</w:t>
            </w:r>
          </w:p>
        </w:tc>
        <w:tc>
          <w:tcPr>
            <w:tcW w:w="0" w:type="dxa"/>
            <w:tcBorders>
              <w:bottom w:val="nil"/>
            </w:tcBorders>
            <w:vAlign w:val="center"/>
          </w:tcPr>
          <w:p w14:paraId="045AF237" w14:textId="044B1FEE" w:rsidR="00617E8E" w:rsidDel="00E76E86" w:rsidRDefault="00617E8E" w:rsidP="00617E8E">
            <w:pPr>
              <w:jc w:val="center"/>
              <w:cnfStyle w:val="000000000000" w:firstRow="0" w:lastRow="0" w:firstColumn="0" w:lastColumn="0" w:oddVBand="0" w:evenVBand="0" w:oddHBand="0" w:evenHBand="0" w:firstRowFirstColumn="0" w:firstRowLastColumn="0" w:lastRowFirstColumn="0" w:lastRowLastColumn="0"/>
              <w:rPr>
                <w:lang w:eastAsia="zh-CN"/>
              </w:rPr>
            </w:pPr>
            <w:r>
              <w:rPr>
                <w:rFonts w:ascii="Arial" w:hAnsi="Arial" w:cs="Arial"/>
                <w:color w:val="000000"/>
                <w:szCs w:val="16"/>
              </w:rPr>
              <w:t>8.2</w:t>
            </w:r>
          </w:p>
        </w:tc>
        <w:tc>
          <w:tcPr>
            <w:tcW w:w="0" w:type="dxa"/>
            <w:tcBorders>
              <w:bottom w:val="nil"/>
            </w:tcBorders>
            <w:vAlign w:val="center"/>
          </w:tcPr>
          <w:p w14:paraId="300AD803" w14:textId="511494B9" w:rsidR="00617E8E" w:rsidDel="00E76E86" w:rsidRDefault="00617E8E" w:rsidP="00617E8E">
            <w:pP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16"/>
              </w:rPr>
              <w:t>(603)</w:t>
            </w:r>
          </w:p>
        </w:tc>
        <w:tc>
          <w:tcPr>
            <w:tcW w:w="0" w:type="dxa"/>
            <w:tcBorders>
              <w:bottom w:val="nil"/>
            </w:tcBorders>
            <w:vAlign w:val="center"/>
          </w:tcPr>
          <w:p w14:paraId="2B0DAF20" w14:textId="1D9A5DF1" w:rsidR="00617E8E" w:rsidDel="00E76E86" w:rsidRDefault="00617E8E" w:rsidP="00617E8E">
            <w:pP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16"/>
              </w:rPr>
              <w:t>(327)</w:t>
            </w:r>
          </w:p>
        </w:tc>
      </w:tr>
      <w:tr w:rsidR="00617E8E" w:rsidDel="00E76E86" w14:paraId="2E1E4568" w14:textId="77777777" w:rsidTr="00E10CD7">
        <w:tc>
          <w:tcPr>
            <w:cnfStyle w:val="001000000000" w:firstRow="0" w:lastRow="0" w:firstColumn="1" w:lastColumn="0" w:oddVBand="0" w:evenVBand="0" w:oddHBand="0" w:evenHBand="0" w:firstRowFirstColumn="0" w:firstRowLastColumn="0" w:lastRowFirstColumn="0" w:lastRowLastColumn="0"/>
            <w:tcW w:w="0" w:type="dxa"/>
          </w:tcPr>
          <w:p w14:paraId="4CE84616" w14:textId="04738E5D" w:rsidR="00617E8E" w:rsidDel="00E76E86" w:rsidRDefault="0007383E" w:rsidP="00617E8E">
            <w:pPr>
              <w:rPr>
                <w:color w:val="4472C4"/>
                <w:sz w:val="13"/>
              </w:rPr>
            </w:pPr>
            <w:r>
              <w:rPr>
                <w:color w:val="4472C4"/>
                <w:sz w:val="13"/>
              </w:rPr>
              <w:t>AASB </w:t>
            </w:r>
            <w:r w:rsidR="00617E8E">
              <w:rPr>
                <w:color w:val="4472C4"/>
                <w:sz w:val="13"/>
              </w:rPr>
              <w:t>10</w:t>
            </w:r>
            <w:r w:rsidR="00617E8E">
              <w:rPr>
                <w:rFonts w:hint="eastAsia"/>
                <w:color w:val="4472C4"/>
                <w:sz w:val="13"/>
                <w:lang w:eastAsia="zh-CN"/>
              </w:rPr>
              <w:t>60</w:t>
            </w:r>
            <w:r w:rsidR="00617E8E">
              <w:rPr>
                <w:color w:val="4472C4"/>
                <w:sz w:val="13"/>
              </w:rPr>
              <w:t>.</w:t>
            </w:r>
            <w:r w:rsidR="00617E8E">
              <w:rPr>
                <w:rFonts w:hint="eastAsia"/>
                <w:color w:val="4472C4"/>
                <w:sz w:val="13"/>
                <w:lang w:eastAsia="zh-CN"/>
              </w:rPr>
              <w:t>56</w:t>
            </w:r>
          </w:p>
        </w:tc>
        <w:tc>
          <w:tcPr>
            <w:tcW w:w="0" w:type="dxa"/>
            <w:tcBorders>
              <w:bottom w:val="single" w:sz="12" w:space="0" w:color="auto"/>
            </w:tcBorders>
          </w:tcPr>
          <w:p w14:paraId="05D59DF3" w14:textId="01B5E800" w:rsidR="00617E8E" w:rsidDel="00E76E86" w:rsidRDefault="00617E8E" w:rsidP="002A0038">
            <w:pPr>
              <w:jc w:val="left"/>
              <w:cnfStyle w:val="000000000000" w:firstRow="0" w:lastRow="0" w:firstColumn="0" w:lastColumn="0" w:oddVBand="0" w:evenVBand="0" w:oddHBand="0" w:evenHBand="0" w:firstRowFirstColumn="0" w:firstRowLastColumn="0" w:lastRowFirstColumn="0" w:lastRowLastColumn="0"/>
              <w:rPr>
                <w:lang w:eastAsia="zh-CN"/>
              </w:rPr>
            </w:pPr>
            <w:r>
              <w:rPr>
                <w:rFonts w:hint="eastAsia"/>
                <w:lang w:eastAsia="zh-CN"/>
              </w:rPr>
              <w:t>Other gain/(loss) from other economic flows</w:t>
            </w:r>
          </w:p>
        </w:tc>
        <w:tc>
          <w:tcPr>
            <w:tcW w:w="0" w:type="dxa"/>
            <w:tcBorders>
              <w:bottom w:val="single" w:sz="12" w:space="0" w:color="auto"/>
            </w:tcBorders>
            <w:vAlign w:val="center"/>
          </w:tcPr>
          <w:p w14:paraId="6F193297" w14:textId="4EC427DA" w:rsidR="00617E8E" w:rsidDel="00E76E86" w:rsidRDefault="00617E8E" w:rsidP="00617E8E">
            <w:pPr>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16"/>
              </w:rPr>
              <w:t>8.2</w:t>
            </w:r>
          </w:p>
        </w:tc>
        <w:tc>
          <w:tcPr>
            <w:tcW w:w="0" w:type="dxa"/>
            <w:tcBorders>
              <w:bottom w:val="single" w:sz="12" w:space="0" w:color="auto"/>
            </w:tcBorders>
            <w:vAlign w:val="center"/>
          </w:tcPr>
          <w:p w14:paraId="34B6B75A" w14:textId="526C949D" w:rsidR="00617E8E" w:rsidDel="00E76E86" w:rsidRDefault="00617E8E" w:rsidP="00617E8E">
            <w:pP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16"/>
              </w:rPr>
              <w:t>(2</w:t>
            </w:r>
            <w:r w:rsidR="003E3065">
              <w:rPr>
                <w:rFonts w:ascii="Arial" w:hAnsi="Arial" w:cs="Arial" w:hint="eastAsia"/>
                <w:color w:val="000000"/>
                <w:szCs w:val="16"/>
                <w:lang w:eastAsia="zh-CN"/>
              </w:rPr>
              <w:t xml:space="preserve"> </w:t>
            </w:r>
            <w:r>
              <w:rPr>
                <w:rFonts w:ascii="Arial" w:hAnsi="Arial" w:cs="Arial"/>
                <w:color w:val="000000"/>
                <w:szCs w:val="16"/>
              </w:rPr>
              <w:t>921)</w:t>
            </w:r>
          </w:p>
        </w:tc>
        <w:tc>
          <w:tcPr>
            <w:tcW w:w="0" w:type="dxa"/>
            <w:tcBorders>
              <w:bottom w:val="single" w:sz="12" w:space="0" w:color="auto"/>
            </w:tcBorders>
            <w:vAlign w:val="center"/>
          </w:tcPr>
          <w:p w14:paraId="60A4D222" w14:textId="7034B526" w:rsidR="00617E8E" w:rsidDel="00E76E86" w:rsidRDefault="00617E8E" w:rsidP="00617E8E">
            <w:pP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16"/>
              </w:rPr>
              <w:t>(1</w:t>
            </w:r>
            <w:r w:rsidR="003E3065">
              <w:rPr>
                <w:rFonts w:ascii="Arial" w:hAnsi="Arial" w:cs="Arial" w:hint="eastAsia"/>
                <w:color w:val="000000"/>
                <w:szCs w:val="16"/>
                <w:lang w:eastAsia="zh-CN"/>
              </w:rPr>
              <w:t xml:space="preserve"> </w:t>
            </w:r>
            <w:r>
              <w:rPr>
                <w:rFonts w:ascii="Arial" w:hAnsi="Arial" w:cs="Arial"/>
                <w:color w:val="000000"/>
                <w:szCs w:val="16"/>
              </w:rPr>
              <w:t>048)</w:t>
            </w:r>
          </w:p>
        </w:tc>
      </w:tr>
      <w:tr w:rsidR="00617E8E" w14:paraId="0B3B93B8" w14:textId="77777777" w:rsidTr="00E10CD7">
        <w:tc>
          <w:tcPr>
            <w:cnfStyle w:val="001000000000" w:firstRow="0" w:lastRow="0" w:firstColumn="1" w:lastColumn="0" w:oddVBand="0" w:evenVBand="0" w:oddHBand="0" w:evenHBand="0" w:firstRowFirstColumn="0" w:firstRowLastColumn="0" w:lastRowFirstColumn="0" w:lastRowLastColumn="0"/>
            <w:tcW w:w="0" w:type="dxa"/>
          </w:tcPr>
          <w:p w14:paraId="6DED6324" w14:textId="77777777" w:rsidR="00617E8E" w:rsidRDefault="00617E8E" w:rsidP="00617E8E"/>
        </w:tc>
        <w:tc>
          <w:tcPr>
            <w:tcW w:w="0" w:type="dxa"/>
            <w:tcBorders>
              <w:top w:val="single" w:sz="12" w:space="0" w:color="auto"/>
            </w:tcBorders>
          </w:tcPr>
          <w:p w14:paraId="47014DD2" w14:textId="77777777" w:rsidR="00617E8E" w:rsidRDefault="00617E8E" w:rsidP="00617E8E">
            <w:pPr>
              <w:jc w:val="left"/>
              <w:cnfStyle w:val="000000000000" w:firstRow="0" w:lastRow="0" w:firstColumn="0" w:lastColumn="0" w:oddVBand="0" w:evenVBand="0" w:oddHBand="0" w:evenHBand="0" w:firstRowFirstColumn="0" w:firstRowLastColumn="0" w:lastRowFirstColumn="0" w:lastRowLastColumn="0"/>
            </w:pPr>
            <w:r>
              <w:rPr>
                <w:b/>
              </w:rPr>
              <w:t>Total other economic flows included in net result</w:t>
            </w:r>
          </w:p>
        </w:tc>
        <w:tc>
          <w:tcPr>
            <w:tcW w:w="0" w:type="dxa"/>
            <w:tcBorders>
              <w:top w:val="single" w:sz="12" w:space="0" w:color="auto"/>
            </w:tcBorders>
          </w:tcPr>
          <w:p w14:paraId="181340F1" w14:textId="77777777" w:rsidR="00617E8E" w:rsidRDefault="00617E8E" w:rsidP="00617E8E">
            <w:pPr>
              <w:jc w:val="center"/>
              <w:cnfStyle w:val="000000000000" w:firstRow="0" w:lastRow="0" w:firstColumn="0" w:lastColumn="0" w:oddVBand="0" w:evenVBand="0" w:oddHBand="0" w:evenHBand="0" w:firstRowFirstColumn="0" w:firstRowLastColumn="0" w:lastRowFirstColumn="0" w:lastRowLastColumn="0"/>
            </w:pPr>
          </w:p>
        </w:tc>
        <w:tc>
          <w:tcPr>
            <w:tcW w:w="0" w:type="dxa"/>
            <w:tcBorders>
              <w:top w:val="single" w:sz="12" w:space="0" w:color="auto"/>
            </w:tcBorders>
            <w:vAlign w:val="center"/>
          </w:tcPr>
          <w:p w14:paraId="35AF1440" w14:textId="4612AD22" w:rsidR="00617E8E" w:rsidRDefault="00617E8E" w:rsidP="00617E8E">
            <w:pPr>
              <w:cnfStyle w:val="000000000000" w:firstRow="0" w:lastRow="0" w:firstColumn="0" w:lastColumn="0" w:oddVBand="0" w:evenVBand="0" w:oddHBand="0" w:evenHBand="0" w:firstRowFirstColumn="0" w:firstRowLastColumn="0" w:lastRowFirstColumn="0" w:lastRowLastColumn="0"/>
            </w:pPr>
            <w:r>
              <w:rPr>
                <w:rFonts w:ascii="Arial" w:hAnsi="Arial" w:cs="Arial"/>
                <w:b/>
                <w:bCs/>
                <w:color w:val="000000"/>
                <w:szCs w:val="16"/>
              </w:rPr>
              <w:t>(6</w:t>
            </w:r>
            <w:r w:rsidR="003E3065">
              <w:rPr>
                <w:rFonts w:ascii="Arial" w:hAnsi="Arial" w:cs="Arial" w:hint="eastAsia"/>
                <w:b/>
                <w:bCs/>
                <w:color w:val="000000"/>
                <w:szCs w:val="16"/>
                <w:lang w:eastAsia="zh-CN"/>
              </w:rPr>
              <w:t xml:space="preserve"> </w:t>
            </w:r>
            <w:r>
              <w:rPr>
                <w:rFonts w:ascii="Arial" w:hAnsi="Arial" w:cs="Arial"/>
                <w:b/>
                <w:bCs/>
                <w:color w:val="000000"/>
                <w:szCs w:val="16"/>
              </w:rPr>
              <w:t>556)</w:t>
            </w:r>
          </w:p>
        </w:tc>
        <w:tc>
          <w:tcPr>
            <w:tcW w:w="0" w:type="dxa"/>
            <w:tcBorders>
              <w:top w:val="single" w:sz="12" w:space="0" w:color="auto"/>
            </w:tcBorders>
            <w:vAlign w:val="center"/>
          </w:tcPr>
          <w:p w14:paraId="18A8A5A8" w14:textId="19817C15" w:rsidR="00617E8E" w:rsidRDefault="00617E8E" w:rsidP="00617E8E">
            <w:pPr>
              <w:cnfStyle w:val="000000000000" w:firstRow="0" w:lastRow="0" w:firstColumn="0" w:lastColumn="0" w:oddVBand="0" w:evenVBand="0" w:oddHBand="0" w:evenHBand="0" w:firstRowFirstColumn="0" w:firstRowLastColumn="0" w:lastRowFirstColumn="0" w:lastRowLastColumn="0"/>
            </w:pPr>
            <w:r>
              <w:rPr>
                <w:rFonts w:ascii="Arial" w:hAnsi="Arial" w:cs="Arial"/>
                <w:b/>
                <w:bCs/>
                <w:color w:val="000000"/>
                <w:szCs w:val="16"/>
              </w:rPr>
              <w:t>(1</w:t>
            </w:r>
            <w:r w:rsidR="003E3065">
              <w:rPr>
                <w:rFonts w:ascii="Arial" w:hAnsi="Arial" w:cs="Arial" w:hint="eastAsia"/>
                <w:b/>
                <w:bCs/>
                <w:color w:val="000000"/>
                <w:szCs w:val="16"/>
                <w:lang w:eastAsia="zh-CN"/>
              </w:rPr>
              <w:t xml:space="preserve"> </w:t>
            </w:r>
            <w:r>
              <w:rPr>
                <w:rFonts w:ascii="Arial" w:hAnsi="Arial" w:cs="Arial"/>
                <w:b/>
                <w:bCs/>
                <w:color w:val="000000"/>
                <w:szCs w:val="16"/>
              </w:rPr>
              <w:t>045)</w:t>
            </w:r>
          </w:p>
        </w:tc>
      </w:tr>
      <w:tr w:rsidR="00617E8E" w14:paraId="6E016DBC" w14:textId="77777777" w:rsidTr="002A0038">
        <w:tc>
          <w:tcPr>
            <w:cnfStyle w:val="001000000000" w:firstRow="0" w:lastRow="0" w:firstColumn="1" w:lastColumn="0" w:oddVBand="0" w:evenVBand="0" w:oddHBand="0" w:evenHBand="0" w:firstRowFirstColumn="0" w:firstRowLastColumn="0" w:lastRowFirstColumn="0" w:lastRowLastColumn="0"/>
            <w:tcW w:w="1418" w:type="dxa"/>
          </w:tcPr>
          <w:p w14:paraId="127C8175" w14:textId="2B0A740B" w:rsidR="00617E8E" w:rsidRDefault="0007383E" w:rsidP="00617E8E">
            <w:r>
              <w:rPr>
                <w:color w:val="4472C4"/>
                <w:sz w:val="13"/>
              </w:rPr>
              <w:t>AASB </w:t>
            </w:r>
            <w:r w:rsidR="00617E8E">
              <w:rPr>
                <w:color w:val="4472C4"/>
                <w:sz w:val="13"/>
              </w:rPr>
              <w:t>10</w:t>
            </w:r>
            <w:r w:rsidR="00617E8E">
              <w:rPr>
                <w:rFonts w:hint="eastAsia"/>
                <w:color w:val="4472C4"/>
                <w:sz w:val="13"/>
                <w:lang w:eastAsia="zh-CN"/>
              </w:rPr>
              <w:t>60</w:t>
            </w:r>
            <w:r w:rsidR="00617E8E">
              <w:rPr>
                <w:color w:val="4472C4"/>
                <w:sz w:val="13"/>
              </w:rPr>
              <w:t>.</w:t>
            </w:r>
            <w:r w:rsidR="00617E8E">
              <w:rPr>
                <w:rFonts w:hint="eastAsia"/>
                <w:color w:val="4472C4"/>
                <w:sz w:val="13"/>
                <w:lang w:eastAsia="zh-CN"/>
              </w:rPr>
              <w:t>56</w:t>
            </w:r>
          </w:p>
        </w:tc>
        <w:tc>
          <w:tcPr>
            <w:tcW w:w="5245" w:type="dxa"/>
          </w:tcPr>
          <w:p w14:paraId="4D7F3347" w14:textId="77777777" w:rsidR="00617E8E" w:rsidRDefault="00617E8E" w:rsidP="00617E8E">
            <w:pPr>
              <w:jc w:val="left"/>
              <w:cnfStyle w:val="000000000000" w:firstRow="0" w:lastRow="0" w:firstColumn="0" w:lastColumn="0" w:oddVBand="0" w:evenVBand="0" w:oddHBand="0" w:evenHBand="0" w:firstRowFirstColumn="0" w:firstRowLastColumn="0" w:lastRowFirstColumn="0" w:lastRowLastColumn="0"/>
            </w:pPr>
            <w:r>
              <w:rPr>
                <w:b/>
              </w:rPr>
              <w:t>Net result from continuing operations</w:t>
            </w:r>
          </w:p>
        </w:tc>
        <w:tc>
          <w:tcPr>
            <w:tcW w:w="992" w:type="dxa"/>
          </w:tcPr>
          <w:p w14:paraId="23DF1977" w14:textId="77777777" w:rsidR="00617E8E" w:rsidRDefault="00617E8E" w:rsidP="00617E8E">
            <w:pPr>
              <w:jc w:val="center"/>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40E0A892" w14:textId="4DA89971" w:rsidR="00617E8E" w:rsidRDefault="00617E8E" w:rsidP="00617E8E">
            <w:pPr>
              <w:cnfStyle w:val="000000000000" w:firstRow="0" w:lastRow="0" w:firstColumn="0" w:lastColumn="0" w:oddVBand="0" w:evenVBand="0" w:oddHBand="0" w:evenHBand="0" w:firstRowFirstColumn="0" w:firstRowLastColumn="0" w:lastRowFirstColumn="0" w:lastRowLastColumn="0"/>
            </w:pPr>
            <w:r>
              <w:rPr>
                <w:rFonts w:ascii="Arial" w:hAnsi="Arial" w:cs="Arial"/>
                <w:b/>
                <w:bCs/>
                <w:color w:val="000000"/>
                <w:szCs w:val="16"/>
              </w:rPr>
              <w:t>9</w:t>
            </w:r>
            <w:r w:rsidR="003E3065">
              <w:rPr>
                <w:rFonts w:ascii="Arial" w:hAnsi="Arial" w:cs="Arial" w:hint="eastAsia"/>
                <w:b/>
                <w:bCs/>
                <w:color w:val="000000"/>
                <w:szCs w:val="16"/>
                <w:lang w:eastAsia="zh-CN"/>
              </w:rPr>
              <w:t xml:space="preserve"> </w:t>
            </w:r>
            <w:r>
              <w:rPr>
                <w:rFonts w:ascii="Arial" w:hAnsi="Arial" w:cs="Arial"/>
                <w:b/>
                <w:bCs/>
                <w:color w:val="000000"/>
                <w:szCs w:val="16"/>
              </w:rPr>
              <w:t>447</w:t>
            </w:r>
          </w:p>
        </w:tc>
        <w:tc>
          <w:tcPr>
            <w:tcW w:w="992" w:type="dxa"/>
            <w:vAlign w:val="center"/>
          </w:tcPr>
          <w:p w14:paraId="05AFC7AD" w14:textId="58136695" w:rsidR="00617E8E" w:rsidRDefault="00617E8E" w:rsidP="00617E8E">
            <w:pPr>
              <w:cnfStyle w:val="000000000000" w:firstRow="0" w:lastRow="0" w:firstColumn="0" w:lastColumn="0" w:oddVBand="0" w:evenVBand="0" w:oddHBand="0" w:evenHBand="0" w:firstRowFirstColumn="0" w:firstRowLastColumn="0" w:lastRowFirstColumn="0" w:lastRowLastColumn="0"/>
            </w:pPr>
            <w:r>
              <w:rPr>
                <w:rFonts w:ascii="Arial" w:hAnsi="Arial" w:cs="Arial"/>
                <w:b/>
                <w:bCs/>
                <w:color w:val="000000"/>
                <w:szCs w:val="16"/>
              </w:rPr>
              <w:t>6</w:t>
            </w:r>
            <w:r w:rsidR="003E3065">
              <w:rPr>
                <w:rFonts w:ascii="Arial" w:hAnsi="Arial" w:cs="Arial" w:hint="eastAsia"/>
                <w:b/>
                <w:bCs/>
                <w:color w:val="000000"/>
                <w:szCs w:val="16"/>
                <w:lang w:eastAsia="zh-CN"/>
              </w:rPr>
              <w:t xml:space="preserve"> </w:t>
            </w:r>
            <w:r>
              <w:rPr>
                <w:rFonts w:ascii="Arial" w:hAnsi="Arial" w:cs="Arial"/>
                <w:b/>
                <w:bCs/>
                <w:color w:val="000000"/>
                <w:szCs w:val="16"/>
              </w:rPr>
              <w:t>565</w:t>
            </w:r>
          </w:p>
        </w:tc>
      </w:tr>
      <w:tr w:rsidR="00617E8E" w14:paraId="50CE1ED5" w14:textId="77777777" w:rsidTr="002A0038">
        <w:tc>
          <w:tcPr>
            <w:cnfStyle w:val="001000000000" w:firstRow="0" w:lastRow="0" w:firstColumn="1" w:lastColumn="0" w:oddVBand="0" w:evenVBand="0" w:oddHBand="0" w:evenHBand="0" w:firstRowFirstColumn="0" w:firstRowLastColumn="0" w:lastRowFirstColumn="0" w:lastRowLastColumn="0"/>
            <w:tcW w:w="1418" w:type="dxa"/>
          </w:tcPr>
          <w:p w14:paraId="64749EFD" w14:textId="24B6DF55" w:rsidR="00617E8E" w:rsidRDefault="0007383E" w:rsidP="00617E8E">
            <w:r>
              <w:rPr>
                <w:color w:val="4472C4"/>
                <w:sz w:val="13"/>
              </w:rPr>
              <w:t>AASB </w:t>
            </w:r>
            <w:r w:rsidR="00617E8E">
              <w:rPr>
                <w:color w:val="4472C4"/>
                <w:sz w:val="13"/>
              </w:rPr>
              <w:t>10</w:t>
            </w:r>
            <w:r w:rsidR="00617E8E">
              <w:rPr>
                <w:rFonts w:hint="eastAsia"/>
                <w:color w:val="4472C4"/>
                <w:sz w:val="13"/>
                <w:lang w:eastAsia="zh-CN"/>
              </w:rPr>
              <w:t>60</w:t>
            </w:r>
            <w:r w:rsidR="00617E8E">
              <w:rPr>
                <w:color w:val="4472C4"/>
                <w:sz w:val="13"/>
              </w:rPr>
              <w:t>.</w:t>
            </w:r>
            <w:r w:rsidR="00617E8E">
              <w:rPr>
                <w:rFonts w:hint="eastAsia"/>
                <w:color w:val="4472C4"/>
                <w:sz w:val="13"/>
                <w:lang w:eastAsia="zh-CN"/>
              </w:rPr>
              <w:t>52 (f)</w:t>
            </w:r>
          </w:p>
        </w:tc>
        <w:tc>
          <w:tcPr>
            <w:tcW w:w="5245" w:type="dxa"/>
            <w:tcBorders>
              <w:bottom w:val="single" w:sz="12" w:space="0" w:color="auto"/>
            </w:tcBorders>
          </w:tcPr>
          <w:p w14:paraId="690432F7" w14:textId="77777777" w:rsidR="00617E8E" w:rsidRDefault="00617E8E" w:rsidP="00617E8E">
            <w:pPr>
              <w:jc w:val="left"/>
              <w:cnfStyle w:val="000000000000" w:firstRow="0" w:lastRow="0" w:firstColumn="0" w:lastColumn="0" w:oddVBand="0" w:evenVBand="0" w:oddHBand="0" w:evenHBand="0" w:firstRowFirstColumn="0" w:firstRowLastColumn="0" w:lastRowFirstColumn="0" w:lastRowLastColumn="0"/>
            </w:pPr>
            <w:r>
              <w:rPr>
                <w:b/>
              </w:rPr>
              <w:t>Net result</w:t>
            </w:r>
          </w:p>
        </w:tc>
        <w:tc>
          <w:tcPr>
            <w:tcW w:w="992" w:type="dxa"/>
            <w:tcBorders>
              <w:bottom w:val="single" w:sz="12" w:space="0" w:color="auto"/>
            </w:tcBorders>
          </w:tcPr>
          <w:p w14:paraId="61240C83" w14:textId="77777777" w:rsidR="00617E8E" w:rsidRDefault="00617E8E" w:rsidP="00617E8E">
            <w:pPr>
              <w:jc w:val="center"/>
              <w:cnfStyle w:val="000000000000" w:firstRow="0" w:lastRow="0" w:firstColumn="0" w:lastColumn="0" w:oddVBand="0" w:evenVBand="0" w:oddHBand="0" w:evenHBand="0" w:firstRowFirstColumn="0" w:firstRowLastColumn="0" w:lastRowFirstColumn="0" w:lastRowLastColumn="0"/>
            </w:pPr>
          </w:p>
        </w:tc>
        <w:tc>
          <w:tcPr>
            <w:tcW w:w="992" w:type="dxa"/>
            <w:tcBorders>
              <w:bottom w:val="single" w:sz="12" w:space="0" w:color="auto"/>
            </w:tcBorders>
            <w:vAlign w:val="center"/>
          </w:tcPr>
          <w:p w14:paraId="3F00F52D" w14:textId="7B53367F" w:rsidR="00617E8E" w:rsidRDefault="00617E8E" w:rsidP="00617E8E">
            <w:pPr>
              <w:cnfStyle w:val="000000000000" w:firstRow="0" w:lastRow="0" w:firstColumn="0" w:lastColumn="0" w:oddVBand="0" w:evenVBand="0" w:oddHBand="0" w:evenHBand="0" w:firstRowFirstColumn="0" w:firstRowLastColumn="0" w:lastRowFirstColumn="0" w:lastRowLastColumn="0"/>
            </w:pPr>
            <w:r>
              <w:rPr>
                <w:rFonts w:ascii="Arial" w:hAnsi="Arial" w:cs="Arial"/>
                <w:b/>
                <w:bCs/>
                <w:color w:val="000000"/>
                <w:szCs w:val="16"/>
              </w:rPr>
              <w:t>9</w:t>
            </w:r>
            <w:r w:rsidR="003E3065">
              <w:rPr>
                <w:rFonts w:ascii="Arial" w:hAnsi="Arial" w:cs="Arial" w:hint="eastAsia"/>
                <w:b/>
                <w:bCs/>
                <w:color w:val="000000"/>
                <w:szCs w:val="16"/>
                <w:lang w:eastAsia="zh-CN"/>
              </w:rPr>
              <w:t xml:space="preserve"> </w:t>
            </w:r>
            <w:r>
              <w:rPr>
                <w:rFonts w:ascii="Arial" w:hAnsi="Arial" w:cs="Arial"/>
                <w:b/>
                <w:bCs/>
                <w:color w:val="000000"/>
                <w:szCs w:val="16"/>
              </w:rPr>
              <w:t>447</w:t>
            </w:r>
          </w:p>
        </w:tc>
        <w:tc>
          <w:tcPr>
            <w:tcW w:w="992" w:type="dxa"/>
            <w:tcBorders>
              <w:bottom w:val="single" w:sz="12" w:space="0" w:color="auto"/>
            </w:tcBorders>
            <w:vAlign w:val="center"/>
          </w:tcPr>
          <w:p w14:paraId="22CA954B" w14:textId="425E9435" w:rsidR="00617E8E" w:rsidRDefault="00617E8E" w:rsidP="00617E8E">
            <w:pPr>
              <w:cnfStyle w:val="000000000000" w:firstRow="0" w:lastRow="0" w:firstColumn="0" w:lastColumn="0" w:oddVBand="0" w:evenVBand="0" w:oddHBand="0" w:evenHBand="0" w:firstRowFirstColumn="0" w:firstRowLastColumn="0" w:lastRowFirstColumn="0" w:lastRowLastColumn="0"/>
            </w:pPr>
            <w:r>
              <w:rPr>
                <w:rFonts w:ascii="Arial" w:hAnsi="Arial" w:cs="Arial"/>
                <w:b/>
                <w:bCs/>
                <w:color w:val="000000"/>
                <w:szCs w:val="16"/>
              </w:rPr>
              <w:t>6</w:t>
            </w:r>
            <w:r w:rsidR="003E3065">
              <w:rPr>
                <w:rFonts w:ascii="Arial" w:hAnsi="Arial" w:cs="Arial" w:hint="eastAsia"/>
                <w:b/>
                <w:bCs/>
                <w:color w:val="000000"/>
                <w:szCs w:val="16"/>
                <w:lang w:eastAsia="zh-CN"/>
              </w:rPr>
              <w:t xml:space="preserve"> </w:t>
            </w:r>
            <w:r>
              <w:rPr>
                <w:rFonts w:ascii="Arial" w:hAnsi="Arial" w:cs="Arial"/>
                <w:b/>
                <w:bCs/>
                <w:color w:val="000000"/>
                <w:szCs w:val="16"/>
              </w:rPr>
              <w:t>565</w:t>
            </w:r>
          </w:p>
        </w:tc>
      </w:tr>
      <w:tr w:rsidR="00671D55" w14:paraId="51C4F8D2" w14:textId="77777777" w:rsidTr="002A0038">
        <w:tc>
          <w:tcPr>
            <w:cnfStyle w:val="001000000000" w:firstRow="0" w:lastRow="0" w:firstColumn="1" w:lastColumn="0" w:oddVBand="0" w:evenVBand="0" w:oddHBand="0" w:evenHBand="0" w:firstRowFirstColumn="0" w:firstRowLastColumn="0" w:lastRowFirstColumn="0" w:lastRowLastColumn="0"/>
            <w:tcW w:w="1418" w:type="dxa"/>
          </w:tcPr>
          <w:p w14:paraId="0E81C140" w14:textId="7197B712" w:rsidR="00182709" w:rsidRDefault="0007383E">
            <w:r>
              <w:rPr>
                <w:color w:val="4472C4"/>
                <w:sz w:val="13"/>
              </w:rPr>
              <w:t>AASB </w:t>
            </w:r>
            <w:r w:rsidR="00E31186">
              <w:rPr>
                <w:rFonts w:hint="eastAsia"/>
                <w:color w:val="4472C4"/>
                <w:sz w:val="13"/>
                <w:lang w:eastAsia="zh-CN"/>
              </w:rPr>
              <w:t>1049.</w:t>
            </w:r>
            <w:r w:rsidR="00BA4964">
              <w:rPr>
                <w:rFonts w:hint="eastAsia"/>
                <w:color w:val="4472C4"/>
                <w:sz w:val="13"/>
                <w:lang w:eastAsia="zh-CN"/>
              </w:rPr>
              <w:t>30</w:t>
            </w:r>
          </w:p>
        </w:tc>
        <w:tc>
          <w:tcPr>
            <w:tcW w:w="5245" w:type="dxa"/>
          </w:tcPr>
          <w:p w14:paraId="22DF6EFF" w14:textId="77777777" w:rsidR="00182709" w:rsidRDefault="0044097C">
            <w:pPr>
              <w:jc w:val="left"/>
              <w:cnfStyle w:val="000000000000" w:firstRow="0" w:lastRow="0" w:firstColumn="0" w:lastColumn="0" w:oddVBand="0" w:evenVBand="0" w:oddHBand="0" w:evenHBand="0" w:firstRowFirstColumn="0" w:firstRowLastColumn="0" w:lastRowFirstColumn="0" w:lastRowLastColumn="0"/>
            </w:pPr>
            <w:r>
              <w:rPr>
                <w:b/>
              </w:rPr>
              <w:t>Other economic flows – other comprehensive income:</w:t>
            </w:r>
          </w:p>
        </w:tc>
        <w:tc>
          <w:tcPr>
            <w:tcW w:w="992" w:type="dxa"/>
          </w:tcPr>
          <w:p w14:paraId="70B1EFB2" w14:textId="77777777" w:rsidR="00182709" w:rsidRDefault="00182709">
            <w:pPr>
              <w:jc w:val="center"/>
              <w:cnfStyle w:val="000000000000" w:firstRow="0" w:lastRow="0" w:firstColumn="0" w:lastColumn="0" w:oddVBand="0" w:evenVBand="0" w:oddHBand="0" w:evenHBand="0" w:firstRowFirstColumn="0" w:firstRowLastColumn="0" w:lastRowFirstColumn="0" w:lastRowLastColumn="0"/>
            </w:pPr>
          </w:p>
        </w:tc>
        <w:tc>
          <w:tcPr>
            <w:tcW w:w="992" w:type="dxa"/>
          </w:tcPr>
          <w:p w14:paraId="75456F4E" w14:textId="77777777" w:rsidR="00182709" w:rsidRDefault="00182709">
            <w:pPr>
              <w:cnfStyle w:val="000000000000" w:firstRow="0" w:lastRow="0" w:firstColumn="0" w:lastColumn="0" w:oddVBand="0" w:evenVBand="0" w:oddHBand="0" w:evenHBand="0" w:firstRowFirstColumn="0" w:firstRowLastColumn="0" w:lastRowFirstColumn="0" w:lastRowLastColumn="0"/>
            </w:pPr>
          </w:p>
        </w:tc>
        <w:tc>
          <w:tcPr>
            <w:tcW w:w="992" w:type="dxa"/>
          </w:tcPr>
          <w:p w14:paraId="03CBF60E" w14:textId="77777777" w:rsidR="00182709" w:rsidRDefault="00182709">
            <w:pPr>
              <w:cnfStyle w:val="000000000000" w:firstRow="0" w:lastRow="0" w:firstColumn="0" w:lastColumn="0" w:oddVBand="0" w:evenVBand="0" w:oddHBand="0" w:evenHBand="0" w:firstRowFirstColumn="0" w:firstRowLastColumn="0" w:lastRowFirstColumn="0" w:lastRowLastColumn="0"/>
            </w:pPr>
          </w:p>
        </w:tc>
      </w:tr>
      <w:tr w:rsidR="009B4939" w14:paraId="31D337B9" w14:textId="77777777" w:rsidTr="00E10CD7">
        <w:tc>
          <w:tcPr>
            <w:cnfStyle w:val="001000000000" w:firstRow="0" w:lastRow="0" w:firstColumn="1" w:lastColumn="0" w:oddVBand="0" w:evenVBand="0" w:oddHBand="0" w:evenHBand="0" w:firstRowFirstColumn="0" w:firstRowLastColumn="0" w:lastRowFirstColumn="0" w:lastRowLastColumn="0"/>
            <w:tcW w:w="0" w:type="dxa"/>
          </w:tcPr>
          <w:p w14:paraId="3C16A1C7" w14:textId="0034DBC2" w:rsidR="009B4939" w:rsidRDefault="0007383E" w:rsidP="009B4939">
            <w:r>
              <w:rPr>
                <w:color w:val="4472C4"/>
                <w:sz w:val="13"/>
              </w:rPr>
              <w:t>AASB </w:t>
            </w:r>
            <w:r w:rsidR="009B4939">
              <w:rPr>
                <w:rFonts w:hint="eastAsia"/>
                <w:color w:val="4472C4"/>
                <w:sz w:val="13"/>
                <w:lang w:eastAsia="zh-CN"/>
              </w:rPr>
              <w:t>1060</w:t>
            </w:r>
            <w:r w:rsidR="009B4939">
              <w:rPr>
                <w:color w:val="4472C4"/>
                <w:sz w:val="13"/>
              </w:rPr>
              <w:t>.</w:t>
            </w:r>
            <w:r w:rsidR="009B4939">
              <w:rPr>
                <w:rFonts w:hint="eastAsia"/>
                <w:color w:val="4472C4"/>
                <w:sz w:val="13"/>
                <w:lang w:eastAsia="zh-CN"/>
              </w:rPr>
              <w:t>52</w:t>
            </w:r>
            <w:r w:rsidR="009B4939">
              <w:rPr>
                <w:color w:val="4472C4"/>
                <w:sz w:val="13"/>
              </w:rPr>
              <w:t xml:space="preserve"> (</w:t>
            </w:r>
            <w:r w:rsidR="009B4939">
              <w:rPr>
                <w:rFonts w:hint="eastAsia"/>
                <w:color w:val="4472C4"/>
                <w:sz w:val="13"/>
                <w:lang w:eastAsia="zh-CN"/>
              </w:rPr>
              <w:t>g</w:t>
            </w:r>
            <w:r w:rsidR="009B4939">
              <w:rPr>
                <w:color w:val="4472C4"/>
                <w:sz w:val="13"/>
              </w:rPr>
              <w:t>)</w:t>
            </w:r>
            <w:r w:rsidR="00BB65FE">
              <w:rPr>
                <w:rFonts w:hint="eastAsia"/>
                <w:color w:val="4472C4"/>
                <w:sz w:val="13"/>
                <w:lang w:eastAsia="zh-CN"/>
              </w:rPr>
              <w:t>(i</w:t>
            </w:r>
            <w:r w:rsidR="00BB65FE">
              <w:rPr>
                <w:rFonts w:hint="eastAsia"/>
                <w:color w:val="4472C4"/>
                <w:sz w:val="13"/>
              </w:rPr>
              <w:t>)</w:t>
            </w:r>
          </w:p>
        </w:tc>
        <w:tc>
          <w:tcPr>
            <w:tcW w:w="0" w:type="dxa"/>
            <w:tcBorders>
              <w:bottom w:val="nil"/>
            </w:tcBorders>
          </w:tcPr>
          <w:p w14:paraId="4B4922B0" w14:textId="77777777" w:rsidR="009B4939" w:rsidRDefault="009B4939" w:rsidP="009B4939">
            <w:pPr>
              <w:jc w:val="left"/>
              <w:cnfStyle w:val="000000000000" w:firstRow="0" w:lastRow="0" w:firstColumn="0" w:lastColumn="0" w:oddVBand="0" w:evenVBand="0" w:oddHBand="0" w:evenHBand="0" w:firstRowFirstColumn="0" w:firstRowLastColumn="0" w:lastRowFirstColumn="0" w:lastRowLastColumn="0"/>
            </w:pPr>
            <w:r>
              <w:rPr>
                <w:b/>
              </w:rPr>
              <w:t>Items that will not be reclassified to net result</w:t>
            </w:r>
          </w:p>
        </w:tc>
        <w:tc>
          <w:tcPr>
            <w:tcW w:w="0" w:type="dxa"/>
            <w:tcBorders>
              <w:bottom w:val="nil"/>
            </w:tcBorders>
          </w:tcPr>
          <w:p w14:paraId="4FC49A25" w14:textId="77777777" w:rsidR="009B4939" w:rsidRDefault="009B4939" w:rsidP="009B4939">
            <w:pPr>
              <w:jc w:val="center"/>
              <w:cnfStyle w:val="000000000000" w:firstRow="0" w:lastRow="0" w:firstColumn="0" w:lastColumn="0" w:oddVBand="0" w:evenVBand="0" w:oddHBand="0" w:evenHBand="0" w:firstRowFirstColumn="0" w:firstRowLastColumn="0" w:lastRowFirstColumn="0" w:lastRowLastColumn="0"/>
            </w:pPr>
          </w:p>
        </w:tc>
        <w:tc>
          <w:tcPr>
            <w:tcW w:w="0" w:type="dxa"/>
            <w:tcBorders>
              <w:bottom w:val="nil"/>
            </w:tcBorders>
          </w:tcPr>
          <w:p w14:paraId="445A5FF9" w14:textId="77777777" w:rsidR="009B4939" w:rsidRDefault="009B4939" w:rsidP="009B4939">
            <w:pPr>
              <w:cnfStyle w:val="000000000000" w:firstRow="0" w:lastRow="0" w:firstColumn="0" w:lastColumn="0" w:oddVBand="0" w:evenVBand="0" w:oddHBand="0" w:evenHBand="0" w:firstRowFirstColumn="0" w:firstRowLastColumn="0" w:lastRowFirstColumn="0" w:lastRowLastColumn="0"/>
            </w:pPr>
          </w:p>
        </w:tc>
        <w:tc>
          <w:tcPr>
            <w:tcW w:w="0" w:type="dxa"/>
            <w:tcBorders>
              <w:bottom w:val="nil"/>
            </w:tcBorders>
          </w:tcPr>
          <w:p w14:paraId="5A20A7D3" w14:textId="77777777" w:rsidR="009B4939" w:rsidRDefault="009B4939" w:rsidP="009B4939">
            <w:pPr>
              <w:cnfStyle w:val="000000000000" w:firstRow="0" w:lastRow="0" w:firstColumn="0" w:lastColumn="0" w:oddVBand="0" w:evenVBand="0" w:oddHBand="0" w:evenHBand="0" w:firstRowFirstColumn="0" w:firstRowLastColumn="0" w:lastRowFirstColumn="0" w:lastRowLastColumn="0"/>
            </w:pPr>
          </w:p>
        </w:tc>
      </w:tr>
      <w:tr w:rsidR="001660BC" w14:paraId="3EA08941" w14:textId="77777777" w:rsidTr="00E10CD7">
        <w:tc>
          <w:tcPr>
            <w:cnfStyle w:val="001000000000" w:firstRow="0" w:lastRow="0" w:firstColumn="1" w:lastColumn="0" w:oddVBand="0" w:evenVBand="0" w:oddHBand="0" w:evenHBand="0" w:firstRowFirstColumn="0" w:firstRowLastColumn="0" w:lastRowFirstColumn="0" w:lastRowLastColumn="0"/>
            <w:tcW w:w="0" w:type="dxa"/>
          </w:tcPr>
          <w:p w14:paraId="0F0D8788" w14:textId="3DF966C6" w:rsidR="001660BC" w:rsidRDefault="0007383E" w:rsidP="001660BC">
            <w:r>
              <w:rPr>
                <w:color w:val="4472C4"/>
                <w:sz w:val="13"/>
              </w:rPr>
              <w:t>AASB </w:t>
            </w:r>
            <w:r w:rsidR="001660BC">
              <w:rPr>
                <w:color w:val="4472C4"/>
                <w:sz w:val="13"/>
              </w:rPr>
              <w:t>10</w:t>
            </w:r>
            <w:r w:rsidR="001660BC">
              <w:rPr>
                <w:rFonts w:hint="eastAsia"/>
                <w:color w:val="4472C4"/>
                <w:sz w:val="13"/>
                <w:lang w:eastAsia="zh-CN"/>
              </w:rPr>
              <w:t>60</w:t>
            </w:r>
            <w:r w:rsidR="001660BC">
              <w:rPr>
                <w:color w:val="4472C4"/>
                <w:sz w:val="13"/>
              </w:rPr>
              <w:t>.</w:t>
            </w:r>
            <w:r w:rsidR="001660BC">
              <w:rPr>
                <w:rFonts w:hint="eastAsia"/>
                <w:color w:val="4472C4"/>
                <w:sz w:val="13"/>
                <w:lang w:eastAsia="zh-CN"/>
              </w:rPr>
              <w:t>136</w:t>
            </w:r>
            <w:r w:rsidR="001660BC">
              <w:rPr>
                <w:color w:val="4472C4"/>
                <w:sz w:val="13"/>
              </w:rPr>
              <w:t xml:space="preserve"> (</w:t>
            </w:r>
            <w:r w:rsidR="001660BC">
              <w:rPr>
                <w:rFonts w:hint="eastAsia"/>
                <w:color w:val="4472C4"/>
                <w:sz w:val="13"/>
                <w:lang w:eastAsia="zh-CN"/>
              </w:rPr>
              <w:t>d</w:t>
            </w:r>
            <w:r w:rsidR="001660BC">
              <w:rPr>
                <w:color w:val="4472C4"/>
                <w:sz w:val="13"/>
              </w:rPr>
              <w:t>)</w:t>
            </w:r>
          </w:p>
        </w:tc>
        <w:tc>
          <w:tcPr>
            <w:tcW w:w="0" w:type="dxa"/>
            <w:tcBorders>
              <w:bottom w:val="single" w:sz="12" w:space="0" w:color="auto"/>
            </w:tcBorders>
          </w:tcPr>
          <w:p w14:paraId="15151F49" w14:textId="3DFB3A48" w:rsidR="001660BC" w:rsidRDefault="001660BC" w:rsidP="001660BC">
            <w:pPr>
              <w:jc w:val="left"/>
              <w:cnfStyle w:val="000000000000" w:firstRow="0" w:lastRow="0" w:firstColumn="0" w:lastColumn="0" w:oddVBand="0" w:evenVBand="0" w:oddHBand="0" w:evenHBand="0" w:firstRowFirstColumn="0" w:firstRowLastColumn="0" w:lastRowFirstColumn="0" w:lastRowLastColumn="0"/>
            </w:pPr>
            <w:r>
              <w:t>Changes in physical asset revaluation surplus</w:t>
            </w:r>
            <w:r>
              <w:rPr>
                <w:vertAlign w:val="superscript"/>
              </w:rPr>
              <w:t xml:space="preserve"> </w:t>
            </w:r>
          </w:p>
        </w:tc>
        <w:tc>
          <w:tcPr>
            <w:tcW w:w="0" w:type="dxa"/>
            <w:tcBorders>
              <w:bottom w:val="single" w:sz="12" w:space="0" w:color="auto"/>
            </w:tcBorders>
            <w:vAlign w:val="center"/>
          </w:tcPr>
          <w:p w14:paraId="665DF3CE" w14:textId="7753C282" w:rsidR="001660BC" w:rsidRPr="000A70E3" w:rsidRDefault="001660BC" w:rsidP="001660BC">
            <w:pPr>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16"/>
              </w:rPr>
              <w:t>4.1.3</w:t>
            </w:r>
          </w:p>
        </w:tc>
        <w:tc>
          <w:tcPr>
            <w:tcW w:w="0" w:type="dxa"/>
            <w:tcBorders>
              <w:bottom w:val="single" w:sz="12" w:space="0" w:color="auto"/>
            </w:tcBorders>
            <w:vAlign w:val="center"/>
          </w:tcPr>
          <w:p w14:paraId="3D5F2032" w14:textId="6359DD26" w:rsidR="001660BC" w:rsidRDefault="001660BC" w:rsidP="001660BC">
            <w:pP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16"/>
              </w:rPr>
              <w:t>7</w:t>
            </w:r>
            <w:r w:rsidR="003E3065">
              <w:rPr>
                <w:rFonts w:ascii="Arial" w:hAnsi="Arial" w:cs="Arial" w:hint="eastAsia"/>
                <w:color w:val="000000"/>
                <w:szCs w:val="16"/>
                <w:lang w:eastAsia="zh-CN"/>
              </w:rPr>
              <w:t xml:space="preserve"> </w:t>
            </w:r>
            <w:r>
              <w:rPr>
                <w:rFonts w:ascii="Arial" w:hAnsi="Arial" w:cs="Arial"/>
                <w:color w:val="000000"/>
                <w:szCs w:val="16"/>
              </w:rPr>
              <w:t>403</w:t>
            </w:r>
          </w:p>
        </w:tc>
        <w:tc>
          <w:tcPr>
            <w:tcW w:w="0" w:type="dxa"/>
            <w:tcBorders>
              <w:bottom w:val="single" w:sz="12" w:space="0" w:color="auto"/>
            </w:tcBorders>
            <w:vAlign w:val="center"/>
          </w:tcPr>
          <w:p w14:paraId="0562E965" w14:textId="0985F89D" w:rsidR="001660BC" w:rsidRDefault="001660BC" w:rsidP="001660BC">
            <w:pP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16"/>
              </w:rPr>
              <w:t>2</w:t>
            </w:r>
            <w:r w:rsidR="003E3065">
              <w:rPr>
                <w:rFonts w:ascii="Arial" w:hAnsi="Arial" w:cs="Arial" w:hint="eastAsia"/>
                <w:color w:val="000000"/>
                <w:szCs w:val="16"/>
                <w:lang w:eastAsia="zh-CN"/>
              </w:rPr>
              <w:t xml:space="preserve"> </w:t>
            </w:r>
            <w:r>
              <w:rPr>
                <w:rFonts w:ascii="Arial" w:hAnsi="Arial" w:cs="Arial"/>
                <w:color w:val="000000"/>
                <w:szCs w:val="16"/>
              </w:rPr>
              <w:t>825</w:t>
            </w:r>
          </w:p>
        </w:tc>
      </w:tr>
      <w:tr w:rsidR="00752D3A" w14:paraId="0240AA82" w14:textId="77777777" w:rsidTr="00E10CD7">
        <w:tc>
          <w:tcPr>
            <w:cnfStyle w:val="001000000000" w:firstRow="0" w:lastRow="0" w:firstColumn="1" w:lastColumn="0" w:oddVBand="0" w:evenVBand="0" w:oddHBand="0" w:evenHBand="0" w:firstRowFirstColumn="0" w:firstRowLastColumn="0" w:lastRowFirstColumn="0" w:lastRowLastColumn="0"/>
            <w:tcW w:w="0" w:type="dxa"/>
          </w:tcPr>
          <w:p w14:paraId="2FDBE2FD" w14:textId="77777777" w:rsidR="00752D3A" w:rsidRDefault="00752D3A" w:rsidP="00752D3A"/>
        </w:tc>
        <w:tc>
          <w:tcPr>
            <w:tcW w:w="0" w:type="dxa"/>
            <w:tcBorders>
              <w:top w:val="single" w:sz="12" w:space="0" w:color="auto"/>
            </w:tcBorders>
          </w:tcPr>
          <w:p w14:paraId="219FDBE1" w14:textId="77777777" w:rsidR="00752D3A" w:rsidRDefault="00752D3A" w:rsidP="00752D3A">
            <w:pPr>
              <w:jc w:val="left"/>
              <w:cnfStyle w:val="000000000000" w:firstRow="0" w:lastRow="0" w:firstColumn="0" w:lastColumn="0" w:oddVBand="0" w:evenVBand="0" w:oddHBand="0" w:evenHBand="0" w:firstRowFirstColumn="0" w:firstRowLastColumn="0" w:lastRowFirstColumn="0" w:lastRowLastColumn="0"/>
            </w:pPr>
            <w:r>
              <w:rPr>
                <w:b/>
              </w:rPr>
              <w:t>Total other economic flows – other comprehensive income</w:t>
            </w:r>
          </w:p>
        </w:tc>
        <w:tc>
          <w:tcPr>
            <w:tcW w:w="0" w:type="dxa"/>
            <w:tcBorders>
              <w:top w:val="single" w:sz="12" w:space="0" w:color="auto"/>
            </w:tcBorders>
          </w:tcPr>
          <w:p w14:paraId="0CC303A9" w14:textId="77777777" w:rsidR="00752D3A" w:rsidRDefault="00752D3A" w:rsidP="00752D3A">
            <w:pPr>
              <w:jc w:val="center"/>
              <w:cnfStyle w:val="000000000000" w:firstRow="0" w:lastRow="0" w:firstColumn="0" w:lastColumn="0" w:oddVBand="0" w:evenVBand="0" w:oddHBand="0" w:evenHBand="0" w:firstRowFirstColumn="0" w:firstRowLastColumn="0" w:lastRowFirstColumn="0" w:lastRowLastColumn="0"/>
            </w:pPr>
          </w:p>
        </w:tc>
        <w:tc>
          <w:tcPr>
            <w:tcW w:w="0" w:type="dxa"/>
            <w:tcBorders>
              <w:top w:val="single" w:sz="12" w:space="0" w:color="auto"/>
            </w:tcBorders>
            <w:vAlign w:val="center"/>
          </w:tcPr>
          <w:p w14:paraId="3070115C" w14:textId="739F5189" w:rsidR="00752D3A" w:rsidRDefault="00752D3A" w:rsidP="00752D3A">
            <w:pPr>
              <w:cnfStyle w:val="000000000000" w:firstRow="0" w:lastRow="0" w:firstColumn="0" w:lastColumn="0" w:oddVBand="0" w:evenVBand="0" w:oddHBand="0" w:evenHBand="0" w:firstRowFirstColumn="0" w:firstRowLastColumn="0" w:lastRowFirstColumn="0" w:lastRowLastColumn="0"/>
            </w:pPr>
            <w:r>
              <w:rPr>
                <w:rFonts w:ascii="Arial" w:hAnsi="Arial" w:cs="Arial"/>
                <w:b/>
                <w:bCs/>
                <w:color w:val="000000"/>
                <w:szCs w:val="16"/>
              </w:rPr>
              <w:t>7</w:t>
            </w:r>
            <w:r w:rsidR="003E3065">
              <w:rPr>
                <w:rFonts w:ascii="Arial" w:hAnsi="Arial" w:cs="Arial" w:hint="eastAsia"/>
                <w:b/>
                <w:bCs/>
                <w:color w:val="000000"/>
                <w:szCs w:val="16"/>
                <w:lang w:eastAsia="zh-CN"/>
              </w:rPr>
              <w:t xml:space="preserve"> </w:t>
            </w:r>
            <w:r>
              <w:rPr>
                <w:rFonts w:ascii="Arial" w:hAnsi="Arial" w:cs="Arial"/>
                <w:b/>
                <w:bCs/>
                <w:color w:val="000000"/>
                <w:szCs w:val="16"/>
              </w:rPr>
              <w:t>403</w:t>
            </w:r>
          </w:p>
        </w:tc>
        <w:tc>
          <w:tcPr>
            <w:tcW w:w="0" w:type="dxa"/>
            <w:tcBorders>
              <w:top w:val="single" w:sz="12" w:space="0" w:color="auto"/>
            </w:tcBorders>
            <w:vAlign w:val="center"/>
          </w:tcPr>
          <w:p w14:paraId="5656BB48" w14:textId="4207DEF1" w:rsidR="00752D3A" w:rsidRDefault="00752D3A" w:rsidP="00752D3A">
            <w:pPr>
              <w:cnfStyle w:val="000000000000" w:firstRow="0" w:lastRow="0" w:firstColumn="0" w:lastColumn="0" w:oddVBand="0" w:evenVBand="0" w:oddHBand="0" w:evenHBand="0" w:firstRowFirstColumn="0" w:firstRowLastColumn="0" w:lastRowFirstColumn="0" w:lastRowLastColumn="0"/>
            </w:pPr>
            <w:r>
              <w:rPr>
                <w:rFonts w:ascii="Arial" w:hAnsi="Arial" w:cs="Arial"/>
                <w:b/>
                <w:bCs/>
                <w:color w:val="000000"/>
                <w:szCs w:val="16"/>
              </w:rPr>
              <w:t>2</w:t>
            </w:r>
            <w:r w:rsidR="003E3065">
              <w:rPr>
                <w:rFonts w:ascii="Arial" w:hAnsi="Arial" w:cs="Arial" w:hint="eastAsia"/>
                <w:b/>
                <w:bCs/>
                <w:color w:val="000000"/>
                <w:szCs w:val="16"/>
                <w:lang w:eastAsia="zh-CN"/>
              </w:rPr>
              <w:t xml:space="preserve"> </w:t>
            </w:r>
            <w:r>
              <w:rPr>
                <w:rFonts w:ascii="Arial" w:hAnsi="Arial" w:cs="Arial"/>
                <w:b/>
                <w:bCs/>
                <w:color w:val="000000"/>
                <w:szCs w:val="16"/>
              </w:rPr>
              <w:t>825</w:t>
            </w:r>
          </w:p>
        </w:tc>
      </w:tr>
      <w:tr w:rsidR="00752D3A" w14:paraId="1341EE99" w14:textId="77777777" w:rsidTr="002A0038">
        <w:tc>
          <w:tcPr>
            <w:cnfStyle w:val="001000000000" w:firstRow="0" w:lastRow="0" w:firstColumn="1" w:lastColumn="0" w:oddVBand="0" w:evenVBand="0" w:oddHBand="0" w:evenHBand="0" w:firstRowFirstColumn="0" w:firstRowLastColumn="0" w:lastRowFirstColumn="0" w:lastRowLastColumn="0"/>
            <w:tcW w:w="1418" w:type="dxa"/>
            <w:tcBorders>
              <w:bottom w:val="nil"/>
            </w:tcBorders>
          </w:tcPr>
          <w:p w14:paraId="4BB8B718" w14:textId="2E596CA1" w:rsidR="00752D3A" w:rsidRDefault="0007383E" w:rsidP="00752D3A">
            <w:r>
              <w:rPr>
                <w:color w:val="4472C4"/>
                <w:sz w:val="13"/>
              </w:rPr>
              <w:t>AASB </w:t>
            </w:r>
            <w:r w:rsidR="00752D3A">
              <w:rPr>
                <w:color w:val="4472C4"/>
                <w:sz w:val="13"/>
              </w:rPr>
              <w:t>10</w:t>
            </w:r>
            <w:r w:rsidR="00752D3A">
              <w:rPr>
                <w:rFonts w:hint="eastAsia"/>
                <w:color w:val="4472C4"/>
                <w:sz w:val="13"/>
                <w:lang w:eastAsia="zh-CN"/>
              </w:rPr>
              <w:t>60</w:t>
            </w:r>
            <w:r w:rsidR="00752D3A">
              <w:rPr>
                <w:color w:val="4472C4"/>
                <w:sz w:val="13"/>
              </w:rPr>
              <w:t>.</w:t>
            </w:r>
            <w:r w:rsidR="00752D3A">
              <w:rPr>
                <w:rFonts w:hint="eastAsia"/>
                <w:color w:val="4472C4"/>
                <w:sz w:val="13"/>
                <w:lang w:eastAsia="zh-CN"/>
              </w:rPr>
              <w:t>52 (i)</w:t>
            </w:r>
          </w:p>
        </w:tc>
        <w:tc>
          <w:tcPr>
            <w:tcW w:w="5245" w:type="dxa"/>
          </w:tcPr>
          <w:p w14:paraId="0854EC23" w14:textId="77777777" w:rsidR="00752D3A" w:rsidRDefault="00752D3A" w:rsidP="00752D3A">
            <w:pPr>
              <w:jc w:val="left"/>
              <w:cnfStyle w:val="000000000000" w:firstRow="0" w:lastRow="0" w:firstColumn="0" w:lastColumn="0" w:oddVBand="0" w:evenVBand="0" w:oddHBand="0" w:evenHBand="0" w:firstRowFirstColumn="0" w:firstRowLastColumn="0" w:lastRowFirstColumn="0" w:lastRowLastColumn="0"/>
            </w:pPr>
            <w:r>
              <w:rPr>
                <w:b/>
              </w:rPr>
              <w:t>Comprehensive result</w:t>
            </w:r>
          </w:p>
        </w:tc>
        <w:tc>
          <w:tcPr>
            <w:tcW w:w="992" w:type="dxa"/>
          </w:tcPr>
          <w:p w14:paraId="3CF3BB14" w14:textId="77777777" w:rsidR="00752D3A" w:rsidRDefault="00752D3A" w:rsidP="00752D3A">
            <w:pPr>
              <w:jc w:val="center"/>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6D5CC93A" w14:textId="1194DABE" w:rsidR="00752D3A" w:rsidRDefault="00752D3A" w:rsidP="00752D3A">
            <w:pPr>
              <w:cnfStyle w:val="000000000000" w:firstRow="0" w:lastRow="0" w:firstColumn="0" w:lastColumn="0" w:oddVBand="0" w:evenVBand="0" w:oddHBand="0" w:evenHBand="0" w:firstRowFirstColumn="0" w:firstRowLastColumn="0" w:lastRowFirstColumn="0" w:lastRowLastColumn="0"/>
            </w:pPr>
            <w:r>
              <w:rPr>
                <w:rFonts w:ascii="Arial" w:hAnsi="Arial" w:cs="Arial"/>
                <w:b/>
                <w:bCs/>
                <w:color w:val="000000"/>
                <w:szCs w:val="16"/>
              </w:rPr>
              <w:t>16</w:t>
            </w:r>
            <w:r w:rsidR="003E3065">
              <w:rPr>
                <w:rFonts w:ascii="Arial" w:hAnsi="Arial" w:cs="Arial" w:hint="eastAsia"/>
                <w:b/>
                <w:bCs/>
                <w:color w:val="000000"/>
                <w:szCs w:val="16"/>
                <w:lang w:eastAsia="zh-CN"/>
              </w:rPr>
              <w:t xml:space="preserve"> </w:t>
            </w:r>
            <w:r>
              <w:rPr>
                <w:rFonts w:ascii="Arial" w:hAnsi="Arial" w:cs="Arial"/>
                <w:b/>
                <w:bCs/>
                <w:color w:val="000000"/>
                <w:szCs w:val="16"/>
              </w:rPr>
              <w:t>850</w:t>
            </w:r>
          </w:p>
        </w:tc>
        <w:tc>
          <w:tcPr>
            <w:tcW w:w="992" w:type="dxa"/>
            <w:vAlign w:val="center"/>
          </w:tcPr>
          <w:p w14:paraId="1BA0A38B" w14:textId="169876B4" w:rsidR="00752D3A" w:rsidRDefault="00752D3A" w:rsidP="00752D3A">
            <w:pPr>
              <w:cnfStyle w:val="000000000000" w:firstRow="0" w:lastRow="0" w:firstColumn="0" w:lastColumn="0" w:oddVBand="0" w:evenVBand="0" w:oddHBand="0" w:evenHBand="0" w:firstRowFirstColumn="0" w:firstRowLastColumn="0" w:lastRowFirstColumn="0" w:lastRowLastColumn="0"/>
            </w:pPr>
            <w:r>
              <w:rPr>
                <w:rFonts w:ascii="Arial" w:hAnsi="Arial" w:cs="Arial"/>
                <w:b/>
                <w:bCs/>
                <w:color w:val="000000"/>
                <w:szCs w:val="16"/>
              </w:rPr>
              <w:t>9</w:t>
            </w:r>
            <w:r w:rsidR="003E3065">
              <w:rPr>
                <w:rFonts w:ascii="Arial" w:hAnsi="Arial" w:cs="Arial" w:hint="eastAsia"/>
                <w:b/>
                <w:bCs/>
                <w:color w:val="000000"/>
                <w:szCs w:val="16"/>
                <w:lang w:eastAsia="zh-CN"/>
              </w:rPr>
              <w:t xml:space="preserve"> </w:t>
            </w:r>
            <w:r>
              <w:rPr>
                <w:rFonts w:ascii="Arial" w:hAnsi="Arial" w:cs="Arial"/>
                <w:b/>
                <w:bCs/>
                <w:color w:val="000000"/>
                <w:szCs w:val="16"/>
              </w:rPr>
              <w:t>390</w:t>
            </w:r>
          </w:p>
        </w:tc>
      </w:tr>
    </w:tbl>
    <w:p w14:paraId="788AE631" w14:textId="77777777" w:rsidR="003719CD" w:rsidRDefault="003719CD" w:rsidP="00FA4323">
      <w:pPr>
        <w:pStyle w:val="Source"/>
      </w:pPr>
      <w:r>
        <w:t>The accompanying notes form part of these financial statements.</w:t>
      </w:r>
    </w:p>
    <w:p w14:paraId="03ADDCF1" w14:textId="77777777" w:rsidR="003719CD" w:rsidRDefault="003719CD" w:rsidP="00197D8A">
      <w:pPr>
        <w:pStyle w:val="Note"/>
      </w:pPr>
      <w:r>
        <w:t>Notes:</w:t>
      </w:r>
    </w:p>
    <w:p w14:paraId="4001C139" w14:textId="718D6693" w:rsidR="003719CD" w:rsidRDefault="003719CD" w:rsidP="00197D8A">
      <w:pPr>
        <w:pStyle w:val="Note"/>
      </w:pPr>
      <w:r>
        <w:t>(a)</w:t>
      </w:r>
      <w:r>
        <w:tab/>
        <w:t xml:space="preserve">This format is aligned to </w:t>
      </w:r>
      <w:r w:rsidR="0007383E">
        <w:t>AASB </w:t>
      </w:r>
      <w:r>
        <w:t xml:space="preserve">1049 </w:t>
      </w:r>
      <w:r w:rsidRPr="00436E90">
        <w:rPr>
          <w:i w:val="0"/>
          <w:iCs/>
        </w:rPr>
        <w:t>Whole of Government and General Government Sector Financial Reporting</w:t>
      </w:r>
      <w:r w:rsidR="00D65B36" w:rsidRPr="00040B1D">
        <w:t>.</w:t>
      </w:r>
    </w:p>
    <w:p w14:paraId="1E5E7FFA" w14:textId="77777777" w:rsidR="003719CD" w:rsidRDefault="003719CD" w:rsidP="00197D8A">
      <w:pPr>
        <w:pStyle w:val="Note"/>
      </w:pPr>
      <w:r>
        <w:t>(b)</w:t>
      </w:r>
      <w:r>
        <w:tab/>
        <w:t>‘Net gain/(loss) on non-financial assets’ includes unrealised and realised gains/(losses) from revaluations, impairments, and disposals of all physical assets and intangible assets, except when these are taken through the asset revaluation surplus.</w:t>
      </w:r>
    </w:p>
    <w:p w14:paraId="2A604C40" w14:textId="610D7249" w:rsidR="003719CD" w:rsidRDefault="003719CD" w:rsidP="00197D8A">
      <w:pPr>
        <w:pStyle w:val="Note"/>
      </w:pPr>
      <w:r>
        <w:t>(c)</w:t>
      </w:r>
      <w:r>
        <w:tab/>
        <w:t xml:space="preserve">‘Net gain/(loss) on financial instruments’ includes unrealised and realised gains/(losses) from </w:t>
      </w:r>
      <w:r w:rsidR="00C075B6">
        <w:rPr>
          <w:lang w:eastAsia="zh-CN"/>
        </w:rPr>
        <w:t>revaluations</w:t>
      </w:r>
      <w:r>
        <w:t>, impairments and reversals of impairment, and gains/(losses) from disposals of financial instruments, except when these are taken through the financial assets at fair value through other comprehensive income.</w:t>
      </w:r>
    </w:p>
    <w:p w14:paraId="0DDB90F9" w14:textId="77777777" w:rsidR="006C4F60" w:rsidRDefault="006C4F60">
      <w:pPr>
        <w:keepLines w:val="0"/>
        <w:rPr>
          <w:i/>
          <w:sz w:val="14"/>
        </w:rPr>
      </w:pPr>
      <w:r>
        <w:br w:type="page"/>
      </w:r>
    </w:p>
    <w:p w14:paraId="7DE9BB3E" w14:textId="38A7B38C" w:rsidR="003719CD" w:rsidRDefault="003719CD" w:rsidP="002A0038">
      <w:pPr>
        <w:pStyle w:val="GuidanceBlockHeading"/>
        <w:spacing w:before="0"/>
      </w:pPr>
      <w:bookmarkStart w:id="146" w:name="_Toc179811130"/>
      <w:bookmarkStart w:id="147" w:name="_Toc179816830"/>
      <w:bookmarkStart w:id="148" w:name="_Toc179822530"/>
      <w:r>
        <w:t>Guidance – Comprehensive operating statement</w:t>
      </w:r>
      <w:bookmarkEnd w:id="146"/>
      <w:bookmarkEnd w:id="147"/>
      <w:bookmarkEnd w:id="148"/>
      <w:r w:rsidR="00CF0272">
        <w:t xml:space="preserve"> [REVISED]</w:t>
      </w:r>
    </w:p>
    <w:p w14:paraId="0AC13695" w14:textId="77777777" w:rsidR="003719CD" w:rsidRDefault="003719CD" w:rsidP="002A0038">
      <w:pPr>
        <w:pStyle w:val="GuidanceHeading"/>
        <w:spacing w:before="120" w:after="0"/>
      </w:pPr>
      <w:r>
        <w:t>Presentation of comprehensive operating statement</w:t>
      </w:r>
    </w:p>
    <w:p w14:paraId="52BC6901" w14:textId="51C0EEE6" w:rsidR="00D95A48" w:rsidRDefault="00D95A48" w:rsidP="00D95A48">
      <w:pPr>
        <w:pStyle w:val="ListParagraph"/>
        <w:spacing w:before="120"/>
        <w:rPr>
          <w:rStyle w:val="Guidance"/>
        </w:rPr>
      </w:pPr>
      <w:r w:rsidRPr="00D95A48">
        <w:rPr>
          <w:rStyle w:val="Guidance"/>
        </w:rPr>
        <w:t>The whole of government statement of comprehensive income and GGS statement of comprehensive</w:t>
      </w:r>
      <w:r w:rsidR="009062F3">
        <w:rPr>
          <w:rStyle w:val="Guidance"/>
        </w:rPr>
        <w:t xml:space="preserve"> </w:t>
      </w:r>
      <w:r w:rsidRPr="00D95A48">
        <w:rPr>
          <w:rStyle w:val="Guidance"/>
        </w:rPr>
        <w:t>income, and notes thereto, shall be presented in a manner consistent with the requirements for a single</w:t>
      </w:r>
      <w:r w:rsidR="009062F3">
        <w:rPr>
          <w:rStyle w:val="Guidance"/>
        </w:rPr>
        <w:t xml:space="preserve"> </w:t>
      </w:r>
      <w:r w:rsidRPr="00D95A48">
        <w:rPr>
          <w:rStyle w:val="Guidance"/>
        </w:rPr>
        <w:t>statement of comprehensive income</w:t>
      </w:r>
      <w:r w:rsidR="00F8634C">
        <w:rPr>
          <w:rStyle w:val="Guidance"/>
        </w:rPr>
        <w:t xml:space="preserve"> </w:t>
      </w:r>
      <w:r w:rsidR="00B6083A">
        <w:rPr>
          <w:rStyle w:val="Guidance"/>
        </w:rPr>
        <w:t xml:space="preserve">in </w:t>
      </w:r>
      <w:r w:rsidR="0007383E">
        <w:rPr>
          <w:rStyle w:val="Guidance"/>
        </w:rPr>
        <w:t>AASB </w:t>
      </w:r>
      <w:r w:rsidR="00B6083A">
        <w:rPr>
          <w:rStyle w:val="Guidance"/>
        </w:rPr>
        <w:t xml:space="preserve">101. </w:t>
      </w:r>
      <w:r w:rsidR="007C32DA" w:rsidRPr="000F5E0B">
        <w:rPr>
          <w:rStyle w:val="Reference"/>
        </w:rPr>
        <w:t>[</w:t>
      </w:r>
      <w:r w:rsidR="0007383E">
        <w:rPr>
          <w:rStyle w:val="Reference"/>
        </w:rPr>
        <w:t>AASB </w:t>
      </w:r>
      <w:r w:rsidR="007C32DA" w:rsidRPr="000F5E0B">
        <w:rPr>
          <w:rStyle w:val="Reference"/>
        </w:rPr>
        <w:t>10</w:t>
      </w:r>
      <w:r w:rsidR="007C32DA">
        <w:rPr>
          <w:rStyle w:val="Reference"/>
          <w:lang w:eastAsia="zh-CN"/>
        </w:rPr>
        <w:t>49</w:t>
      </w:r>
      <w:r w:rsidR="007C32DA">
        <w:rPr>
          <w:rStyle w:val="Reference"/>
          <w:rFonts w:hint="eastAsia"/>
          <w:lang w:eastAsia="zh-CN"/>
        </w:rPr>
        <w:t>.</w:t>
      </w:r>
      <w:r w:rsidR="007C32DA">
        <w:rPr>
          <w:rStyle w:val="Reference"/>
          <w:lang w:eastAsia="zh-CN"/>
        </w:rPr>
        <w:t>29</w:t>
      </w:r>
      <w:r w:rsidR="007C32DA" w:rsidRPr="000F5E0B">
        <w:rPr>
          <w:rStyle w:val="Reference"/>
        </w:rPr>
        <w:t>]</w:t>
      </w:r>
      <w:r w:rsidR="007C32DA">
        <w:rPr>
          <w:rStyle w:val="Reference"/>
        </w:rPr>
        <w:t xml:space="preserve"> </w:t>
      </w:r>
      <w:r w:rsidR="007C32DA">
        <w:rPr>
          <w:rStyle w:val="Guidance"/>
        </w:rPr>
        <w:t xml:space="preserve">For consistency and consolidation purposes, </w:t>
      </w:r>
      <w:r w:rsidR="005656CE">
        <w:rPr>
          <w:rStyle w:val="Guidance"/>
        </w:rPr>
        <w:t xml:space="preserve">all </w:t>
      </w:r>
      <w:r w:rsidR="0007383E">
        <w:rPr>
          <w:rStyle w:val="Guidance"/>
        </w:rPr>
        <w:t>Tier </w:t>
      </w:r>
      <w:r w:rsidR="005656CE">
        <w:rPr>
          <w:rStyle w:val="Guidance"/>
        </w:rPr>
        <w:t xml:space="preserve">2 entities are required to </w:t>
      </w:r>
      <w:r w:rsidR="003C5087">
        <w:rPr>
          <w:rStyle w:val="Guidance"/>
        </w:rPr>
        <w:t xml:space="preserve">adopt the singe-statement approach. </w:t>
      </w:r>
    </w:p>
    <w:p w14:paraId="54CFCA02" w14:textId="7E72921F" w:rsidR="0010789C" w:rsidRPr="002A0038" w:rsidRDefault="0010789C" w:rsidP="00126BC7">
      <w:pPr>
        <w:pStyle w:val="ListParagraph"/>
        <w:spacing w:before="120"/>
        <w:rPr>
          <w:rStyle w:val="Guidance"/>
        </w:rPr>
      </w:pPr>
      <w:r w:rsidRPr="002A0038">
        <w:rPr>
          <w:rStyle w:val="Guidance"/>
        </w:rPr>
        <w:t>Under the single-statement approach, the statement of profit or loss and other comprehensive income shall</w:t>
      </w:r>
      <w:r>
        <w:rPr>
          <w:rStyle w:val="Guidance"/>
        </w:rPr>
        <w:t xml:space="preserve"> </w:t>
      </w:r>
      <w:r w:rsidRPr="002A0038">
        <w:rPr>
          <w:rStyle w:val="Guidance"/>
        </w:rPr>
        <w:t>include all items of income and expense recognised in a period unless other Australian Accounting Standards</w:t>
      </w:r>
      <w:r>
        <w:rPr>
          <w:rStyle w:val="Guidance"/>
        </w:rPr>
        <w:t xml:space="preserve"> </w:t>
      </w:r>
      <w:r w:rsidRPr="002A0038">
        <w:rPr>
          <w:rStyle w:val="Guidance"/>
        </w:rPr>
        <w:t>require otherwise. Australian Accounting Standards provide different treatment for the following</w:t>
      </w:r>
      <w:r>
        <w:rPr>
          <w:rStyle w:val="Guidance"/>
        </w:rPr>
        <w:t xml:space="preserve"> </w:t>
      </w:r>
      <w:r w:rsidRPr="002A0038">
        <w:rPr>
          <w:rStyle w:val="Guidance"/>
        </w:rPr>
        <w:t>circumstances:</w:t>
      </w:r>
    </w:p>
    <w:p w14:paraId="20C162DD" w14:textId="6CA83643" w:rsidR="0010789C" w:rsidRPr="002A0038" w:rsidRDefault="00F63ECF" w:rsidP="002A0038">
      <w:pPr>
        <w:pStyle w:val="ListParagraph"/>
        <w:numPr>
          <w:ilvl w:val="0"/>
          <w:numId w:val="302"/>
        </w:numPr>
        <w:spacing w:before="40" w:line="264" w:lineRule="auto"/>
        <w:ind w:left="357" w:hanging="357"/>
        <w:rPr>
          <w:rStyle w:val="Guidance"/>
        </w:rPr>
      </w:pPr>
      <w:r>
        <w:rPr>
          <w:rStyle w:val="Guidance"/>
        </w:rPr>
        <w:t>T</w:t>
      </w:r>
      <w:r w:rsidR="0010789C" w:rsidRPr="002A0038">
        <w:rPr>
          <w:rStyle w:val="Guidance"/>
        </w:rPr>
        <w:t xml:space="preserve">he effects of corrections of errors and changes in accounting policies are presented as retrospective adjustments of prior periods instead of as part of profit or loss in the period in which they arise (see </w:t>
      </w:r>
      <w:r w:rsidR="0007383E">
        <w:rPr>
          <w:rStyle w:val="Guidance"/>
        </w:rPr>
        <w:t>AASB </w:t>
      </w:r>
      <w:r w:rsidR="0010789C" w:rsidRPr="002A0038">
        <w:rPr>
          <w:rStyle w:val="Guidance"/>
        </w:rPr>
        <w:t>108</w:t>
      </w:r>
      <w:r w:rsidR="00041BCC">
        <w:rPr>
          <w:rStyle w:val="Guidance"/>
        </w:rPr>
        <w:t xml:space="preserve"> </w:t>
      </w:r>
      <w:r w:rsidR="00613967">
        <w:rPr>
          <w:rStyle w:val="Guidance"/>
          <w:i/>
          <w:iCs/>
        </w:rPr>
        <w:t>Accounting Policies, Changes in Accounting Estimates and Errors</w:t>
      </w:r>
      <w:r w:rsidR="0010789C" w:rsidRPr="002A0038">
        <w:rPr>
          <w:rStyle w:val="Guidance"/>
        </w:rPr>
        <w:t>); and</w:t>
      </w:r>
    </w:p>
    <w:p w14:paraId="21780172" w14:textId="2731D6BA" w:rsidR="0010789C" w:rsidRPr="002A0038" w:rsidRDefault="00F63ECF" w:rsidP="002A0038">
      <w:pPr>
        <w:pStyle w:val="ListParagraph"/>
        <w:numPr>
          <w:ilvl w:val="0"/>
          <w:numId w:val="302"/>
        </w:numPr>
        <w:spacing w:before="40" w:line="264" w:lineRule="auto"/>
        <w:ind w:left="357" w:hanging="357"/>
        <w:rPr>
          <w:rStyle w:val="Guidance"/>
        </w:rPr>
      </w:pPr>
      <w:r>
        <w:rPr>
          <w:rStyle w:val="Guidance"/>
        </w:rPr>
        <w:t>I</w:t>
      </w:r>
      <w:r w:rsidR="0010789C" w:rsidRPr="002A0038">
        <w:rPr>
          <w:rStyle w:val="Guidance"/>
        </w:rPr>
        <w:t>tems of other comprehensive income are recognised as part of total comprehensive income, outside of profit or loss, when they arise.</w:t>
      </w:r>
      <w:r w:rsidR="0010789C">
        <w:rPr>
          <w:rStyle w:val="Guidance"/>
        </w:rPr>
        <w:t xml:space="preserve"> </w:t>
      </w:r>
      <w:r w:rsidR="0010789C" w:rsidRPr="000F5E0B">
        <w:rPr>
          <w:rStyle w:val="Reference"/>
        </w:rPr>
        <w:t>[</w:t>
      </w:r>
      <w:r w:rsidR="0007383E">
        <w:rPr>
          <w:rStyle w:val="Reference"/>
        </w:rPr>
        <w:t>AASB </w:t>
      </w:r>
      <w:r w:rsidR="0010789C" w:rsidRPr="000F5E0B">
        <w:rPr>
          <w:rStyle w:val="Reference"/>
        </w:rPr>
        <w:t>10</w:t>
      </w:r>
      <w:r w:rsidR="0010789C">
        <w:rPr>
          <w:rStyle w:val="Reference"/>
          <w:rFonts w:hint="eastAsia"/>
          <w:lang w:eastAsia="zh-CN"/>
        </w:rPr>
        <w:t>60.5</w:t>
      </w:r>
      <w:r w:rsidR="0010789C">
        <w:rPr>
          <w:rStyle w:val="Reference"/>
          <w:lang w:eastAsia="zh-CN"/>
        </w:rPr>
        <w:t>1</w:t>
      </w:r>
      <w:r w:rsidR="0010789C" w:rsidRPr="000F5E0B">
        <w:rPr>
          <w:rStyle w:val="Reference"/>
        </w:rPr>
        <w:t>]</w:t>
      </w:r>
    </w:p>
    <w:p w14:paraId="0F475235" w14:textId="4986782D" w:rsidR="00880B69" w:rsidRPr="002A0038" w:rsidRDefault="00880B69" w:rsidP="00126BC7">
      <w:pPr>
        <w:pStyle w:val="ListParagraph"/>
        <w:spacing w:before="120"/>
        <w:rPr>
          <w:rStyle w:val="Guidance"/>
        </w:rPr>
      </w:pPr>
      <w:r w:rsidRPr="002A0038">
        <w:rPr>
          <w:rStyle w:val="Guidance"/>
        </w:rPr>
        <w:t>As a minimum, an entity shall include, in the statement(s) presenting profit or loss and other comprehensive income, line items that present the following amounts for the period:</w:t>
      </w:r>
    </w:p>
    <w:p w14:paraId="3E296F54" w14:textId="2497C2C7" w:rsidR="00880B69" w:rsidRPr="002A0038" w:rsidRDefault="00F63ECF" w:rsidP="002A0038">
      <w:pPr>
        <w:pStyle w:val="ListParagraph"/>
        <w:numPr>
          <w:ilvl w:val="0"/>
          <w:numId w:val="303"/>
        </w:numPr>
        <w:spacing w:before="40" w:line="264" w:lineRule="auto"/>
        <w:ind w:left="357" w:hanging="357"/>
        <w:rPr>
          <w:rStyle w:val="Guidance"/>
        </w:rPr>
      </w:pPr>
      <w:r>
        <w:rPr>
          <w:rStyle w:val="Guidance"/>
        </w:rPr>
        <w:t>R</w:t>
      </w:r>
      <w:r w:rsidR="00880B69" w:rsidRPr="002A0038">
        <w:rPr>
          <w:rStyle w:val="Guidance"/>
        </w:rPr>
        <w:t>evenue</w:t>
      </w:r>
    </w:p>
    <w:p w14:paraId="56A0CC92" w14:textId="4F56DC3C" w:rsidR="00880B69" w:rsidRPr="002A0038" w:rsidRDefault="00F63ECF" w:rsidP="002A0038">
      <w:pPr>
        <w:pStyle w:val="ListParagraph"/>
        <w:numPr>
          <w:ilvl w:val="0"/>
          <w:numId w:val="303"/>
        </w:numPr>
        <w:spacing w:before="40" w:line="264" w:lineRule="auto"/>
        <w:ind w:left="357" w:hanging="357"/>
        <w:rPr>
          <w:rStyle w:val="Guidance"/>
        </w:rPr>
      </w:pPr>
      <w:r>
        <w:rPr>
          <w:rStyle w:val="Guidance"/>
        </w:rPr>
        <w:t>F</w:t>
      </w:r>
      <w:r w:rsidR="00880B69" w:rsidRPr="002A0038">
        <w:rPr>
          <w:rStyle w:val="Guidance"/>
        </w:rPr>
        <w:t>inance costs</w:t>
      </w:r>
    </w:p>
    <w:p w14:paraId="0E01FEE1" w14:textId="3BA894EB" w:rsidR="00880B69" w:rsidRPr="002A0038" w:rsidRDefault="00F63ECF" w:rsidP="002A0038">
      <w:pPr>
        <w:pStyle w:val="ListParagraph"/>
        <w:numPr>
          <w:ilvl w:val="0"/>
          <w:numId w:val="303"/>
        </w:numPr>
        <w:spacing w:before="40" w:line="264" w:lineRule="auto"/>
        <w:ind w:left="357" w:hanging="357"/>
        <w:rPr>
          <w:rStyle w:val="Guidance"/>
        </w:rPr>
      </w:pPr>
      <w:r>
        <w:rPr>
          <w:rStyle w:val="Guidance"/>
        </w:rPr>
        <w:t>S</w:t>
      </w:r>
      <w:r w:rsidR="00880B69" w:rsidRPr="002A0038">
        <w:rPr>
          <w:rStyle w:val="Guidance"/>
        </w:rPr>
        <w:t>hare of the profit or loss of investments in associates and joint ventures accounted for using the</w:t>
      </w:r>
      <w:r w:rsidR="00880B69">
        <w:rPr>
          <w:rStyle w:val="Guidance"/>
        </w:rPr>
        <w:t xml:space="preserve"> </w:t>
      </w:r>
      <w:r w:rsidR="00880B69" w:rsidRPr="002A0038">
        <w:rPr>
          <w:rStyle w:val="Guidance"/>
        </w:rPr>
        <w:t xml:space="preserve">equity method (see </w:t>
      </w:r>
      <w:r w:rsidR="0007383E">
        <w:rPr>
          <w:rStyle w:val="Guidance"/>
        </w:rPr>
        <w:t>AASB </w:t>
      </w:r>
      <w:r w:rsidR="00880B69" w:rsidRPr="002A0038">
        <w:rPr>
          <w:rStyle w:val="Guidance"/>
        </w:rPr>
        <w:t xml:space="preserve">128 </w:t>
      </w:r>
      <w:r w:rsidR="00880B69" w:rsidRPr="002A0038">
        <w:rPr>
          <w:rStyle w:val="Guidance"/>
          <w:i/>
        </w:rPr>
        <w:t>Investments in Associates and Joint Ventures</w:t>
      </w:r>
      <w:r w:rsidR="00880B69" w:rsidRPr="002A0038">
        <w:rPr>
          <w:rStyle w:val="Guidance"/>
        </w:rPr>
        <w:t>)</w:t>
      </w:r>
    </w:p>
    <w:p w14:paraId="7D9BAD50" w14:textId="7C93AD14" w:rsidR="00880B69" w:rsidRPr="002A0038" w:rsidRDefault="00F63ECF" w:rsidP="002A0038">
      <w:pPr>
        <w:pStyle w:val="ListParagraph"/>
        <w:numPr>
          <w:ilvl w:val="0"/>
          <w:numId w:val="303"/>
        </w:numPr>
        <w:spacing w:before="40" w:line="264" w:lineRule="auto"/>
        <w:ind w:left="357" w:hanging="357"/>
        <w:rPr>
          <w:rStyle w:val="Guidance"/>
        </w:rPr>
      </w:pPr>
      <w:r>
        <w:rPr>
          <w:rStyle w:val="Guidance"/>
        </w:rPr>
        <w:t>T</w:t>
      </w:r>
      <w:r w:rsidR="00880B69" w:rsidRPr="002A0038">
        <w:rPr>
          <w:rStyle w:val="Guidance"/>
        </w:rPr>
        <w:t>ax expense</w:t>
      </w:r>
    </w:p>
    <w:p w14:paraId="5854E360" w14:textId="4863E50E" w:rsidR="00880B69" w:rsidRPr="002A0038" w:rsidRDefault="00F63ECF" w:rsidP="002A0038">
      <w:pPr>
        <w:pStyle w:val="ListParagraph"/>
        <w:numPr>
          <w:ilvl w:val="0"/>
          <w:numId w:val="303"/>
        </w:numPr>
        <w:spacing w:before="40" w:line="264" w:lineRule="auto"/>
        <w:ind w:left="357" w:hanging="357"/>
        <w:rPr>
          <w:rStyle w:val="Guidance"/>
        </w:rPr>
      </w:pPr>
      <w:r>
        <w:rPr>
          <w:rStyle w:val="Guidance"/>
        </w:rPr>
        <w:t>A</w:t>
      </w:r>
      <w:r w:rsidR="00880B69" w:rsidRPr="002A0038">
        <w:rPr>
          <w:rStyle w:val="Guidance"/>
        </w:rPr>
        <w:t xml:space="preserve"> single amount for the total of:</w:t>
      </w:r>
    </w:p>
    <w:p w14:paraId="65851EDF" w14:textId="5480C382" w:rsidR="00880B69" w:rsidRPr="002A0038" w:rsidRDefault="00880B69" w:rsidP="002A0038">
      <w:pPr>
        <w:pStyle w:val="ListParagraph"/>
        <w:numPr>
          <w:ilvl w:val="0"/>
          <w:numId w:val="304"/>
        </w:numPr>
        <w:spacing w:before="40" w:line="264" w:lineRule="auto"/>
        <w:ind w:left="697" w:hanging="357"/>
        <w:rPr>
          <w:rStyle w:val="Guidance"/>
        </w:rPr>
      </w:pPr>
      <w:r w:rsidRPr="002A0038">
        <w:rPr>
          <w:rStyle w:val="Guidance"/>
        </w:rPr>
        <w:t xml:space="preserve">discontinued operations (see </w:t>
      </w:r>
      <w:r w:rsidR="0007383E">
        <w:rPr>
          <w:rStyle w:val="Guidance"/>
        </w:rPr>
        <w:t>AASB </w:t>
      </w:r>
      <w:r w:rsidRPr="002A0038">
        <w:rPr>
          <w:rStyle w:val="Guidance"/>
        </w:rPr>
        <w:t xml:space="preserve">5 </w:t>
      </w:r>
      <w:r w:rsidRPr="002A0038">
        <w:rPr>
          <w:rStyle w:val="Guidance"/>
          <w:i/>
        </w:rPr>
        <w:t>Non-current Assets Held for Sale and Discontinued Operations</w:t>
      </w:r>
      <w:r w:rsidRPr="002A0038">
        <w:rPr>
          <w:rStyle w:val="Guidance"/>
        </w:rPr>
        <w:t>)</w:t>
      </w:r>
    </w:p>
    <w:p w14:paraId="6F8315BA" w14:textId="281D7E1E" w:rsidR="00880B69" w:rsidRPr="002A0038" w:rsidRDefault="00880B69" w:rsidP="002A0038">
      <w:pPr>
        <w:pStyle w:val="ListParagraph"/>
        <w:numPr>
          <w:ilvl w:val="0"/>
          <w:numId w:val="304"/>
        </w:numPr>
        <w:spacing w:before="40" w:line="264" w:lineRule="auto"/>
        <w:ind w:left="697" w:hanging="357"/>
        <w:rPr>
          <w:rStyle w:val="Guidance"/>
        </w:rPr>
      </w:pPr>
      <w:r w:rsidRPr="002A0038">
        <w:rPr>
          <w:rStyle w:val="Guidance"/>
        </w:rPr>
        <w:t>the post-tax gain or loss attributable to an impairment, or reversal of an impairment, of</w:t>
      </w:r>
      <w:r>
        <w:rPr>
          <w:rStyle w:val="Guidance"/>
        </w:rPr>
        <w:t xml:space="preserve"> </w:t>
      </w:r>
      <w:r w:rsidRPr="002A0038">
        <w:rPr>
          <w:rStyle w:val="Guidance"/>
        </w:rPr>
        <w:t xml:space="preserve">the assets in the discontinued operation (see </w:t>
      </w:r>
      <w:r w:rsidR="0007383E">
        <w:rPr>
          <w:rStyle w:val="Guidance"/>
        </w:rPr>
        <w:t>AASB </w:t>
      </w:r>
      <w:r w:rsidRPr="002A0038">
        <w:rPr>
          <w:rStyle w:val="Guidance"/>
        </w:rPr>
        <w:t xml:space="preserve">5), both at the time and </w:t>
      </w:r>
      <w:proofErr w:type="gramStart"/>
      <w:r w:rsidRPr="002A0038">
        <w:rPr>
          <w:rStyle w:val="Guidance"/>
        </w:rPr>
        <w:t>subsequent</w:t>
      </w:r>
      <w:r>
        <w:rPr>
          <w:rStyle w:val="Guidance"/>
        </w:rPr>
        <w:t xml:space="preserve"> </w:t>
      </w:r>
      <w:r w:rsidRPr="002A0038">
        <w:rPr>
          <w:rStyle w:val="Guidance"/>
        </w:rPr>
        <w:t>to</w:t>
      </w:r>
      <w:proofErr w:type="gramEnd"/>
      <w:r w:rsidRPr="002A0038">
        <w:rPr>
          <w:rStyle w:val="Guidance"/>
        </w:rPr>
        <w:t xml:space="preserve"> being classified as a discontinued operation and to the disposal of the net assets</w:t>
      </w:r>
      <w:r>
        <w:rPr>
          <w:rStyle w:val="Guidance"/>
        </w:rPr>
        <w:t xml:space="preserve"> </w:t>
      </w:r>
      <w:r w:rsidRPr="002A0038">
        <w:rPr>
          <w:rStyle w:val="Guidance"/>
        </w:rPr>
        <w:t>constituting the discontinued operation</w:t>
      </w:r>
      <w:r w:rsidR="00C02C1F">
        <w:rPr>
          <w:rStyle w:val="Guidance"/>
        </w:rPr>
        <w:t>.</w:t>
      </w:r>
    </w:p>
    <w:p w14:paraId="5A320A60" w14:textId="5BE655A0" w:rsidR="00AD0BFC" w:rsidRDefault="00F63ECF" w:rsidP="002A0038">
      <w:pPr>
        <w:pStyle w:val="ListParagraph"/>
        <w:numPr>
          <w:ilvl w:val="0"/>
          <w:numId w:val="303"/>
        </w:numPr>
        <w:spacing w:before="40" w:line="264" w:lineRule="auto"/>
        <w:ind w:left="357" w:hanging="357"/>
        <w:rPr>
          <w:rStyle w:val="Guidance"/>
        </w:rPr>
      </w:pPr>
      <w:r>
        <w:rPr>
          <w:rStyle w:val="Guidance"/>
        </w:rPr>
        <w:t>P</w:t>
      </w:r>
      <w:r w:rsidR="00880B69" w:rsidRPr="002A0038">
        <w:rPr>
          <w:rStyle w:val="Guidance"/>
        </w:rPr>
        <w:t>rofit or loss (if an entity has no items of other comprehensive income, this line need not be</w:t>
      </w:r>
      <w:r w:rsidR="00880B69">
        <w:rPr>
          <w:rStyle w:val="Guidance"/>
        </w:rPr>
        <w:t xml:space="preserve"> </w:t>
      </w:r>
      <w:r w:rsidR="00880B69" w:rsidRPr="002A0038">
        <w:rPr>
          <w:rStyle w:val="Guidance"/>
        </w:rPr>
        <w:t>presented)</w:t>
      </w:r>
    </w:p>
    <w:p w14:paraId="4EDF3F79" w14:textId="4807E91D" w:rsidR="00C94608" w:rsidRPr="002A0038" w:rsidRDefault="00F63ECF" w:rsidP="002A0038">
      <w:pPr>
        <w:pStyle w:val="ListParagraph"/>
        <w:numPr>
          <w:ilvl w:val="0"/>
          <w:numId w:val="303"/>
        </w:numPr>
        <w:spacing w:before="40" w:line="264" w:lineRule="auto"/>
        <w:ind w:left="357" w:hanging="357"/>
        <w:rPr>
          <w:color w:val="4472C4" w:themeColor="accent1"/>
        </w:rPr>
      </w:pPr>
      <w:r>
        <w:rPr>
          <w:color w:val="4472C4" w:themeColor="accent1"/>
        </w:rPr>
        <w:t>E</w:t>
      </w:r>
      <w:r w:rsidR="00C94608" w:rsidRPr="00C94608">
        <w:rPr>
          <w:color w:val="4472C4" w:themeColor="accent1"/>
        </w:rPr>
        <w:t xml:space="preserve">ach item of other comprehensive income (see </w:t>
      </w:r>
      <w:r w:rsidR="0007383E">
        <w:rPr>
          <w:color w:val="4472C4" w:themeColor="accent1"/>
        </w:rPr>
        <w:t>AASB </w:t>
      </w:r>
      <w:r w:rsidR="006C4F60">
        <w:rPr>
          <w:color w:val="4472C4" w:themeColor="accent1"/>
        </w:rPr>
        <w:t>1060.</w:t>
      </w:r>
      <w:r w:rsidR="00C94608" w:rsidRPr="00C94608">
        <w:rPr>
          <w:color w:val="4472C4" w:themeColor="accent1"/>
        </w:rPr>
        <w:t>51(b)) classified by nature (excluding</w:t>
      </w:r>
      <w:r w:rsidR="00C94608">
        <w:rPr>
          <w:color w:val="4472C4" w:themeColor="accent1"/>
        </w:rPr>
        <w:t xml:space="preserve"> </w:t>
      </w:r>
      <w:r w:rsidR="00C94608" w:rsidRPr="002A0038">
        <w:rPr>
          <w:color w:val="4472C4" w:themeColor="accent1"/>
        </w:rPr>
        <w:t>amounts in (h)). Such items shall be grouped into those that, in accordance with other Australian</w:t>
      </w:r>
      <w:r w:rsidR="00C94608">
        <w:rPr>
          <w:color w:val="4472C4" w:themeColor="accent1"/>
        </w:rPr>
        <w:t xml:space="preserve"> </w:t>
      </w:r>
      <w:r w:rsidR="00C94608" w:rsidRPr="002A0038">
        <w:rPr>
          <w:color w:val="4472C4" w:themeColor="accent1"/>
        </w:rPr>
        <w:t>Accounting Standards:</w:t>
      </w:r>
    </w:p>
    <w:p w14:paraId="6592DF18" w14:textId="58103BC0" w:rsidR="00C94608" w:rsidRPr="00C94608" w:rsidRDefault="00C94608" w:rsidP="002A0038">
      <w:pPr>
        <w:pStyle w:val="ListParagraph"/>
        <w:numPr>
          <w:ilvl w:val="0"/>
          <w:numId w:val="306"/>
        </w:numPr>
        <w:spacing w:before="40" w:line="264" w:lineRule="auto"/>
        <w:ind w:left="697" w:hanging="357"/>
        <w:rPr>
          <w:color w:val="4472C4" w:themeColor="accent1"/>
        </w:rPr>
      </w:pPr>
      <w:r w:rsidRPr="00C94608">
        <w:rPr>
          <w:color w:val="4472C4" w:themeColor="accent1"/>
        </w:rPr>
        <w:t>will not be reclassified subsequently to profit or loss</w:t>
      </w:r>
    </w:p>
    <w:p w14:paraId="4E858943" w14:textId="01D108D3" w:rsidR="00C94608" w:rsidRPr="00C94608" w:rsidRDefault="00C94608" w:rsidP="002A0038">
      <w:pPr>
        <w:pStyle w:val="ListParagraph"/>
        <w:numPr>
          <w:ilvl w:val="0"/>
          <w:numId w:val="306"/>
        </w:numPr>
        <w:spacing w:before="40" w:line="264" w:lineRule="auto"/>
        <w:ind w:left="697" w:hanging="357"/>
        <w:rPr>
          <w:color w:val="4472C4" w:themeColor="accent1"/>
        </w:rPr>
      </w:pPr>
      <w:r w:rsidRPr="00C94608">
        <w:rPr>
          <w:color w:val="4472C4" w:themeColor="accent1"/>
        </w:rPr>
        <w:t>will be reclassified subsequently to profit or loss when specific conditions are met</w:t>
      </w:r>
      <w:r w:rsidR="00C02C1F">
        <w:rPr>
          <w:color w:val="4472C4" w:themeColor="accent1"/>
        </w:rPr>
        <w:t>.</w:t>
      </w:r>
    </w:p>
    <w:p w14:paraId="4F703665" w14:textId="4B4C327C" w:rsidR="00C94608" w:rsidRPr="002A0038" w:rsidRDefault="00A024F0" w:rsidP="002A0038">
      <w:pPr>
        <w:pStyle w:val="ListParagraph"/>
        <w:numPr>
          <w:ilvl w:val="0"/>
          <w:numId w:val="303"/>
        </w:numPr>
        <w:spacing w:before="40" w:line="264" w:lineRule="auto"/>
        <w:ind w:left="357" w:hanging="357"/>
        <w:rPr>
          <w:color w:val="4472C4" w:themeColor="accent1"/>
        </w:rPr>
      </w:pPr>
      <w:r>
        <w:rPr>
          <w:color w:val="4472C4" w:themeColor="accent1"/>
        </w:rPr>
        <w:t>S</w:t>
      </w:r>
      <w:r w:rsidR="00C94608" w:rsidRPr="00C94608">
        <w:rPr>
          <w:color w:val="4472C4" w:themeColor="accent1"/>
        </w:rPr>
        <w:t>hare of the other comprehensive income of associates and joint ventures accounted for by the</w:t>
      </w:r>
      <w:r w:rsidR="00C94608">
        <w:rPr>
          <w:color w:val="4472C4" w:themeColor="accent1"/>
        </w:rPr>
        <w:t xml:space="preserve"> </w:t>
      </w:r>
      <w:r w:rsidR="00C94608" w:rsidRPr="002A0038">
        <w:rPr>
          <w:color w:val="4472C4" w:themeColor="accent1"/>
        </w:rPr>
        <w:t>equity method; and</w:t>
      </w:r>
    </w:p>
    <w:p w14:paraId="4C5C2F1C" w14:textId="3771ED09" w:rsidR="00C94608" w:rsidRPr="002A0038" w:rsidRDefault="00A024F0" w:rsidP="002A0038">
      <w:pPr>
        <w:pStyle w:val="ListParagraph"/>
        <w:numPr>
          <w:ilvl w:val="0"/>
          <w:numId w:val="303"/>
        </w:numPr>
        <w:spacing w:before="40" w:line="264" w:lineRule="auto"/>
        <w:ind w:left="357" w:hanging="357"/>
        <w:rPr>
          <w:rStyle w:val="Reference"/>
          <w:color w:val="4472C4" w:themeColor="accent1"/>
          <w:sz w:val="18"/>
        </w:rPr>
      </w:pPr>
      <w:r>
        <w:rPr>
          <w:color w:val="4472C4" w:themeColor="accent1"/>
        </w:rPr>
        <w:t>T</w:t>
      </w:r>
      <w:r w:rsidR="00C94608" w:rsidRPr="00C94608">
        <w:rPr>
          <w:color w:val="4472C4" w:themeColor="accent1"/>
        </w:rPr>
        <w:t>otal comprehensive income (if an entity has no items of other comprehensive income, it may use</w:t>
      </w:r>
      <w:r w:rsidR="00C94608">
        <w:rPr>
          <w:color w:val="4472C4" w:themeColor="accent1"/>
        </w:rPr>
        <w:t xml:space="preserve"> </w:t>
      </w:r>
      <w:r w:rsidR="00C94608" w:rsidRPr="002A0038">
        <w:rPr>
          <w:color w:val="4472C4" w:themeColor="accent1"/>
        </w:rPr>
        <w:t>another term for this line such as profit or loss).</w:t>
      </w:r>
      <w:r w:rsidR="00FF478C">
        <w:rPr>
          <w:color w:val="4472C4" w:themeColor="accent1"/>
        </w:rPr>
        <w:t xml:space="preserve"> </w:t>
      </w:r>
      <w:r w:rsidR="00FF478C" w:rsidRPr="000F5E0B">
        <w:rPr>
          <w:rStyle w:val="Reference"/>
        </w:rPr>
        <w:t>[</w:t>
      </w:r>
      <w:r w:rsidR="0007383E">
        <w:rPr>
          <w:rStyle w:val="Reference"/>
        </w:rPr>
        <w:t>AASB </w:t>
      </w:r>
      <w:r w:rsidR="00FF478C" w:rsidRPr="000F5E0B">
        <w:rPr>
          <w:rStyle w:val="Reference"/>
        </w:rPr>
        <w:t>10</w:t>
      </w:r>
      <w:r w:rsidR="00FF478C">
        <w:rPr>
          <w:rStyle w:val="Reference"/>
          <w:rFonts w:hint="eastAsia"/>
          <w:lang w:eastAsia="zh-CN"/>
        </w:rPr>
        <w:t>60.5</w:t>
      </w:r>
      <w:r w:rsidR="00FF478C">
        <w:rPr>
          <w:rStyle w:val="Reference"/>
          <w:lang w:eastAsia="zh-CN"/>
        </w:rPr>
        <w:t>2</w:t>
      </w:r>
      <w:r w:rsidR="00FF478C" w:rsidRPr="000F5E0B">
        <w:rPr>
          <w:rStyle w:val="Reference"/>
        </w:rPr>
        <w:t>]</w:t>
      </w:r>
    </w:p>
    <w:p w14:paraId="0BAD2FF5" w14:textId="7F40C1FB" w:rsidR="001552AB" w:rsidRDefault="001552AB" w:rsidP="002A0038">
      <w:pPr>
        <w:spacing w:before="120" w:after="0"/>
        <w:rPr>
          <w:rStyle w:val="Reference"/>
        </w:rPr>
      </w:pPr>
      <w:r w:rsidRPr="001552AB">
        <w:rPr>
          <w:color w:val="4472C4" w:themeColor="accent1"/>
        </w:rPr>
        <w:t>An entity shall not present or describe any items of income and expense as ‘extraordinary items’ in the</w:t>
      </w:r>
      <w:r>
        <w:rPr>
          <w:color w:val="4472C4" w:themeColor="accent1"/>
        </w:rPr>
        <w:t xml:space="preserve"> </w:t>
      </w:r>
      <w:r w:rsidRPr="001552AB">
        <w:rPr>
          <w:color w:val="4472C4" w:themeColor="accent1"/>
        </w:rPr>
        <w:t>statement(s) or in the notes.</w:t>
      </w:r>
      <w:r>
        <w:rPr>
          <w:color w:val="4472C4" w:themeColor="accent1"/>
        </w:rPr>
        <w:t xml:space="preserve"> </w:t>
      </w:r>
      <w:r w:rsidRPr="000F5E0B">
        <w:rPr>
          <w:rStyle w:val="Reference"/>
        </w:rPr>
        <w:t>[</w:t>
      </w:r>
      <w:r w:rsidR="0007383E">
        <w:rPr>
          <w:rStyle w:val="Reference"/>
        </w:rPr>
        <w:t>AASB </w:t>
      </w:r>
      <w:r w:rsidRPr="000F5E0B">
        <w:rPr>
          <w:rStyle w:val="Reference"/>
        </w:rPr>
        <w:t>10</w:t>
      </w:r>
      <w:r>
        <w:rPr>
          <w:rStyle w:val="Reference"/>
          <w:rFonts w:hint="eastAsia"/>
          <w:lang w:eastAsia="zh-CN"/>
        </w:rPr>
        <w:t>60.5</w:t>
      </w:r>
      <w:r>
        <w:rPr>
          <w:rStyle w:val="Reference"/>
          <w:lang w:eastAsia="zh-CN"/>
        </w:rPr>
        <w:t>7</w:t>
      </w:r>
      <w:r w:rsidRPr="000F5E0B">
        <w:rPr>
          <w:rStyle w:val="Reference"/>
        </w:rPr>
        <w:t>]</w:t>
      </w:r>
    </w:p>
    <w:p w14:paraId="054453A1" w14:textId="35354BD6" w:rsidR="00350FDE" w:rsidRPr="002A0038" w:rsidRDefault="00F84A05" w:rsidP="00B62CC2">
      <w:pPr>
        <w:spacing w:before="120" w:after="0"/>
        <w:rPr>
          <w:rStyle w:val="Guidance"/>
        </w:rPr>
      </w:pPr>
      <w:r>
        <w:rPr>
          <w:rStyle w:val="Guidance"/>
        </w:rPr>
        <w:t xml:space="preserve">For consistency and consolidation purposes, </w:t>
      </w:r>
      <w:r w:rsidR="0007383E">
        <w:rPr>
          <w:rStyle w:val="Guidance"/>
        </w:rPr>
        <w:t>Tier </w:t>
      </w:r>
      <w:r w:rsidR="00AA26B8">
        <w:rPr>
          <w:rStyle w:val="Guidance"/>
        </w:rPr>
        <w:t>2 Model Report adopt</w:t>
      </w:r>
      <w:r>
        <w:rPr>
          <w:rStyle w:val="Guidance"/>
        </w:rPr>
        <w:t>s</w:t>
      </w:r>
      <w:r w:rsidR="00AA26B8">
        <w:rPr>
          <w:rStyle w:val="Guidance"/>
        </w:rPr>
        <w:t xml:space="preserve"> the </w:t>
      </w:r>
      <w:r w:rsidR="00EF7A24">
        <w:rPr>
          <w:rStyle w:val="Guidance"/>
        </w:rPr>
        <w:t>presentation requirements</w:t>
      </w:r>
      <w:r w:rsidR="00937FAE">
        <w:rPr>
          <w:rStyle w:val="Guidance"/>
        </w:rPr>
        <w:t xml:space="preserve"> in </w:t>
      </w:r>
      <w:r w:rsidR="0007383E">
        <w:rPr>
          <w:rStyle w:val="Guidance"/>
        </w:rPr>
        <w:t>AASB </w:t>
      </w:r>
      <w:r w:rsidR="00937FAE">
        <w:rPr>
          <w:rStyle w:val="Guidance"/>
        </w:rPr>
        <w:t>1049</w:t>
      </w:r>
      <w:r>
        <w:rPr>
          <w:rStyle w:val="Guidance"/>
        </w:rPr>
        <w:t xml:space="preserve">. </w:t>
      </w:r>
      <w:r w:rsidR="00B62CC2" w:rsidRPr="00B62CC2">
        <w:rPr>
          <w:rStyle w:val="Guidance"/>
        </w:rPr>
        <w:t>For the purpose of presentation, all amounts relating to an item included in the determination of</w:t>
      </w:r>
      <w:r w:rsidR="00B62CC2">
        <w:rPr>
          <w:rStyle w:val="Guidance"/>
        </w:rPr>
        <w:t xml:space="preserve"> </w:t>
      </w:r>
      <w:r w:rsidR="00B62CC2" w:rsidRPr="00B62CC2">
        <w:rPr>
          <w:rStyle w:val="Guidance"/>
        </w:rPr>
        <w:t>comprehensive result (total change in net worth [before transactions with owners in their capacity as</w:t>
      </w:r>
      <w:r w:rsidR="00B62CC2">
        <w:rPr>
          <w:rStyle w:val="Guidance"/>
        </w:rPr>
        <w:t xml:space="preserve"> </w:t>
      </w:r>
      <w:r w:rsidR="00B62CC2" w:rsidRPr="00B62CC2">
        <w:rPr>
          <w:rStyle w:val="Guidance"/>
        </w:rPr>
        <w:t>owners]) shall be classified as transactions or other economic flows in a manner that is consistent with</w:t>
      </w:r>
      <w:r w:rsidR="00B62CC2">
        <w:rPr>
          <w:rStyle w:val="Guidance"/>
        </w:rPr>
        <w:t xml:space="preserve"> </w:t>
      </w:r>
      <w:r w:rsidR="00B62CC2" w:rsidRPr="00B62CC2">
        <w:rPr>
          <w:rStyle w:val="Guidance"/>
        </w:rPr>
        <w:t>applying the principles in the ABS GFS Manual from the GAAP perspective.</w:t>
      </w:r>
      <w:r w:rsidR="00B62CC2">
        <w:rPr>
          <w:rStyle w:val="Guidance"/>
        </w:rPr>
        <w:t xml:space="preserve"> </w:t>
      </w:r>
      <w:r w:rsidR="00B62CC2" w:rsidRPr="000F5E0B">
        <w:rPr>
          <w:rStyle w:val="Reference"/>
        </w:rPr>
        <w:t>[</w:t>
      </w:r>
      <w:r w:rsidR="0007383E">
        <w:rPr>
          <w:rStyle w:val="Reference"/>
        </w:rPr>
        <w:t>AASB </w:t>
      </w:r>
      <w:r w:rsidR="00B62CC2" w:rsidRPr="000F5E0B">
        <w:rPr>
          <w:rStyle w:val="Reference"/>
        </w:rPr>
        <w:t>10</w:t>
      </w:r>
      <w:r w:rsidR="00B62CC2">
        <w:rPr>
          <w:rStyle w:val="Reference"/>
          <w:lang w:eastAsia="zh-CN"/>
        </w:rPr>
        <w:t>49</w:t>
      </w:r>
      <w:r w:rsidR="00B62CC2">
        <w:rPr>
          <w:rStyle w:val="Reference"/>
          <w:rFonts w:hint="eastAsia"/>
          <w:lang w:eastAsia="zh-CN"/>
        </w:rPr>
        <w:t>.</w:t>
      </w:r>
      <w:r w:rsidR="007157D0">
        <w:rPr>
          <w:rStyle w:val="Reference"/>
          <w:lang w:eastAsia="zh-CN"/>
        </w:rPr>
        <w:t>30</w:t>
      </w:r>
      <w:r w:rsidR="00B62CC2" w:rsidRPr="000F5E0B">
        <w:rPr>
          <w:rStyle w:val="Reference"/>
        </w:rPr>
        <w:t>]</w:t>
      </w:r>
    </w:p>
    <w:p w14:paraId="673F38C0" w14:textId="383A3710" w:rsidR="00314D07" w:rsidRPr="00314D07" w:rsidRDefault="003719CD" w:rsidP="002A0038">
      <w:pPr>
        <w:pStyle w:val="ListParagraph"/>
        <w:spacing w:before="120" w:line="264" w:lineRule="auto"/>
      </w:pPr>
      <w:r w:rsidRPr="000F5E0B">
        <w:rPr>
          <w:rStyle w:val="Guidance"/>
          <w:b/>
          <w:bCs/>
        </w:rPr>
        <w:t>Classification of expenses by nature or function</w:t>
      </w:r>
      <w:r w:rsidRPr="00197D8A">
        <w:rPr>
          <w:rStyle w:val="Guidance"/>
        </w:rPr>
        <w:t xml:space="preserve">: </w:t>
      </w:r>
      <w:r w:rsidR="00043382" w:rsidRPr="00043382">
        <w:rPr>
          <w:rStyle w:val="Guidance"/>
        </w:rPr>
        <w:t>An entity shall present in the statement of profit or loss and other comprehensive income or in the notes an</w:t>
      </w:r>
      <w:r w:rsidR="00043382">
        <w:rPr>
          <w:rStyle w:val="Guidance"/>
          <w:rFonts w:hint="eastAsia"/>
          <w:lang w:eastAsia="zh-CN"/>
        </w:rPr>
        <w:t xml:space="preserve"> </w:t>
      </w:r>
      <w:r w:rsidR="00043382" w:rsidRPr="00043382">
        <w:rPr>
          <w:rStyle w:val="Guidance"/>
        </w:rPr>
        <w:t>analysis of expenses using a classification based on either the nature of expenses or the function of expenses</w:t>
      </w:r>
      <w:r w:rsidR="00043382">
        <w:rPr>
          <w:rStyle w:val="Guidance"/>
          <w:rFonts w:hint="eastAsia"/>
          <w:lang w:eastAsia="zh-CN"/>
        </w:rPr>
        <w:t xml:space="preserve"> </w:t>
      </w:r>
      <w:r w:rsidR="00043382" w:rsidRPr="00043382">
        <w:rPr>
          <w:rStyle w:val="Guidance"/>
        </w:rPr>
        <w:t>within the entity, whichever provides information that is reliable and more relevant.</w:t>
      </w:r>
      <w:r w:rsidR="00807AB0">
        <w:rPr>
          <w:rFonts w:hint="eastAsia"/>
          <w:lang w:eastAsia="zh-CN"/>
        </w:rPr>
        <w:t xml:space="preserve"> </w:t>
      </w:r>
      <w:r w:rsidR="0097767D" w:rsidRPr="000F5E0B">
        <w:rPr>
          <w:rStyle w:val="Reference"/>
        </w:rPr>
        <w:t>[</w:t>
      </w:r>
      <w:r w:rsidR="0007383E">
        <w:rPr>
          <w:rStyle w:val="Reference"/>
        </w:rPr>
        <w:t>AASB </w:t>
      </w:r>
      <w:r w:rsidR="0097767D" w:rsidRPr="000F5E0B">
        <w:rPr>
          <w:rStyle w:val="Reference"/>
        </w:rPr>
        <w:t>10</w:t>
      </w:r>
      <w:r w:rsidR="0097767D">
        <w:rPr>
          <w:rStyle w:val="Reference"/>
          <w:rFonts w:hint="eastAsia"/>
          <w:lang w:eastAsia="zh-CN"/>
        </w:rPr>
        <w:t>60.58</w:t>
      </w:r>
      <w:r w:rsidR="0097767D" w:rsidRPr="000F5E0B">
        <w:rPr>
          <w:rStyle w:val="Reference"/>
        </w:rPr>
        <w:t>]</w:t>
      </w:r>
      <w:r w:rsidR="0097767D">
        <w:rPr>
          <w:rStyle w:val="Reference"/>
        </w:rPr>
        <w:t xml:space="preserve"> </w:t>
      </w:r>
      <w:r w:rsidR="00A10D47" w:rsidRPr="002A0038">
        <w:rPr>
          <w:color w:val="4472C4" w:themeColor="accent1"/>
          <w:lang w:eastAsia="zh-CN"/>
        </w:rPr>
        <w:t xml:space="preserve">The </w:t>
      </w:r>
      <w:r w:rsidR="0007383E">
        <w:rPr>
          <w:color w:val="4472C4" w:themeColor="accent1"/>
          <w:lang w:eastAsia="zh-CN"/>
        </w:rPr>
        <w:t>Tier </w:t>
      </w:r>
      <w:r w:rsidR="00A10D47" w:rsidRPr="002A0038">
        <w:rPr>
          <w:color w:val="4472C4" w:themeColor="accent1"/>
          <w:lang w:eastAsia="zh-CN"/>
        </w:rPr>
        <w:t xml:space="preserve">2 Model applies </w:t>
      </w:r>
      <w:r w:rsidR="001D1397" w:rsidRPr="001D1397">
        <w:rPr>
          <w:color w:val="4472C4" w:themeColor="accent1"/>
          <w:lang w:eastAsia="zh-CN"/>
        </w:rPr>
        <w:t>analysis</w:t>
      </w:r>
      <w:r w:rsidR="00A10D47" w:rsidRPr="002A0038">
        <w:rPr>
          <w:color w:val="4472C4" w:themeColor="accent1"/>
          <w:lang w:eastAsia="zh-CN"/>
        </w:rPr>
        <w:t xml:space="preserve"> by nature of expense</w:t>
      </w:r>
      <w:r w:rsidR="00F76D3D" w:rsidRPr="002A0038">
        <w:rPr>
          <w:color w:val="4472C4" w:themeColor="accent1"/>
          <w:lang w:eastAsia="zh-CN"/>
        </w:rPr>
        <w:t>.</w:t>
      </w:r>
      <w:r w:rsidR="00807AB0" w:rsidRPr="002A0038">
        <w:rPr>
          <w:color w:val="4472C4" w:themeColor="accent1"/>
          <w:lang w:eastAsia="zh-CN"/>
        </w:rPr>
        <w:t xml:space="preserve"> </w:t>
      </w:r>
      <w:r w:rsidR="00025680" w:rsidRPr="002A0038">
        <w:rPr>
          <w:color w:val="4472C4" w:themeColor="accent1"/>
        </w:rPr>
        <w:t xml:space="preserve">Under this method of classification, expenses are aggregated in the statement(s) of profit and loss and other comprehensive income according to their nature (for example, depreciation, employee benefits and </w:t>
      </w:r>
      <w:r w:rsidR="004E6CF4">
        <w:rPr>
          <w:color w:val="4472C4" w:themeColor="accent1"/>
        </w:rPr>
        <w:t>interest</w:t>
      </w:r>
      <w:r w:rsidR="00025680" w:rsidRPr="002A0038">
        <w:rPr>
          <w:color w:val="4472C4" w:themeColor="accent1"/>
        </w:rPr>
        <w:t xml:space="preserve"> costs) and are not reallocated among various functions within the entity.</w:t>
      </w:r>
      <w:r w:rsidR="004E6CF4" w:rsidRPr="004E6CF4">
        <w:rPr>
          <w:color w:val="4472C4" w:themeColor="accent1"/>
        </w:rPr>
        <w:t xml:space="preserve"> </w:t>
      </w:r>
    </w:p>
    <w:p w14:paraId="33036045" w14:textId="782103A4" w:rsidR="003719CD" w:rsidRPr="00197D8A" w:rsidRDefault="003719CD" w:rsidP="002A0038">
      <w:pPr>
        <w:spacing w:before="120" w:after="0"/>
        <w:rPr>
          <w:rStyle w:val="Guidance"/>
        </w:rPr>
      </w:pPr>
      <w:r w:rsidRPr="000F5E0B">
        <w:rPr>
          <w:rStyle w:val="Guidance"/>
          <w:b/>
          <w:bCs/>
        </w:rPr>
        <w:t>Additional disclosures</w:t>
      </w:r>
      <w:r w:rsidRPr="00197D8A">
        <w:rPr>
          <w:rStyle w:val="Guidance"/>
        </w:rPr>
        <w:t xml:space="preserve">: </w:t>
      </w:r>
      <w:r w:rsidR="004F55A0" w:rsidRPr="004F55A0">
        <w:rPr>
          <w:color w:val="4472C4" w:themeColor="accent1"/>
        </w:rPr>
        <w:t>An entity shall present additional line items, headings and subtotals in the statement(s) presenting profit or</w:t>
      </w:r>
      <w:r w:rsidR="004F55A0">
        <w:rPr>
          <w:rFonts w:hint="eastAsia"/>
          <w:color w:val="4472C4" w:themeColor="accent1"/>
          <w:lang w:eastAsia="zh-CN"/>
        </w:rPr>
        <w:t xml:space="preserve"> </w:t>
      </w:r>
      <w:r w:rsidR="004F55A0" w:rsidRPr="004F55A0">
        <w:rPr>
          <w:color w:val="4472C4" w:themeColor="accent1"/>
        </w:rPr>
        <w:t>loss and other comprehensive income (and in the statement of profit or loss, if presented), when such</w:t>
      </w:r>
      <w:r w:rsidR="004F55A0">
        <w:rPr>
          <w:rFonts w:hint="eastAsia"/>
          <w:color w:val="4472C4" w:themeColor="accent1"/>
          <w:lang w:eastAsia="zh-CN"/>
        </w:rPr>
        <w:t xml:space="preserve"> </w:t>
      </w:r>
      <w:r w:rsidR="004F55A0" w:rsidRPr="004F55A0">
        <w:rPr>
          <w:color w:val="4472C4" w:themeColor="accent1"/>
        </w:rPr>
        <w:t>presentation is relevant to an understanding of the entity’s financial performance.</w:t>
      </w:r>
      <w:r w:rsidR="004F55A0">
        <w:rPr>
          <w:rFonts w:hint="eastAsia"/>
          <w:color w:val="4472C4" w:themeColor="accent1"/>
          <w:lang w:eastAsia="zh-CN"/>
        </w:rPr>
        <w:t xml:space="preserve"> </w:t>
      </w:r>
      <w:r w:rsidR="004F55A0" w:rsidRPr="000F5E0B">
        <w:rPr>
          <w:rStyle w:val="Reference"/>
        </w:rPr>
        <w:t>[</w:t>
      </w:r>
      <w:r w:rsidR="0007383E">
        <w:rPr>
          <w:rStyle w:val="Reference"/>
        </w:rPr>
        <w:t>AASB </w:t>
      </w:r>
      <w:r w:rsidR="004F55A0" w:rsidRPr="000F5E0B">
        <w:rPr>
          <w:rStyle w:val="Reference"/>
        </w:rPr>
        <w:t>10</w:t>
      </w:r>
      <w:r w:rsidR="004F55A0">
        <w:rPr>
          <w:rStyle w:val="Reference"/>
          <w:rFonts w:hint="eastAsia"/>
          <w:lang w:eastAsia="zh-CN"/>
        </w:rPr>
        <w:t>60.56</w:t>
      </w:r>
      <w:r w:rsidR="004F55A0" w:rsidRPr="000F5E0B">
        <w:rPr>
          <w:rStyle w:val="Reference"/>
        </w:rPr>
        <w:t>]</w:t>
      </w:r>
    </w:p>
    <w:p w14:paraId="0AFE171A" w14:textId="10FF3C91" w:rsidR="003719CD" w:rsidRDefault="003719CD" w:rsidP="002A0038">
      <w:pPr>
        <w:pStyle w:val="GuidanceHeading"/>
        <w:spacing w:before="120" w:after="0"/>
        <w:rPr>
          <w:rStyle w:val="Guidance"/>
          <w:b w:val="0"/>
          <w:sz w:val="18"/>
        </w:rPr>
      </w:pPr>
      <w:r w:rsidRPr="00F43257">
        <w:rPr>
          <w:rStyle w:val="Guidance"/>
          <w:b w:val="0"/>
          <w:sz w:val="18"/>
        </w:rPr>
        <w:t>Where there are no amounts applicable to any individual line item, that line item should be omitted from the comprehensive operating statement, balance sheet, cash flow statement and statement of changes in equity.</w:t>
      </w:r>
    </w:p>
    <w:p w14:paraId="453A8A19" w14:textId="78D9D701" w:rsidR="00EB26B6" w:rsidRDefault="003A56D6" w:rsidP="00E60980">
      <w:pPr>
        <w:spacing w:after="0" w:line="240" w:lineRule="auto"/>
        <w:rPr>
          <w:rStyle w:val="Reference"/>
        </w:rPr>
      </w:pPr>
      <w:r w:rsidRPr="00E10CD7">
        <w:rPr>
          <w:b/>
          <w:bCs/>
          <w:color w:val="4472C4" w:themeColor="accent1"/>
        </w:rPr>
        <w:t>Materiality and aggregation:</w:t>
      </w:r>
      <w:r>
        <w:rPr>
          <w:color w:val="4472C4" w:themeColor="accent1"/>
        </w:rPr>
        <w:t xml:space="preserve"> </w:t>
      </w:r>
      <w:r w:rsidR="0043320A" w:rsidRPr="00E10CD7">
        <w:rPr>
          <w:rStyle w:val="Guidance"/>
        </w:rPr>
        <w:t>An entity shall present separately each material class of similar items. An entity shall present separately items of a dissimilar nature or function unless they are immaterial.</w:t>
      </w:r>
      <w:r w:rsidR="0043320A">
        <w:rPr>
          <w:rStyle w:val="Guidance"/>
        </w:rPr>
        <w:t xml:space="preserve"> </w:t>
      </w:r>
      <w:r w:rsidR="0043320A" w:rsidRPr="000F5E0B">
        <w:rPr>
          <w:rStyle w:val="Reference"/>
        </w:rPr>
        <w:t>[</w:t>
      </w:r>
      <w:r w:rsidR="0007383E">
        <w:rPr>
          <w:rStyle w:val="Reference"/>
        </w:rPr>
        <w:t>AASB </w:t>
      </w:r>
      <w:r w:rsidR="0043320A" w:rsidRPr="000F5E0B">
        <w:rPr>
          <w:rStyle w:val="Reference"/>
        </w:rPr>
        <w:t>10</w:t>
      </w:r>
      <w:r w:rsidR="0043320A">
        <w:rPr>
          <w:rStyle w:val="Reference"/>
          <w:rFonts w:hint="eastAsia"/>
          <w:lang w:eastAsia="zh-CN"/>
        </w:rPr>
        <w:t>60.</w:t>
      </w:r>
      <w:r w:rsidR="0043320A">
        <w:rPr>
          <w:rStyle w:val="Reference"/>
          <w:lang w:eastAsia="zh-CN"/>
        </w:rPr>
        <w:t>21</w:t>
      </w:r>
      <w:r w:rsidR="0043320A" w:rsidRPr="000F5E0B">
        <w:rPr>
          <w:rStyle w:val="Reference"/>
        </w:rPr>
        <w:t>]</w:t>
      </w:r>
    </w:p>
    <w:p w14:paraId="4515F592" w14:textId="77777777" w:rsidR="00E60980" w:rsidRDefault="00E60980" w:rsidP="00E10CD7">
      <w:pPr>
        <w:pStyle w:val="GuidanceEnd"/>
        <w:spacing w:before="40"/>
        <w:mirrorIndents/>
      </w:pPr>
    </w:p>
    <w:p w14:paraId="0EF67CAC" w14:textId="5E6811B2" w:rsidR="003719CD" w:rsidRDefault="003719CD" w:rsidP="000F5E0B">
      <w:pPr>
        <w:pStyle w:val="Heading2"/>
        <w:pageBreakBefore/>
      </w:pPr>
      <w:bookmarkStart w:id="149" w:name="BalanceSheet"/>
      <w:bookmarkStart w:id="150" w:name="_Toc179811131"/>
      <w:bookmarkStart w:id="151" w:name="_Toc179816831"/>
      <w:bookmarkStart w:id="152" w:name="_Toc179822531"/>
      <w:bookmarkStart w:id="153" w:name="_Toc179828222"/>
      <w:bookmarkStart w:id="154" w:name="_Toc179859752"/>
      <w:bookmarkStart w:id="155" w:name="_Toc179867094"/>
      <w:bookmarkStart w:id="156" w:name="_Toc179871487"/>
      <w:bookmarkStart w:id="157" w:name="_Toc179875880"/>
      <w:bookmarkStart w:id="158" w:name="_Toc179880299"/>
      <w:bookmarkStart w:id="159" w:name="_Ref190331238"/>
      <w:bookmarkEnd w:id="149"/>
      <w:r>
        <w:t xml:space="preserve">Balance sheet </w:t>
      </w:r>
      <w:r w:rsidRPr="00AF446B">
        <w:rPr>
          <w:vertAlign w:val="superscript"/>
        </w:rPr>
        <w:t>(a)</w:t>
      </w:r>
      <w:bookmarkEnd w:id="150"/>
      <w:bookmarkEnd w:id="151"/>
      <w:bookmarkEnd w:id="152"/>
      <w:bookmarkEnd w:id="153"/>
      <w:bookmarkEnd w:id="154"/>
      <w:bookmarkEnd w:id="155"/>
      <w:bookmarkEnd w:id="156"/>
      <w:bookmarkEnd w:id="157"/>
      <w:bookmarkEnd w:id="158"/>
      <w:bookmarkEnd w:id="159"/>
    </w:p>
    <w:p w14:paraId="21198B0F" w14:textId="5B846476" w:rsidR="003719CD" w:rsidRDefault="003719CD" w:rsidP="007D536F">
      <w:pPr>
        <w:pStyle w:val="Caption"/>
      </w:pPr>
      <w:r>
        <w:t xml:space="preserve">As </w:t>
      </w:r>
      <w:proofErr w:type="gramStart"/>
      <w:r>
        <w:t>at</w:t>
      </w:r>
      <w:proofErr w:type="gramEnd"/>
      <w:r>
        <w:t xml:space="preserve"> 30 June </w:t>
      </w:r>
      <w:fldSimple w:instr="DOCPROPERTY  YearCurrent \* MERGEFORMAT">
        <w:r w:rsidR="0054242A">
          <w:t>20X2</w:t>
        </w:r>
      </w:fldSimple>
      <w:r>
        <w:tab/>
        <w:t>($ thousand)</w:t>
      </w:r>
    </w:p>
    <w:tbl>
      <w:tblPr>
        <w:tblStyle w:val="DTFTable"/>
        <w:tblW w:w="9639" w:type="dxa"/>
        <w:tblLayout w:type="fixed"/>
        <w:tblLook w:val="0620" w:firstRow="1" w:lastRow="0" w:firstColumn="0" w:lastColumn="0" w:noHBand="1" w:noVBand="1"/>
      </w:tblPr>
      <w:tblGrid>
        <w:gridCol w:w="1349"/>
        <w:gridCol w:w="3896"/>
        <w:gridCol w:w="2126"/>
        <w:gridCol w:w="851"/>
        <w:gridCol w:w="1417"/>
      </w:tblGrid>
      <w:tr w:rsidR="00D25AA3" w14:paraId="3D249C87" w14:textId="77777777" w:rsidTr="00D25AA3">
        <w:trPr>
          <w:cnfStyle w:val="100000000000" w:firstRow="1" w:lastRow="0" w:firstColumn="0" w:lastColumn="0" w:oddVBand="0" w:evenVBand="0" w:oddHBand="0" w:evenHBand="0" w:firstRowFirstColumn="0" w:firstRowLastColumn="0" w:lastRowFirstColumn="0" w:lastRowLastColumn="0"/>
          <w:tblHeader/>
        </w:trPr>
        <w:tc>
          <w:tcPr>
            <w:tcW w:w="1349" w:type="dxa"/>
            <w:tcBorders>
              <w:top w:val="nil"/>
              <w:bottom w:val="nil"/>
              <w:right w:val="nil"/>
            </w:tcBorders>
            <w:shd w:val="clear" w:color="auto" w:fill="FFFFFF" w:themeFill="background1"/>
          </w:tcPr>
          <w:p w14:paraId="590ECF0A" w14:textId="77777777" w:rsidR="00182709" w:rsidRDefault="0044097C">
            <w:pPr>
              <w:keepNext/>
              <w:jc w:val="left"/>
            </w:pPr>
            <w:r>
              <w:rPr>
                <w:color w:val="4472C4"/>
                <w:sz w:val="13"/>
              </w:rPr>
              <w:t>Source reference</w:t>
            </w:r>
          </w:p>
        </w:tc>
        <w:tc>
          <w:tcPr>
            <w:tcW w:w="3896" w:type="dxa"/>
            <w:tcBorders>
              <w:top w:val="nil"/>
              <w:left w:val="nil"/>
              <w:bottom w:val="nil"/>
              <w:right w:val="nil"/>
            </w:tcBorders>
          </w:tcPr>
          <w:p w14:paraId="2829922B" w14:textId="5F4DF85B" w:rsidR="00182709" w:rsidRPr="00FF6C01" w:rsidRDefault="00B31E6C">
            <w:pPr>
              <w:keepNext/>
              <w:jc w:val="left"/>
              <w:rPr>
                <w:lang w:eastAsia="zh-CN"/>
              </w:rPr>
            </w:pPr>
            <w:r>
              <w:rPr>
                <w:rFonts w:hint="eastAsia"/>
                <w:lang w:eastAsia="zh-CN"/>
              </w:rPr>
              <w:t xml:space="preserve"> </w:t>
            </w:r>
          </w:p>
        </w:tc>
        <w:tc>
          <w:tcPr>
            <w:tcW w:w="2126" w:type="dxa"/>
            <w:tcBorders>
              <w:top w:val="nil"/>
              <w:left w:val="nil"/>
              <w:bottom w:val="nil"/>
              <w:right w:val="nil"/>
            </w:tcBorders>
          </w:tcPr>
          <w:p w14:paraId="5DD945CC" w14:textId="77777777" w:rsidR="00182709" w:rsidRPr="00FF6C01" w:rsidRDefault="0044097C">
            <w:pPr>
              <w:keepNext/>
              <w:jc w:val="center"/>
            </w:pPr>
            <w:r w:rsidRPr="00FF6C01">
              <w:t>Notes</w:t>
            </w:r>
          </w:p>
        </w:tc>
        <w:tc>
          <w:tcPr>
            <w:tcW w:w="851" w:type="dxa"/>
            <w:tcBorders>
              <w:top w:val="nil"/>
              <w:left w:val="nil"/>
              <w:bottom w:val="nil"/>
              <w:right w:val="nil"/>
            </w:tcBorders>
          </w:tcPr>
          <w:p w14:paraId="73579C91" w14:textId="77777777" w:rsidR="00182709" w:rsidRPr="00FF6C01" w:rsidRDefault="0044097C">
            <w:pPr>
              <w:keepNext/>
            </w:pPr>
            <w:r w:rsidRPr="00FF6C01">
              <w:t>20X2</w:t>
            </w:r>
          </w:p>
        </w:tc>
        <w:tc>
          <w:tcPr>
            <w:tcW w:w="1417" w:type="dxa"/>
            <w:tcBorders>
              <w:top w:val="nil"/>
              <w:left w:val="nil"/>
              <w:bottom w:val="nil"/>
              <w:right w:val="nil"/>
            </w:tcBorders>
          </w:tcPr>
          <w:p w14:paraId="031E5161" w14:textId="77777777" w:rsidR="00182709" w:rsidRPr="00FF6C01" w:rsidRDefault="0044097C">
            <w:pPr>
              <w:keepNext/>
            </w:pPr>
            <w:r w:rsidRPr="00FF6C01">
              <w:t>20X1</w:t>
            </w:r>
          </w:p>
        </w:tc>
      </w:tr>
      <w:tr w:rsidR="00182709" w14:paraId="42FD7637" w14:textId="77777777" w:rsidTr="00830EDB">
        <w:tc>
          <w:tcPr>
            <w:tcW w:w="1349" w:type="dxa"/>
          </w:tcPr>
          <w:p w14:paraId="4095B9EB" w14:textId="3117A8C1" w:rsidR="00182709" w:rsidRDefault="00182709">
            <w:pPr>
              <w:jc w:val="left"/>
            </w:pPr>
          </w:p>
        </w:tc>
        <w:tc>
          <w:tcPr>
            <w:tcW w:w="3896" w:type="dxa"/>
            <w:tcBorders>
              <w:top w:val="nil"/>
            </w:tcBorders>
          </w:tcPr>
          <w:p w14:paraId="4B0A32CE" w14:textId="77777777" w:rsidR="00182709" w:rsidRDefault="0044097C">
            <w:pPr>
              <w:jc w:val="left"/>
            </w:pPr>
            <w:r>
              <w:rPr>
                <w:b/>
              </w:rPr>
              <w:t>Assets</w:t>
            </w:r>
          </w:p>
        </w:tc>
        <w:tc>
          <w:tcPr>
            <w:tcW w:w="2126" w:type="dxa"/>
            <w:tcBorders>
              <w:top w:val="nil"/>
            </w:tcBorders>
          </w:tcPr>
          <w:p w14:paraId="614BD8C8" w14:textId="77777777" w:rsidR="00182709" w:rsidRDefault="00182709">
            <w:pPr>
              <w:jc w:val="center"/>
            </w:pPr>
          </w:p>
        </w:tc>
        <w:tc>
          <w:tcPr>
            <w:tcW w:w="851" w:type="dxa"/>
            <w:tcBorders>
              <w:top w:val="nil"/>
            </w:tcBorders>
          </w:tcPr>
          <w:p w14:paraId="35C86997" w14:textId="77777777" w:rsidR="00182709" w:rsidRDefault="00182709"/>
        </w:tc>
        <w:tc>
          <w:tcPr>
            <w:tcW w:w="1417" w:type="dxa"/>
            <w:tcBorders>
              <w:top w:val="nil"/>
            </w:tcBorders>
          </w:tcPr>
          <w:p w14:paraId="6487A623" w14:textId="77777777" w:rsidR="00182709" w:rsidRDefault="00182709"/>
        </w:tc>
      </w:tr>
      <w:tr w:rsidR="00182709" w14:paraId="059C4C66" w14:textId="77777777" w:rsidTr="00830EDB">
        <w:tc>
          <w:tcPr>
            <w:tcW w:w="1349" w:type="dxa"/>
          </w:tcPr>
          <w:p w14:paraId="10ACEC3B" w14:textId="02328AC6" w:rsidR="00182709" w:rsidRDefault="0007383E">
            <w:pPr>
              <w:jc w:val="left"/>
            </w:pPr>
            <w:r>
              <w:rPr>
                <w:color w:val="4472C4"/>
                <w:sz w:val="13"/>
              </w:rPr>
              <w:t>AASB </w:t>
            </w:r>
            <w:r w:rsidR="0044097C">
              <w:rPr>
                <w:color w:val="4472C4"/>
                <w:sz w:val="13"/>
              </w:rPr>
              <w:t>10</w:t>
            </w:r>
            <w:r w:rsidR="00F45D46">
              <w:rPr>
                <w:rFonts w:hint="eastAsia"/>
                <w:color w:val="4472C4"/>
                <w:sz w:val="13"/>
                <w:lang w:eastAsia="zh-CN"/>
              </w:rPr>
              <w:t>60</w:t>
            </w:r>
            <w:r w:rsidR="0044097C">
              <w:rPr>
                <w:color w:val="4472C4"/>
                <w:sz w:val="13"/>
              </w:rPr>
              <w:t>.</w:t>
            </w:r>
            <w:r w:rsidR="00F45D46">
              <w:rPr>
                <w:rFonts w:hint="eastAsia"/>
                <w:color w:val="4472C4"/>
                <w:sz w:val="13"/>
                <w:lang w:eastAsia="zh-CN"/>
              </w:rPr>
              <w:t>42</w:t>
            </w:r>
          </w:p>
        </w:tc>
        <w:tc>
          <w:tcPr>
            <w:tcW w:w="3896" w:type="dxa"/>
          </w:tcPr>
          <w:p w14:paraId="54EF5B83" w14:textId="77777777" w:rsidR="00182709" w:rsidRDefault="0044097C">
            <w:pPr>
              <w:jc w:val="left"/>
            </w:pPr>
            <w:r>
              <w:rPr>
                <w:b/>
              </w:rPr>
              <w:t>Financial assets</w:t>
            </w:r>
          </w:p>
        </w:tc>
        <w:tc>
          <w:tcPr>
            <w:tcW w:w="2126" w:type="dxa"/>
          </w:tcPr>
          <w:p w14:paraId="7D96A6C0" w14:textId="77777777" w:rsidR="00182709" w:rsidRDefault="00182709">
            <w:pPr>
              <w:jc w:val="center"/>
            </w:pPr>
          </w:p>
        </w:tc>
        <w:tc>
          <w:tcPr>
            <w:tcW w:w="851" w:type="dxa"/>
          </w:tcPr>
          <w:p w14:paraId="1787FEC0" w14:textId="77777777" w:rsidR="00182709" w:rsidRDefault="00182709"/>
        </w:tc>
        <w:tc>
          <w:tcPr>
            <w:tcW w:w="1417" w:type="dxa"/>
          </w:tcPr>
          <w:p w14:paraId="5744CDE9" w14:textId="77777777" w:rsidR="00182709" w:rsidRDefault="00182709"/>
        </w:tc>
      </w:tr>
      <w:tr w:rsidR="00065EB5" w14:paraId="18972818" w14:textId="77777777" w:rsidTr="00E10CD7">
        <w:tc>
          <w:tcPr>
            <w:tcW w:w="1349" w:type="dxa"/>
          </w:tcPr>
          <w:p w14:paraId="582B95FB" w14:textId="44255934" w:rsidR="00065EB5" w:rsidRDefault="0007383E" w:rsidP="00065EB5">
            <w:pPr>
              <w:jc w:val="left"/>
            </w:pPr>
            <w:r>
              <w:rPr>
                <w:color w:val="4472C4"/>
                <w:sz w:val="13"/>
              </w:rPr>
              <w:t>AASB </w:t>
            </w:r>
            <w:r w:rsidR="00065EB5">
              <w:rPr>
                <w:color w:val="4472C4"/>
                <w:sz w:val="13"/>
              </w:rPr>
              <w:t>10</w:t>
            </w:r>
            <w:r w:rsidR="00065EB5">
              <w:rPr>
                <w:rFonts w:hint="eastAsia"/>
                <w:color w:val="4472C4"/>
                <w:sz w:val="13"/>
                <w:lang w:eastAsia="zh-CN"/>
              </w:rPr>
              <w:t>60</w:t>
            </w:r>
            <w:r w:rsidR="00065EB5">
              <w:rPr>
                <w:color w:val="4472C4"/>
                <w:sz w:val="13"/>
              </w:rPr>
              <w:t>.</w:t>
            </w:r>
            <w:r w:rsidR="00065EB5">
              <w:rPr>
                <w:rFonts w:hint="eastAsia"/>
                <w:color w:val="4472C4"/>
                <w:sz w:val="13"/>
                <w:lang w:eastAsia="zh-CN"/>
              </w:rPr>
              <w:t>35</w:t>
            </w:r>
            <w:r w:rsidR="00065EB5">
              <w:rPr>
                <w:color w:val="4472C4"/>
                <w:sz w:val="13"/>
              </w:rPr>
              <w:t xml:space="preserve"> (</w:t>
            </w:r>
            <w:r w:rsidR="00065EB5">
              <w:rPr>
                <w:rFonts w:hint="eastAsia"/>
                <w:color w:val="4472C4"/>
                <w:sz w:val="13"/>
                <w:lang w:eastAsia="zh-CN"/>
              </w:rPr>
              <w:t>a</w:t>
            </w:r>
            <w:r w:rsidR="00065EB5">
              <w:rPr>
                <w:color w:val="4472C4"/>
                <w:sz w:val="13"/>
              </w:rPr>
              <w:t>)</w:t>
            </w:r>
          </w:p>
        </w:tc>
        <w:tc>
          <w:tcPr>
            <w:tcW w:w="0" w:type="dxa"/>
            <w:tcBorders>
              <w:bottom w:val="nil"/>
            </w:tcBorders>
          </w:tcPr>
          <w:p w14:paraId="1B25AF7A" w14:textId="77777777" w:rsidR="00065EB5" w:rsidRDefault="00065EB5" w:rsidP="00065EB5">
            <w:pPr>
              <w:jc w:val="left"/>
            </w:pPr>
            <w:r>
              <w:t>Cash and deposits</w:t>
            </w:r>
          </w:p>
        </w:tc>
        <w:tc>
          <w:tcPr>
            <w:tcW w:w="0" w:type="dxa"/>
            <w:tcBorders>
              <w:bottom w:val="nil"/>
            </w:tcBorders>
            <w:vAlign w:val="center"/>
          </w:tcPr>
          <w:p w14:paraId="0FC9A760" w14:textId="01C6D46F" w:rsidR="00065EB5" w:rsidRDefault="00065EB5" w:rsidP="00065EB5">
            <w:pPr>
              <w:jc w:val="center"/>
            </w:pPr>
            <w:r>
              <w:rPr>
                <w:rFonts w:ascii="Arial" w:hAnsi="Arial" w:cs="Arial"/>
                <w:color w:val="000000"/>
                <w:szCs w:val="16"/>
              </w:rPr>
              <w:t>6.3</w:t>
            </w:r>
          </w:p>
        </w:tc>
        <w:tc>
          <w:tcPr>
            <w:tcW w:w="0" w:type="dxa"/>
            <w:tcBorders>
              <w:bottom w:val="nil"/>
            </w:tcBorders>
            <w:vAlign w:val="center"/>
          </w:tcPr>
          <w:p w14:paraId="4626CF5D" w14:textId="43D05F32" w:rsidR="00065EB5" w:rsidRDefault="00065EB5" w:rsidP="00065EB5">
            <w:r>
              <w:rPr>
                <w:rFonts w:ascii="Arial" w:hAnsi="Arial" w:cs="Arial"/>
                <w:color w:val="000000"/>
                <w:szCs w:val="16"/>
              </w:rPr>
              <w:t>71</w:t>
            </w:r>
            <w:r w:rsidR="003E3065">
              <w:rPr>
                <w:rFonts w:ascii="Arial" w:hAnsi="Arial" w:cs="Arial" w:hint="eastAsia"/>
                <w:color w:val="000000"/>
                <w:szCs w:val="16"/>
                <w:lang w:eastAsia="zh-CN"/>
              </w:rPr>
              <w:t xml:space="preserve"> </w:t>
            </w:r>
            <w:r>
              <w:rPr>
                <w:rFonts w:ascii="Arial" w:hAnsi="Arial" w:cs="Arial"/>
                <w:color w:val="000000"/>
                <w:szCs w:val="16"/>
              </w:rPr>
              <w:t>803</w:t>
            </w:r>
          </w:p>
        </w:tc>
        <w:tc>
          <w:tcPr>
            <w:tcW w:w="0" w:type="dxa"/>
            <w:tcBorders>
              <w:bottom w:val="nil"/>
            </w:tcBorders>
            <w:vAlign w:val="center"/>
          </w:tcPr>
          <w:p w14:paraId="59EDF32F" w14:textId="2BE0D5D6" w:rsidR="00065EB5" w:rsidRDefault="00065EB5" w:rsidP="00065EB5">
            <w:r>
              <w:rPr>
                <w:rFonts w:ascii="Arial" w:hAnsi="Arial" w:cs="Arial"/>
                <w:color w:val="000000"/>
                <w:szCs w:val="16"/>
              </w:rPr>
              <w:t>66</w:t>
            </w:r>
            <w:r w:rsidR="003E3065">
              <w:rPr>
                <w:rFonts w:ascii="Arial" w:hAnsi="Arial" w:cs="Arial" w:hint="eastAsia"/>
                <w:color w:val="000000"/>
                <w:szCs w:val="16"/>
                <w:lang w:eastAsia="zh-CN"/>
              </w:rPr>
              <w:t xml:space="preserve"> </w:t>
            </w:r>
            <w:r>
              <w:rPr>
                <w:rFonts w:ascii="Arial" w:hAnsi="Arial" w:cs="Arial"/>
                <w:color w:val="000000"/>
                <w:szCs w:val="16"/>
              </w:rPr>
              <w:t>443</w:t>
            </w:r>
          </w:p>
        </w:tc>
      </w:tr>
      <w:tr w:rsidR="00065EB5" w14:paraId="30528A5E" w14:textId="77777777" w:rsidTr="00E10CD7">
        <w:tc>
          <w:tcPr>
            <w:tcW w:w="1349" w:type="dxa"/>
          </w:tcPr>
          <w:p w14:paraId="79E9E846" w14:textId="7E6CBC91" w:rsidR="00065EB5" w:rsidRDefault="0007383E" w:rsidP="00065EB5">
            <w:pPr>
              <w:jc w:val="left"/>
              <w:rPr>
                <w:lang w:eastAsia="zh-CN"/>
              </w:rPr>
            </w:pPr>
            <w:r>
              <w:rPr>
                <w:color w:val="4472C4"/>
                <w:sz w:val="13"/>
              </w:rPr>
              <w:t>AASB </w:t>
            </w:r>
            <w:r w:rsidR="00065EB5">
              <w:rPr>
                <w:color w:val="4472C4"/>
                <w:sz w:val="13"/>
              </w:rPr>
              <w:t>10</w:t>
            </w:r>
            <w:r w:rsidR="00065EB5">
              <w:rPr>
                <w:rFonts w:hint="eastAsia"/>
                <w:color w:val="4472C4"/>
                <w:sz w:val="13"/>
                <w:lang w:eastAsia="zh-CN"/>
              </w:rPr>
              <w:t>60</w:t>
            </w:r>
            <w:r w:rsidR="00065EB5">
              <w:rPr>
                <w:color w:val="4472C4"/>
                <w:sz w:val="13"/>
              </w:rPr>
              <w:t>.</w:t>
            </w:r>
            <w:r w:rsidR="00065EB5">
              <w:rPr>
                <w:rFonts w:hint="eastAsia"/>
                <w:color w:val="4472C4"/>
                <w:sz w:val="13"/>
                <w:lang w:eastAsia="zh-CN"/>
              </w:rPr>
              <w:t>35</w:t>
            </w:r>
            <w:r w:rsidR="00065EB5">
              <w:rPr>
                <w:color w:val="4472C4"/>
                <w:sz w:val="13"/>
              </w:rPr>
              <w:t xml:space="preserve"> (</w:t>
            </w:r>
            <w:r w:rsidR="00065EB5">
              <w:rPr>
                <w:rFonts w:hint="eastAsia"/>
                <w:color w:val="4472C4"/>
                <w:sz w:val="13"/>
                <w:lang w:eastAsia="zh-CN"/>
              </w:rPr>
              <w:t>b</w:t>
            </w:r>
            <w:r w:rsidR="00065EB5">
              <w:rPr>
                <w:color w:val="4472C4"/>
                <w:sz w:val="13"/>
              </w:rPr>
              <w:t>)</w:t>
            </w:r>
          </w:p>
        </w:tc>
        <w:tc>
          <w:tcPr>
            <w:tcW w:w="0" w:type="dxa"/>
            <w:tcBorders>
              <w:bottom w:val="nil"/>
            </w:tcBorders>
          </w:tcPr>
          <w:p w14:paraId="1D80B12E" w14:textId="7AAFB015" w:rsidR="00065EB5" w:rsidRDefault="00065EB5" w:rsidP="00065EB5">
            <w:pPr>
              <w:jc w:val="left"/>
            </w:pPr>
            <w:r>
              <w:t>Receivables</w:t>
            </w:r>
          </w:p>
        </w:tc>
        <w:tc>
          <w:tcPr>
            <w:tcW w:w="0" w:type="dxa"/>
            <w:tcBorders>
              <w:bottom w:val="nil"/>
            </w:tcBorders>
            <w:vAlign w:val="center"/>
          </w:tcPr>
          <w:p w14:paraId="6D19ECFA" w14:textId="16A226F3" w:rsidR="00065EB5" w:rsidRDefault="00065EB5" w:rsidP="00065EB5">
            <w:pPr>
              <w:jc w:val="center"/>
            </w:pPr>
            <w:r>
              <w:rPr>
                <w:rFonts w:ascii="Arial" w:hAnsi="Arial" w:cs="Arial"/>
                <w:color w:val="000000"/>
                <w:szCs w:val="16"/>
              </w:rPr>
              <w:t>5.1.1</w:t>
            </w:r>
          </w:p>
        </w:tc>
        <w:tc>
          <w:tcPr>
            <w:tcW w:w="0" w:type="dxa"/>
            <w:tcBorders>
              <w:bottom w:val="nil"/>
            </w:tcBorders>
            <w:vAlign w:val="center"/>
          </w:tcPr>
          <w:p w14:paraId="16A526AA" w14:textId="73B1C748" w:rsidR="00065EB5" w:rsidRDefault="00065EB5" w:rsidP="00065EB5">
            <w:r>
              <w:rPr>
                <w:rFonts w:ascii="Arial" w:hAnsi="Arial" w:cs="Arial"/>
                <w:color w:val="000000"/>
                <w:szCs w:val="16"/>
              </w:rPr>
              <w:t>36</w:t>
            </w:r>
            <w:r w:rsidR="003E3065">
              <w:rPr>
                <w:rFonts w:ascii="Arial" w:hAnsi="Arial" w:cs="Arial" w:hint="eastAsia"/>
                <w:color w:val="000000"/>
                <w:szCs w:val="16"/>
                <w:lang w:eastAsia="zh-CN"/>
              </w:rPr>
              <w:t xml:space="preserve"> </w:t>
            </w:r>
            <w:r>
              <w:rPr>
                <w:rFonts w:ascii="Arial" w:hAnsi="Arial" w:cs="Arial"/>
                <w:color w:val="000000"/>
                <w:szCs w:val="16"/>
              </w:rPr>
              <w:t>0</w:t>
            </w:r>
            <w:r w:rsidR="00E67CBC">
              <w:rPr>
                <w:rFonts w:ascii="Arial" w:hAnsi="Arial" w:cs="Arial"/>
                <w:color w:val="000000"/>
                <w:szCs w:val="16"/>
              </w:rPr>
              <w:t>4</w:t>
            </w:r>
            <w:r>
              <w:rPr>
                <w:rFonts w:ascii="Arial" w:hAnsi="Arial" w:cs="Arial"/>
                <w:color w:val="000000"/>
                <w:szCs w:val="16"/>
              </w:rPr>
              <w:t>5</w:t>
            </w:r>
          </w:p>
        </w:tc>
        <w:tc>
          <w:tcPr>
            <w:tcW w:w="0" w:type="dxa"/>
            <w:tcBorders>
              <w:bottom w:val="nil"/>
            </w:tcBorders>
            <w:vAlign w:val="center"/>
          </w:tcPr>
          <w:p w14:paraId="58C8F457" w14:textId="063706D4" w:rsidR="00065EB5" w:rsidRDefault="00065EB5" w:rsidP="00065EB5">
            <w:r>
              <w:rPr>
                <w:rFonts w:ascii="Arial" w:hAnsi="Arial" w:cs="Arial"/>
                <w:color w:val="000000"/>
                <w:szCs w:val="16"/>
              </w:rPr>
              <w:t>20</w:t>
            </w:r>
            <w:r w:rsidR="003E3065">
              <w:rPr>
                <w:rFonts w:ascii="Arial" w:hAnsi="Arial" w:cs="Arial" w:hint="eastAsia"/>
                <w:color w:val="000000"/>
                <w:szCs w:val="16"/>
                <w:lang w:eastAsia="zh-CN"/>
              </w:rPr>
              <w:t xml:space="preserve"> </w:t>
            </w:r>
            <w:r>
              <w:rPr>
                <w:rFonts w:ascii="Arial" w:hAnsi="Arial" w:cs="Arial"/>
                <w:color w:val="000000"/>
                <w:szCs w:val="16"/>
              </w:rPr>
              <w:t>5</w:t>
            </w:r>
            <w:r w:rsidR="00E67CBC">
              <w:rPr>
                <w:rFonts w:ascii="Arial" w:hAnsi="Arial" w:cs="Arial"/>
                <w:color w:val="000000"/>
                <w:szCs w:val="16"/>
              </w:rPr>
              <w:t>2</w:t>
            </w:r>
            <w:r>
              <w:rPr>
                <w:rFonts w:ascii="Arial" w:hAnsi="Arial" w:cs="Arial"/>
                <w:color w:val="000000"/>
                <w:szCs w:val="16"/>
              </w:rPr>
              <w:t>5</w:t>
            </w:r>
          </w:p>
        </w:tc>
      </w:tr>
      <w:tr w:rsidR="00BF7105" w14:paraId="0389F9B1" w14:textId="77777777" w:rsidTr="00E10CD7">
        <w:tc>
          <w:tcPr>
            <w:tcW w:w="0" w:type="dxa"/>
          </w:tcPr>
          <w:p w14:paraId="35BED43B" w14:textId="6AAB0D78" w:rsidR="00BF7105" w:rsidRDefault="0007383E" w:rsidP="00E10CD7">
            <w:pPr>
              <w:jc w:val="left"/>
              <w:rPr>
                <w:color w:val="4472C4"/>
                <w:sz w:val="13"/>
              </w:rPr>
            </w:pPr>
            <w:r>
              <w:rPr>
                <w:color w:val="4472C4"/>
                <w:sz w:val="13"/>
              </w:rPr>
              <w:t>AASB </w:t>
            </w:r>
            <w:r w:rsidR="00E67CBC">
              <w:rPr>
                <w:color w:val="4472C4"/>
                <w:sz w:val="13"/>
              </w:rPr>
              <w:t>15.105</w:t>
            </w:r>
          </w:p>
        </w:tc>
        <w:tc>
          <w:tcPr>
            <w:tcW w:w="0" w:type="dxa"/>
            <w:tcBorders>
              <w:top w:val="nil"/>
              <w:bottom w:val="single" w:sz="12" w:space="0" w:color="auto"/>
            </w:tcBorders>
          </w:tcPr>
          <w:p w14:paraId="74E0B8F1" w14:textId="2990E548" w:rsidR="00BF7105" w:rsidRDefault="00BF7105" w:rsidP="00E10CD7">
            <w:pPr>
              <w:jc w:val="left"/>
            </w:pPr>
            <w:r>
              <w:t>Contract assets</w:t>
            </w:r>
          </w:p>
        </w:tc>
        <w:tc>
          <w:tcPr>
            <w:tcW w:w="0" w:type="dxa"/>
            <w:tcBorders>
              <w:top w:val="nil"/>
              <w:bottom w:val="single" w:sz="12" w:space="0" w:color="auto"/>
            </w:tcBorders>
            <w:vAlign w:val="center"/>
          </w:tcPr>
          <w:p w14:paraId="6C23E9C3" w14:textId="1371C8B7" w:rsidR="00BF7105" w:rsidRDefault="0023291F" w:rsidP="00065EB5">
            <w:pPr>
              <w:jc w:val="center"/>
              <w:rPr>
                <w:rFonts w:ascii="Arial" w:hAnsi="Arial" w:cs="Arial"/>
                <w:color w:val="000000"/>
                <w:szCs w:val="16"/>
              </w:rPr>
            </w:pPr>
            <w:r>
              <w:rPr>
                <w:rFonts w:ascii="Arial" w:hAnsi="Arial" w:cs="Arial"/>
                <w:color w:val="000000"/>
                <w:szCs w:val="16"/>
              </w:rPr>
              <w:t>5.1.2</w:t>
            </w:r>
          </w:p>
        </w:tc>
        <w:tc>
          <w:tcPr>
            <w:tcW w:w="0" w:type="dxa"/>
            <w:tcBorders>
              <w:top w:val="nil"/>
              <w:bottom w:val="single" w:sz="12" w:space="0" w:color="auto"/>
            </w:tcBorders>
            <w:vAlign w:val="center"/>
          </w:tcPr>
          <w:p w14:paraId="38CBD38E" w14:textId="17F2EF2A" w:rsidR="00BF7105" w:rsidRDefault="00E67CBC" w:rsidP="00E67CBC">
            <w:pPr>
              <w:rPr>
                <w:rFonts w:ascii="Arial" w:hAnsi="Arial" w:cs="Arial"/>
                <w:color w:val="000000"/>
                <w:szCs w:val="16"/>
              </w:rPr>
            </w:pPr>
            <w:r>
              <w:rPr>
                <w:rFonts w:ascii="Arial" w:hAnsi="Arial" w:cs="Arial"/>
                <w:color w:val="000000"/>
                <w:szCs w:val="16"/>
              </w:rPr>
              <w:t>20</w:t>
            </w:r>
          </w:p>
        </w:tc>
        <w:tc>
          <w:tcPr>
            <w:tcW w:w="0" w:type="dxa"/>
            <w:tcBorders>
              <w:top w:val="nil"/>
              <w:bottom w:val="single" w:sz="12" w:space="0" w:color="auto"/>
            </w:tcBorders>
            <w:vAlign w:val="center"/>
          </w:tcPr>
          <w:p w14:paraId="7E7FAFD8" w14:textId="77BF070E" w:rsidR="00BF7105" w:rsidRDefault="00E67CBC" w:rsidP="00065EB5">
            <w:pPr>
              <w:rPr>
                <w:rFonts w:ascii="Arial" w:hAnsi="Arial" w:cs="Arial"/>
                <w:color w:val="000000"/>
                <w:szCs w:val="16"/>
              </w:rPr>
            </w:pPr>
            <w:r>
              <w:rPr>
                <w:rFonts w:ascii="Arial" w:hAnsi="Arial" w:cs="Arial"/>
                <w:color w:val="000000"/>
                <w:szCs w:val="16"/>
              </w:rPr>
              <w:t>20</w:t>
            </w:r>
          </w:p>
        </w:tc>
      </w:tr>
      <w:tr w:rsidR="00E34358" w14:paraId="1D465CD3" w14:textId="77777777" w:rsidTr="00E10CD7">
        <w:tc>
          <w:tcPr>
            <w:tcW w:w="1349" w:type="dxa"/>
          </w:tcPr>
          <w:p w14:paraId="068218EB" w14:textId="77777777" w:rsidR="00E34358" w:rsidRDefault="00E34358" w:rsidP="00E34358">
            <w:pPr>
              <w:jc w:val="left"/>
            </w:pPr>
          </w:p>
        </w:tc>
        <w:tc>
          <w:tcPr>
            <w:tcW w:w="0" w:type="dxa"/>
            <w:tcBorders>
              <w:top w:val="single" w:sz="12" w:space="0" w:color="auto"/>
            </w:tcBorders>
          </w:tcPr>
          <w:p w14:paraId="4802A82B" w14:textId="77777777" w:rsidR="00E34358" w:rsidRDefault="00E34358" w:rsidP="00E34358">
            <w:pPr>
              <w:jc w:val="left"/>
            </w:pPr>
            <w:r>
              <w:rPr>
                <w:b/>
              </w:rPr>
              <w:t>Total financial assets</w:t>
            </w:r>
          </w:p>
        </w:tc>
        <w:tc>
          <w:tcPr>
            <w:tcW w:w="0" w:type="dxa"/>
            <w:tcBorders>
              <w:top w:val="single" w:sz="12" w:space="0" w:color="auto"/>
            </w:tcBorders>
          </w:tcPr>
          <w:p w14:paraId="28FA4753" w14:textId="77777777" w:rsidR="00E34358" w:rsidRDefault="00E34358" w:rsidP="00E34358">
            <w:pPr>
              <w:jc w:val="center"/>
            </w:pPr>
          </w:p>
        </w:tc>
        <w:tc>
          <w:tcPr>
            <w:tcW w:w="0" w:type="dxa"/>
            <w:tcBorders>
              <w:top w:val="single" w:sz="12" w:space="0" w:color="auto"/>
            </w:tcBorders>
            <w:vAlign w:val="center"/>
          </w:tcPr>
          <w:p w14:paraId="248EFC7E" w14:textId="35FB313C" w:rsidR="00E34358" w:rsidRDefault="00E34358" w:rsidP="00E34358">
            <w:r>
              <w:rPr>
                <w:rFonts w:ascii="Arial" w:hAnsi="Arial" w:cs="Arial"/>
                <w:b/>
                <w:bCs/>
                <w:color w:val="000000"/>
                <w:szCs w:val="16"/>
              </w:rPr>
              <w:t>107</w:t>
            </w:r>
            <w:r w:rsidR="003E3065">
              <w:rPr>
                <w:rFonts w:ascii="Arial" w:hAnsi="Arial" w:cs="Arial" w:hint="eastAsia"/>
                <w:b/>
                <w:bCs/>
                <w:color w:val="000000"/>
                <w:szCs w:val="16"/>
                <w:lang w:eastAsia="zh-CN"/>
              </w:rPr>
              <w:t xml:space="preserve"> </w:t>
            </w:r>
            <w:r>
              <w:rPr>
                <w:rFonts w:ascii="Arial" w:hAnsi="Arial" w:cs="Arial"/>
                <w:b/>
                <w:bCs/>
                <w:color w:val="000000"/>
                <w:szCs w:val="16"/>
              </w:rPr>
              <w:t>868</w:t>
            </w:r>
          </w:p>
        </w:tc>
        <w:tc>
          <w:tcPr>
            <w:tcW w:w="0" w:type="dxa"/>
            <w:tcBorders>
              <w:top w:val="single" w:sz="12" w:space="0" w:color="auto"/>
            </w:tcBorders>
            <w:vAlign w:val="center"/>
          </w:tcPr>
          <w:p w14:paraId="1C79303D" w14:textId="009C9A4D" w:rsidR="00E34358" w:rsidRDefault="00E34358" w:rsidP="00E34358">
            <w:r>
              <w:rPr>
                <w:rFonts w:ascii="Arial" w:hAnsi="Arial" w:cs="Arial"/>
                <w:b/>
                <w:bCs/>
                <w:color w:val="000000"/>
                <w:szCs w:val="16"/>
              </w:rPr>
              <w:t>86</w:t>
            </w:r>
            <w:r w:rsidR="003E3065">
              <w:rPr>
                <w:rFonts w:ascii="Arial" w:hAnsi="Arial" w:cs="Arial" w:hint="eastAsia"/>
                <w:b/>
                <w:bCs/>
                <w:color w:val="000000"/>
                <w:szCs w:val="16"/>
                <w:lang w:eastAsia="zh-CN"/>
              </w:rPr>
              <w:t xml:space="preserve"> </w:t>
            </w:r>
            <w:r>
              <w:rPr>
                <w:rFonts w:ascii="Arial" w:hAnsi="Arial" w:cs="Arial"/>
                <w:b/>
                <w:bCs/>
                <w:color w:val="000000"/>
                <w:szCs w:val="16"/>
              </w:rPr>
              <w:t>988</w:t>
            </w:r>
          </w:p>
        </w:tc>
      </w:tr>
      <w:tr w:rsidR="00671D55" w14:paraId="20CF662C" w14:textId="77777777" w:rsidTr="00830EDB">
        <w:tc>
          <w:tcPr>
            <w:tcW w:w="1349" w:type="dxa"/>
          </w:tcPr>
          <w:p w14:paraId="543EA241" w14:textId="47504D6A" w:rsidR="00182709" w:rsidRDefault="0007383E">
            <w:pPr>
              <w:jc w:val="left"/>
              <w:rPr>
                <w:lang w:eastAsia="zh-CN"/>
              </w:rPr>
            </w:pPr>
            <w:r>
              <w:rPr>
                <w:color w:val="4472C4"/>
                <w:sz w:val="13"/>
              </w:rPr>
              <w:t>AASB </w:t>
            </w:r>
            <w:r w:rsidR="0044097C">
              <w:rPr>
                <w:color w:val="4472C4"/>
                <w:sz w:val="13"/>
              </w:rPr>
              <w:t>10</w:t>
            </w:r>
            <w:r w:rsidR="00AB677B">
              <w:rPr>
                <w:rFonts w:hint="eastAsia"/>
                <w:color w:val="4472C4"/>
                <w:sz w:val="13"/>
                <w:lang w:eastAsia="zh-CN"/>
              </w:rPr>
              <w:t>60</w:t>
            </w:r>
            <w:r w:rsidR="0044097C">
              <w:rPr>
                <w:color w:val="4472C4"/>
                <w:sz w:val="13"/>
              </w:rPr>
              <w:t>.</w:t>
            </w:r>
            <w:r w:rsidR="00F45D46">
              <w:rPr>
                <w:rFonts w:hint="eastAsia"/>
                <w:color w:val="4472C4"/>
                <w:sz w:val="13"/>
                <w:lang w:eastAsia="zh-CN"/>
              </w:rPr>
              <w:t>42</w:t>
            </w:r>
          </w:p>
        </w:tc>
        <w:tc>
          <w:tcPr>
            <w:tcW w:w="3896" w:type="dxa"/>
          </w:tcPr>
          <w:p w14:paraId="01E38A7C" w14:textId="77777777" w:rsidR="00182709" w:rsidRDefault="0044097C">
            <w:pPr>
              <w:jc w:val="left"/>
            </w:pPr>
            <w:r>
              <w:rPr>
                <w:b/>
              </w:rPr>
              <w:t>Non‑financial assets</w:t>
            </w:r>
          </w:p>
        </w:tc>
        <w:tc>
          <w:tcPr>
            <w:tcW w:w="2126" w:type="dxa"/>
          </w:tcPr>
          <w:p w14:paraId="1144559F" w14:textId="77777777" w:rsidR="00182709" w:rsidRDefault="00182709">
            <w:pPr>
              <w:jc w:val="center"/>
            </w:pPr>
          </w:p>
        </w:tc>
        <w:tc>
          <w:tcPr>
            <w:tcW w:w="851" w:type="dxa"/>
          </w:tcPr>
          <w:p w14:paraId="05956C71" w14:textId="77777777" w:rsidR="00182709" w:rsidRDefault="00182709"/>
        </w:tc>
        <w:tc>
          <w:tcPr>
            <w:tcW w:w="1417" w:type="dxa"/>
          </w:tcPr>
          <w:p w14:paraId="506DCD98" w14:textId="77777777" w:rsidR="00182709" w:rsidRDefault="00182709"/>
        </w:tc>
      </w:tr>
      <w:tr w:rsidR="00501C59" w14:paraId="79486EDB" w14:textId="77777777" w:rsidTr="00830EDB">
        <w:tc>
          <w:tcPr>
            <w:tcW w:w="1349" w:type="dxa"/>
          </w:tcPr>
          <w:p w14:paraId="68F17494" w14:textId="73C4F894" w:rsidR="00501C59" w:rsidRDefault="0007383E" w:rsidP="00501C59">
            <w:pPr>
              <w:jc w:val="left"/>
            </w:pPr>
            <w:r>
              <w:rPr>
                <w:color w:val="4472C4"/>
                <w:sz w:val="13"/>
              </w:rPr>
              <w:t>AASB </w:t>
            </w:r>
            <w:r w:rsidR="00501C59">
              <w:rPr>
                <w:color w:val="4472C4"/>
                <w:sz w:val="13"/>
              </w:rPr>
              <w:t>10</w:t>
            </w:r>
            <w:r w:rsidR="00501C59">
              <w:rPr>
                <w:rFonts w:hint="eastAsia"/>
                <w:color w:val="4472C4"/>
                <w:sz w:val="13"/>
                <w:lang w:eastAsia="zh-CN"/>
              </w:rPr>
              <w:t>60</w:t>
            </w:r>
            <w:r w:rsidR="00501C59">
              <w:rPr>
                <w:color w:val="4472C4"/>
                <w:sz w:val="13"/>
              </w:rPr>
              <w:t>.</w:t>
            </w:r>
            <w:r w:rsidR="00501C59">
              <w:rPr>
                <w:rFonts w:hint="eastAsia"/>
                <w:color w:val="4472C4"/>
                <w:sz w:val="13"/>
                <w:lang w:eastAsia="zh-CN"/>
              </w:rPr>
              <w:t>35</w:t>
            </w:r>
            <w:r w:rsidR="00501C59">
              <w:rPr>
                <w:color w:val="4472C4"/>
                <w:sz w:val="13"/>
              </w:rPr>
              <w:t xml:space="preserve"> (</w:t>
            </w:r>
            <w:r w:rsidR="00501C59">
              <w:rPr>
                <w:rFonts w:hint="eastAsia"/>
                <w:color w:val="4472C4"/>
                <w:sz w:val="13"/>
                <w:lang w:eastAsia="zh-CN"/>
              </w:rPr>
              <w:t>d</w:t>
            </w:r>
            <w:r w:rsidR="00501C59">
              <w:rPr>
                <w:color w:val="4472C4"/>
                <w:sz w:val="13"/>
              </w:rPr>
              <w:t>)</w:t>
            </w:r>
          </w:p>
        </w:tc>
        <w:tc>
          <w:tcPr>
            <w:tcW w:w="3896" w:type="dxa"/>
          </w:tcPr>
          <w:p w14:paraId="12123E6A" w14:textId="77777777" w:rsidR="00501C59" w:rsidRDefault="00501C59" w:rsidP="00501C59">
            <w:pPr>
              <w:jc w:val="left"/>
            </w:pPr>
            <w:r>
              <w:t>Inventories</w:t>
            </w:r>
          </w:p>
        </w:tc>
        <w:tc>
          <w:tcPr>
            <w:tcW w:w="2126" w:type="dxa"/>
            <w:vAlign w:val="center"/>
          </w:tcPr>
          <w:p w14:paraId="60F12A85" w14:textId="4EA67DE8" w:rsidR="00501C59" w:rsidRDefault="00501C59" w:rsidP="00501C59">
            <w:pPr>
              <w:jc w:val="center"/>
            </w:pPr>
            <w:r>
              <w:rPr>
                <w:rFonts w:ascii="Arial" w:hAnsi="Arial" w:cs="Arial"/>
                <w:color w:val="000000"/>
                <w:szCs w:val="16"/>
              </w:rPr>
              <w:t>5.3</w:t>
            </w:r>
          </w:p>
        </w:tc>
        <w:tc>
          <w:tcPr>
            <w:tcW w:w="851" w:type="dxa"/>
          </w:tcPr>
          <w:p w14:paraId="1EF90B22" w14:textId="64391C79" w:rsidR="00501C59" w:rsidRDefault="00501C59" w:rsidP="00501C59">
            <w:r w:rsidRPr="009F2514">
              <w:t>12</w:t>
            </w:r>
            <w:r w:rsidR="003E3065">
              <w:rPr>
                <w:rFonts w:hint="eastAsia"/>
                <w:lang w:eastAsia="zh-CN"/>
              </w:rPr>
              <w:t xml:space="preserve"> </w:t>
            </w:r>
            <w:r w:rsidRPr="009F2514">
              <w:t>055</w:t>
            </w:r>
          </w:p>
        </w:tc>
        <w:tc>
          <w:tcPr>
            <w:tcW w:w="1417" w:type="dxa"/>
          </w:tcPr>
          <w:p w14:paraId="532CD085" w14:textId="7E063D12" w:rsidR="00501C59" w:rsidRDefault="00501C59" w:rsidP="00501C59">
            <w:r w:rsidRPr="009F2514">
              <w:t>19</w:t>
            </w:r>
            <w:r w:rsidR="003E3065">
              <w:rPr>
                <w:rFonts w:hint="eastAsia"/>
                <w:lang w:eastAsia="zh-CN"/>
              </w:rPr>
              <w:t xml:space="preserve"> </w:t>
            </w:r>
            <w:r w:rsidRPr="009F2514">
              <w:t>732</w:t>
            </w:r>
          </w:p>
        </w:tc>
      </w:tr>
      <w:tr w:rsidR="00501C59" w14:paraId="2FC8BA87" w14:textId="77777777" w:rsidTr="00830EDB">
        <w:tc>
          <w:tcPr>
            <w:tcW w:w="1349" w:type="dxa"/>
          </w:tcPr>
          <w:p w14:paraId="6AD1C104" w14:textId="2AC33B6D" w:rsidR="00501C59" w:rsidRDefault="0007383E" w:rsidP="00501C59">
            <w:pPr>
              <w:jc w:val="left"/>
            </w:pPr>
            <w:r>
              <w:rPr>
                <w:color w:val="4472C4"/>
                <w:sz w:val="13"/>
              </w:rPr>
              <w:t>AASB </w:t>
            </w:r>
            <w:r w:rsidR="00501C59">
              <w:rPr>
                <w:color w:val="4472C4"/>
                <w:sz w:val="13"/>
              </w:rPr>
              <w:t>10</w:t>
            </w:r>
            <w:r w:rsidR="00501C59">
              <w:rPr>
                <w:rFonts w:hint="eastAsia"/>
                <w:color w:val="4472C4"/>
                <w:sz w:val="13"/>
                <w:lang w:eastAsia="zh-CN"/>
              </w:rPr>
              <w:t>60</w:t>
            </w:r>
            <w:r w:rsidR="00501C59">
              <w:rPr>
                <w:color w:val="4472C4"/>
                <w:sz w:val="13"/>
              </w:rPr>
              <w:t>.</w:t>
            </w:r>
            <w:r w:rsidR="00501C59">
              <w:rPr>
                <w:rFonts w:hint="eastAsia"/>
                <w:color w:val="4472C4"/>
                <w:sz w:val="13"/>
                <w:lang w:eastAsia="zh-CN"/>
              </w:rPr>
              <w:t>35</w:t>
            </w:r>
            <w:r w:rsidR="00501C59">
              <w:rPr>
                <w:color w:val="4472C4"/>
                <w:sz w:val="13"/>
              </w:rPr>
              <w:t xml:space="preserve"> </w:t>
            </w:r>
            <w:r w:rsidR="00E63A77">
              <w:rPr>
                <w:color w:val="4472C4"/>
                <w:sz w:val="13"/>
              </w:rPr>
              <w:t>(r)</w:t>
            </w:r>
          </w:p>
        </w:tc>
        <w:tc>
          <w:tcPr>
            <w:tcW w:w="3896" w:type="dxa"/>
          </w:tcPr>
          <w:p w14:paraId="0BE6A13B" w14:textId="43E47FB4" w:rsidR="00501C59" w:rsidRPr="002A0038" w:rsidRDefault="00501C59" w:rsidP="00501C59">
            <w:pPr>
              <w:jc w:val="left"/>
              <w:rPr>
                <w:highlight w:val="yellow"/>
              </w:rPr>
            </w:pPr>
            <w:r w:rsidRPr="008A15FA">
              <w:t>Non</w:t>
            </w:r>
            <w:r w:rsidRPr="008A15FA">
              <w:rPr>
                <w:rFonts w:ascii="Cambria Math" w:hAnsi="Cambria Math" w:cs="Cambria Math"/>
              </w:rPr>
              <w:t>‑</w:t>
            </w:r>
            <w:r w:rsidRPr="008A15FA">
              <w:t xml:space="preserve">financial physical assets classified as held for sale </w:t>
            </w:r>
            <w:r w:rsidRPr="00DF7E46">
              <w:t>including disposal group assets</w:t>
            </w:r>
          </w:p>
        </w:tc>
        <w:tc>
          <w:tcPr>
            <w:tcW w:w="2126" w:type="dxa"/>
            <w:vAlign w:val="center"/>
          </w:tcPr>
          <w:p w14:paraId="29C401C4" w14:textId="33D9A0D2" w:rsidR="00501C59" w:rsidRDefault="00501C59" w:rsidP="00501C59">
            <w:pPr>
              <w:jc w:val="center"/>
            </w:pPr>
            <w:r>
              <w:rPr>
                <w:rFonts w:ascii="Arial" w:hAnsi="Arial" w:cs="Arial"/>
                <w:color w:val="000000"/>
                <w:szCs w:val="16"/>
              </w:rPr>
              <w:t>8.2.1</w:t>
            </w:r>
          </w:p>
        </w:tc>
        <w:tc>
          <w:tcPr>
            <w:tcW w:w="851" w:type="dxa"/>
            <w:vAlign w:val="center"/>
          </w:tcPr>
          <w:p w14:paraId="5F8491EB" w14:textId="3EFB76B3" w:rsidR="00501C59" w:rsidRDefault="00501C59" w:rsidP="0046420C">
            <w:r w:rsidRPr="009F2514">
              <w:t>753</w:t>
            </w:r>
          </w:p>
        </w:tc>
        <w:tc>
          <w:tcPr>
            <w:tcW w:w="1417" w:type="dxa"/>
            <w:vAlign w:val="center"/>
          </w:tcPr>
          <w:p w14:paraId="7BDEDCC7" w14:textId="500585C5" w:rsidR="00501C59" w:rsidRDefault="00501C59" w:rsidP="0046420C">
            <w:r w:rsidRPr="009F2514">
              <w:t>1</w:t>
            </w:r>
            <w:r w:rsidR="003E3065">
              <w:rPr>
                <w:rFonts w:hint="eastAsia"/>
                <w:lang w:eastAsia="zh-CN"/>
              </w:rPr>
              <w:t xml:space="preserve"> </w:t>
            </w:r>
            <w:r w:rsidRPr="009F2514">
              <w:t>469</w:t>
            </w:r>
          </w:p>
        </w:tc>
      </w:tr>
      <w:tr w:rsidR="00501C59" w14:paraId="32B09047" w14:textId="77777777" w:rsidTr="00830EDB">
        <w:tc>
          <w:tcPr>
            <w:tcW w:w="1349" w:type="dxa"/>
          </w:tcPr>
          <w:p w14:paraId="42A886D0" w14:textId="417B1F9C" w:rsidR="00501C59" w:rsidRDefault="0007383E" w:rsidP="00501C59">
            <w:pPr>
              <w:jc w:val="left"/>
            </w:pPr>
            <w:r>
              <w:rPr>
                <w:color w:val="4472C4"/>
                <w:sz w:val="13"/>
              </w:rPr>
              <w:t>AASB </w:t>
            </w:r>
            <w:r w:rsidR="00501C59">
              <w:rPr>
                <w:color w:val="4472C4"/>
                <w:sz w:val="13"/>
              </w:rPr>
              <w:t>10</w:t>
            </w:r>
            <w:r w:rsidR="00501C59">
              <w:rPr>
                <w:rFonts w:hint="eastAsia"/>
                <w:color w:val="4472C4"/>
                <w:sz w:val="13"/>
                <w:lang w:eastAsia="zh-CN"/>
              </w:rPr>
              <w:t>60</w:t>
            </w:r>
            <w:r w:rsidR="00501C59">
              <w:rPr>
                <w:color w:val="4472C4"/>
                <w:sz w:val="13"/>
              </w:rPr>
              <w:t>.</w:t>
            </w:r>
            <w:r w:rsidR="00501C59">
              <w:rPr>
                <w:rFonts w:hint="eastAsia"/>
                <w:color w:val="4472C4"/>
                <w:sz w:val="13"/>
                <w:lang w:eastAsia="zh-CN"/>
              </w:rPr>
              <w:t>35</w:t>
            </w:r>
            <w:r w:rsidR="00501C59">
              <w:rPr>
                <w:color w:val="4472C4"/>
                <w:sz w:val="13"/>
              </w:rPr>
              <w:t xml:space="preserve"> (</w:t>
            </w:r>
            <w:r w:rsidR="00501C59">
              <w:rPr>
                <w:rFonts w:hint="eastAsia"/>
                <w:color w:val="4472C4"/>
                <w:sz w:val="13"/>
                <w:lang w:eastAsia="zh-CN"/>
              </w:rPr>
              <w:t>e</w:t>
            </w:r>
            <w:r w:rsidR="00501C59">
              <w:rPr>
                <w:color w:val="4472C4"/>
                <w:sz w:val="13"/>
              </w:rPr>
              <w:t>)</w:t>
            </w:r>
          </w:p>
        </w:tc>
        <w:tc>
          <w:tcPr>
            <w:tcW w:w="3896" w:type="dxa"/>
          </w:tcPr>
          <w:p w14:paraId="5648B520" w14:textId="77777777" w:rsidR="00501C59" w:rsidRDefault="00501C59" w:rsidP="00501C59">
            <w:pPr>
              <w:jc w:val="left"/>
            </w:pPr>
            <w:r>
              <w:t>Property, plant and equipment</w:t>
            </w:r>
          </w:p>
        </w:tc>
        <w:tc>
          <w:tcPr>
            <w:tcW w:w="2126" w:type="dxa"/>
            <w:vAlign w:val="center"/>
          </w:tcPr>
          <w:p w14:paraId="3E59651E" w14:textId="07C3AAB9" w:rsidR="00501C59" w:rsidRDefault="00501C59" w:rsidP="00501C59">
            <w:pPr>
              <w:jc w:val="center"/>
            </w:pPr>
            <w:r>
              <w:rPr>
                <w:rFonts w:ascii="Arial" w:hAnsi="Arial" w:cs="Arial"/>
                <w:color w:val="000000"/>
                <w:szCs w:val="16"/>
              </w:rPr>
              <w:t>4.1</w:t>
            </w:r>
          </w:p>
        </w:tc>
        <w:tc>
          <w:tcPr>
            <w:tcW w:w="851" w:type="dxa"/>
          </w:tcPr>
          <w:p w14:paraId="0688F73C" w14:textId="787930C7" w:rsidR="00501C59" w:rsidRDefault="00501C59" w:rsidP="00501C59">
            <w:r w:rsidRPr="009F2514">
              <w:t>143</w:t>
            </w:r>
            <w:r w:rsidR="003E3065">
              <w:rPr>
                <w:rFonts w:hint="eastAsia"/>
                <w:lang w:eastAsia="zh-CN"/>
              </w:rPr>
              <w:t xml:space="preserve"> </w:t>
            </w:r>
            <w:r w:rsidRPr="009F2514">
              <w:t>905</w:t>
            </w:r>
          </w:p>
        </w:tc>
        <w:tc>
          <w:tcPr>
            <w:tcW w:w="1417" w:type="dxa"/>
          </w:tcPr>
          <w:p w14:paraId="4F816946" w14:textId="5C513DA0" w:rsidR="00501C59" w:rsidRDefault="00501C59" w:rsidP="00501C59">
            <w:r w:rsidRPr="009F2514">
              <w:t>135</w:t>
            </w:r>
            <w:r w:rsidR="003E3065">
              <w:rPr>
                <w:rFonts w:hint="eastAsia"/>
                <w:lang w:eastAsia="zh-CN"/>
              </w:rPr>
              <w:t xml:space="preserve"> </w:t>
            </w:r>
            <w:r w:rsidRPr="009F2514">
              <w:t>683</w:t>
            </w:r>
          </w:p>
        </w:tc>
      </w:tr>
      <w:tr w:rsidR="00801A42" w14:paraId="70A20551" w14:textId="77777777" w:rsidTr="00830EDB">
        <w:tc>
          <w:tcPr>
            <w:tcW w:w="1349" w:type="dxa"/>
          </w:tcPr>
          <w:p w14:paraId="2247AA45" w14:textId="4A344816" w:rsidR="00801A42" w:rsidRDefault="0007383E" w:rsidP="00801A42">
            <w:pPr>
              <w:jc w:val="left"/>
            </w:pPr>
            <w:r>
              <w:rPr>
                <w:color w:val="4472C4"/>
                <w:sz w:val="13"/>
              </w:rPr>
              <w:t>AASB </w:t>
            </w:r>
            <w:r w:rsidR="00801A42">
              <w:rPr>
                <w:color w:val="4472C4"/>
                <w:sz w:val="13"/>
              </w:rPr>
              <w:t>10</w:t>
            </w:r>
            <w:r w:rsidR="00801A42">
              <w:rPr>
                <w:rFonts w:hint="eastAsia"/>
                <w:color w:val="4472C4"/>
                <w:sz w:val="13"/>
                <w:lang w:eastAsia="zh-CN"/>
              </w:rPr>
              <w:t>60</w:t>
            </w:r>
            <w:r w:rsidR="00801A42">
              <w:rPr>
                <w:color w:val="4472C4"/>
                <w:sz w:val="13"/>
              </w:rPr>
              <w:t>.</w:t>
            </w:r>
            <w:r w:rsidR="00801A42">
              <w:rPr>
                <w:rFonts w:hint="eastAsia"/>
                <w:color w:val="4472C4"/>
                <w:sz w:val="13"/>
                <w:lang w:eastAsia="zh-CN"/>
              </w:rPr>
              <w:t>35</w:t>
            </w:r>
            <w:r w:rsidR="00801A42">
              <w:rPr>
                <w:color w:val="4472C4"/>
                <w:sz w:val="13"/>
              </w:rPr>
              <w:t xml:space="preserve"> (</w:t>
            </w:r>
            <w:r w:rsidR="00801A42">
              <w:rPr>
                <w:rFonts w:hint="eastAsia"/>
                <w:color w:val="4472C4"/>
                <w:sz w:val="13"/>
                <w:lang w:eastAsia="zh-CN"/>
              </w:rPr>
              <w:t>g</w:t>
            </w:r>
            <w:r w:rsidR="00801A42">
              <w:rPr>
                <w:color w:val="4472C4"/>
                <w:sz w:val="13"/>
              </w:rPr>
              <w:t>)</w:t>
            </w:r>
          </w:p>
        </w:tc>
        <w:tc>
          <w:tcPr>
            <w:tcW w:w="3896" w:type="dxa"/>
          </w:tcPr>
          <w:p w14:paraId="325BDF0D" w14:textId="77777777" w:rsidR="00801A42" w:rsidRDefault="00801A42" w:rsidP="00801A42">
            <w:pPr>
              <w:jc w:val="left"/>
            </w:pPr>
            <w:r>
              <w:t>Intangible assets</w:t>
            </w:r>
          </w:p>
        </w:tc>
        <w:tc>
          <w:tcPr>
            <w:tcW w:w="2126" w:type="dxa"/>
            <w:vAlign w:val="center"/>
          </w:tcPr>
          <w:p w14:paraId="0988C23A" w14:textId="1BB46EB3" w:rsidR="00801A42" w:rsidRDefault="002C5F1B" w:rsidP="00801A42">
            <w:pPr>
              <w:jc w:val="center"/>
            </w:pPr>
            <w:r>
              <w:rPr>
                <w:rFonts w:ascii="Arial" w:hAnsi="Arial" w:cs="Arial" w:hint="eastAsia"/>
                <w:color w:val="000000"/>
                <w:szCs w:val="16"/>
                <w:lang w:eastAsia="zh-CN"/>
              </w:rPr>
              <w:t>4</w:t>
            </w:r>
            <w:r w:rsidR="00801A42">
              <w:rPr>
                <w:rFonts w:ascii="Arial" w:hAnsi="Arial" w:cs="Arial"/>
                <w:color w:val="000000"/>
                <w:szCs w:val="16"/>
              </w:rPr>
              <w:t>.</w:t>
            </w:r>
            <w:r>
              <w:rPr>
                <w:rFonts w:ascii="Arial" w:hAnsi="Arial" w:cs="Arial" w:hint="eastAsia"/>
                <w:color w:val="000000"/>
                <w:szCs w:val="16"/>
                <w:lang w:eastAsia="zh-CN"/>
              </w:rPr>
              <w:t>2</w:t>
            </w:r>
          </w:p>
        </w:tc>
        <w:tc>
          <w:tcPr>
            <w:tcW w:w="851" w:type="dxa"/>
            <w:vAlign w:val="center"/>
          </w:tcPr>
          <w:p w14:paraId="5E8FF001" w14:textId="1E087A67" w:rsidR="00801A42" w:rsidRDefault="00801A42" w:rsidP="00801A42">
            <w:r>
              <w:rPr>
                <w:rFonts w:ascii="Arial" w:hAnsi="Arial" w:cs="Arial"/>
                <w:color w:val="000000"/>
                <w:szCs w:val="16"/>
              </w:rPr>
              <w:t>9</w:t>
            </w:r>
            <w:r w:rsidR="003E3065">
              <w:rPr>
                <w:rFonts w:ascii="Arial" w:hAnsi="Arial" w:cs="Arial" w:hint="eastAsia"/>
                <w:color w:val="000000"/>
                <w:szCs w:val="16"/>
                <w:lang w:eastAsia="zh-CN"/>
              </w:rPr>
              <w:t xml:space="preserve"> </w:t>
            </w:r>
            <w:r>
              <w:rPr>
                <w:rFonts w:ascii="Arial" w:hAnsi="Arial" w:cs="Arial"/>
                <w:color w:val="000000"/>
                <w:szCs w:val="16"/>
              </w:rPr>
              <w:t>252</w:t>
            </w:r>
          </w:p>
        </w:tc>
        <w:tc>
          <w:tcPr>
            <w:tcW w:w="1417" w:type="dxa"/>
            <w:vAlign w:val="center"/>
          </w:tcPr>
          <w:p w14:paraId="52F73466" w14:textId="464C727F" w:rsidR="00801A42" w:rsidRDefault="00801A42" w:rsidP="00801A42">
            <w:r>
              <w:rPr>
                <w:rFonts w:ascii="Arial" w:hAnsi="Arial" w:cs="Arial"/>
                <w:color w:val="000000"/>
                <w:szCs w:val="16"/>
              </w:rPr>
              <w:t>9</w:t>
            </w:r>
            <w:r w:rsidR="003E3065">
              <w:rPr>
                <w:rFonts w:ascii="Arial" w:hAnsi="Arial" w:cs="Arial" w:hint="eastAsia"/>
                <w:color w:val="000000"/>
                <w:szCs w:val="16"/>
                <w:lang w:eastAsia="zh-CN"/>
              </w:rPr>
              <w:t xml:space="preserve"> </w:t>
            </w:r>
            <w:r>
              <w:rPr>
                <w:rFonts w:ascii="Arial" w:hAnsi="Arial" w:cs="Arial"/>
                <w:color w:val="000000"/>
                <w:szCs w:val="16"/>
              </w:rPr>
              <w:t>447</w:t>
            </w:r>
          </w:p>
        </w:tc>
      </w:tr>
      <w:tr w:rsidR="00830EDB" w14:paraId="5025D8E2" w14:textId="77777777" w:rsidTr="00830EDB">
        <w:tc>
          <w:tcPr>
            <w:tcW w:w="1349" w:type="dxa"/>
          </w:tcPr>
          <w:p w14:paraId="12B2F395" w14:textId="6B0FE6CA" w:rsidR="00830EDB" w:rsidRDefault="0007383E" w:rsidP="00830EDB">
            <w:pPr>
              <w:jc w:val="left"/>
            </w:pPr>
            <w:r>
              <w:rPr>
                <w:color w:val="4472C4"/>
                <w:sz w:val="13"/>
              </w:rPr>
              <w:t>AASB </w:t>
            </w:r>
            <w:r w:rsidR="00830EDB">
              <w:rPr>
                <w:color w:val="4472C4"/>
                <w:sz w:val="13"/>
              </w:rPr>
              <w:t>10</w:t>
            </w:r>
            <w:r w:rsidR="00830EDB">
              <w:rPr>
                <w:rFonts w:hint="eastAsia"/>
                <w:color w:val="4472C4"/>
                <w:sz w:val="13"/>
                <w:lang w:eastAsia="zh-CN"/>
              </w:rPr>
              <w:t>60</w:t>
            </w:r>
            <w:r w:rsidR="00830EDB">
              <w:rPr>
                <w:color w:val="4472C4"/>
                <w:sz w:val="13"/>
              </w:rPr>
              <w:t>.</w:t>
            </w:r>
            <w:r w:rsidR="00830EDB">
              <w:rPr>
                <w:rFonts w:hint="eastAsia"/>
                <w:color w:val="4472C4"/>
                <w:sz w:val="13"/>
                <w:lang w:eastAsia="zh-CN"/>
              </w:rPr>
              <w:t>36</w:t>
            </w:r>
          </w:p>
        </w:tc>
        <w:tc>
          <w:tcPr>
            <w:tcW w:w="3896" w:type="dxa"/>
            <w:tcBorders>
              <w:bottom w:val="single" w:sz="12" w:space="0" w:color="auto"/>
            </w:tcBorders>
          </w:tcPr>
          <w:p w14:paraId="7637580B" w14:textId="77777777" w:rsidR="00830EDB" w:rsidRDefault="00830EDB" w:rsidP="00830EDB">
            <w:pPr>
              <w:jc w:val="left"/>
            </w:pPr>
            <w:r>
              <w:t>Other non</w:t>
            </w:r>
            <w:r>
              <w:rPr>
                <w:rFonts w:ascii="Cambria Math" w:hAnsi="Cambria Math" w:cs="Cambria Math"/>
              </w:rPr>
              <w:t>‑</w:t>
            </w:r>
            <w:r>
              <w:t>financial assets</w:t>
            </w:r>
          </w:p>
        </w:tc>
        <w:tc>
          <w:tcPr>
            <w:tcW w:w="2126" w:type="dxa"/>
            <w:tcBorders>
              <w:bottom w:val="single" w:sz="12" w:space="0" w:color="auto"/>
            </w:tcBorders>
            <w:vAlign w:val="center"/>
          </w:tcPr>
          <w:p w14:paraId="443991AF" w14:textId="7DD14B00" w:rsidR="00830EDB" w:rsidRDefault="00830EDB" w:rsidP="00830EDB">
            <w:pPr>
              <w:jc w:val="center"/>
            </w:pPr>
            <w:r>
              <w:rPr>
                <w:rFonts w:ascii="Arial" w:hAnsi="Arial" w:cs="Arial"/>
                <w:color w:val="000000"/>
                <w:szCs w:val="16"/>
              </w:rPr>
              <w:t>8.2.1</w:t>
            </w:r>
          </w:p>
        </w:tc>
        <w:tc>
          <w:tcPr>
            <w:tcW w:w="851" w:type="dxa"/>
            <w:tcBorders>
              <w:bottom w:val="single" w:sz="12" w:space="0" w:color="auto"/>
            </w:tcBorders>
            <w:vAlign w:val="center"/>
          </w:tcPr>
          <w:p w14:paraId="6F96D1CB" w14:textId="6137292C" w:rsidR="00830EDB" w:rsidRDefault="00830EDB" w:rsidP="00830EDB">
            <w:r>
              <w:rPr>
                <w:rFonts w:ascii="Arial" w:hAnsi="Arial" w:cs="Arial"/>
                <w:color w:val="000000"/>
                <w:szCs w:val="16"/>
              </w:rPr>
              <w:t>1</w:t>
            </w:r>
            <w:r>
              <w:rPr>
                <w:rFonts w:ascii="Arial" w:hAnsi="Arial" w:cs="Arial" w:hint="eastAsia"/>
                <w:color w:val="000000"/>
                <w:szCs w:val="16"/>
                <w:lang w:eastAsia="zh-CN"/>
              </w:rPr>
              <w:t xml:space="preserve"> </w:t>
            </w:r>
            <w:r>
              <w:rPr>
                <w:rFonts w:ascii="Arial" w:hAnsi="Arial" w:cs="Arial"/>
                <w:color w:val="000000"/>
                <w:szCs w:val="16"/>
              </w:rPr>
              <w:t>483</w:t>
            </w:r>
          </w:p>
        </w:tc>
        <w:tc>
          <w:tcPr>
            <w:tcW w:w="1417" w:type="dxa"/>
            <w:tcBorders>
              <w:bottom w:val="single" w:sz="12" w:space="0" w:color="auto"/>
            </w:tcBorders>
            <w:vAlign w:val="center"/>
          </w:tcPr>
          <w:p w14:paraId="07FB562E" w14:textId="1C3365A9" w:rsidR="00830EDB" w:rsidRDefault="00830EDB" w:rsidP="00830EDB">
            <w:r>
              <w:rPr>
                <w:rFonts w:ascii="Arial" w:hAnsi="Arial" w:cs="Arial"/>
                <w:color w:val="000000"/>
                <w:szCs w:val="16"/>
              </w:rPr>
              <w:t>380</w:t>
            </w:r>
          </w:p>
        </w:tc>
      </w:tr>
      <w:tr w:rsidR="00830EDB" w14:paraId="49E92FB8" w14:textId="77777777" w:rsidTr="00830EDB">
        <w:tc>
          <w:tcPr>
            <w:tcW w:w="1349" w:type="dxa"/>
          </w:tcPr>
          <w:p w14:paraId="56FE3C74" w14:textId="77777777" w:rsidR="00830EDB" w:rsidRDefault="00830EDB" w:rsidP="00830EDB">
            <w:pPr>
              <w:jc w:val="left"/>
            </w:pPr>
          </w:p>
        </w:tc>
        <w:tc>
          <w:tcPr>
            <w:tcW w:w="3896" w:type="dxa"/>
          </w:tcPr>
          <w:p w14:paraId="72620C9F" w14:textId="77777777" w:rsidR="00830EDB" w:rsidRDefault="00830EDB" w:rsidP="00830EDB">
            <w:pPr>
              <w:jc w:val="left"/>
            </w:pPr>
            <w:r>
              <w:rPr>
                <w:b/>
              </w:rPr>
              <w:t>Total non</w:t>
            </w:r>
            <w:r>
              <w:rPr>
                <w:rFonts w:ascii="Cambria Math" w:hAnsi="Cambria Math" w:cs="Cambria Math"/>
                <w:b/>
              </w:rPr>
              <w:t>‑</w:t>
            </w:r>
            <w:r>
              <w:rPr>
                <w:b/>
              </w:rPr>
              <w:t>financial assets</w:t>
            </w:r>
          </w:p>
        </w:tc>
        <w:tc>
          <w:tcPr>
            <w:tcW w:w="2126" w:type="dxa"/>
          </w:tcPr>
          <w:p w14:paraId="368B31D7" w14:textId="77777777" w:rsidR="00830EDB" w:rsidRDefault="00830EDB" w:rsidP="00830EDB">
            <w:pPr>
              <w:jc w:val="center"/>
            </w:pPr>
          </w:p>
        </w:tc>
        <w:tc>
          <w:tcPr>
            <w:tcW w:w="851" w:type="dxa"/>
            <w:vAlign w:val="center"/>
          </w:tcPr>
          <w:p w14:paraId="1503C52C" w14:textId="122065E5" w:rsidR="00830EDB" w:rsidRDefault="00830EDB" w:rsidP="00830EDB">
            <w:r>
              <w:rPr>
                <w:rFonts w:ascii="Arial" w:hAnsi="Arial" w:cs="Arial"/>
                <w:b/>
                <w:bCs/>
                <w:color w:val="000000"/>
                <w:szCs w:val="16"/>
              </w:rPr>
              <w:t>167</w:t>
            </w:r>
            <w:r>
              <w:rPr>
                <w:rFonts w:ascii="Arial" w:hAnsi="Arial" w:cs="Arial" w:hint="eastAsia"/>
                <w:b/>
                <w:bCs/>
                <w:color w:val="000000"/>
                <w:szCs w:val="16"/>
                <w:lang w:eastAsia="zh-CN"/>
              </w:rPr>
              <w:t xml:space="preserve"> </w:t>
            </w:r>
            <w:r>
              <w:rPr>
                <w:rFonts w:ascii="Arial" w:hAnsi="Arial" w:cs="Arial"/>
                <w:b/>
                <w:bCs/>
                <w:color w:val="000000"/>
                <w:szCs w:val="16"/>
              </w:rPr>
              <w:t>448</w:t>
            </w:r>
          </w:p>
        </w:tc>
        <w:tc>
          <w:tcPr>
            <w:tcW w:w="1417" w:type="dxa"/>
            <w:vAlign w:val="center"/>
          </w:tcPr>
          <w:p w14:paraId="4CAFE813" w14:textId="7FF1CDF1" w:rsidR="00830EDB" w:rsidRDefault="00830EDB" w:rsidP="00830EDB">
            <w:r>
              <w:rPr>
                <w:rFonts w:ascii="Arial" w:hAnsi="Arial" w:cs="Arial"/>
                <w:b/>
                <w:bCs/>
                <w:color w:val="000000"/>
                <w:szCs w:val="16"/>
              </w:rPr>
              <w:t>166</w:t>
            </w:r>
            <w:r>
              <w:rPr>
                <w:rFonts w:ascii="Arial" w:hAnsi="Arial" w:cs="Arial" w:hint="eastAsia"/>
                <w:b/>
                <w:bCs/>
                <w:color w:val="000000"/>
                <w:szCs w:val="16"/>
                <w:lang w:eastAsia="zh-CN"/>
              </w:rPr>
              <w:t xml:space="preserve"> </w:t>
            </w:r>
            <w:r>
              <w:rPr>
                <w:rFonts w:ascii="Arial" w:hAnsi="Arial" w:cs="Arial"/>
                <w:b/>
                <w:bCs/>
                <w:color w:val="000000"/>
                <w:szCs w:val="16"/>
              </w:rPr>
              <w:t>711</w:t>
            </w:r>
          </w:p>
        </w:tc>
      </w:tr>
      <w:tr w:rsidR="00830EDB" w14:paraId="3A8A4408" w14:textId="77777777" w:rsidTr="00830EDB">
        <w:tc>
          <w:tcPr>
            <w:tcW w:w="1349" w:type="dxa"/>
          </w:tcPr>
          <w:p w14:paraId="7057E093" w14:textId="77777777" w:rsidR="00830EDB" w:rsidRDefault="00830EDB" w:rsidP="00830EDB">
            <w:pPr>
              <w:jc w:val="left"/>
            </w:pPr>
          </w:p>
        </w:tc>
        <w:tc>
          <w:tcPr>
            <w:tcW w:w="3896" w:type="dxa"/>
          </w:tcPr>
          <w:p w14:paraId="764F4955" w14:textId="77777777" w:rsidR="00830EDB" w:rsidRDefault="00830EDB" w:rsidP="00830EDB">
            <w:pPr>
              <w:jc w:val="left"/>
            </w:pPr>
            <w:r>
              <w:rPr>
                <w:b/>
              </w:rPr>
              <w:t>Total assets</w:t>
            </w:r>
          </w:p>
        </w:tc>
        <w:tc>
          <w:tcPr>
            <w:tcW w:w="2126" w:type="dxa"/>
          </w:tcPr>
          <w:p w14:paraId="5ABD2B4D" w14:textId="77777777" w:rsidR="00830EDB" w:rsidRDefault="00830EDB" w:rsidP="00830EDB">
            <w:pPr>
              <w:jc w:val="center"/>
            </w:pPr>
          </w:p>
        </w:tc>
        <w:tc>
          <w:tcPr>
            <w:tcW w:w="851" w:type="dxa"/>
            <w:vAlign w:val="center"/>
          </w:tcPr>
          <w:p w14:paraId="263318B1" w14:textId="7A7688E3" w:rsidR="00830EDB" w:rsidRDefault="00830EDB" w:rsidP="00830EDB">
            <w:r>
              <w:rPr>
                <w:rFonts w:ascii="Arial" w:hAnsi="Arial" w:cs="Arial"/>
                <w:b/>
                <w:bCs/>
                <w:color w:val="000000"/>
                <w:szCs w:val="16"/>
              </w:rPr>
              <w:t>275</w:t>
            </w:r>
            <w:r>
              <w:rPr>
                <w:rFonts w:ascii="Arial" w:hAnsi="Arial" w:cs="Arial" w:hint="eastAsia"/>
                <w:b/>
                <w:bCs/>
                <w:color w:val="000000"/>
                <w:szCs w:val="16"/>
                <w:lang w:eastAsia="zh-CN"/>
              </w:rPr>
              <w:t xml:space="preserve"> </w:t>
            </w:r>
            <w:r>
              <w:rPr>
                <w:rFonts w:ascii="Arial" w:hAnsi="Arial" w:cs="Arial"/>
                <w:b/>
                <w:bCs/>
                <w:color w:val="000000"/>
                <w:szCs w:val="16"/>
              </w:rPr>
              <w:t>316</w:t>
            </w:r>
          </w:p>
        </w:tc>
        <w:tc>
          <w:tcPr>
            <w:tcW w:w="1417" w:type="dxa"/>
            <w:vAlign w:val="center"/>
          </w:tcPr>
          <w:p w14:paraId="11471179" w14:textId="306E73DD" w:rsidR="00830EDB" w:rsidRDefault="00830EDB" w:rsidP="00830EDB">
            <w:r>
              <w:rPr>
                <w:rFonts w:ascii="Arial" w:hAnsi="Arial" w:cs="Arial"/>
                <w:b/>
                <w:bCs/>
                <w:color w:val="000000"/>
                <w:szCs w:val="16"/>
              </w:rPr>
              <w:t>253</w:t>
            </w:r>
            <w:r>
              <w:rPr>
                <w:rFonts w:ascii="Arial" w:hAnsi="Arial" w:cs="Arial" w:hint="eastAsia"/>
                <w:b/>
                <w:bCs/>
                <w:color w:val="000000"/>
                <w:szCs w:val="16"/>
                <w:lang w:eastAsia="zh-CN"/>
              </w:rPr>
              <w:t xml:space="preserve"> </w:t>
            </w:r>
            <w:r>
              <w:rPr>
                <w:rFonts w:ascii="Arial" w:hAnsi="Arial" w:cs="Arial"/>
                <w:b/>
                <w:bCs/>
                <w:color w:val="000000"/>
                <w:szCs w:val="16"/>
              </w:rPr>
              <w:t>699</w:t>
            </w:r>
          </w:p>
        </w:tc>
      </w:tr>
      <w:tr w:rsidR="00830EDB" w14:paraId="48F23209" w14:textId="77777777" w:rsidTr="00830EDB">
        <w:tc>
          <w:tcPr>
            <w:tcW w:w="1349" w:type="dxa"/>
          </w:tcPr>
          <w:p w14:paraId="43DA44DF" w14:textId="5F400706" w:rsidR="00830EDB" w:rsidRDefault="00830EDB" w:rsidP="00830EDB">
            <w:pPr>
              <w:jc w:val="left"/>
            </w:pPr>
          </w:p>
        </w:tc>
        <w:tc>
          <w:tcPr>
            <w:tcW w:w="3896" w:type="dxa"/>
          </w:tcPr>
          <w:p w14:paraId="2790F242" w14:textId="77777777" w:rsidR="00830EDB" w:rsidRDefault="00830EDB" w:rsidP="00830EDB">
            <w:pPr>
              <w:jc w:val="left"/>
            </w:pPr>
            <w:r>
              <w:rPr>
                <w:b/>
              </w:rPr>
              <w:t>Liabilities</w:t>
            </w:r>
          </w:p>
        </w:tc>
        <w:tc>
          <w:tcPr>
            <w:tcW w:w="2126" w:type="dxa"/>
          </w:tcPr>
          <w:p w14:paraId="7EAAA03F" w14:textId="77777777" w:rsidR="00830EDB" w:rsidRDefault="00830EDB" w:rsidP="00830EDB">
            <w:pPr>
              <w:jc w:val="center"/>
            </w:pPr>
          </w:p>
        </w:tc>
        <w:tc>
          <w:tcPr>
            <w:tcW w:w="851" w:type="dxa"/>
          </w:tcPr>
          <w:p w14:paraId="72D27BA8" w14:textId="77777777" w:rsidR="00830EDB" w:rsidRDefault="00830EDB" w:rsidP="00830EDB"/>
        </w:tc>
        <w:tc>
          <w:tcPr>
            <w:tcW w:w="1417" w:type="dxa"/>
          </w:tcPr>
          <w:p w14:paraId="0FDED618" w14:textId="77777777" w:rsidR="00830EDB" w:rsidRDefault="00830EDB" w:rsidP="00830EDB"/>
        </w:tc>
      </w:tr>
      <w:tr w:rsidR="00830EDB" w14:paraId="08D0D909" w14:textId="77777777" w:rsidTr="00830EDB">
        <w:tc>
          <w:tcPr>
            <w:tcW w:w="1349" w:type="dxa"/>
          </w:tcPr>
          <w:p w14:paraId="7EA0B8D1" w14:textId="486F20C3" w:rsidR="00830EDB" w:rsidRDefault="0007383E" w:rsidP="00830EDB">
            <w:pPr>
              <w:jc w:val="left"/>
            </w:pPr>
            <w:r>
              <w:rPr>
                <w:color w:val="4472C4"/>
                <w:sz w:val="13"/>
              </w:rPr>
              <w:t>AASB </w:t>
            </w:r>
            <w:r w:rsidR="00830EDB">
              <w:rPr>
                <w:color w:val="4472C4"/>
                <w:sz w:val="13"/>
              </w:rPr>
              <w:t>10</w:t>
            </w:r>
            <w:r w:rsidR="00830EDB">
              <w:rPr>
                <w:rFonts w:hint="eastAsia"/>
                <w:color w:val="4472C4"/>
                <w:sz w:val="13"/>
                <w:lang w:eastAsia="zh-CN"/>
              </w:rPr>
              <w:t>60</w:t>
            </w:r>
            <w:r w:rsidR="00830EDB">
              <w:rPr>
                <w:color w:val="4472C4"/>
                <w:sz w:val="13"/>
              </w:rPr>
              <w:t>.</w:t>
            </w:r>
            <w:r w:rsidR="00830EDB">
              <w:rPr>
                <w:rFonts w:hint="eastAsia"/>
                <w:color w:val="4472C4"/>
                <w:sz w:val="13"/>
                <w:lang w:eastAsia="zh-CN"/>
              </w:rPr>
              <w:t>35</w:t>
            </w:r>
            <w:r w:rsidR="00830EDB">
              <w:rPr>
                <w:color w:val="4472C4"/>
                <w:sz w:val="13"/>
              </w:rPr>
              <w:t xml:space="preserve"> (k)</w:t>
            </w:r>
          </w:p>
        </w:tc>
        <w:tc>
          <w:tcPr>
            <w:tcW w:w="3896" w:type="dxa"/>
          </w:tcPr>
          <w:p w14:paraId="76DF2208" w14:textId="41030E30" w:rsidR="00830EDB" w:rsidRDefault="00830EDB" w:rsidP="00830EDB">
            <w:pPr>
              <w:jc w:val="left"/>
            </w:pPr>
            <w:r>
              <w:t>Payables</w:t>
            </w:r>
          </w:p>
        </w:tc>
        <w:tc>
          <w:tcPr>
            <w:tcW w:w="2126" w:type="dxa"/>
          </w:tcPr>
          <w:p w14:paraId="692993B3" w14:textId="249631A8" w:rsidR="00830EDB" w:rsidRDefault="00830EDB" w:rsidP="00830EDB">
            <w:pPr>
              <w:jc w:val="center"/>
            </w:pPr>
            <w:r w:rsidRPr="008F3B9F">
              <w:t>5.2</w:t>
            </w:r>
            <w:r w:rsidR="00D26E21">
              <w:t>.1</w:t>
            </w:r>
          </w:p>
        </w:tc>
        <w:tc>
          <w:tcPr>
            <w:tcW w:w="851" w:type="dxa"/>
          </w:tcPr>
          <w:p w14:paraId="7B143189" w14:textId="365A5B81" w:rsidR="00830EDB" w:rsidRDefault="00830EDB" w:rsidP="00830EDB">
            <w:r w:rsidRPr="008F3B9F">
              <w:t>35</w:t>
            </w:r>
            <w:r>
              <w:rPr>
                <w:rFonts w:hint="eastAsia"/>
                <w:lang w:eastAsia="zh-CN"/>
              </w:rPr>
              <w:t xml:space="preserve"> </w:t>
            </w:r>
            <w:r w:rsidRPr="008F3B9F">
              <w:t>8</w:t>
            </w:r>
            <w:r w:rsidR="00C71FA8">
              <w:t>4</w:t>
            </w:r>
            <w:r w:rsidRPr="008F3B9F">
              <w:t>4</w:t>
            </w:r>
          </w:p>
        </w:tc>
        <w:tc>
          <w:tcPr>
            <w:tcW w:w="1417" w:type="dxa"/>
          </w:tcPr>
          <w:p w14:paraId="50BD4A1B" w14:textId="43753409" w:rsidR="00830EDB" w:rsidRDefault="00830EDB" w:rsidP="00830EDB">
            <w:r w:rsidRPr="008F3B9F">
              <w:t>35</w:t>
            </w:r>
            <w:r>
              <w:rPr>
                <w:rFonts w:hint="eastAsia"/>
                <w:lang w:eastAsia="zh-CN"/>
              </w:rPr>
              <w:t xml:space="preserve"> </w:t>
            </w:r>
            <w:r w:rsidR="00C71FA8">
              <w:t>85</w:t>
            </w:r>
            <w:r w:rsidRPr="008F3B9F">
              <w:t>9</w:t>
            </w:r>
          </w:p>
        </w:tc>
      </w:tr>
      <w:tr w:rsidR="007E6161" w14:paraId="3149ED0D" w14:textId="77777777" w:rsidTr="00830EDB">
        <w:tc>
          <w:tcPr>
            <w:tcW w:w="1349" w:type="dxa"/>
          </w:tcPr>
          <w:p w14:paraId="0B4DF693" w14:textId="01E1B00D" w:rsidR="007E6161" w:rsidRDefault="0007383E" w:rsidP="00E10CD7">
            <w:pPr>
              <w:jc w:val="left"/>
              <w:rPr>
                <w:color w:val="4472C4"/>
                <w:sz w:val="13"/>
              </w:rPr>
            </w:pPr>
            <w:r>
              <w:rPr>
                <w:color w:val="4472C4"/>
                <w:sz w:val="13"/>
              </w:rPr>
              <w:t>AASB </w:t>
            </w:r>
            <w:r w:rsidR="004F16E4">
              <w:rPr>
                <w:color w:val="4472C4"/>
                <w:sz w:val="13"/>
              </w:rPr>
              <w:t>15.105</w:t>
            </w:r>
          </w:p>
        </w:tc>
        <w:tc>
          <w:tcPr>
            <w:tcW w:w="3896" w:type="dxa"/>
          </w:tcPr>
          <w:p w14:paraId="48F9235E" w14:textId="7B7590B0" w:rsidR="007E6161" w:rsidRDefault="004F16E4" w:rsidP="00E10CD7">
            <w:pPr>
              <w:jc w:val="left"/>
            </w:pPr>
            <w:r>
              <w:t>Contract liabilities</w:t>
            </w:r>
          </w:p>
        </w:tc>
        <w:tc>
          <w:tcPr>
            <w:tcW w:w="2126" w:type="dxa"/>
          </w:tcPr>
          <w:p w14:paraId="18CEAF4F" w14:textId="1C9FC250" w:rsidR="007E6161" w:rsidRPr="008F3B9F" w:rsidRDefault="00D26E21" w:rsidP="00830EDB">
            <w:pPr>
              <w:jc w:val="center"/>
            </w:pPr>
            <w:r>
              <w:t>5.2.2</w:t>
            </w:r>
          </w:p>
        </w:tc>
        <w:tc>
          <w:tcPr>
            <w:tcW w:w="851" w:type="dxa"/>
          </w:tcPr>
          <w:p w14:paraId="4C281B3A" w14:textId="5860FB42" w:rsidR="007E6161" w:rsidRPr="008F3B9F" w:rsidRDefault="00C71FA8" w:rsidP="00830EDB">
            <w:r>
              <w:t>50</w:t>
            </w:r>
          </w:p>
        </w:tc>
        <w:tc>
          <w:tcPr>
            <w:tcW w:w="1417" w:type="dxa"/>
          </w:tcPr>
          <w:p w14:paraId="39A95C62" w14:textId="3FF0466B" w:rsidR="007E6161" w:rsidRPr="008F3B9F" w:rsidRDefault="00C71FA8" w:rsidP="00830EDB">
            <w:r>
              <w:t>50</w:t>
            </w:r>
          </w:p>
        </w:tc>
      </w:tr>
      <w:tr w:rsidR="00830EDB" w14:paraId="48025D24" w14:textId="77777777" w:rsidTr="00830EDB">
        <w:tc>
          <w:tcPr>
            <w:tcW w:w="1349" w:type="dxa"/>
          </w:tcPr>
          <w:p w14:paraId="5E27E812" w14:textId="04EBD72E" w:rsidR="00830EDB" w:rsidRDefault="0007383E" w:rsidP="00830EDB">
            <w:pPr>
              <w:jc w:val="left"/>
            </w:pPr>
            <w:r>
              <w:rPr>
                <w:color w:val="4472C4"/>
                <w:sz w:val="13"/>
              </w:rPr>
              <w:t>AASB </w:t>
            </w:r>
            <w:r w:rsidR="00830EDB">
              <w:rPr>
                <w:color w:val="4472C4"/>
                <w:sz w:val="13"/>
              </w:rPr>
              <w:t>10</w:t>
            </w:r>
            <w:r w:rsidR="00830EDB">
              <w:rPr>
                <w:rFonts w:hint="eastAsia"/>
                <w:color w:val="4472C4"/>
                <w:sz w:val="13"/>
                <w:lang w:eastAsia="zh-CN"/>
              </w:rPr>
              <w:t>60</w:t>
            </w:r>
            <w:r w:rsidR="00830EDB">
              <w:rPr>
                <w:color w:val="4472C4"/>
                <w:sz w:val="13"/>
              </w:rPr>
              <w:t>.</w:t>
            </w:r>
            <w:r w:rsidR="00830EDB">
              <w:rPr>
                <w:rFonts w:hint="eastAsia"/>
                <w:color w:val="4472C4"/>
                <w:sz w:val="13"/>
                <w:lang w:eastAsia="zh-CN"/>
              </w:rPr>
              <w:t>35</w:t>
            </w:r>
            <w:r w:rsidR="00830EDB">
              <w:rPr>
                <w:color w:val="4472C4"/>
                <w:sz w:val="13"/>
              </w:rPr>
              <w:t xml:space="preserve"> (</w:t>
            </w:r>
            <w:r w:rsidR="00830EDB">
              <w:rPr>
                <w:rFonts w:hint="eastAsia"/>
                <w:color w:val="4472C4"/>
                <w:sz w:val="13"/>
                <w:lang w:eastAsia="zh-CN"/>
              </w:rPr>
              <w:t>l</w:t>
            </w:r>
            <w:r w:rsidR="00830EDB">
              <w:rPr>
                <w:color w:val="4472C4"/>
                <w:sz w:val="13"/>
              </w:rPr>
              <w:t>)</w:t>
            </w:r>
          </w:p>
        </w:tc>
        <w:tc>
          <w:tcPr>
            <w:tcW w:w="3896" w:type="dxa"/>
          </w:tcPr>
          <w:p w14:paraId="3BFEF51F" w14:textId="77777777" w:rsidR="00830EDB" w:rsidRDefault="00830EDB" w:rsidP="00830EDB">
            <w:pPr>
              <w:jc w:val="left"/>
            </w:pPr>
            <w:r>
              <w:t>Borrowings</w:t>
            </w:r>
          </w:p>
        </w:tc>
        <w:tc>
          <w:tcPr>
            <w:tcW w:w="2126" w:type="dxa"/>
          </w:tcPr>
          <w:p w14:paraId="3F0E8665" w14:textId="025A24C0" w:rsidR="00830EDB" w:rsidRDefault="00766E57" w:rsidP="00830EDB">
            <w:pPr>
              <w:jc w:val="center"/>
            </w:pPr>
            <w:r>
              <w:rPr>
                <w:rFonts w:hint="eastAsia"/>
                <w:lang w:eastAsia="zh-CN"/>
              </w:rPr>
              <w:t>6.1</w:t>
            </w:r>
          </w:p>
        </w:tc>
        <w:tc>
          <w:tcPr>
            <w:tcW w:w="851" w:type="dxa"/>
            <w:vAlign w:val="center"/>
          </w:tcPr>
          <w:p w14:paraId="2B46AC41" w14:textId="2C4960BF" w:rsidR="00830EDB" w:rsidRDefault="00830EDB" w:rsidP="00830EDB">
            <w:r>
              <w:rPr>
                <w:rFonts w:ascii="Arial" w:hAnsi="Arial" w:cs="Arial"/>
                <w:color w:val="000000"/>
                <w:szCs w:val="16"/>
              </w:rPr>
              <w:t>67</w:t>
            </w:r>
            <w:r>
              <w:rPr>
                <w:rFonts w:ascii="Arial" w:hAnsi="Arial" w:cs="Arial" w:hint="eastAsia"/>
                <w:color w:val="000000"/>
                <w:szCs w:val="16"/>
                <w:lang w:eastAsia="zh-CN"/>
              </w:rPr>
              <w:t xml:space="preserve"> </w:t>
            </w:r>
            <w:r>
              <w:rPr>
                <w:rFonts w:ascii="Arial" w:hAnsi="Arial" w:cs="Arial"/>
                <w:color w:val="000000"/>
                <w:szCs w:val="16"/>
              </w:rPr>
              <w:t>015</w:t>
            </w:r>
          </w:p>
        </w:tc>
        <w:tc>
          <w:tcPr>
            <w:tcW w:w="1417" w:type="dxa"/>
            <w:vAlign w:val="center"/>
          </w:tcPr>
          <w:p w14:paraId="514B121A" w14:textId="16114FB6" w:rsidR="00830EDB" w:rsidRDefault="00830EDB" w:rsidP="00830EDB">
            <w:r>
              <w:rPr>
                <w:rFonts w:ascii="Arial" w:hAnsi="Arial" w:cs="Arial"/>
                <w:color w:val="000000"/>
                <w:szCs w:val="16"/>
              </w:rPr>
              <w:t>59</w:t>
            </w:r>
            <w:r>
              <w:rPr>
                <w:rFonts w:ascii="Arial" w:hAnsi="Arial" w:cs="Arial" w:hint="eastAsia"/>
                <w:color w:val="000000"/>
                <w:szCs w:val="16"/>
                <w:lang w:eastAsia="zh-CN"/>
              </w:rPr>
              <w:t xml:space="preserve"> </w:t>
            </w:r>
            <w:r>
              <w:rPr>
                <w:rFonts w:ascii="Arial" w:hAnsi="Arial" w:cs="Arial"/>
                <w:color w:val="000000"/>
                <w:szCs w:val="16"/>
              </w:rPr>
              <w:t>878</w:t>
            </w:r>
          </w:p>
        </w:tc>
      </w:tr>
      <w:tr w:rsidR="00830EDB" w14:paraId="36FF694E" w14:textId="77777777" w:rsidTr="00E10CD7">
        <w:tc>
          <w:tcPr>
            <w:tcW w:w="0" w:type="dxa"/>
          </w:tcPr>
          <w:p w14:paraId="1DBC04EC" w14:textId="3DFF463B" w:rsidR="00830EDB" w:rsidRDefault="0007383E" w:rsidP="00830EDB">
            <w:pPr>
              <w:jc w:val="left"/>
            </w:pPr>
            <w:r>
              <w:rPr>
                <w:color w:val="4472C4"/>
                <w:sz w:val="13"/>
              </w:rPr>
              <w:t>AASB </w:t>
            </w:r>
            <w:r w:rsidR="00830EDB">
              <w:rPr>
                <w:color w:val="4472C4"/>
                <w:sz w:val="13"/>
              </w:rPr>
              <w:t>10</w:t>
            </w:r>
            <w:r w:rsidR="00830EDB">
              <w:rPr>
                <w:rFonts w:hint="eastAsia"/>
                <w:color w:val="4472C4"/>
                <w:sz w:val="13"/>
                <w:lang w:eastAsia="zh-CN"/>
              </w:rPr>
              <w:t>60</w:t>
            </w:r>
            <w:r w:rsidR="00830EDB">
              <w:rPr>
                <w:color w:val="4472C4"/>
                <w:sz w:val="13"/>
              </w:rPr>
              <w:t>.</w:t>
            </w:r>
            <w:r w:rsidR="00830EDB">
              <w:rPr>
                <w:rFonts w:hint="eastAsia"/>
                <w:color w:val="4472C4"/>
                <w:sz w:val="13"/>
                <w:lang w:eastAsia="zh-CN"/>
              </w:rPr>
              <w:t>44 (e</w:t>
            </w:r>
            <w:r w:rsidR="00830EDB">
              <w:rPr>
                <w:rFonts w:hint="eastAsia"/>
                <w:color w:val="4472C4"/>
                <w:sz w:val="13"/>
              </w:rPr>
              <w:t>)</w:t>
            </w:r>
          </w:p>
        </w:tc>
        <w:tc>
          <w:tcPr>
            <w:tcW w:w="0" w:type="dxa"/>
            <w:tcBorders>
              <w:bottom w:val="nil"/>
            </w:tcBorders>
          </w:tcPr>
          <w:p w14:paraId="51159937" w14:textId="77777777" w:rsidR="00830EDB" w:rsidRDefault="00830EDB" w:rsidP="00830EDB">
            <w:pPr>
              <w:jc w:val="left"/>
            </w:pPr>
            <w:r>
              <w:t>Employee related provisions</w:t>
            </w:r>
          </w:p>
        </w:tc>
        <w:tc>
          <w:tcPr>
            <w:tcW w:w="0" w:type="dxa"/>
            <w:tcBorders>
              <w:bottom w:val="nil"/>
            </w:tcBorders>
          </w:tcPr>
          <w:p w14:paraId="44A3B7C2" w14:textId="5740874E" w:rsidR="00830EDB" w:rsidRDefault="00FD374A" w:rsidP="00830EDB">
            <w:pPr>
              <w:jc w:val="center"/>
            </w:pPr>
            <w:r>
              <w:rPr>
                <w:rFonts w:hint="eastAsia"/>
                <w:lang w:eastAsia="zh-CN"/>
              </w:rPr>
              <w:t>3.1.2</w:t>
            </w:r>
          </w:p>
        </w:tc>
        <w:tc>
          <w:tcPr>
            <w:tcW w:w="0" w:type="dxa"/>
            <w:tcBorders>
              <w:bottom w:val="nil"/>
            </w:tcBorders>
            <w:vAlign w:val="center"/>
          </w:tcPr>
          <w:p w14:paraId="57CD7314" w14:textId="1FB15606" w:rsidR="00830EDB" w:rsidRDefault="00830EDB" w:rsidP="00830EDB">
            <w:r>
              <w:rPr>
                <w:rFonts w:ascii="Arial" w:hAnsi="Arial" w:cs="Arial"/>
                <w:color w:val="000000"/>
                <w:szCs w:val="16"/>
              </w:rPr>
              <w:t>10</w:t>
            </w:r>
            <w:r>
              <w:rPr>
                <w:rFonts w:ascii="Arial" w:hAnsi="Arial" w:cs="Arial" w:hint="eastAsia"/>
                <w:color w:val="000000"/>
                <w:szCs w:val="16"/>
                <w:lang w:eastAsia="zh-CN"/>
              </w:rPr>
              <w:t xml:space="preserve"> </w:t>
            </w:r>
            <w:r>
              <w:rPr>
                <w:rFonts w:ascii="Arial" w:hAnsi="Arial" w:cs="Arial"/>
                <w:color w:val="000000"/>
                <w:szCs w:val="16"/>
              </w:rPr>
              <w:t>754</w:t>
            </w:r>
          </w:p>
        </w:tc>
        <w:tc>
          <w:tcPr>
            <w:tcW w:w="0" w:type="dxa"/>
            <w:tcBorders>
              <w:bottom w:val="nil"/>
            </w:tcBorders>
            <w:vAlign w:val="center"/>
          </w:tcPr>
          <w:p w14:paraId="7FC4ABCA" w14:textId="713DF925" w:rsidR="00830EDB" w:rsidRDefault="00830EDB" w:rsidP="00830EDB">
            <w:r>
              <w:rPr>
                <w:rFonts w:ascii="Arial" w:hAnsi="Arial" w:cs="Arial"/>
                <w:color w:val="000000"/>
                <w:szCs w:val="16"/>
              </w:rPr>
              <w:t>17</w:t>
            </w:r>
            <w:r>
              <w:rPr>
                <w:rFonts w:ascii="Arial" w:hAnsi="Arial" w:cs="Arial" w:hint="eastAsia"/>
                <w:color w:val="000000"/>
                <w:szCs w:val="16"/>
                <w:lang w:eastAsia="zh-CN"/>
              </w:rPr>
              <w:t xml:space="preserve"> </w:t>
            </w:r>
            <w:r>
              <w:rPr>
                <w:rFonts w:ascii="Arial" w:hAnsi="Arial" w:cs="Arial"/>
                <w:color w:val="000000"/>
                <w:szCs w:val="16"/>
              </w:rPr>
              <w:t>073</w:t>
            </w:r>
          </w:p>
        </w:tc>
      </w:tr>
      <w:tr w:rsidR="00830EDB" w14:paraId="37EC2AD8" w14:textId="77777777" w:rsidTr="00E10CD7">
        <w:tc>
          <w:tcPr>
            <w:tcW w:w="0" w:type="dxa"/>
          </w:tcPr>
          <w:p w14:paraId="7F77B82A" w14:textId="0701A1A0" w:rsidR="00830EDB" w:rsidRDefault="0007383E" w:rsidP="00830EDB">
            <w:pPr>
              <w:jc w:val="left"/>
            </w:pPr>
            <w:r>
              <w:rPr>
                <w:color w:val="4472C4"/>
                <w:sz w:val="13"/>
              </w:rPr>
              <w:t>AASB </w:t>
            </w:r>
            <w:r w:rsidR="00830EDB">
              <w:rPr>
                <w:color w:val="4472C4"/>
                <w:sz w:val="13"/>
              </w:rPr>
              <w:t>10</w:t>
            </w:r>
            <w:r w:rsidR="00830EDB">
              <w:rPr>
                <w:rFonts w:hint="eastAsia"/>
                <w:color w:val="4472C4"/>
                <w:sz w:val="13"/>
                <w:lang w:eastAsia="zh-CN"/>
              </w:rPr>
              <w:t>60</w:t>
            </w:r>
            <w:r w:rsidR="00830EDB">
              <w:rPr>
                <w:color w:val="4472C4"/>
                <w:sz w:val="13"/>
              </w:rPr>
              <w:t>.</w:t>
            </w:r>
            <w:r w:rsidR="00830EDB">
              <w:rPr>
                <w:rFonts w:hint="eastAsia"/>
                <w:color w:val="4472C4"/>
                <w:sz w:val="13"/>
                <w:lang w:eastAsia="zh-CN"/>
              </w:rPr>
              <w:t>35</w:t>
            </w:r>
            <w:r w:rsidR="00830EDB">
              <w:rPr>
                <w:color w:val="4472C4"/>
                <w:sz w:val="13"/>
              </w:rPr>
              <w:t xml:space="preserve"> (</w:t>
            </w:r>
            <w:r w:rsidR="00830EDB">
              <w:rPr>
                <w:rFonts w:hint="eastAsia"/>
                <w:color w:val="4472C4"/>
                <w:sz w:val="13"/>
                <w:lang w:eastAsia="zh-CN"/>
              </w:rPr>
              <w:t>o</w:t>
            </w:r>
            <w:r w:rsidR="00830EDB">
              <w:rPr>
                <w:color w:val="4472C4"/>
                <w:sz w:val="13"/>
              </w:rPr>
              <w:t>)</w:t>
            </w:r>
            <w:r w:rsidR="00830EDB" w:rsidDel="00AC148F">
              <w:rPr>
                <w:rFonts w:hint="eastAsia"/>
                <w:color w:val="4472C4"/>
                <w:sz w:val="13"/>
                <w:lang w:eastAsia="zh-CN"/>
              </w:rPr>
              <w:t xml:space="preserve"> </w:t>
            </w:r>
          </w:p>
        </w:tc>
        <w:tc>
          <w:tcPr>
            <w:tcW w:w="0" w:type="dxa"/>
            <w:tcBorders>
              <w:bottom w:val="single" w:sz="12" w:space="0" w:color="auto"/>
            </w:tcBorders>
          </w:tcPr>
          <w:p w14:paraId="2EE11380" w14:textId="77777777" w:rsidR="00830EDB" w:rsidRDefault="00830EDB" w:rsidP="00830EDB">
            <w:pPr>
              <w:jc w:val="left"/>
            </w:pPr>
            <w:r>
              <w:t>Other provisions</w:t>
            </w:r>
          </w:p>
        </w:tc>
        <w:tc>
          <w:tcPr>
            <w:tcW w:w="0" w:type="dxa"/>
            <w:tcBorders>
              <w:bottom w:val="single" w:sz="12" w:space="0" w:color="auto"/>
            </w:tcBorders>
          </w:tcPr>
          <w:p w14:paraId="0BB5F33D" w14:textId="7852AB0D" w:rsidR="00830EDB" w:rsidRDefault="00FE2665" w:rsidP="00830EDB">
            <w:pPr>
              <w:jc w:val="center"/>
              <w:rPr>
                <w:lang w:eastAsia="zh-CN"/>
              </w:rPr>
            </w:pPr>
            <w:r>
              <w:rPr>
                <w:rFonts w:hint="eastAsia"/>
                <w:lang w:eastAsia="zh-CN"/>
              </w:rPr>
              <w:t>5.5</w:t>
            </w:r>
          </w:p>
        </w:tc>
        <w:tc>
          <w:tcPr>
            <w:tcW w:w="0" w:type="dxa"/>
            <w:tcBorders>
              <w:bottom w:val="single" w:sz="12" w:space="0" w:color="auto"/>
            </w:tcBorders>
            <w:vAlign w:val="center"/>
          </w:tcPr>
          <w:p w14:paraId="5E41278D" w14:textId="57864457" w:rsidR="00830EDB" w:rsidRDefault="00830EDB" w:rsidP="00830EDB">
            <w:r>
              <w:rPr>
                <w:rFonts w:ascii="Arial" w:hAnsi="Arial" w:cs="Arial"/>
                <w:color w:val="000000"/>
                <w:szCs w:val="16"/>
              </w:rPr>
              <w:t>2</w:t>
            </w:r>
            <w:r>
              <w:rPr>
                <w:rFonts w:ascii="Arial" w:hAnsi="Arial" w:cs="Arial" w:hint="eastAsia"/>
                <w:color w:val="000000"/>
                <w:szCs w:val="16"/>
                <w:lang w:eastAsia="zh-CN"/>
              </w:rPr>
              <w:t xml:space="preserve"> </w:t>
            </w:r>
            <w:r>
              <w:rPr>
                <w:rFonts w:ascii="Arial" w:hAnsi="Arial" w:cs="Arial"/>
                <w:color w:val="000000"/>
                <w:szCs w:val="16"/>
              </w:rPr>
              <w:t>152</w:t>
            </w:r>
          </w:p>
        </w:tc>
        <w:tc>
          <w:tcPr>
            <w:tcW w:w="0" w:type="dxa"/>
            <w:tcBorders>
              <w:bottom w:val="single" w:sz="12" w:space="0" w:color="auto"/>
            </w:tcBorders>
            <w:vAlign w:val="center"/>
          </w:tcPr>
          <w:p w14:paraId="04973580" w14:textId="54F8A0F6" w:rsidR="00830EDB" w:rsidRDefault="00830EDB" w:rsidP="00830EDB">
            <w:r>
              <w:rPr>
                <w:rFonts w:ascii="Arial" w:hAnsi="Arial" w:cs="Arial"/>
                <w:color w:val="000000"/>
                <w:szCs w:val="16"/>
              </w:rPr>
              <w:t>3</w:t>
            </w:r>
            <w:r>
              <w:rPr>
                <w:rFonts w:ascii="Arial" w:hAnsi="Arial" w:cs="Arial" w:hint="eastAsia"/>
                <w:color w:val="000000"/>
                <w:szCs w:val="16"/>
                <w:lang w:eastAsia="zh-CN"/>
              </w:rPr>
              <w:t xml:space="preserve"> </w:t>
            </w:r>
            <w:r>
              <w:rPr>
                <w:rFonts w:ascii="Arial" w:hAnsi="Arial" w:cs="Arial"/>
                <w:color w:val="000000"/>
                <w:szCs w:val="16"/>
              </w:rPr>
              <w:t>938</w:t>
            </w:r>
          </w:p>
        </w:tc>
      </w:tr>
      <w:tr w:rsidR="00830EDB" w14:paraId="700F539F" w14:textId="77777777" w:rsidTr="00E10CD7">
        <w:tc>
          <w:tcPr>
            <w:tcW w:w="0" w:type="dxa"/>
          </w:tcPr>
          <w:p w14:paraId="0A0AA175" w14:textId="77777777" w:rsidR="00830EDB" w:rsidRDefault="00830EDB" w:rsidP="00830EDB">
            <w:pPr>
              <w:jc w:val="left"/>
            </w:pPr>
          </w:p>
        </w:tc>
        <w:tc>
          <w:tcPr>
            <w:tcW w:w="0" w:type="dxa"/>
            <w:tcBorders>
              <w:top w:val="single" w:sz="12" w:space="0" w:color="auto"/>
            </w:tcBorders>
          </w:tcPr>
          <w:p w14:paraId="54E0BA54" w14:textId="77777777" w:rsidR="00830EDB" w:rsidRDefault="00830EDB" w:rsidP="00830EDB">
            <w:pPr>
              <w:jc w:val="left"/>
            </w:pPr>
            <w:r>
              <w:rPr>
                <w:b/>
              </w:rPr>
              <w:t>Total liabilities</w:t>
            </w:r>
          </w:p>
        </w:tc>
        <w:tc>
          <w:tcPr>
            <w:tcW w:w="0" w:type="dxa"/>
            <w:tcBorders>
              <w:top w:val="single" w:sz="12" w:space="0" w:color="auto"/>
            </w:tcBorders>
          </w:tcPr>
          <w:p w14:paraId="4C590487" w14:textId="77777777" w:rsidR="00830EDB" w:rsidRDefault="00830EDB" w:rsidP="00830EDB">
            <w:pPr>
              <w:jc w:val="center"/>
            </w:pPr>
          </w:p>
        </w:tc>
        <w:tc>
          <w:tcPr>
            <w:tcW w:w="0" w:type="dxa"/>
            <w:tcBorders>
              <w:top w:val="single" w:sz="12" w:space="0" w:color="auto"/>
            </w:tcBorders>
            <w:vAlign w:val="center"/>
          </w:tcPr>
          <w:p w14:paraId="0E0F8AFC" w14:textId="6143D1A9" w:rsidR="00830EDB" w:rsidRDefault="00830EDB" w:rsidP="00830EDB">
            <w:r>
              <w:rPr>
                <w:rFonts w:ascii="Arial" w:hAnsi="Arial" w:cs="Arial"/>
                <w:b/>
                <w:bCs/>
                <w:color w:val="000000"/>
                <w:szCs w:val="16"/>
              </w:rPr>
              <w:t>115</w:t>
            </w:r>
            <w:r>
              <w:rPr>
                <w:rFonts w:ascii="Arial" w:hAnsi="Arial" w:cs="Arial" w:hint="eastAsia"/>
                <w:b/>
                <w:bCs/>
                <w:color w:val="000000"/>
                <w:szCs w:val="16"/>
                <w:lang w:eastAsia="zh-CN"/>
              </w:rPr>
              <w:t xml:space="preserve"> </w:t>
            </w:r>
            <w:r>
              <w:rPr>
                <w:rFonts w:ascii="Arial" w:hAnsi="Arial" w:cs="Arial"/>
                <w:b/>
                <w:bCs/>
                <w:color w:val="000000"/>
                <w:szCs w:val="16"/>
              </w:rPr>
              <w:t>815</w:t>
            </w:r>
          </w:p>
        </w:tc>
        <w:tc>
          <w:tcPr>
            <w:tcW w:w="0" w:type="dxa"/>
            <w:tcBorders>
              <w:top w:val="single" w:sz="12" w:space="0" w:color="auto"/>
            </w:tcBorders>
            <w:vAlign w:val="center"/>
          </w:tcPr>
          <w:p w14:paraId="05539428" w14:textId="01CF2780" w:rsidR="00830EDB" w:rsidRDefault="00830EDB" w:rsidP="00830EDB">
            <w:r>
              <w:rPr>
                <w:rFonts w:ascii="Arial" w:hAnsi="Arial" w:cs="Arial"/>
                <w:b/>
                <w:bCs/>
                <w:color w:val="000000"/>
                <w:szCs w:val="16"/>
              </w:rPr>
              <w:t>116</w:t>
            </w:r>
            <w:r>
              <w:rPr>
                <w:rFonts w:ascii="Arial" w:hAnsi="Arial" w:cs="Arial" w:hint="eastAsia"/>
                <w:b/>
                <w:bCs/>
                <w:color w:val="000000"/>
                <w:szCs w:val="16"/>
                <w:lang w:eastAsia="zh-CN"/>
              </w:rPr>
              <w:t xml:space="preserve"> </w:t>
            </w:r>
            <w:r>
              <w:rPr>
                <w:rFonts w:ascii="Arial" w:hAnsi="Arial" w:cs="Arial"/>
                <w:b/>
                <w:bCs/>
                <w:color w:val="000000"/>
                <w:szCs w:val="16"/>
              </w:rPr>
              <w:t>798</w:t>
            </w:r>
          </w:p>
        </w:tc>
      </w:tr>
      <w:tr w:rsidR="00830EDB" w14:paraId="287004B0" w14:textId="77777777" w:rsidTr="00830EDB">
        <w:tc>
          <w:tcPr>
            <w:tcW w:w="1349" w:type="dxa"/>
          </w:tcPr>
          <w:p w14:paraId="060A3DB2" w14:textId="77777777" w:rsidR="00830EDB" w:rsidRDefault="00830EDB" w:rsidP="00830EDB">
            <w:pPr>
              <w:jc w:val="left"/>
            </w:pPr>
          </w:p>
        </w:tc>
        <w:tc>
          <w:tcPr>
            <w:tcW w:w="3896" w:type="dxa"/>
          </w:tcPr>
          <w:p w14:paraId="51ED8B89" w14:textId="77777777" w:rsidR="00830EDB" w:rsidRDefault="00830EDB" w:rsidP="00830EDB">
            <w:pPr>
              <w:jc w:val="left"/>
            </w:pPr>
            <w:r>
              <w:rPr>
                <w:b/>
              </w:rPr>
              <w:t>Net assets</w:t>
            </w:r>
          </w:p>
        </w:tc>
        <w:tc>
          <w:tcPr>
            <w:tcW w:w="2126" w:type="dxa"/>
          </w:tcPr>
          <w:p w14:paraId="210EF79D" w14:textId="77777777" w:rsidR="00830EDB" w:rsidRDefault="00830EDB" w:rsidP="00830EDB">
            <w:pPr>
              <w:jc w:val="center"/>
            </w:pPr>
          </w:p>
        </w:tc>
        <w:tc>
          <w:tcPr>
            <w:tcW w:w="851" w:type="dxa"/>
            <w:vAlign w:val="center"/>
          </w:tcPr>
          <w:p w14:paraId="563E0AA4" w14:textId="032B0A95" w:rsidR="00830EDB" w:rsidRDefault="00830EDB" w:rsidP="00830EDB">
            <w:r>
              <w:rPr>
                <w:rFonts w:ascii="Arial" w:hAnsi="Arial" w:cs="Arial"/>
                <w:b/>
                <w:bCs/>
                <w:color w:val="000000"/>
                <w:szCs w:val="16"/>
              </w:rPr>
              <w:t>159</w:t>
            </w:r>
            <w:r>
              <w:rPr>
                <w:rFonts w:ascii="Arial" w:hAnsi="Arial" w:cs="Arial" w:hint="eastAsia"/>
                <w:b/>
                <w:bCs/>
                <w:color w:val="000000"/>
                <w:szCs w:val="16"/>
                <w:lang w:eastAsia="zh-CN"/>
              </w:rPr>
              <w:t xml:space="preserve"> </w:t>
            </w:r>
            <w:r>
              <w:rPr>
                <w:rFonts w:ascii="Arial" w:hAnsi="Arial" w:cs="Arial"/>
                <w:b/>
                <w:bCs/>
                <w:color w:val="000000"/>
                <w:szCs w:val="16"/>
              </w:rPr>
              <w:t>501</w:t>
            </w:r>
          </w:p>
        </w:tc>
        <w:tc>
          <w:tcPr>
            <w:tcW w:w="1417" w:type="dxa"/>
            <w:vAlign w:val="center"/>
          </w:tcPr>
          <w:p w14:paraId="252B0FCB" w14:textId="2541A8A3" w:rsidR="00830EDB" w:rsidRDefault="00830EDB" w:rsidP="00830EDB">
            <w:r>
              <w:rPr>
                <w:rFonts w:ascii="Arial" w:hAnsi="Arial" w:cs="Arial"/>
                <w:b/>
                <w:bCs/>
                <w:color w:val="000000"/>
                <w:szCs w:val="16"/>
              </w:rPr>
              <w:t>136</w:t>
            </w:r>
            <w:r>
              <w:rPr>
                <w:rFonts w:ascii="Arial" w:hAnsi="Arial" w:cs="Arial" w:hint="eastAsia"/>
                <w:b/>
                <w:bCs/>
                <w:color w:val="000000"/>
                <w:szCs w:val="16"/>
                <w:lang w:eastAsia="zh-CN"/>
              </w:rPr>
              <w:t xml:space="preserve"> </w:t>
            </w:r>
            <w:r>
              <w:rPr>
                <w:rFonts w:ascii="Arial" w:hAnsi="Arial" w:cs="Arial"/>
                <w:b/>
                <w:bCs/>
                <w:color w:val="000000"/>
                <w:szCs w:val="16"/>
              </w:rPr>
              <w:t>901</w:t>
            </w:r>
          </w:p>
        </w:tc>
      </w:tr>
      <w:tr w:rsidR="00830EDB" w14:paraId="383DAEAF" w14:textId="77777777" w:rsidTr="00830EDB">
        <w:tc>
          <w:tcPr>
            <w:tcW w:w="1349" w:type="dxa"/>
          </w:tcPr>
          <w:p w14:paraId="0E3AB858" w14:textId="77777777" w:rsidR="00830EDB" w:rsidRDefault="00830EDB" w:rsidP="00830EDB">
            <w:pPr>
              <w:jc w:val="left"/>
            </w:pPr>
          </w:p>
        </w:tc>
        <w:tc>
          <w:tcPr>
            <w:tcW w:w="3896" w:type="dxa"/>
          </w:tcPr>
          <w:p w14:paraId="7DBEB1B4" w14:textId="77777777" w:rsidR="00830EDB" w:rsidRDefault="00830EDB" w:rsidP="00830EDB">
            <w:pPr>
              <w:jc w:val="left"/>
            </w:pPr>
            <w:r>
              <w:rPr>
                <w:b/>
              </w:rPr>
              <w:t>Equity</w:t>
            </w:r>
          </w:p>
        </w:tc>
        <w:tc>
          <w:tcPr>
            <w:tcW w:w="2126" w:type="dxa"/>
          </w:tcPr>
          <w:p w14:paraId="17B4348F" w14:textId="77777777" w:rsidR="00830EDB" w:rsidRDefault="00830EDB" w:rsidP="00830EDB">
            <w:pPr>
              <w:jc w:val="center"/>
            </w:pPr>
          </w:p>
        </w:tc>
        <w:tc>
          <w:tcPr>
            <w:tcW w:w="851" w:type="dxa"/>
          </w:tcPr>
          <w:p w14:paraId="7750FE14" w14:textId="77777777" w:rsidR="00830EDB" w:rsidRDefault="00830EDB" w:rsidP="00830EDB"/>
        </w:tc>
        <w:tc>
          <w:tcPr>
            <w:tcW w:w="1417" w:type="dxa"/>
          </w:tcPr>
          <w:p w14:paraId="793044F1" w14:textId="77777777" w:rsidR="00830EDB" w:rsidRDefault="00830EDB" w:rsidP="00830EDB"/>
        </w:tc>
      </w:tr>
      <w:tr w:rsidR="00830EDB" w14:paraId="5F4E70B1" w14:textId="77777777" w:rsidTr="00830EDB">
        <w:tc>
          <w:tcPr>
            <w:tcW w:w="1349" w:type="dxa"/>
          </w:tcPr>
          <w:p w14:paraId="489FCAEF" w14:textId="3B96EFA3" w:rsidR="00830EDB" w:rsidRDefault="0007383E" w:rsidP="00830EDB">
            <w:pPr>
              <w:jc w:val="left"/>
            </w:pPr>
            <w:r>
              <w:rPr>
                <w:color w:val="4472C4"/>
                <w:sz w:val="13"/>
              </w:rPr>
              <w:t>AASB </w:t>
            </w:r>
            <w:r w:rsidR="00830EDB">
              <w:rPr>
                <w:color w:val="4472C4"/>
                <w:sz w:val="13"/>
              </w:rPr>
              <w:t>10</w:t>
            </w:r>
            <w:r w:rsidR="00830EDB">
              <w:rPr>
                <w:rFonts w:hint="eastAsia"/>
                <w:color w:val="4472C4"/>
                <w:sz w:val="13"/>
                <w:lang w:eastAsia="zh-CN"/>
              </w:rPr>
              <w:t>60</w:t>
            </w:r>
            <w:r w:rsidR="00830EDB">
              <w:rPr>
                <w:color w:val="4472C4"/>
                <w:sz w:val="13"/>
              </w:rPr>
              <w:t>.</w:t>
            </w:r>
            <w:r w:rsidR="00830EDB">
              <w:rPr>
                <w:rFonts w:hint="eastAsia"/>
                <w:color w:val="4472C4"/>
                <w:sz w:val="13"/>
                <w:lang w:eastAsia="zh-CN"/>
              </w:rPr>
              <w:t>4</w:t>
            </w:r>
            <w:r w:rsidR="00830EDB">
              <w:rPr>
                <w:color w:val="4472C4"/>
                <w:sz w:val="13"/>
              </w:rPr>
              <w:t>4 (</w:t>
            </w:r>
            <w:r w:rsidR="00830EDB">
              <w:rPr>
                <w:rFonts w:hint="eastAsia"/>
                <w:color w:val="4472C4"/>
                <w:sz w:val="13"/>
                <w:lang w:eastAsia="zh-CN"/>
              </w:rPr>
              <w:t>f</w:t>
            </w:r>
            <w:r w:rsidR="00830EDB">
              <w:rPr>
                <w:color w:val="4472C4"/>
                <w:sz w:val="13"/>
              </w:rPr>
              <w:t>)</w:t>
            </w:r>
          </w:p>
        </w:tc>
        <w:tc>
          <w:tcPr>
            <w:tcW w:w="3896" w:type="dxa"/>
          </w:tcPr>
          <w:p w14:paraId="35390565" w14:textId="77777777" w:rsidR="00830EDB" w:rsidRDefault="00830EDB" w:rsidP="00830EDB">
            <w:pPr>
              <w:jc w:val="left"/>
            </w:pPr>
            <w:r>
              <w:t>Accumulated surplus/(deficit)</w:t>
            </w:r>
          </w:p>
        </w:tc>
        <w:tc>
          <w:tcPr>
            <w:tcW w:w="2126" w:type="dxa"/>
          </w:tcPr>
          <w:p w14:paraId="6790D3F9" w14:textId="77777777" w:rsidR="00830EDB" w:rsidRDefault="00830EDB" w:rsidP="00830EDB">
            <w:pPr>
              <w:jc w:val="center"/>
            </w:pPr>
          </w:p>
        </w:tc>
        <w:tc>
          <w:tcPr>
            <w:tcW w:w="851" w:type="dxa"/>
            <w:vAlign w:val="center"/>
          </w:tcPr>
          <w:p w14:paraId="3A20E0F5" w14:textId="0C1E104A" w:rsidR="00830EDB" w:rsidRDefault="00830EDB" w:rsidP="00830EDB">
            <w:r>
              <w:rPr>
                <w:rFonts w:ascii="Arial" w:hAnsi="Arial" w:cs="Arial"/>
                <w:color w:val="000000"/>
                <w:szCs w:val="16"/>
              </w:rPr>
              <w:t>73</w:t>
            </w:r>
            <w:r>
              <w:rPr>
                <w:rFonts w:ascii="Arial" w:hAnsi="Arial" w:cs="Arial" w:hint="eastAsia"/>
                <w:color w:val="000000"/>
                <w:szCs w:val="16"/>
                <w:lang w:eastAsia="zh-CN"/>
              </w:rPr>
              <w:t xml:space="preserve"> </w:t>
            </w:r>
            <w:r>
              <w:rPr>
                <w:rFonts w:ascii="Arial" w:hAnsi="Arial" w:cs="Arial"/>
                <w:color w:val="000000"/>
                <w:szCs w:val="16"/>
              </w:rPr>
              <w:t>719</w:t>
            </w:r>
          </w:p>
        </w:tc>
        <w:tc>
          <w:tcPr>
            <w:tcW w:w="1417" w:type="dxa"/>
            <w:vAlign w:val="center"/>
          </w:tcPr>
          <w:p w14:paraId="1A62E741" w14:textId="78639CD4" w:rsidR="00830EDB" w:rsidRDefault="00830EDB" w:rsidP="00830EDB">
            <w:r>
              <w:rPr>
                <w:rFonts w:ascii="Arial" w:hAnsi="Arial" w:cs="Arial"/>
                <w:color w:val="000000"/>
                <w:szCs w:val="16"/>
              </w:rPr>
              <w:t>70</w:t>
            </w:r>
            <w:r>
              <w:rPr>
                <w:rFonts w:ascii="Arial" w:hAnsi="Arial" w:cs="Arial" w:hint="eastAsia"/>
                <w:color w:val="000000"/>
                <w:szCs w:val="16"/>
                <w:lang w:eastAsia="zh-CN"/>
              </w:rPr>
              <w:t xml:space="preserve"> </w:t>
            </w:r>
            <w:r>
              <w:rPr>
                <w:rFonts w:ascii="Arial" w:hAnsi="Arial" w:cs="Arial"/>
                <w:color w:val="000000"/>
                <w:szCs w:val="16"/>
              </w:rPr>
              <w:t>482</w:t>
            </w:r>
          </w:p>
        </w:tc>
      </w:tr>
      <w:tr w:rsidR="00830EDB" w14:paraId="088FE0B6" w14:textId="77777777" w:rsidTr="00830EDB">
        <w:tc>
          <w:tcPr>
            <w:tcW w:w="1349" w:type="dxa"/>
          </w:tcPr>
          <w:p w14:paraId="5F462C76" w14:textId="0712F40A" w:rsidR="00830EDB" w:rsidRDefault="0007383E" w:rsidP="00830EDB">
            <w:pPr>
              <w:jc w:val="left"/>
            </w:pPr>
            <w:r>
              <w:rPr>
                <w:color w:val="4472C4"/>
                <w:sz w:val="13"/>
              </w:rPr>
              <w:t>AASB </w:t>
            </w:r>
            <w:r w:rsidR="00830EDB">
              <w:rPr>
                <w:color w:val="4472C4"/>
                <w:sz w:val="13"/>
              </w:rPr>
              <w:t>10</w:t>
            </w:r>
            <w:r w:rsidR="00830EDB">
              <w:rPr>
                <w:rFonts w:hint="eastAsia"/>
                <w:color w:val="4472C4"/>
                <w:sz w:val="13"/>
                <w:lang w:eastAsia="zh-CN"/>
              </w:rPr>
              <w:t>60</w:t>
            </w:r>
            <w:r w:rsidR="00830EDB">
              <w:rPr>
                <w:color w:val="4472C4"/>
                <w:sz w:val="13"/>
              </w:rPr>
              <w:t>.</w:t>
            </w:r>
            <w:r w:rsidR="00830EDB">
              <w:rPr>
                <w:rFonts w:hint="eastAsia"/>
                <w:color w:val="4472C4"/>
                <w:sz w:val="13"/>
                <w:lang w:eastAsia="zh-CN"/>
              </w:rPr>
              <w:t>4</w:t>
            </w:r>
            <w:r w:rsidR="00830EDB">
              <w:rPr>
                <w:color w:val="4472C4"/>
                <w:sz w:val="13"/>
              </w:rPr>
              <w:t>4 (</w:t>
            </w:r>
            <w:r w:rsidR="00830EDB">
              <w:rPr>
                <w:rFonts w:hint="eastAsia"/>
                <w:color w:val="4472C4"/>
                <w:sz w:val="13"/>
                <w:lang w:eastAsia="zh-CN"/>
              </w:rPr>
              <w:t>f</w:t>
            </w:r>
            <w:r w:rsidR="00830EDB">
              <w:rPr>
                <w:color w:val="4472C4"/>
                <w:sz w:val="13"/>
              </w:rPr>
              <w:t>)</w:t>
            </w:r>
          </w:p>
        </w:tc>
        <w:tc>
          <w:tcPr>
            <w:tcW w:w="3896" w:type="dxa"/>
          </w:tcPr>
          <w:p w14:paraId="222495DE" w14:textId="77777777" w:rsidR="00830EDB" w:rsidRDefault="00830EDB" w:rsidP="00830EDB">
            <w:pPr>
              <w:jc w:val="left"/>
            </w:pPr>
            <w:r>
              <w:t>Physical asset revaluation surplus</w:t>
            </w:r>
          </w:p>
        </w:tc>
        <w:tc>
          <w:tcPr>
            <w:tcW w:w="2126" w:type="dxa"/>
          </w:tcPr>
          <w:p w14:paraId="709627CF" w14:textId="776455F5" w:rsidR="00830EDB" w:rsidRDefault="00830EDB" w:rsidP="00830EDB">
            <w:pPr>
              <w:jc w:val="center"/>
            </w:pPr>
          </w:p>
        </w:tc>
        <w:tc>
          <w:tcPr>
            <w:tcW w:w="851" w:type="dxa"/>
            <w:vAlign w:val="center"/>
          </w:tcPr>
          <w:p w14:paraId="4B8218F3" w14:textId="5F4284E0" w:rsidR="00830EDB" w:rsidRDefault="00830EDB" w:rsidP="00830EDB">
            <w:r>
              <w:rPr>
                <w:rFonts w:ascii="Arial" w:hAnsi="Arial" w:cs="Arial"/>
                <w:color w:val="000000"/>
                <w:szCs w:val="16"/>
              </w:rPr>
              <w:t>22</w:t>
            </w:r>
            <w:r>
              <w:rPr>
                <w:rFonts w:ascii="Arial" w:hAnsi="Arial" w:cs="Arial" w:hint="eastAsia"/>
                <w:color w:val="000000"/>
                <w:szCs w:val="16"/>
                <w:lang w:eastAsia="zh-CN"/>
              </w:rPr>
              <w:t xml:space="preserve"> </w:t>
            </w:r>
            <w:r>
              <w:rPr>
                <w:rFonts w:ascii="Arial" w:hAnsi="Arial" w:cs="Arial"/>
                <w:color w:val="000000"/>
                <w:szCs w:val="16"/>
              </w:rPr>
              <w:t>525</w:t>
            </w:r>
          </w:p>
        </w:tc>
        <w:tc>
          <w:tcPr>
            <w:tcW w:w="1417" w:type="dxa"/>
            <w:vAlign w:val="center"/>
          </w:tcPr>
          <w:p w14:paraId="5903F9B8" w14:textId="15F05C5F" w:rsidR="00830EDB" w:rsidRDefault="00830EDB" w:rsidP="00830EDB">
            <w:r>
              <w:rPr>
                <w:rFonts w:ascii="Arial" w:hAnsi="Arial" w:cs="Arial"/>
                <w:color w:val="000000"/>
                <w:szCs w:val="16"/>
              </w:rPr>
              <w:t>15</w:t>
            </w:r>
            <w:r>
              <w:rPr>
                <w:rFonts w:ascii="Arial" w:hAnsi="Arial" w:cs="Arial" w:hint="eastAsia"/>
                <w:color w:val="000000"/>
                <w:szCs w:val="16"/>
                <w:lang w:eastAsia="zh-CN"/>
              </w:rPr>
              <w:t xml:space="preserve"> </w:t>
            </w:r>
            <w:r>
              <w:rPr>
                <w:rFonts w:ascii="Arial" w:hAnsi="Arial" w:cs="Arial"/>
                <w:color w:val="000000"/>
                <w:szCs w:val="16"/>
              </w:rPr>
              <w:t>759</w:t>
            </w:r>
          </w:p>
        </w:tc>
      </w:tr>
      <w:tr w:rsidR="00830EDB" w14:paraId="49412AF6" w14:textId="77777777" w:rsidTr="00830EDB">
        <w:tc>
          <w:tcPr>
            <w:tcW w:w="1349" w:type="dxa"/>
          </w:tcPr>
          <w:p w14:paraId="6CB815D0" w14:textId="24AE4961" w:rsidR="00830EDB" w:rsidRDefault="0007383E" w:rsidP="00830EDB">
            <w:pPr>
              <w:jc w:val="left"/>
            </w:pPr>
            <w:r>
              <w:rPr>
                <w:color w:val="4472C4"/>
                <w:sz w:val="13"/>
              </w:rPr>
              <w:t>AASB </w:t>
            </w:r>
            <w:r w:rsidR="00830EDB">
              <w:rPr>
                <w:color w:val="4472C4"/>
                <w:sz w:val="13"/>
              </w:rPr>
              <w:t>10</w:t>
            </w:r>
            <w:r w:rsidR="00830EDB">
              <w:rPr>
                <w:rFonts w:hint="eastAsia"/>
                <w:color w:val="4472C4"/>
                <w:sz w:val="13"/>
                <w:lang w:eastAsia="zh-CN"/>
              </w:rPr>
              <w:t>60</w:t>
            </w:r>
            <w:r w:rsidR="00830EDB">
              <w:rPr>
                <w:color w:val="4472C4"/>
                <w:sz w:val="13"/>
              </w:rPr>
              <w:t>.</w:t>
            </w:r>
            <w:r w:rsidR="00830EDB">
              <w:rPr>
                <w:rFonts w:hint="eastAsia"/>
                <w:color w:val="4472C4"/>
                <w:sz w:val="13"/>
                <w:lang w:eastAsia="zh-CN"/>
              </w:rPr>
              <w:t>4</w:t>
            </w:r>
            <w:r w:rsidR="00830EDB">
              <w:rPr>
                <w:color w:val="4472C4"/>
                <w:sz w:val="13"/>
              </w:rPr>
              <w:t>4 (</w:t>
            </w:r>
            <w:r w:rsidR="00830EDB">
              <w:rPr>
                <w:rFonts w:hint="eastAsia"/>
                <w:color w:val="4472C4"/>
                <w:sz w:val="13"/>
                <w:lang w:eastAsia="zh-CN"/>
              </w:rPr>
              <w:t>f</w:t>
            </w:r>
            <w:r w:rsidR="00830EDB">
              <w:rPr>
                <w:color w:val="4472C4"/>
                <w:sz w:val="13"/>
              </w:rPr>
              <w:t>)</w:t>
            </w:r>
          </w:p>
        </w:tc>
        <w:tc>
          <w:tcPr>
            <w:tcW w:w="3896" w:type="dxa"/>
            <w:tcBorders>
              <w:bottom w:val="single" w:sz="12" w:space="0" w:color="auto"/>
            </w:tcBorders>
          </w:tcPr>
          <w:p w14:paraId="6D29AE1E" w14:textId="77777777" w:rsidR="00830EDB" w:rsidRDefault="00830EDB" w:rsidP="00830EDB">
            <w:pPr>
              <w:jc w:val="left"/>
            </w:pPr>
            <w:r>
              <w:t>Contributed capital</w:t>
            </w:r>
          </w:p>
        </w:tc>
        <w:tc>
          <w:tcPr>
            <w:tcW w:w="2126" w:type="dxa"/>
            <w:tcBorders>
              <w:bottom w:val="single" w:sz="12" w:space="0" w:color="auto"/>
            </w:tcBorders>
          </w:tcPr>
          <w:p w14:paraId="7309A1EB" w14:textId="77777777" w:rsidR="00830EDB" w:rsidRDefault="00830EDB" w:rsidP="00830EDB">
            <w:pPr>
              <w:jc w:val="center"/>
            </w:pPr>
          </w:p>
        </w:tc>
        <w:tc>
          <w:tcPr>
            <w:tcW w:w="851" w:type="dxa"/>
            <w:tcBorders>
              <w:bottom w:val="single" w:sz="12" w:space="0" w:color="auto"/>
            </w:tcBorders>
            <w:vAlign w:val="center"/>
          </w:tcPr>
          <w:p w14:paraId="5395994C" w14:textId="2204907B" w:rsidR="00830EDB" w:rsidRDefault="00830EDB" w:rsidP="00830EDB">
            <w:r>
              <w:rPr>
                <w:rFonts w:ascii="Arial" w:hAnsi="Arial" w:cs="Arial"/>
                <w:color w:val="000000"/>
                <w:szCs w:val="16"/>
              </w:rPr>
              <w:t>63</w:t>
            </w:r>
            <w:r>
              <w:rPr>
                <w:rFonts w:ascii="Arial" w:hAnsi="Arial" w:cs="Arial" w:hint="eastAsia"/>
                <w:color w:val="000000"/>
                <w:szCs w:val="16"/>
                <w:lang w:eastAsia="zh-CN"/>
              </w:rPr>
              <w:t xml:space="preserve"> </w:t>
            </w:r>
            <w:r>
              <w:rPr>
                <w:rFonts w:ascii="Arial" w:hAnsi="Arial" w:cs="Arial"/>
                <w:color w:val="000000"/>
                <w:szCs w:val="16"/>
              </w:rPr>
              <w:t>257</w:t>
            </w:r>
          </w:p>
        </w:tc>
        <w:tc>
          <w:tcPr>
            <w:tcW w:w="1417" w:type="dxa"/>
            <w:tcBorders>
              <w:bottom w:val="single" w:sz="12" w:space="0" w:color="auto"/>
            </w:tcBorders>
            <w:vAlign w:val="center"/>
          </w:tcPr>
          <w:p w14:paraId="2D26EC3A" w14:textId="24277EC0" w:rsidR="00830EDB" w:rsidRDefault="00830EDB" w:rsidP="00830EDB">
            <w:r>
              <w:rPr>
                <w:rFonts w:ascii="Arial" w:hAnsi="Arial" w:cs="Arial"/>
                <w:color w:val="000000"/>
                <w:szCs w:val="16"/>
              </w:rPr>
              <w:t>50</w:t>
            </w:r>
            <w:r>
              <w:rPr>
                <w:rFonts w:ascii="Arial" w:hAnsi="Arial" w:cs="Arial" w:hint="eastAsia"/>
                <w:color w:val="000000"/>
                <w:szCs w:val="16"/>
                <w:lang w:eastAsia="zh-CN"/>
              </w:rPr>
              <w:t xml:space="preserve"> </w:t>
            </w:r>
            <w:r>
              <w:rPr>
                <w:rFonts w:ascii="Arial" w:hAnsi="Arial" w:cs="Arial"/>
                <w:color w:val="000000"/>
                <w:szCs w:val="16"/>
              </w:rPr>
              <w:t>660</w:t>
            </w:r>
          </w:p>
        </w:tc>
      </w:tr>
      <w:tr w:rsidR="00830EDB" w14:paraId="47550C94" w14:textId="77777777" w:rsidTr="00830EDB">
        <w:tc>
          <w:tcPr>
            <w:tcW w:w="1349" w:type="dxa"/>
            <w:tcBorders>
              <w:bottom w:val="nil"/>
            </w:tcBorders>
          </w:tcPr>
          <w:p w14:paraId="6419FA8E" w14:textId="77777777" w:rsidR="00830EDB" w:rsidRDefault="00830EDB" w:rsidP="00830EDB">
            <w:pPr>
              <w:jc w:val="left"/>
            </w:pPr>
          </w:p>
        </w:tc>
        <w:tc>
          <w:tcPr>
            <w:tcW w:w="3896" w:type="dxa"/>
          </w:tcPr>
          <w:p w14:paraId="53ADF599" w14:textId="77777777" w:rsidR="00830EDB" w:rsidRDefault="00830EDB" w:rsidP="00830EDB">
            <w:pPr>
              <w:jc w:val="left"/>
            </w:pPr>
            <w:r>
              <w:rPr>
                <w:b/>
              </w:rPr>
              <w:t>Net worth</w:t>
            </w:r>
          </w:p>
        </w:tc>
        <w:tc>
          <w:tcPr>
            <w:tcW w:w="2126" w:type="dxa"/>
          </w:tcPr>
          <w:p w14:paraId="53B3CA85" w14:textId="77777777" w:rsidR="00830EDB" w:rsidRDefault="00830EDB" w:rsidP="00830EDB">
            <w:pPr>
              <w:jc w:val="center"/>
            </w:pPr>
          </w:p>
        </w:tc>
        <w:tc>
          <w:tcPr>
            <w:tcW w:w="851" w:type="dxa"/>
            <w:vAlign w:val="center"/>
          </w:tcPr>
          <w:p w14:paraId="336D2549" w14:textId="1A364AD8" w:rsidR="00830EDB" w:rsidRDefault="00830EDB" w:rsidP="00830EDB">
            <w:r>
              <w:rPr>
                <w:rFonts w:ascii="Arial" w:hAnsi="Arial" w:cs="Arial"/>
                <w:b/>
                <w:bCs/>
                <w:color w:val="000000"/>
                <w:szCs w:val="16"/>
              </w:rPr>
              <w:t>159</w:t>
            </w:r>
            <w:r>
              <w:rPr>
                <w:rFonts w:ascii="Arial" w:hAnsi="Arial" w:cs="Arial" w:hint="eastAsia"/>
                <w:b/>
                <w:bCs/>
                <w:color w:val="000000"/>
                <w:szCs w:val="16"/>
                <w:lang w:eastAsia="zh-CN"/>
              </w:rPr>
              <w:t xml:space="preserve"> </w:t>
            </w:r>
            <w:r>
              <w:rPr>
                <w:rFonts w:ascii="Arial" w:hAnsi="Arial" w:cs="Arial"/>
                <w:b/>
                <w:bCs/>
                <w:color w:val="000000"/>
                <w:szCs w:val="16"/>
              </w:rPr>
              <w:t>501</w:t>
            </w:r>
          </w:p>
        </w:tc>
        <w:tc>
          <w:tcPr>
            <w:tcW w:w="1417" w:type="dxa"/>
            <w:vAlign w:val="center"/>
          </w:tcPr>
          <w:p w14:paraId="7D3C3A9B" w14:textId="2FE1F1B3" w:rsidR="00830EDB" w:rsidRDefault="00830EDB" w:rsidP="00830EDB">
            <w:r>
              <w:rPr>
                <w:rFonts w:ascii="Arial" w:hAnsi="Arial" w:cs="Arial"/>
                <w:b/>
                <w:bCs/>
                <w:color w:val="000000"/>
                <w:szCs w:val="16"/>
              </w:rPr>
              <w:t>136</w:t>
            </w:r>
            <w:r>
              <w:rPr>
                <w:rFonts w:ascii="Arial" w:hAnsi="Arial" w:cs="Arial" w:hint="eastAsia"/>
                <w:b/>
                <w:bCs/>
                <w:color w:val="000000"/>
                <w:szCs w:val="16"/>
                <w:lang w:eastAsia="zh-CN"/>
              </w:rPr>
              <w:t xml:space="preserve"> </w:t>
            </w:r>
            <w:r>
              <w:rPr>
                <w:rFonts w:ascii="Arial" w:hAnsi="Arial" w:cs="Arial"/>
                <w:b/>
                <w:bCs/>
                <w:color w:val="000000"/>
                <w:szCs w:val="16"/>
              </w:rPr>
              <w:t>901</w:t>
            </w:r>
          </w:p>
        </w:tc>
      </w:tr>
    </w:tbl>
    <w:p w14:paraId="4EB8F492" w14:textId="77777777" w:rsidR="003719CD" w:rsidRDefault="003719CD" w:rsidP="000F5E0B">
      <w:pPr>
        <w:pStyle w:val="Note"/>
      </w:pPr>
      <w:r>
        <w:t>The accompanying notes form part of these financial statements.</w:t>
      </w:r>
    </w:p>
    <w:p w14:paraId="288B513E" w14:textId="77777777" w:rsidR="003719CD" w:rsidRDefault="003719CD" w:rsidP="000F5E0B">
      <w:pPr>
        <w:pStyle w:val="Note"/>
      </w:pPr>
      <w:r>
        <w:t>Note:</w:t>
      </w:r>
    </w:p>
    <w:p w14:paraId="03B886F4" w14:textId="6F9750CE" w:rsidR="003719CD" w:rsidRDefault="003719CD" w:rsidP="007D536F">
      <w:pPr>
        <w:pStyle w:val="Note"/>
      </w:pPr>
      <w:r>
        <w:t>(a)</w:t>
      </w:r>
      <w:r>
        <w:tab/>
        <w:t xml:space="preserve">This format is aligned to </w:t>
      </w:r>
      <w:r w:rsidR="0007383E">
        <w:t>AASB </w:t>
      </w:r>
      <w:r>
        <w:t xml:space="preserve">1049 </w:t>
      </w:r>
      <w:r w:rsidRPr="00436E90">
        <w:rPr>
          <w:i w:val="0"/>
          <w:iCs/>
        </w:rPr>
        <w:t>Whole of Government and General Government Sector Financial Reporting</w:t>
      </w:r>
      <w:r w:rsidR="004D35D8" w:rsidRPr="00040B1D">
        <w:t>.</w:t>
      </w:r>
      <w:r>
        <w:t xml:space="preserve"> </w:t>
      </w:r>
    </w:p>
    <w:p w14:paraId="56F92816" w14:textId="77777777" w:rsidR="00FA4323" w:rsidRDefault="00FA4323">
      <w:pPr>
        <w:keepLines w:val="0"/>
        <w:rPr>
          <w:rFonts w:asciiTheme="majorHAnsi" w:eastAsiaTheme="majorEastAsia" w:hAnsiTheme="majorHAnsi" w:cstheme="majorBidi"/>
          <w:b/>
          <w:bCs/>
          <w:iCs/>
          <w:color w:val="FFFFFF" w:themeColor="background1"/>
          <w:sz w:val="20"/>
          <w:szCs w:val="24"/>
        </w:rPr>
      </w:pPr>
      <w:r>
        <w:br w:type="page"/>
      </w:r>
    </w:p>
    <w:p w14:paraId="591DE06F" w14:textId="3390D99D" w:rsidR="003719CD" w:rsidRDefault="003719CD" w:rsidP="000F5E0B">
      <w:pPr>
        <w:pStyle w:val="GuidanceBlockHeading"/>
      </w:pPr>
      <w:bookmarkStart w:id="160" w:name="_Toc179811132"/>
      <w:bookmarkStart w:id="161" w:name="_Toc179816832"/>
      <w:bookmarkStart w:id="162" w:name="_Toc179822532"/>
      <w:r>
        <w:t>Guidance – Balance sheet</w:t>
      </w:r>
      <w:bookmarkEnd w:id="160"/>
      <w:bookmarkEnd w:id="161"/>
      <w:bookmarkEnd w:id="162"/>
    </w:p>
    <w:p w14:paraId="6A37D917" w14:textId="77777777" w:rsidR="003719CD" w:rsidRDefault="003719CD" w:rsidP="002A0038">
      <w:pPr>
        <w:pStyle w:val="GuidanceHeading"/>
        <w:spacing w:before="120" w:after="0"/>
        <w:mirrorIndents/>
      </w:pPr>
      <w:r>
        <w:t xml:space="preserve">Presentation of the balance sheet </w:t>
      </w:r>
    </w:p>
    <w:p w14:paraId="4C0174DC" w14:textId="7D7B0C78" w:rsidR="003719CD" w:rsidRDefault="009328C7" w:rsidP="002A0038">
      <w:pPr>
        <w:pStyle w:val="GuidanceHeading"/>
        <w:spacing w:before="120" w:after="0"/>
        <w:rPr>
          <w:rStyle w:val="Reference"/>
        </w:rPr>
      </w:pPr>
      <w:r w:rsidRPr="009328C7">
        <w:rPr>
          <w:rStyle w:val="Guidance"/>
          <w:b w:val="0"/>
          <w:sz w:val="18"/>
        </w:rPr>
        <w:t>An entity shall present current and non-current assets, and current and non-current liabilities, as separate</w:t>
      </w:r>
      <w:r>
        <w:rPr>
          <w:rStyle w:val="Guidance"/>
          <w:b w:val="0"/>
          <w:sz w:val="18"/>
        </w:rPr>
        <w:t xml:space="preserve"> </w:t>
      </w:r>
      <w:r w:rsidRPr="009328C7">
        <w:rPr>
          <w:rStyle w:val="Guidance"/>
          <w:b w:val="0"/>
          <w:sz w:val="18"/>
        </w:rPr>
        <w:t>classifications in its statement of financial position, except when a</w:t>
      </w:r>
      <w:r>
        <w:rPr>
          <w:rStyle w:val="Guidance"/>
          <w:b w:val="0"/>
          <w:sz w:val="18"/>
        </w:rPr>
        <w:t xml:space="preserve"> </w:t>
      </w:r>
      <w:r w:rsidRPr="009328C7">
        <w:rPr>
          <w:rStyle w:val="Guidance"/>
          <w:b w:val="0"/>
          <w:sz w:val="18"/>
        </w:rPr>
        <w:t>presentation based on liquidity provides information that is reliable and more relevant. When that exception</w:t>
      </w:r>
      <w:r>
        <w:rPr>
          <w:rStyle w:val="Guidance"/>
          <w:b w:val="0"/>
          <w:sz w:val="18"/>
        </w:rPr>
        <w:t xml:space="preserve"> </w:t>
      </w:r>
      <w:r w:rsidRPr="009328C7">
        <w:rPr>
          <w:rStyle w:val="Guidance"/>
          <w:b w:val="0"/>
          <w:sz w:val="18"/>
        </w:rPr>
        <w:t>applies, all assets and liabilities shall be presented in order of approximate liquidity (ascending or</w:t>
      </w:r>
      <w:r>
        <w:rPr>
          <w:rStyle w:val="Guidance"/>
          <w:b w:val="0"/>
          <w:sz w:val="18"/>
        </w:rPr>
        <w:t xml:space="preserve"> </w:t>
      </w:r>
      <w:r w:rsidRPr="009328C7">
        <w:rPr>
          <w:rStyle w:val="Guidance"/>
          <w:b w:val="0"/>
          <w:sz w:val="18"/>
        </w:rPr>
        <w:t>descending).</w:t>
      </w:r>
      <w:r>
        <w:rPr>
          <w:rStyle w:val="Guidance"/>
          <w:b w:val="0"/>
          <w:sz w:val="18"/>
        </w:rPr>
        <w:t xml:space="preserve"> </w:t>
      </w:r>
      <w:r w:rsidRPr="00F8321C">
        <w:rPr>
          <w:rStyle w:val="Reference"/>
          <w:b w:val="0"/>
          <w:bCs/>
        </w:rPr>
        <w:t>[</w:t>
      </w:r>
      <w:r w:rsidR="0007383E">
        <w:rPr>
          <w:rStyle w:val="Reference"/>
          <w:b w:val="0"/>
          <w:bCs/>
        </w:rPr>
        <w:t>AASB </w:t>
      </w:r>
      <w:r w:rsidRPr="00F8321C">
        <w:rPr>
          <w:rStyle w:val="Reference"/>
          <w:b w:val="0"/>
          <w:bCs/>
        </w:rPr>
        <w:t>10</w:t>
      </w:r>
      <w:r w:rsidRPr="00F8321C">
        <w:rPr>
          <w:rStyle w:val="Reference"/>
          <w:rFonts w:hint="eastAsia"/>
          <w:b w:val="0"/>
          <w:bCs/>
          <w:lang w:eastAsia="zh-CN"/>
        </w:rPr>
        <w:t>60.37</w:t>
      </w:r>
      <w:r w:rsidRPr="00F8321C">
        <w:rPr>
          <w:rStyle w:val="Reference"/>
          <w:b w:val="0"/>
          <w:bCs/>
        </w:rPr>
        <w:t>]</w:t>
      </w:r>
      <w:r w:rsidRPr="00F8321C" w:rsidDel="008B68FF">
        <w:rPr>
          <w:rStyle w:val="Reference"/>
          <w:b w:val="0"/>
          <w:bCs/>
        </w:rPr>
        <w:t xml:space="preserve"> </w:t>
      </w:r>
      <w:r w:rsidR="003719CD" w:rsidRPr="009328C7">
        <w:rPr>
          <w:rStyle w:val="Guidance"/>
          <w:b w:val="0"/>
          <w:sz w:val="18"/>
        </w:rPr>
        <w:t>Assets and liabilities are presented based on the order of liquidity in the balance sheet. The presentation of ‘current’ and ‘non-current’ assets and liabilities are in the notes.</w:t>
      </w:r>
      <w:r w:rsidR="003719CD" w:rsidRPr="000F5E0B">
        <w:rPr>
          <w:rStyle w:val="Guidance"/>
        </w:rPr>
        <w:t xml:space="preserve"> </w:t>
      </w:r>
    </w:p>
    <w:p w14:paraId="46C8BF38" w14:textId="3519F002" w:rsidR="008D7452" w:rsidRPr="00524392" w:rsidRDefault="008D7452" w:rsidP="002A0038">
      <w:pPr>
        <w:pStyle w:val="GuidanceHeading"/>
        <w:spacing w:before="120" w:after="0"/>
        <w:mirrorIndents/>
        <w:rPr>
          <w:rStyle w:val="Guidance"/>
          <w:b w:val="0"/>
          <w:color w:val="C00000"/>
          <w:sz w:val="16"/>
        </w:rPr>
      </w:pPr>
      <w:r w:rsidRPr="000F5E0B">
        <w:rPr>
          <w:rStyle w:val="Guidance"/>
        </w:rPr>
        <w:t xml:space="preserve">Minimum information to be presented </w:t>
      </w:r>
    </w:p>
    <w:tbl>
      <w:tblPr>
        <w:tblW w:w="0" w:type="auto"/>
        <w:tblInd w:w="-29" w:type="dxa"/>
        <w:tblCellMar>
          <w:left w:w="43" w:type="dxa"/>
          <w:right w:w="43" w:type="dxa"/>
        </w:tblCellMar>
        <w:tblLook w:val="04A0" w:firstRow="1" w:lastRow="0" w:firstColumn="1" w:lastColumn="0" w:noHBand="0" w:noVBand="1"/>
      </w:tblPr>
      <w:tblGrid>
        <w:gridCol w:w="5245"/>
        <w:gridCol w:w="4377"/>
      </w:tblGrid>
      <w:tr w:rsidR="008D7452" w:rsidRPr="000F5E0B" w14:paraId="6624FD81" w14:textId="77777777" w:rsidTr="00EE2340">
        <w:tc>
          <w:tcPr>
            <w:tcW w:w="5245" w:type="dxa"/>
          </w:tcPr>
          <w:p w14:paraId="1E5C9A84" w14:textId="77777777" w:rsidR="008D7452" w:rsidRPr="000F5E0B" w:rsidRDefault="008D7452" w:rsidP="002A0038">
            <w:pPr>
              <w:keepNext/>
              <w:spacing w:before="40"/>
              <w:mirrorIndents/>
              <w:rPr>
                <w:rStyle w:val="Guidance"/>
                <w:b/>
                <w:sz w:val="20"/>
              </w:rPr>
            </w:pPr>
            <w:r w:rsidRPr="000F5E0B">
              <w:rPr>
                <w:rStyle w:val="Guidance"/>
                <w:b/>
                <w:bCs/>
              </w:rPr>
              <w:t>Assets</w:t>
            </w:r>
          </w:p>
        </w:tc>
        <w:tc>
          <w:tcPr>
            <w:tcW w:w="4377" w:type="dxa"/>
          </w:tcPr>
          <w:p w14:paraId="61A08541" w14:textId="77777777" w:rsidR="008D7452" w:rsidRPr="000F5E0B" w:rsidRDefault="008D7452" w:rsidP="002A0038">
            <w:pPr>
              <w:keepNext/>
              <w:spacing w:before="40"/>
              <w:mirrorIndents/>
              <w:rPr>
                <w:rStyle w:val="Guidance"/>
                <w:b/>
                <w:bCs/>
              </w:rPr>
            </w:pPr>
            <w:r w:rsidRPr="000F5E0B">
              <w:rPr>
                <w:rStyle w:val="Guidance"/>
                <w:b/>
                <w:bCs/>
              </w:rPr>
              <w:t>Liabilities</w:t>
            </w:r>
          </w:p>
        </w:tc>
      </w:tr>
      <w:tr w:rsidR="008D7452" w:rsidRPr="000F5E0B" w14:paraId="0E604738" w14:textId="77777777" w:rsidTr="00EE2340">
        <w:trPr>
          <w:cantSplit/>
        </w:trPr>
        <w:tc>
          <w:tcPr>
            <w:tcW w:w="5245" w:type="dxa"/>
          </w:tcPr>
          <w:p w14:paraId="341E3779" w14:textId="77777777" w:rsidR="008D7452" w:rsidRPr="000F5E0B" w:rsidRDefault="008D7452" w:rsidP="00E10CD7">
            <w:pPr>
              <w:pStyle w:val="ListBullet"/>
              <w:spacing w:after="40" w:line="240" w:lineRule="auto"/>
              <w:ind w:left="0" w:firstLine="0"/>
              <w:mirrorIndents/>
              <w:rPr>
                <w:rStyle w:val="Guidance"/>
              </w:rPr>
            </w:pPr>
            <w:r w:rsidRPr="000F5E0B">
              <w:rPr>
                <w:rStyle w:val="Guidance"/>
              </w:rPr>
              <w:t>cash and cash equivalents</w:t>
            </w:r>
          </w:p>
          <w:p w14:paraId="0642EF3B" w14:textId="77777777" w:rsidR="008D7452" w:rsidRDefault="008D7452" w:rsidP="00E10CD7">
            <w:pPr>
              <w:pStyle w:val="ListBullet"/>
              <w:spacing w:after="40" w:line="240" w:lineRule="auto"/>
              <w:ind w:left="0" w:firstLine="0"/>
              <w:mirrorIndents/>
              <w:rPr>
                <w:rStyle w:val="Guidance"/>
              </w:rPr>
            </w:pPr>
            <w:r w:rsidRPr="000F5E0B">
              <w:rPr>
                <w:rStyle w:val="Guidance"/>
              </w:rPr>
              <w:t>trade and other receivables</w:t>
            </w:r>
          </w:p>
          <w:p w14:paraId="50E06ED8" w14:textId="77777777" w:rsidR="008D7452" w:rsidRDefault="008D7452" w:rsidP="00E10CD7">
            <w:pPr>
              <w:pStyle w:val="ListBullet"/>
              <w:spacing w:after="40" w:line="240" w:lineRule="auto"/>
              <w:ind w:left="0" w:firstLine="0"/>
              <w:mirrorIndents/>
              <w:rPr>
                <w:rStyle w:val="Guidance"/>
              </w:rPr>
            </w:pPr>
            <w:r w:rsidRPr="000F5E0B">
              <w:rPr>
                <w:rStyle w:val="Guidance"/>
              </w:rPr>
              <w:t>financial assets (not elsewhere presented)</w:t>
            </w:r>
          </w:p>
          <w:p w14:paraId="4D092817" w14:textId="77777777" w:rsidR="008D7452" w:rsidRDefault="008D7452" w:rsidP="00E10CD7">
            <w:pPr>
              <w:pStyle w:val="ListBullet"/>
              <w:spacing w:after="40" w:line="240" w:lineRule="auto"/>
              <w:ind w:left="0" w:firstLine="0"/>
              <w:mirrorIndents/>
              <w:rPr>
                <w:rStyle w:val="Guidance"/>
              </w:rPr>
            </w:pPr>
            <w:r w:rsidRPr="000F5E0B">
              <w:rPr>
                <w:rStyle w:val="Guidance"/>
              </w:rPr>
              <w:t>inventories</w:t>
            </w:r>
          </w:p>
          <w:p w14:paraId="7353C91A" w14:textId="77777777" w:rsidR="008D7452" w:rsidRDefault="008D7452" w:rsidP="00E10CD7">
            <w:pPr>
              <w:pStyle w:val="ListBullet"/>
              <w:spacing w:after="40" w:line="240" w:lineRule="auto"/>
              <w:ind w:left="0" w:firstLine="0"/>
              <w:mirrorIndents/>
              <w:rPr>
                <w:rStyle w:val="Guidance"/>
              </w:rPr>
            </w:pPr>
            <w:r>
              <w:rPr>
                <w:rStyle w:val="Guidance"/>
                <w:rFonts w:hint="eastAsia"/>
                <w:lang w:eastAsia="zh-CN"/>
              </w:rPr>
              <w:t>property, plant and equipment</w:t>
            </w:r>
          </w:p>
          <w:p w14:paraId="7056E6F9" w14:textId="0451A9DD" w:rsidR="008D7452" w:rsidRDefault="00C04F4D" w:rsidP="00E10CD7">
            <w:pPr>
              <w:pStyle w:val="ListBullet"/>
              <w:spacing w:after="40" w:line="240" w:lineRule="auto"/>
              <w:ind w:left="0" w:firstLine="0"/>
              <w:mirrorIndents/>
              <w:rPr>
                <w:rStyle w:val="Guidance"/>
              </w:rPr>
            </w:pPr>
            <w:r>
              <w:rPr>
                <w:rStyle w:val="Guidance"/>
                <w:lang w:eastAsia="zh-CN"/>
              </w:rPr>
              <w:t>i</w:t>
            </w:r>
            <w:r w:rsidR="008D7452">
              <w:rPr>
                <w:rStyle w:val="Guidance"/>
                <w:rFonts w:hint="eastAsia"/>
                <w:lang w:eastAsia="zh-CN"/>
              </w:rPr>
              <w:t>nvestment property</w:t>
            </w:r>
          </w:p>
          <w:p w14:paraId="50E7DA76" w14:textId="77777777" w:rsidR="008D7452" w:rsidRPr="000F5E0B" w:rsidRDefault="008D7452" w:rsidP="00E10CD7">
            <w:pPr>
              <w:pStyle w:val="ListBullet"/>
              <w:spacing w:after="40" w:line="240" w:lineRule="auto"/>
              <w:ind w:left="0" w:firstLine="0"/>
              <w:mirrorIndents/>
              <w:rPr>
                <w:rStyle w:val="Guidance"/>
              </w:rPr>
            </w:pPr>
            <w:r>
              <w:rPr>
                <w:rStyle w:val="Guidance"/>
                <w:rFonts w:hint="eastAsia"/>
                <w:lang w:eastAsia="zh-CN"/>
              </w:rPr>
              <w:t>intangible</w:t>
            </w:r>
            <w:r>
              <w:rPr>
                <w:rStyle w:val="Guidance"/>
              </w:rPr>
              <w:t xml:space="preserve"> assets</w:t>
            </w:r>
          </w:p>
          <w:p w14:paraId="69B4D262" w14:textId="77777777" w:rsidR="008D7452" w:rsidRDefault="008D7452" w:rsidP="00E10CD7">
            <w:pPr>
              <w:pStyle w:val="ListBullet"/>
              <w:spacing w:after="40" w:line="240" w:lineRule="auto"/>
              <w:ind w:left="0" w:firstLine="0"/>
              <w:mirrorIndents/>
              <w:rPr>
                <w:rStyle w:val="Guidance"/>
              </w:rPr>
            </w:pPr>
            <w:r w:rsidRPr="000F5E0B">
              <w:rPr>
                <w:rStyle w:val="Guidance"/>
              </w:rPr>
              <w:t>biological assets</w:t>
            </w:r>
          </w:p>
          <w:p w14:paraId="58F7DA8F" w14:textId="77777777" w:rsidR="008D7452" w:rsidRDefault="008D7452" w:rsidP="00E10CD7">
            <w:pPr>
              <w:pStyle w:val="ListBullet"/>
              <w:spacing w:after="40" w:line="240" w:lineRule="auto"/>
              <w:ind w:left="0" w:firstLine="0"/>
              <w:mirrorIndents/>
              <w:rPr>
                <w:rStyle w:val="Guidance"/>
              </w:rPr>
            </w:pPr>
            <w:r>
              <w:rPr>
                <w:rStyle w:val="Guidance"/>
                <w:rFonts w:hint="eastAsia"/>
                <w:lang w:eastAsia="zh-CN"/>
              </w:rPr>
              <w:t>investments in associates</w:t>
            </w:r>
          </w:p>
          <w:p w14:paraId="37887B70" w14:textId="77777777" w:rsidR="008D7452" w:rsidRPr="000F5E0B" w:rsidRDefault="008D7452" w:rsidP="00E10CD7">
            <w:pPr>
              <w:pStyle w:val="ListBullet"/>
              <w:spacing w:after="40" w:line="240" w:lineRule="auto"/>
              <w:ind w:left="0" w:firstLine="0"/>
              <w:mirrorIndents/>
              <w:rPr>
                <w:rStyle w:val="Guidance"/>
              </w:rPr>
            </w:pPr>
            <w:r>
              <w:rPr>
                <w:rStyle w:val="Guidance"/>
                <w:rFonts w:hint="eastAsia"/>
                <w:lang w:eastAsia="zh-CN"/>
              </w:rPr>
              <w:t>investments in joint venture</w:t>
            </w:r>
          </w:p>
          <w:p w14:paraId="09F44937" w14:textId="77777777" w:rsidR="008D7452" w:rsidRPr="000F5E0B" w:rsidRDefault="008D7452" w:rsidP="00E10CD7">
            <w:pPr>
              <w:pStyle w:val="ListBullet"/>
              <w:spacing w:after="40" w:line="240" w:lineRule="auto"/>
              <w:ind w:left="0" w:firstLine="0"/>
              <w:mirrorIndents/>
              <w:rPr>
                <w:rStyle w:val="Guidance"/>
              </w:rPr>
            </w:pPr>
            <w:r w:rsidRPr="000F5E0B">
              <w:rPr>
                <w:rStyle w:val="Guidance"/>
              </w:rPr>
              <w:t>current tax assets</w:t>
            </w:r>
          </w:p>
          <w:p w14:paraId="7BA96811" w14:textId="77777777" w:rsidR="008D7452" w:rsidRDefault="008D7452" w:rsidP="00E10CD7">
            <w:pPr>
              <w:pStyle w:val="ListBullet"/>
              <w:spacing w:after="40" w:line="240" w:lineRule="auto"/>
              <w:ind w:left="0" w:firstLine="0"/>
              <w:mirrorIndents/>
              <w:rPr>
                <w:rStyle w:val="Guidance"/>
              </w:rPr>
            </w:pPr>
            <w:r w:rsidRPr="000F5E0B">
              <w:rPr>
                <w:rStyle w:val="Guidance"/>
              </w:rPr>
              <w:t>deferred tax assets</w:t>
            </w:r>
          </w:p>
          <w:p w14:paraId="2D0A5102" w14:textId="1E434117" w:rsidR="008D7452" w:rsidRPr="000F5E0B" w:rsidRDefault="008D7452" w:rsidP="00EE2340">
            <w:pPr>
              <w:pStyle w:val="ListBullet"/>
              <w:spacing w:after="40" w:line="240" w:lineRule="auto"/>
              <w:mirrorIndents/>
              <w:rPr>
                <w:rStyle w:val="Guidance"/>
              </w:rPr>
            </w:pPr>
            <w:r w:rsidRPr="000F5E0B">
              <w:rPr>
                <w:rStyle w:val="Guidance"/>
              </w:rPr>
              <w:t>the total assets classified as held for sale and assets included in disposal groups classified as held for sale</w:t>
            </w:r>
            <w:r w:rsidR="00EE5018">
              <w:rPr>
                <w:rStyle w:val="Guidance"/>
                <w:rFonts w:hint="eastAsia"/>
                <w:lang w:eastAsia="zh-CN"/>
              </w:rPr>
              <w:t xml:space="preserve"> </w:t>
            </w:r>
          </w:p>
        </w:tc>
        <w:tc>
          <w:tcPr>
            <w:tcW w:w="4377" w:type="dxa"/>
          </w:tcPr>
          <w:p w14:paraId="7FD284E0" w14:textId="77777777" w:rsidR="008D7452" w:rsidRDefault="008D7452" w:rsidP="00E10CD7">
            <w:pPr>
              <w:pStyle w:val="ListBullet"/>
              <w:spacing w:after="40" w:line="240" w:lineRule="auto"/>
              <w:ind w:left="0" w:firstLine="0"/>
              <w:mirrorIndents/>
              <w:rPr>
                <w:rStyle w:val="Guidance"/>
              </w:rPr>
            </w:pPr>
            <w:r w:rsidRPr="000F5E0B">
              <w:rPr>
                <w:rStyle w:val="Guidance"/>
              </w:rPr>
              <w:t xml:space="preserve">trade and other payables </w:t>
            </w:r>
          </w:p>
          <w:p w14:paraId="4A408CB2" w14:textId="77777777" w:rsidR="008D7452" w:rsidRPr="000F5E0B" w:rsidRDefault="008D7452" w:rsidP="00E10CD7">
            <w:pPr>
              <w:pStyle w:val="ListBullet"/>
              <w:spacing w:after="40" w:line="240" w:lineRule="auto"/>
              <w:ind w:left="0" w:firstLine="0"/>
              <w:mirrorIndents/>
              <w:rPr>
                <w:rStyle w:val="Guidance"/>
              </w:rPr>
            </w:pPr>
            <w:r>
              <w:rPr>
                <w:rStyle w:val="Guidance"/>
              </w:rPr>
              <w:t>financial liabilities (not elsewhere presented)</w:t>
            </w:r>
          </w:p>
          <w:p w14:paraId="2962644E" w14:textId="77777777" w:rsidR="008D7452" w:rsidRPr="000F5E0B" w:rsidRDefault="008D7452" w:rsidP="00E10CD7">
            <w:pPr>
              <w:pStyle w:val="ListBullet"/>
              <w:spacing w:after="40" w:line="240" w:lineRule="auto"/>
              <w:ind w:left="0" w:firstLine="0"/>
              <w:mirrorIndents/>
              <w:rPr>
                <w:rStyle w:val="Guidance"/>
              </w:rPr>
            </w:pPr>
            <w:r w:rsidRPr="000F5E0B">
              <w:rPr>
                <w:rStyle w:val="Guidance"/>
              </w:rPr>
              <w:t>current tax liabilities</w:t>
            </w:r>
          </w:p>
          <w:p w14:paraId="3EAEBD6F" w14:textId="77777777" w:rsidR="008D7452" w:rsidRPr="000F5E0B" w:rsidRDefault="008D7452" w:rsidP="00E10CD7">
            <w:pPr>
              <w:pStyle w:val="ListBullet"/>
              <w:spacing w:after="40" w:line="240" w:lineRule="auto"/>
              <w:ind w:left="0" w:firstLine="0"/>
              <w:mirrorIndents/>
              <w:rPr>
                <w:rStyle w:val="Guidance"/>
              </w:rPr>
            </w:pPr>
            <w:r w:rsidRPr="000F5E0B">
              <w:rPr>
                <w:rStyle w:val="Guidance"/>
              </w:rPr>
              <w:t>deferred tax liabilities</w:t>
            </w:r>
          </w:p>
          <w:p w14:paraId="50A60E89" w14:textId="77777777" w:rsidR="008D7452" w:rsidRPr="000F5E0B" w:rsidRDefault="008D7452" w:rsidP="00EE2340">
            <w:pPr>
              <w:pStyle w:val="ListBullet"/>
              <w:spacing w:after="40" w:line="240" w:lineRule="auto"/>
              <w:mirrorIndents/>
              <w:rPr>
                <w:rStyle w:val="Guidance"/>
              </w:rPr>
            </w:pPr>
            <w:r w:rsidRPr="000F5E0B">
              <w:rPr>
                <w:rStyle w:val="Guidance"/>
              </w:rPr>
              <w:t>liabilities included in disposal groups classified as held for sale</w:t>
            </w:r>
          </w:p>
          <w:p w14:paraId="0D8874FD" w14:textId="77777777" w:rsidR="008D7452" w:rsidRDefault="008D7452" w:rsidP="00E10CD7">
            <w:pPr>
              <w:pStyle w:val="ListBullet"/>
              <w:spacing w:after="40" w:line="240" w:lineRule="auto"/>
              <w:ind w:left="0" w:firstLine="0"/>
              <w:mirrorIndents/>
              <w:rPr>
                <w:rStyle w:val="Guidance"/>
              </w:rPr>
            </w:pPr>
            <w:r w:rsidRPr="000F5E0B">
              <w:rPr>
                <w:rStyle w:val="Guidance"/>
              </w:rPr>
              <w:t>provisions</w:t>
            </w:r>
          </w:p>
          <w:p w14:paraId="46FCD1DF" w14:textId="77777777" w:rsidR="008D7452" w:rsidRDefault="008D7452" w:rsidP="00E10CD7">
            <w:pPr>
              <w:keepNext/>
              <w:spacing w:before="40" w:after="40" w:line="240" w:lineRule="auto"/>
              <w:mirrorIndents/>
              <w:rPr>
                <w:rStyle w:val="Guidance"/>
                <w:b/>
                <w:bCs/>
              </w:rPr>
            </w:pPr>
            <w:r w:rsidRPr="00524392">
              <w:rPr>
                <w:rStyle w:val="Guidance"/>
                <w:b/>
                <w:bCs/>
              </w:rPr>
              <w:t>Equity</w:t>
            </w:r>
          </w:p>
          <w:p w14:paraId="6C0C282F" w14:textId="77777777" w:rsidR="008D7452" w:rsidRDefault="008D7452" w:rsidP="00EE2340">
            <w:pPr>
              <w:pStyle w:val="ListBullet"/>
              <w:spacing w:after="40" w:line="240" w:lineRule="auto"/>
              <w:mirrorIndents/>
              <w:rPr>
                <w:rStyle w:val="Guidance"/>
              </w:rPr>
            </w:pPr>
            <w:r w:rsidRPr="00524392">
              <w:rPr>
                <w:rStyle w:val="Guidance"/>
              </w:rPr>
              <w:t>non-controlling interests, presented within equity separately from the equity attributable to the owners of the parent</w:t>
            </w:r>
          </w:p>
          <w:p w14:paraId="296E7A8D" w14:textId="5D1C01D4" w:rsidR="008D7452" w:rsidRPr="000F5E0B" w:rsidRDefault="008D7452" w:rsidP="00E10CD7">
            <w:pPr>
              <w:pStyle w:val="ListBullet"/>
              <w:spacing w:after="40" w:line="240" w:lineRule="auto"/>
              <w:ind w:left="0" w:firstLine="0"/>
              <w:mirrorIndents/>
              <w:rPr>
                <w:rStyle w:val="Guidance"/>
              </w:rPr>
            </w:pPr>
            <w:r w:rsidRPr="004F00C0">
              <w:rPr>
                <w:color w:val="4472C4" w:themeColor="accent1"/>
              </w:rPr>
              <w:t>equity attributable to the owners of the parent</w:t>
            </w:r>
            <w:r w:rsidR="00D16986">
              <w:rPr>
                <w:rFonts w:hint="eastAsia"/>
                <w:color w:val="4472C4" w:themeColor="accent1"/>
                <w:lang w:eastAsia="zh-CN"/>
              </w:rPr>
              <w:t xml:space="preserve"> </w:t>
            </w:r>
            <w:r w:rsidR="00EE5018" w:rsidRPr="000F5E0B">
              <w:rPr>
                <w:rStyle w:val="Reference"/>
              </w:rPr>
              <w:t>[</w:t>
            </w:r>
            <w:r w:rsidR="0007383E">
              <w:rPr>
                <w:rStyle w:val="Reference"/>
              </w:rPr>
              <w:t>AASB </w:t>
            </w:r>
            <w:r w:rsidR="00EE5018" w:rsidRPr="000F5E0B">
              <w:rPr>
                <w:rStyle w:val="Reference"/>
              </w:rPr>
              <w:t>10</w:t>
            </w:r>
            <w:r w:rsidR="00EE5018">
              <w:rPr>
                <w:rStyle w:val="Reference"/>
                <w:rFonts w:hint="eastAsia"/>
                <w:lang w:eastAsia="zh-CN"/>
              </w:rPr>
              <w:t>60.35</w:t>
            </w:r>
            <w:r w:rsidR="00EE5018" w:rsidRPr="000F5E0B">
              <w:rPr>
                <w:rStyle w:val="Reference"/>
              </w:rPr>
              <w:t>]</w:t>
            </w:r>
          </w:p>
        </w:tc>
      </w:tr>
    </w:tbl>
    <w:p w14:paraId="5D001012" w14:textId="50C9A42B" w:rsidR="00040D16" w:rsidRPr="00040D16" w:rsidRDefault="003719CD" w:rsidP="002A0038">
      <w:pPr>
        <w:spacing w:before="120" w:after="0"/>
        <w:mirrorIndents/>
        <w:rPr>
          <w:color w:val="4472C4" w:themeColor="accent1"/>
        </w:rPr>
      </w:pPr>
      <w:r w:rsidRPr="000F5E0B">
        <w:rPr>
          <w:rStyle w:val="Guidance"/>
          <w:b/>
          <w:bCs/>
        </w:rPr>
        <w:t>Sub-classification of line items</w:t>
      </w:r>
      <w:r w:rsidRPr="000F5E0B">
        <w:rPr>
          <w:rStyle w:val="Guidance"/>
        </w:rPr>
        <w:t xml:space="preserve">: </w:t>
      </w:r>
      <w:r w:rsidR="00040D16" w:rsidRPr="00040D16">
        <w:rPr>
          <w:color w:val="4472C4" w:themeColor="accent1"/>
        </w:rPr>
        <w:t>An entity shall disclose, either in the statement of financial position or in the notes, further subclassifications</w:t>
      </w:r>
      <w:r w:rsidR="00040D16">
        <w:rPr>
          <w:color w:val="4472C4" w:themeColor="accent1"/>
        </w:rPr>
        <w:t xml:space="preserve"> </w:t>
      </w:r>
      <w:r w:rsidR="00040D16" w:rsidRPr="00040D16">
        <w:rPr>
          <w:color w:val="4472C4" w:themeColor="accent1"/>
        </w:rPr>
        <w:t>of the line items presented, classified in a manner appropriate to the entity’s operation. This includes for</w:t>
      </w:r>
      <w:r w:rsidR="00040D16">
        <w:rPr>
          <w:color w:val="4472C4" w:themeColor="accent1"/>
        </w:rPr>
        <w:t xml:space="preserve"> </w:t>
      </w:r>
      <w:r w:rsidR="00040D16" w:rsidRPr="00040D16">
        <w:rPr>
          <w:color w:val="4472C4" w:themeColor="accent1"/>
        </w:rPr>
        <w:t>example:</w:t>
      </w:r>
    </w:p>
    <w:p w14:paraId="4628424A" w14:textId="4BEE376F" w:rsidR="00040D16" w:rsidRPr="002A0038" w:rsidRDefault="00040D16" w:rsidP="002A0038">
      <w:pPr>
        <w:pStyle w:val="ListBullet"/>
        <w:numPr>
          <w:ilvl w:val="0"/>
          <w:numId w:val="309"/>
        </w:numPr>
        <w:spacing w:after="0"/>
        <w:mirrorIndents/>
        <w:rPr>
          <w:rStyle w:val="Guidance"/>
        </w:rPr>
      </w:pPr>
      <w:r w:rsidRPr="002A0038">
        <w:rPr>
          <w:rStyle w:val="Guidance"/>
        </w:rPr>
        <w:t>property, plant and equipment in classifications appropriate to the entity</w:t>
      </w:r>
    </w:p>
    <w:p w14:paraId="0D68E607" w14:textId="0CD1875A" w:rsidR="00040D16" w:rsidRPr="002A0038" w:rsidRDefault="00040D16" w:rsidP="002A0038">
      <w:pPr>
        <w:pStyle w:val="ListBullet"/>
        <w:numPr>
          <w:ilvl w:val="0"/>
          <w:numId w:val="309"/>
        </w:numPr>
        <w:spacing w:after="0"/>
        <w:mirrorIndents/>
        <w:rPr>
          <w:rStyle w:val="Guidance"/>
        </w:rPr>
      </w:pPr>
      <w:r w:rsidRPr="002A0038">
        <w:rPr>
          <w:rStyle w:val="Guidance"/>
        </w:rPr>
        <w:t>trade and other receivables showing separately amounts due from related parties, amounts due from other parties and contract assets from contracts with customers</w:t>
      </w:r>
    </w:p>
    <w:p w14:paraId="0C4D5956" w14:textId="0241B30E" w:rsidR="00040D16" w:rsidRPr="002A0038" w:rsidRDefault="00040D16" w:rsidP="002A0038">
      <w:pPr>
        <w:pStyle w:val="ListBullet"/>
        <w:numPr>
          <w:ilvl w:val="0"/>
          <w:numId w:val="309"/>
        </w:numPr>
        <w:spacing w:after="0"/>
        <w:mirrorIndents/>
        <w:rPr>
          <w:rStyle w:val="Guidance"/>
        </w:rPr>
      </w:pPr>
      <w:r w:rsidRPr="002A0038">
        <w:rPr>
          <w:rStyle w:val="Guidance"/>
        </w:rPr>
        <w:t>inventories, showing separately amounts of inventories:</w:t>
      </w:r>
    </w:p>
    <w:p w14:paraId="0E68F3F7" w14:textId="5D423BFE" w:rsidR="00040D16" w:rsidRPr="002A0038" w:rsidRDefault="00040D16" w:rsidP="002A0038">
      <w:pPr>
        <w:pStyle w:val="ListParagraph"/>
        <w:numPr>
          <w:ilvl w:val="0"/>
          <w:numId w:val="310"/>
        </w:numPr>
        <w:spacing w:before="40" w:line="264" w:lineRule="auto"/>
        <w:ind w:left="697" w:hanging="357"/>
        <w:rPr>
          <w:color w:val="4472C4" w:themeColor="accent1"/>
        </w:rPr>
      </w:pPr>
      <w:r w:rsidRPr="002A0038">
        <w:rPr>
          <w:color w:val="4472C4" w:themeColor="accent1"/>
        </w:rPr>
        <w:t>held for sale in the ordinary course of business</w:t>
      </w:r>
    </w:p>
    <w:p w14:paraId="6B63F54A" w14:textId="5104773C" w:rsidR="00040D16" w:rsidRPr="002A0038" w:rsidRDefault="00040D16" w:rsidP="002A0038">
      <w:pPr>
        <w:pStyle w:val="ListParagraph"/>
        <w:numPr>
          <w:ilvl w:val="0"/>
          <w:numId w:val="310"/>
        </w:numPr>
        <w:spacing w:before="40" w:line="264" w:lineRule="auto"/>
        <w:ind w:left="697" w:hanging="357"/>
        <w:rPr>
          <w:color w:val="4472C4" w:themeColor="accent1"/>
        </w:rPr>
      </w:pPr>
      <w:r w:rsidRPr="002A0038">
        <w:rPr>
          <w:color w:val="4472C4" w:themeColor="accent1"/>
        </w:rPr>
        <w:t>in the process of production for such sale</w:t>
      </w:r>
    </w:p>
    <w:p w14:paraId="69D40C92" w14:textId="0AA739A0" w:rsidR="00040D16" w:rsidRPr="002A0038" w:rsidRDefault="00040D16" w:rsidP="002A0038">
      <w:pPr>
        <w:pStyle w:val="ListParagraph"/>
        <w:numPr>
          <w:ilvl w:val="0"/>
          <w:numId w:val="310"/>
        </w:numPr>
        <w:spacing w:before="40" w:line="264" w:lineRule="auto"/>
        <w:ind w:left="697" w:hanging="357"/>
        <w:rPr>
          <w:color w:val="4472C4" w:themeColor="accent1"/>
        </w:rPr>
      </w:pPr>
      <w:r w:rsidRPr="002A0038">
        <w:rPr>
          <w:color w:val="4472C4" w:themeColor="accent1"/>
        </w:rPr>
        <w:t>in the form of materials or supplies to be consumed in the production process or in the rendering of services.</w:t>
      </w:r>
    </w:p>
    <w:p w14:paraId="3AE357D2" w14:textId="335F0B38" w:rsidR="00040D16" w:rsidRPr="002A0038" w:rsidRDefault="00040D16" w:rsidP="002A0038">
      <w:pPr>
        <w:pStyle w:val="ListBullet"/>
        <w:numPr>
          <w:ilvl w:val="0"/>
          <w:numId w:val="309"/>
        </w:numPr>
        <w:spacing w:after="0"/>
        <w:mirrorIndents/>
        <w:rPr>
          <w:rStyle w:val="Guidance"/>
        </w:rPr>
      </w:pPr>
      <w:r w:rsidRPr="002A0038">
        <w:rPr>
          <w:rStyle w:val="Guidance"/>
        </w:rPr>
        <w:t>trade and other payables, showing separately amounts payable to trade suppliers, amounts payable to related parties, contract liabilities from contracts with customers and accruals</w:t>
      </w:r>
    </w:p>
    <w:p w14:paraId="3EACD84C" w14:textId="603E35B0" w:rsidR="00040D16" w:rsidRPr="002A0038" w:rsidRDefault="00040D16" w:rsidP="002A0038">
      <w:pPr>
        <w:pStyle w:val="ListBullet"/>
        <w:numPr>
          <w:ilvl w:val="0"/>
          <w:numId w:val="309"/>
        </w:numPr>
        <w:spacing w:after="0"/>
        <w:mirrorIndents/>
        <w:rPr>
          <w:rStyle w:val="Guidance"/>
        </w:rPr>
      </w:pPr>
      <w:r w:rsidRPr="002A0038">
        <w:rPr>
          <w:rStyle w:val="Guidance"/>
        </w:rPr>
        <w:t>provisions for employee benefits and other provisions</w:t>
      </w:r>
    </w:p>
    <w:p w14:paraId="6EECE8DF" w14:textId="1EF3AB4C" w:rsidR="003719CD" w:rsidRPr="000F5E0B" w:rsidRDefault="00040D16" w:rsidP="002A0038">
      <w:pPr>
        <w:pStyle w:val="ListBullet"/>
        <w:numPr>
          <w:ilvl w:val="0"/>
          <w:numId w:val="309"/>
        </w:numPr>
        <w:spacing w:after="0"/>
        <w:mirrorIndents/>
        <w:rPr>
          <w:rStyle w:val="Guidance"/>
        </w:rPr>
      </w:pPr>
      <w:r w:rsidRPr="002A0038">
        <w:rPr>
          <w:rStyle w:val="Guidance"/>
        </w:rPr>
        <w:t>classes of equity, such as paid-in capital, share premium, retained earnings and items of income and expense that, as required by Australian Accounting Standards, are recognised in other comprehensive income and presented separately in equity</w:t>
      </w:r>
      <w:r w:rsidRPr="00040D16">
        <w:rPr>
          <w:color w:val="4472C4" w:themeColor="accent1"/>
        </w:rPr>
        <w:t>.</w:t>
      </w:r>
      <w:r w:rsidR="00EE5018">
        <w:rPr>
          <w:rFonts w:hint="eastAsia"/>
          <w:color w:val="4472C4" w:themeColor="accent1"/>
          <w:lang w:eastAsia="zh-CN"/>
        </w:rPr>
        <w:t xml:space="preserve"> </w:t>
      </w:r>
      <w:r w:rsidR="00EE5018" w:rsidRPr="000F5E0B">
        <w:rPr>
          <w:rStyle w:val="Reference"/>
        </w:rPr>
        <w:t>[AASB</w:t>
      </w:r>
      <w:r w:rsidR="00F569D8">
        <w:rPr>
          <w:rStyle w:val="Reference"/>
        </w:rPr>
        <w:t xml:space="preserve"> </w:t>
      </w:r>
      <w:r w:rsidR="00EE5018">
        <w:rPr>
          <w:rStyle w:val="Reference"/>
          <w:rFonts w:hint="eastAsia"/>
          <w:lang w:eastAsia="zh-CN"/>
        </w:rPr>
        <w:t>1060.44</w:t>
      </w:r>
      <w:r w:rsidR="00EE5018" w:rsidRPr="000F5E0B">
        <w:rPr>
          <w:rStyle w:val="Reference"/>
        </w:rPr>
        <w:t>]</w:t>
      </w:r>
    </w:p>
    <w:p w14:paraId="448C4519" w14:textId="21264B82" w:rsidR="006E4E21" w:rsidRPr="002A0038" w:rsidRDefault="006E4E21" w:rsidP="002A0038">
      <w:pPr>
        <w:pStyle w:val="ListBullet"/>
        <w:numPr>
          <w:ilvl w:val="0"/>
          <w:numId w:val="0"/>
        </w:numPr>
        <w:spacing w:before="120" w:after="0"/>
        <w:mirrorIndents/>
        <w:rPr>
          <w:rStyle w:val="Reference"/>
          <w:b/>
          <w:bCs/>
          <w:color w:val="4472C4" w:themeColor="accent1"/>
          <w:sz w:val="18"/>
        </w:rPr>
      </w:pPr>
      <w:r w:rsidRPr="00524392">
        <w:rPr>
          <w:rStyle w:val="Guidance"/>
          <w:b/>
          <w:bCs/>
        </w:rPr>
        <w:t>Additional line items:</w:t>
      </w:r>
      <w:r w:rsidR="008D7452">
        <w:rPr>
          <w:rStyle w:val="Guidance"/>
          <w:b/>
          <w:bCs/>
        </w:rPr>
        <w:t xml:space="preserve"> </w:t>
      </w:r>
      <w:r w:rsidRPr="00524392">
        <w:rPr>
          <w:rStyle w:val="Guidance"/>
        </w:rPr>
        <w:t>An entity shall present additional line items, headings and subtotals in the statement of financial position when such presentation is relevant to an understanding of the entity’s financial position.</w:t>
      </w:r>
      <w:r w:rsidRPr="00E95885">
        <w:rPr>
          <w:rStyle w:val="Reference"/>
        </w:rPr>
        <w:t xml:space="preserve"> </w:t>
      </w:r>
      <w:r w:rsidRPr="000F5E0B">
        <w:rPr>
          <w:rStyle w:val="Reference"/>
        </w:rPr>
        <w:t>[</w:t>
      </w:r>
      <w:r w:rsidR="0007383E">
        <w:rPr>
          <w:rStyle w:val="Reference"/>
        </w:rPr>
        <w:t>AASB </w:t>
      </w:r>
      <w:r w:rsidRPr="000F5E0B">
        <w:rPr>
          <w:rStyle w:val="Reference"/>
        </w:rPr>
        <w:t>10</w:t>
      </w:r>
      <w:r>
        <w:rPr>
          <w:rStyle w:val="Reference"/>
          <w:rFonts w:hint="eastAsia"/>
          <w:lang w:eastAsia="zh-CN"/>
        </w:rPr>
        <w:t>60.3</w:t>
      </w:r>
      <w:r>
        <w:rPr>
          <w:rStyle w:val="Reference"/>
          <w:lang w:eastAsia="zh-CN"/>
        </w:rPr>
        <w:t>6</w:t>
      </w:r>
      <w:r w:rsidRPr="000F5E0B">
        <w:rPr>
          <w:rStyle w:val="Reference"/>
        </w:rPr>
        <w:t>]</w:t>
      </w:r>
    </w:p>
    <w:p w14:paraId="544399F6" w14:textId="013B6FE8" w:rsidR="006E4E21" w:rsidRPr="00524392" w:rsidRDefault="006E4E21" w:rsidP="002A0038">
      <w:pPr>
        <w:pStyle w:val="ListBullet"/>
        <w:numPr>
          <w:ilvl w:val="0"/>
          <w:numId w:val="0"/>
        </w:numPr>
        <w:spacing w:before="120" w:after="0"/>
        <w:mirrorIndents/>
        <w:rPr>
          <w:rStyle w:val="Guidance"/>
        </w:rPr>
      </w:pPr>
      <w:r w:rsidRPr="00524392">
        <w:rPr>
          <w:rStyle w:val="Guidance"/>
        </w:rPr>
        <w:t xml:space="preserve">The judgement on whether additional items are presented separately is based on an assessment of </w:t>
      </w:r>
      <w:proofErr w:type="gramStart"/>
      <w:r w:rsidRPr="00524392">
        <w:rPr>
          <w:rStyle w:val="Guidance"/>
        </w:rPr>
        <w:t>all of</w:t>
      </w:r>
      <w:proofErr w:type="gramEnd"/>
      <w:r w:rsidRPr="00524392">
        <w:rPr>
          <w:rStyle w:val="Guidance"/>
        </w:rPr>
        <w:t xml:space="preserve"> the</w:t>
      </w:r>
      <w:r>
        <w:rPr>
          <w:rStyle w:val="Guidance"/>
        </w:rPr>
        <w:t xml:space="preserve"> </w:t>
      </w:r>
      <w:r w:rsidRPr="00524392">
        <w:rPr>
          <w:rStyle w:val="Guidance"/>
        </w:rPr>
        <w:t>following:</w:t>
      </w:r>
    </w:p>
    <w:p w14:paraId="40764FF4" w14:textId="1ECB99A5" w:rsidR="006E4E21" w:rsidRPr="00524392" w:rsidRDefault="00BF7794" w:rsidP="002A0038">
      <w:pPr>
        <w:pStyle w:val="ListBullet"/>
        <w:numPr>
          <w:ilvl w:val="0"/>
          <w:numId w:val="311"/>
        </w:numPr>
        <w:spacing w:after="0"/>
        <w:ind w:left="357" w:hanging="357"/>
        <w:mirrorIndents/>
        <w:rPr>
          <w:rStyle w:val="Guidance"/>
        </w:rPr>
      </w:pPr>
      <w:r>
        <w:rPr>
          <w:rStyle w:val="Guidance"/>
        </w:rPr>
        <w:t>T</w:t>
      </w:r>
      <w:r w:rsidR="006E4E21" w:rsidRPr="00524392">
        <w:rPr>
          <w:rStyle w:val="Guidance"/>
        </w:rPr>
        <w:t>he amounts, nature and liquidity of assets</w:t>
      </w:r>
    </w:p>
    <w:p w14:paraId="15E61876" w14:textId="03D208A4" w:rsidR="006E4E21" w:rsidRPr="00524392" w:rsidRDefault="00BF7794" w:rsidP="002A0038">
      <w:pPr>
        <w:pStyle w:val="ListBullet"/>
        <w:numPr>
          <w:ilvl w:val="0"/>
          <w:numId w:val="311"/>
        </w:numPr>
        <w:spacing w:after="0"/>
        <w:ind w:left="357" w:hanging="357"/>
        <w:mirrorIndents/>
        <w:rPr>
          <w:rStyle w:val="Guidance"/>
        </w:rPr>
      </w:pPr>
      <w:r>
        <w:rPr>
          <w:rStyle w:val="Guidance"/>
        </w:rPr>
        <w:t>T</w:t>
      </w:r>
      <w:r w:rsidR="006E4E21" w:rsidRPr="00524392">
        <w:rPr>
          <w:rStyle w:val="Guidance"/>
        </w:rPr>
        <w:t>he function of assets within the entity</w:t>
      </w:r>
    </w:p>
    <w:p w14:paraId="12182CFD" w14:textId="2BA229CF" w:rsidR="006E4E21" w:rsidRPr="002A0038" w:rsidRDefault="00BF7794" w:rsidP="001C2429">
      <w:pPr>
        <w:pStyle w:val="ListBullet"/>
        <w:numPr>
          <w:ilvl w:val="0"/>
          <w:numId w:val="311"/>
        </w:numPr>
        <w:spacing w:after="0"/>
        <w:ind w:left="357" w:hanging="357"/>
        <w:mirrorIndents/>
        <w:rPr>
          <w:rStyle w:val="Guidance"/>
        </w:rPr>
      </w:pPr>
      <w:r>
        <w:rPr>
          <w:rStyle w:val="Guidance"/>
        </w:rPr>
        <w:t>T</w:t>
      </w:r>
      <w:r w:rsidR="006E4E21" w:rsidRPr="00524392">
        <w:rPr>
          <w:rStyle w:val="Guidance"/>
        </w:rPr>
        <w:t>he amounts, nature and timing of liabilities.</w:t>
      </w:r>
      <w:r w:rsidR="006E4E21" w:rsidRPr="006E4E21">
        <w:rPr>
          <w:rStyle w:val="Reference"/>
        </w:rPr>
        <w:t xml:space="preserve"> </w:t>
      </w:r>
      <w:r w:rsidR="00EE5018" w:rsidRPr="000F5E0B">
        <w:rPr>
          <w:rStyle w:val="Reference"/>
        </w:rPr>
        <w:t>[</w:t>
      </w:r>
      <w:r w:rsidR="0007383E">
        <w:rPr>
          <w:rStyle w:val="Reference"/>
        </w:rPr>
        <w:t>AASB </w:t>
      </w:r>
      <w:r w:rsidR="00EE5018" w:rsidRPr="000F5E0B">
        <w:rPr>
          <w:rStyle w:val="Reference"/>
        </w:rPr>
        <w:t>10</w:t>
      </w:r>
      <w:r w:rsidR="00EE5018">
        <w:rPr>
          <w:rStyle w:val="Reference"/>
          <w:rFonts w:hint="eastAsia"/>
          <w:lang w:eastAsia="zh-CN"/>
        </w:rPr>
        <w:t>60.</w:t>
      </w:r>
      <w:r w:rsidR="00EE5018">
        <w:rPr>
          <w:rStyle w:val="Reference"/>
          <w:lang w:eastAsia="zh-CN"/>
        </w:rPr>
        <w:t>43</w:t>
      </w:r>
      <w:r w:rsidR="00EE5018" w:rsidRPr="000F5E0B">
        <w:rPr>
          <w:rStyle w:val="Reference"/>
        </w:rPr>
        <w:t>]</w:t>
      </w:r>
    </w:p>
    <w:p w14:paraId="2AED5423" w14:textId="5A6B8095" w:rsidR="008F2B17" w:rsidRPr="002A0038" w:rsidRDefault="00F84A05" w:rsidP="001A3EF4">
      <w:pPr>
        <w:pStyle w:val="ListBullet"/>
        <w:numPr>
          <w:ilvl w:val="0"/>
          <w:numId w:val="0"/>
        </w:numPr>
        <w:spacing w:before="120" w:after="0"/>
        <w:mirrorIndents/>
        <w:rPr>
          <w:rStyle w:val="Guidance"/>
        </w:rPr>
      </w:pPr>
      <w:r w:rsidRPr="00E10CD7">
        <w:rPr>
          <w:rStyle w:val="Reference"/>
          <w:color w:val="4472C4" w:themeColor="accent1"/>
          <w:sz w:val="18"/>
        </w:rPr>
        <w:t xml:space="preserve">For consistency and consolidation purposes, </w:t>
      </w:r>
      <w:r w:rsidR="0007383E">
        <w:rPr>
          <w:rStyle w:val="Reference"/>
          <w:color w:val="4472C4" w:themeColor="accent1"/>
          <w:sz w:val="18"/>
        </w:rPr>
        <w:t>Tier </w:t>
      </w:r>
      <w:r w:rsidRPr="00E10CD7">
        <w:rPr>
          <w:rStyle w:val="Reference"/>
          <w:color w:val="4472C4" w:themeColor="accent1"/>
          <w:sz w:val="18"/>
        </w:rPr>
        <w:t xml:space="preserve">2 Model Report adopts the presentation requirements in </w:t>
      </w:r>
      <w:r w:rsidR="0007383E">
        <w:rPr>
          <w:rStyle w:val="Reference"/>
          <w:color w:val="4472C4" w:themeColor="accent1"/>
          <w:sz w:val="18"/>
        </w:rPr>
        <w:t>AASB </w:t>
      </w:r>
      <w:r w:rsidRPr="00E10CD7">
        <w:rPr>
          <w:rStyle w:val="Reference"/>
          <w:color w:val="4472C4" w:themeColor="accent1"/>
          <w:sz w:val="18"/>
        </w:rPr>
        <w:t>1049.</w:t>
      </w:r>
      <w:r w:rsidR="000D79BF" w:rsidRPr="00E10CD7">
        <w:rPr>
          <w:rStyle w:val="Reference"/>
          <w:color w:val="4472C4" w:themeColor="accent1"/>
          <w:sz w:val="18"/>
        </w:rPr>
        <w:t xml:space="preserve"> For the purpose of presentation, all amounts relating to an item included in the determination of comprehensive result (total change in net worth [before transactions with owners in their capacity as owners]) shall be classified as transactions or other economic flows in a manner that is consistent with applying the principles in the ABS GFS Manual from the GAAP perspective.</w:t>
      </w:r>
      <w:r w:rsidR="000D79BF">
        <w:rPr>
          <w:rStyle w:val="Guidance"/>
        </w:rPr>
        <w:t xml:space="preserve"> </w:t>
      </w:r>
      <w:r w:rsidR="000D79BF" w:rsidRPr="000F5E0B">
        <w:rPr>
          <w:rStyle w:val="Reference"/>
        </w:rPr>
        <w:t>[</w:t>
      </w:r>
      <w:r w:rsidR="0007383E">
        <w:rPr>
          <w:rStyle w:val="Reference"/>
        </w:rPr>
        <w:t>AASB </w:t>
      </w:r>
      <w:r w:rsidR="000D79BF" w:rsidRPr="000F5E0B">
        <w:rPr>
          <w:rStyle w:val="Reference"/>
        </w:rPr>
        <w:t>10</w:t>
      </w:r>
      <w:r w:rsidR="000D79BF">
        <w:rPr>
          <w:rStyle w:val="Reference"/>
          <w:lang w:eastAsia="zh-CN"/>
        </w:rPr>
        <w:t>49</w:t>
      </w:r>
      <w:r w:rsidR="000D79BF">
        <w:rPr>
          <w:rStyle w:val="Reference"/>
          <w:rFonts w:hint="eastAsia"/>
          <w:lang w:eastAsia="zh-CN"/>
        </w:rPr>
        <w:t>.</w:t>
      </w:r>
      <w:r w:rsidR="000D79BF">
        <w:rPr>
          <w:rStyle w:val="Reference"/>
          <w:lang w:eastAsia="zh-CN"/>
        </w:rPr>
        <w:t>3</w:t>
      </w:r>
      <w:r w:rsidR="00AB7EDD">
        <w:rPr>
          <w:rStyle w:val="Reference"/>
          <w:lang w:eastAsia="zh-CN"/>
        </w:rPr>
        <w:t>0</w:t>
      </w:r>
      <w:r w:rsidR="000D79BF" w:rsidRPr="000F5E0B">
        <w:rPr>
          <w:rStyle w:val="Reference"/>
        </w:rPr>
        <w:t>]</w:t>
      </w:r>
    </w:p>
    <w:p w14:paraId="05E43C60" w14:textId="77777777" w:rsidR="003719CD" w:rsidRDefault="003719CD" w:rsidP="002A0038">
      <w:pPr>
        <w:pStyle w:val="GuidanceEnd"/>
        <w:spacing w:before="40" w:after="80" w:line="264" w:lineRule="auto"/>
        <w:mirrorIndents/>
      </w:pPr>
    </w:p>
    <w:p w14:paraId="1FECF53C" w14:textId="77777777" w:rsidR="003719CD" w:rsidRDefault="003719CD" w:rsidP="002A0038">
      <w:pPr>
        <w:spacing w:before="40"/>
        <w:mirrorIndents/>
      </w:pPr>
      <w:r>
        <w:t xml:space="preserve"> </w:t>
      </w:r>
    </w:p>
    <w:p w14:paraId="6088C7C6" w14:textId="597BC449" w:rsidR="003719CD" w:rsidRDefault="003719CD" w:rsidP="000F5E0B">
      <w:pPr>
        <w:pStyle w:val="Heading2"/>
        <w:pageBreakBefore/>
      </w:pPr>
      <w:bookmarkStart w:id="163" w:name="_Toc179811133"/>
      <w:bookmarkStart w:id="164" w:name="_Toc179816833"/>
      <w:bookmarkStart w:id="165" w:name="_Toc179822533"/>
      <w:bookmarkStart w:id="166" w:name="_Toc179828223"/>
      <w:bookmarkStart w:id="167" w:name="_Toc179859753"/>
      <w:bookmarkStart w:id="168" w:name="_Toc179867095"/>
      <w:bookmarkStart w:id="169" w:name="_Toc179871488"/>
      <w:bookmarkStart w:id="170" w:name="_Toc179875881"/>
      <w:bookmarkStart w:id="171" w:name="_Toc179880300"/>
      <w:bookmarkStart w:id="172" w:name="_Ref190331239"/>
      <w:r>
        <w:t xml:space="preserve">Cash flow statement </w:t>
      </w:r>
      <w:r w:rsidRPr="000F5E0B">
        <w:rPr>
          <w:vertAlign w:val="superscript"/>
        </w:rPr>
        <w:t>(a)</w:t>
      </w:r>
      <w:bookmarkEnd w:id="163"/>
      <w:bookmarkEnd w:id="164"/>
      <w:bookmarkEnd w:id="165"/>
      <w:bookmarkEnd w:id="166"/>
      <w:bookmarkEnd w:id="167"/>
      <w:bookmarkEnd w:id="168"/>
      <w:bookmarkEnd w:id="169"/>
      <w:bookmarkEnd w:id="170"/>
      <w:bookmarkEnd w:id="171"/>
      <w:bookmarkEnd w:id="172"/>
    </w:p>
    <w:p w14:paraId="7A64F3FB" w14:textId="35DC1365" w:rsidR="003719CD" w:rsidRDefault="003719CD" w:rsidP="007D536F">
      <w:pPr>
        <w:pStyle w:val="Caption"/>
      </w:pPr>
      <w:r>
        <w:t xml:space="preserve">For the financial year ended 30 June </w:t>
      </w:r>
      <w:fldSimple w:instr="DOCPROPERTY  YearCurrent  \* MERGEFORMAT">
        <w:r w:rsidR="0054242A">
          <w:t>20X2</w:t>
        </w:r>
      </w:fldSimple>
      <w:r>
        <w:tab/>
        <w:t>($ thousand)</w:t>
      </w:r>
    </w:p>
    <w:tbl>
      <w:tblPr>
        <w:tblStyle w:val="DTFTable"/>
        <w:tblW w:w="9639" w:type="dxa"/>
        <w:tblLayout w:type="fixed"/>
        <w:tblLook w:val="0620" w:firstRow="1" w:lastRow="0" w:firstColumn="0" w:lastColumn="0" w:noHBand="1" w:noVBand="1"/>
      </w:tblPr>
      <w:tblGrid>
        <w:gridCol w:w="1927"/>
        <w:gridCol w:w="5161"/>
        <w:gridCol w:w="567"/>
        <w:gridCol w:w="992"/>
        <w:gridCol w:w="992"/>
      </w:tblGrid>
      <w:tr w:rsidR="00182709" w14:paraId="1FDC189D" w14:textId="77777777" w:rsidTr="007F096A">
        <w:trPr>
          <w:cnfStyle w:val="100000000000" w:firstRow="1" w:lastRow="0" w:firstColumn="0" w:lastColumn="0" w:oddVBand="0" w:evenVBand="0" w:oddHBand="0" w:evenHBand="0" w:firstRowFirstColumn="0" w:firstRowLastColumn="0" w:lastRowFirstColumn="0" w:lastRowLastColumn="0"/>
          <w:tblHeader/>
        </w:trPr>
        <w:tc>
          <w:tcPr>
            <w:tcW w:w="1927" w:type="dxa"/>
            <w:tcBorders>
              <w:top w:val="nil"/>
              <w:bottom w:val="nil"/>
            </w:tcBorders>
            <w:shd w:val="clear" w:color="auto" w:fill="FFFFFF" w:themeFill="background1"/>
          </w:tcPr>
          <w:p w14:paraId="68D5F133" w14:textId="77777777" w:rsidR="00182709" w:rsidRDefault="0044097C">
            <w:pPr>
              <w:keepNext/>
              <w:jc w:val="left"/>
            </w:pPr>
            <w:r>
              <w:rPr>
                <w:color w:val="4472C4"/>
                <w:sz w:val="13"/>
              </w:rPr>
              <w:t>Source reference</w:t>
            </w:r>
          </w:p>
        </w:tc>
        <w:tc>
          <w:tcPr>
            <w:tcW w:w="5161" w:type="dxa"/>
          </w:tcPr>
          <w:p w14:paraId="7293225E" w14:textId="54DFB760" w:rsidR="00182709" w:rsidRDefault="00EC7BA7">
            <w:pPr>
              <w:keepNext/>
              <w:jc w:val="left"/>
            </w:pPr>
            <w:r>
              <w:rPr>
                <w:rFonts w:hint="eastAsia"/>
                <w:lang w:eastAsia="zh-CN"/>
              </w:rPr>
              <w:t xml:space="preserve">   </w:t>
            </w:r>
          </w:p>
        </w:tc>
        <w:tc>
          <w:tcPr>
            <w:tcW w:w="567" w:type="dxa"/>
          </w:tcPr>
          <w:p w14:paraId="119A5F1F" w14:textId="77777777" w:rsidR="00182709" w:rsidRDefault="0044097C">
            <w:pPr>
              <w:keepNext/>
              <w:jc w:val="center"/>
            </w:pPr>
            <w:r>
              <w:t>Notes</w:t>
            </w:r>
          </w:p>
        </w:tc>
        <w:tc>
          <w:tcPr>
            <w:tcW w:w="992" w:type="dxa"/>
          </w:tcPr>
          <w:p w14:paraId="6A3FDC2F" w14:textId="77777777" w:rsidR="00182709" w:rsidRDefault="0044097C">
            <w:pPr>
              <w:keepNext/>
            </w:pPr>
            <w:r>
              <w:t>20X2</w:t>
            </w:r>
          </w:p>
        </w:tc>
        <w:tc>
          <w:tcPr>
            <w:tcW w:w="992" w:type="dxa"/>
          </w:tcPr>
          <w:p w14:paraId="2EEEF28F" w14:textId="77777777" w:rsidR="00182709" w:rsidRDefault="0044097C">
            <w:pPr>
              <w:keepNext/>
            </w:pPr>
            <w:r>
              <w:t>20X1</w:t>
            </w:r>
          </w:p>
        </w:tc>
      </w:tr>
      <w:tr w:rsidR="00182709" w14:paraId="7B7DD112" w14:textId="77777777" w:rsidTr="007F096A">
        <w:tc>
          <w:tcPr>
            <w:tcW w:w="1927" w:type="dxa"/>
          </w:tcPr>
          <w:p w14:paraId="59A90F82" w14:textId="2720A223" w:rsidR="00182709" w:rsidRDefault="0007383E">
            <w:pPr>
              <w:jc w:val="left"/>
            </w:pPr>
            <w:r>
              <w:rPr>
                <w:color w:val="4472C4"/>
                <w:sz w:val="13"/>
              </w:rPr>
              <w:t>AASB </w:t>
            </w:r>
            <w:r w:rsidR="0044097C">
              <w:rPr>
                <w:color w:val="4472C4"/>
                <w:sz w:val="13"/>
              </w:rPr>
              <w:t>10</w:t>
            </w:r>
            <w:r w:rsidR="00DC75C2">
              <w:rPr>
                <w:rFonts w:hint="eastAsia"/>
                <w:color w:val="4472C4"/>
                <w:sz w:val="13"/>
                <w:lang w:eastAsia="zh-CN"/>
              </w:rPr>
              <w:t>60.70 (</w:t>
            </w:r>
            <w:r w:rsidR="00E5694D">
              <w:rPr>
                <w:rFonts w:hint="eastAsia"/>
                <w:color w:val="4472C4"/>
                <w:sz w:val="13"/>
                <w:lang w:eastAsia="zh-CN"/>
              </w:rPr>
              <w:t>b</w:t>
            </w:r>
            <w:r w:rsidR="00DC75C2">
              <w:rPr>
                <w:rFonts w:hint="eastAsia"/>
                <w:color w:val="4472C4"/>
                <w:sz w:val="13"/>
                <w:lang w:eastAsia="zh-CN"/>
              </w:rPr>
              <w:t>)</w:t>
            </w:r>
          </w:p>
        </w:tc>
        <w:tc>
          <w:tcPr>
            <w:tcW w:w="5161" w:type="dxa"/>
          </w:tcPr>
          <w:p w14:paraId="45C4CB36" w14:textId="77777777" w:rsidR="00182709" w:rsidRDefault="0044097C">
            <w:pPr>
              <w:jc w:val="left"/>
            </w:pPr>
            <w:r>
              <w:rPr>
                <w:b/>
              </w:rPr>
              <w:t>Cash flows from operating activities</w:t>
            </w:r>
          </w:p>
        </w:tc>
        <w:tc>
          <w:tcPr>
            <w:tcW w:w="567" w:type="dxa"/>
          </w:tcPr>
          <w:p w14:paraId="29B4C06B" w14:textId="77777777" w:rsidR="00182709" w:rsidRDefault="00182709">
            <w:pPr>
              <w:jc w:val="center"/>
            </w:pPr>
          </w:p>
        </w:tc>
        <w:tc>
          <w:tcPr>
            <w:tcW w:w="992" w:type="dxa"/>
          </w:tcPr>
          <w:p w14:paraId="16468EA2" w14:textId="77777777" w:rsidR="00182709" w:rsidRDefault="00182709"/>
        </w:tc>
        <w:tc>
          <w:tcPr>
            <w:tcW w:w="992" w:type="dxa"/>
          </w:tcPr>
          <w:p w14:paraId="2BDA9473" w14:textId="77777777" w:rsidR="00182709" w:rsidRDefault="00182709"/>
        </w:tc>
      </w:tr>
      <w:tr w:rsidR="00182709" w14:paraId="23C61712" w14:textId="77777777" w:rsidTr="007F096A">
        <w:tc>
          <w:tcPr>
            <w:tcW w:w="1927" w:type="dxa"/>
          </w:tcPr>
          <w:p w14:paraId="24CAA2D1" w14:textId="77777777" w:rsidR="00182709" w:rsidRDefault="00182709">
            <w:pPr>
              <w:jc w:val="left"/>
            </w:pPr>
          </w:p>
        </w:tc>
        <w:tc>
          <w:tcPr>
            <w:tcW w:w="5161" w:type="dxa"/>
          </w:tcPr>
          <w:p w14:paraId="0CD4E865" w14:textId="77777777" w:rsidR="00182709" w:rsidRDefault="0044097C">
            <w:pPr>
              <w:jc w:val="left"/>
            </w:pPr>
            <w:r>
              <w:rPr>
                <w:b/>
              </w:rPr>
              <w:t>Receipts</w:t>
            </w:r>
          </w:p>
        </w:tc>
        <w:tc>
          <w:tcPr>
            <w:tcW w:w="567" w:type="dxa"/>
          </w:tcPr>
          <w:p w14:paraId="5EE43492" w14:textId="77777777" w:rsidR="00182709" w:rsidRDefault="00182709">
            <w:pPr>
              <w:jc w:val="center"/>
            </w:pPr>
          </w:p>
        </w:tc>
        <w:tc>
          <w:tcPr>
            <w:tcW w:w="992" w:type="dxa"/>
          </w:tcPr>
          <w:p w14:paraId="73C1A29F" w14:textId="77777777" w:rsidR="00182709" w:rsidRDefault="00182709"/>
        </w:tc>
        <w:tc>
          <w:tcPr>
            <w:tcW w:w="992" w:type="dxa"/>
          </w:tcPr>
          <w:p w14:paraId="6688A8F1" w14:textId="77777777" w:rsidR="00182709" w:rsidRDefault="00182709"/>
        </w:tc>
      </w:tr>
      <w:tr w:rsidR="007A32B8" w14:paraId="3E50B317" w14:textId="77777777" w:rsidTr="002A0038">
        <w:tc>
          <w:tcPr>
            <w:tcW w:w="0" w:type="dxa"/>
          </w:tcPr>
          <w:p w14:paraId="016FC823" w14:textId="072AC6D0" w:rsidR="007A32B8" w:rsidRDefault="0007383E" w:rsidP="007A32B8">
            <w:pPr>
              <w:jc w:val="left"/>
            </w:pPr>
            <w:r>
              <w:rPr>
                <w:color w:val="4472C4"/>
                <w:sz w:val="13"/>
              </w:rPr>
              <w:t>AASB </w:t>
            </w:r>
            <w:r w:rsidR="007A32B8">
              <w:rPr>
                <w:color w:val="4472C4"/>
                <w:sz w:val="13"/>
              </w:rPr>
              <w:t>10</w:t>
            </w:r>
            <w:r w:rsidR="007A32B8">
              <w:rPr>
                <w:rFonts w:hint="eastAsia"/>
                <w:color w:val="4472C4"/>
                <w:sz w:val="13"/>
                <w:lang w:eastAsia="zh-CN"/>
              </w:rPr>
              <w:t>60.67 (a)(b)</w:t>
            </w:r>
          </w:p>
        </w:tc>
        <w:tc>
          <w:tcPr>
            <w:tcW w:w="0" w:type="dxa"/>
          </w:tcPr>
          <w:p w14:paraId="385D9BD7" w14:textId="77777777" w:rsidR="007A32B8" w:rsidRDefault="007A32B8" w:rsidP="007A32B8">
            <w:pPr>
              <w:jc w:val="left"/>
            </w:pPr>
            <w:r>
              <w:t>Receipts from government</w:t>
            </w:r>
          </w:p>
        </w:tc>
        <w:tc>
          <w:tcPr>
            <w:tcW w:w="0" w:type="dxa"/>
          </w:tcPr>
          <w:p w14:paraId="7A3058A0" w14:textId="77777777" w:rsidR="007A32B8" w:rsidRDefault="007A32B8" w:rsidP="007A32B8">
            <w:pPr>
              <w:jc w:val="center"/>
            </w:pPr>
          </w:p>
        </w:tc>
        <w:tc>
          <w:tcPr>
            <w:tcW w:w="0" w:type="dxa"/>
            <w:vAlign w:val="center"/>
          </w:tcPr>
          <w:p w14:paraId="2BC4EF68" w14:textId="5682CFF8" w:rsidR="007A32B8" w:rsidRDefault="007A32B8" w:rsidP="007A32B8">
            <w:r>
              <w:rPr>
                <w:rFonts w:ascii="Arial" w:hAnsi="Arial" w:cs="Arial"/>
                <w:color w:val="000000"/>
                <w:szCs w:val="16"/>
              </w:rPr>
              <w:t>15</w:t>
            </w:r>
            <w:r w:rsidR="003E3065">
              <w:rPr>
                <w:rFonts w:ascii="Arial" w:hAnsi="Arial" w:cs="Arial" w:hint="eastAsia"/>
                <w:color w:val="000000"/>
                <w:szCs w:val="16"/>
                <w:lang w:eastAsia="zh-CN"/>
              </w:rPr>
              <w:t xml:space="preserve"> </w:t>
            </w:r>
            <w:r>
              <w:rPr>
                <w:rFonts w:ascii="Arial" w:hAnsi="Arial" w:cs="Arial"/>
                <w:color w:val="000000"/>
                <w:szCs w:val="16"/>
              </w:rPr>
              <w:t>536</w:t>
            </w:r>
          </w:p>
        </w:tc>
        <w:tc>
          <w:tcPr>
            <w:tcW w:w="0" w:type="dxa"/>
            <w:vAlign w:val="center"/>
          </w:tcPr>
          <w:p w14:paraId="3D21373B" w14:textId="737144CB" w:rsidR="007A32B8" w:rsidRDefault="007A32B8" w:rsidP="007A32B8">
            <w:r>
              <w:rPr>
                <w:rFonts w:ascii="Arial" w:hAnsi="Arial" w:cs="Arial"/>
                <w:color w:val="000000"/>
                <w:szCs w:val="16"/>
              </w:rPr>
              <w:t>14</w:t>
            </w:r>
            <w:r w:rsidR="003E3065">
              <w:rPr>
                <w:rFonts w:ascii="Arial" w:hAnsi="Arial" w:cs="Arial" w:hint="eastAsia"/>
                <w:color w:val="000000"/>
                <w:szCs w:val="16"/>
                <w:lang w:eastAsia="zh-CN"/>
              </w:rPr>
              <w:t xml:space="preserve"> </w:t>
            </w:r>
            <w:r>
              <w:rPr>
                <w:rFonts w:ascii="Arial" w:hAnsi="Arial" w:cs="Arial"/>
                <w:color w:val="000000"/>
                <w:szCs w:val="16"/>
              </w:rPr>
              <w:t>373</w:t>
            </w:r>
          </w:p>
        </w:tc>
      </w:tr>
      <w:tr w:rsidR="007A32B8" w14:paraId="44B17307" w14:textId="77777777" w:rsidTr="002A0038">
        <w:tc>
          <w:tcPr>
            <w:tcW w:w="0" w:type="dxa"/>
          </w:tcPr>
          <w:p w14:paraId="38F35F55" w14:textId="0F19E086" w:rsidR="007A32B8" w:rsidRDefault="0007383E" w:rsidP="007A32B8">
            <w:pPr>
              <w:jc w:val="left"/>
            </w:pPr>
            <w:r>
              <w:rPr>
                <w:color w:val="4472C4"/>
                <w:sz w:val="13"/>
              </w:rPr>
              <w:t>AASB </w:t>
            </w:r>
            <w:r w:rsidR="007A32B8">
              <w:rPr>
                <w:color w:val="4472C4"/>
                <w:sz w:val="13"/>
              </w:rPr>
              <w:t>10</w:t>
            </w:r>
            <w:r w:rsidR="007A32B8">
              <w:rPr>
                <w:rFonts w:hint="eastAsia"/>
                <w:color w:val="4472C4"/>
                <w:sz w:val="13"/>
                <w:lang w:eastAsia="zh-CN"/>
              </w:rPr>
              <w:t>60.67 (a)(b)</w:t>
            </w:r>
          </w:p>
        </w:tc>
        <w:tc>
          <w:tcPr>
            <w:tcW w:w="0" w:type="dxa"/>
          </w:tcPr>
          <w:p w14:paraId="6B9D21E2" w14:textId="77777777" w:rsidR="007A32B8" w:rsidRDefault="007A32B8" w:rsidP="007A32B8">
            <w:pPr>
              <w:jc w:val="left"/>
            </w:pPr>
            <w:r>
              <w:t>Receipts from other entities</w:t>
            </w:r>
          </w:p>
        </w:tc>
        <w:tc>
          <w:tcPr>
            <w:tcW w:w="0" w:type="dxa"/>
          </w:tcPr>
          <w:p w14:paraId="0629CB6C" w14:textId="77777777" w:rsidR="007A32B8" w:rsidRDefault="007A32B8" w:rsidP="007A32B8">
            <w:pPr>
              <w:jc w:val="center"/>
            </w:pPr>
          </w:p>
        </w:tc>
        <w:tc>
          <w:tcPr>
            <w:tcW w:w="0" w:type="dxa"/>
            <w:vAlign w:val="center"/>
          </w:tcPr>
          <w:p w14:paraId="0C6DAC81" w14:textId="5B690892" w:rsidR="007A32B8" w:rsidRDefault="007A32B8" w:rsidP="007A32B8">
            <w:r>
              <w:rPr>
                <w:rFonts w:ascii="Arial" w:hAnsi="Arial" w:cs="Arial"/>
                <w:color w:val="000000"/>
                <w:szCs w:val="16"/>
              </w:rPr>
              <w:t>73</w:t>
            </w:r>
            <w:r w:rsidR="003E3065">
              <w:rPr>
                <w:rFonts w:ascii="Arial" w:hAnsi="Arial" w:cs="Arial" w:hint="eastAsia"/>
                <w:color w:val="000000"/>
                <w:szCs w:val="16"/>
                <w:lang w:eastAsia="zh-CN"/>
              </w:rPr>
              <w:t xml:space="preserve"> </w:t>
            </w:r>
            <w:r>
              <w:rPr>
                <w:rFonts w:ascii="Arial" w:hAnsi="Arial" w:cs="Arial"/>
                <w:color w:val="000000"/>
                <w:szCs w:val="16"/>
              </w:rPr>
              <w:t>069</w:t>
            </w:r>
          </w:p>
        </w:tc>
        <w:tc>
          <w:tcPr>
            <w:tcW w:w="0" w:type="dxa"/>
            <w:vAlign w:val="center"/>
          </w:tcPr>
          <w:p w14:paraId="667F822A" w14:textId="677AA75F" w:rsidR="007A32B8" w:rsidRDefault="007A32B8" w:rsidP="007A32B8">
            <w:r>
              <w:rPr>
                <w:rFonts w:ascii="Arial" w:hAnsi="Arial" w:cs="Arial"/>
                <w:color w:val="000000"/>
                <w:szCs w:val="16"/>
              </w:rPr>
              <w:t>86</w:t>
            </w:r>
            <w:r w:rsidR="003E3065">
              <w:rPr>
                <w:rFonts w:ascii="Arial" w:hAnsi="Arial" w:cs="Arial" w:hint="eastAsia"/>
                <w:color w:val="000000"/>
                <w:szCs w:val="16"/>
                <w:lang w:eastAsia="zh-CN"/>
              </w:rPr>
              <w:t xml:space="preserve"> </w:t>
            </w:r>
            <w:r>
              <w:rPr>
                <w:rFonts w:ascii="Arial" w:hAnsi="Arial" w:cs="Arial"/>
                <w:color w:val="000000"/>
                <w:szCs w:val="16"/>
              </w:rPr>
              <w:t>903</w:t>
            </w:r>
          </w:p>
        </w:tc>
      </w:tr>
      <w:tr w:rsidR="007A32B8" w14:paraId="35F64AC6" w14:textId="77777777" w:rsidTr="002A0038">
        <w:tc>
          <w:tcPr>
            <w:tcW w:w="0" w:type="dxa"/>
          </w:tcPr>
          <w:p w14:paraId="6696B15A" w14:textId="3461D675" w:rsidR="007A32B8" w:rsidRDefault="0007383E" w:rsidP="007A32B8">
            <w:pPr>
              <w:jc w:val="left"/>
            </w:pPr>
            <w:r>
              <w:rPr>
                <w:color w:val="4472C4"/>
                <w:sz w:val="13"/>
              </w:rPr>
              <w:t>AASB </w:t>
            </w:r>
            <w:r w:rsidR="007A32B8">
              <w:rPr>
                <w:color w:val="4472C4"/>
                <w:sz w:val="13"/>
              </w:rPr>
              <w:t>10</w:t>
            </w:r>
            <w:r w:rsidR="007A32B8">
              <w:rPr>
                <w:rFonts w:hint="eastAsia"/>
                <w:color w:val="4472C4"/>
                <w:sz w:val="13"/>
                <w:lang w:eastAsia="zh-CN"/>
              </w:rPr>
              <w:t>60.82-83</w:t>
            </w:r>
          </w:p>
        </w:tc>
        <w:tc>
          <w:tcPr>
            <w:tcW w:w="0" w:type="dxa"/>
          </w:tcPr>
          <w:p w14:paraId="3E1EB36B" w14:textId="77777777" w:rsidR="007A32B8" w:rsidRDefault="007A32B8" w:rsidP="007A32B8">
            <w:pPr>
              <w:jc w:val="left"/>
            </w:pPr>
            <w:r>
              <w:t>Interest received</w:t>
            </w:r>
          </w:p>
        </w:tc>
        <w:tc>
          <w:tcPr>
            <w:tcW w:w="0" w:type="dxa"/>
          </w:tcPr>
          <w:p w14:paraId="3AD5F506" w14:textId="77777777" w:rsidR="007A32B8" w:rsidRDefault="007A32B8" w:rsidP="007A32B8">
            <w:pPr>
              <w:jc w:val="center"/>
            </w:pPr>
          </w:p>
        </w:tc>
        <w:tc>
          <w:tcPr>
            <w:tcW w:w="0" w:type="dxa"/>
            <w:vAlign w:val="center"/>
          </w:tcPr>
          <w:p w14:paraId="3D25C943" w14:textId="62BE5DF9" w:rsidR="007A32B8" w:rsidRDefault="007A32B8" w:rsidP="007A32B8">
            <w:r>
              <w:rPr>
                <w:rFonts w:ascii="Arial" w:hAnsi="Arial" w:cs="Arial"/>
                <w:color w:val="000000"/>
                <w:szCs w:val="16"/>
              </w:rPr>
              <w:t>1</w:t>
            </w:r>
            <w:r w:rsidR="003E3065">
              <w:rPr>
                <w:rFonts w:ascii="Arial" w:hAnsi="Arial" w:cs="Arial" w:hint="eastAsia"/>
                <w:color w:val="000000"/>
                <w:szCs w:val="16"/>
                <w:lang w:eastAsia="zh-CN"/>
              </w:rPr>
              <w:t xml:space="preserve"> </w:t>
            </w:r>
            <w:r>
              <w:rPr>
                <w:rFonts w:ascii="Arial" w:hAnsi="Arial" w:cs="Arial"/>
                <w:color w:val="000000"/>
                <w:szCs w:val="16"/>
              </w:rPr>
              <w:t>749</w:t>
            </w:r>
          </w:p>
        </w:tc>
        <w:tc>
          <w:tcPr>
            <w:tcW w:w="0" w:type="dxa"/>
            <w:vAlign w:val="center"/>
          </w:tcPr>
          <w:p w14:paraId="6DA6E043" w14:textId="3C27FE29" w:rsidR="007A32B8" w:rsidRDefault="007A32B8" w:rsidP="007A32B8">
            <w:r>
              <w:rPr>
                <w:rFonts w:ascii="Arial" w:hAnsi="Arial" w:cs="Arial"/>
                <w:color w:val="000000"/>
                <w:szCs w:val="16"/>
              </w:rPr>
              <w:t>1</w:t>
            </w:r>
            <w:r w:rsidR="003E3065">
              <w:rPr>
                <w:rFonts w:ascii="Arial" w:hAnsi="Arial" w:cs="Arial" w:hint="eastAsia"/>
                <w:color w:val="000000"/>
                <w:szCs w:val="16"/>
                <w:lang w:eastAsia="zh-CN"/>
              </w:rPr>
              <w:t xml:space="preserve"> </w:t>
            </w:r>
            <w:r>
              <w:rPr>
                <w:rFonts w:ascii="Arial" w:hAnsi="Arial" w:cs="Arial"/>
                <w:color w:val="000000"/>
                <w:szCs w:val="16"/>
              </w:rPr>
              <w:t>606</w:t>
            </w:r>
          </w:p>
        </w:tc>
      </w:tr>
      <w:tr w:rsidR="007A32B8" w14:paraId="5467E90B" w14:textId="77777777" w:rsidTr="002A0038">
        <w:tc>
          <w:tcPr>
            <w:tcW w:w="0" w:type="dxa"/>
          </w:tcPr>
          <w:p w14:paraId="03A90871" w14:textId="7E4D9853" w:rsidR="007A32B8" w:rsidRDefault="0007383E" w:rsidP="007A32B8">
            <w:pPr>
              <w:jc w:val="left"/>
            </w:pPr>
            <w:r>
              <w:rPr>
                <w:color w:val="4472C4"/>
                <w:sz w:val="13"/>
              </w:rPr>
              <w:t>AASB </w:t>
            </w:r>
            <w:r w:rsidR="007A32B8">
              <w:rPr>
                <w:color w:val="4472C4"/>
                <w:sz w:val="13"/>
              </w:rPr>
              <w:t>10</w:t>
            </w:r>
            <w:r w:rsidR="007A32B8">
              <w:rPr>
                <w:rFonts w:hint="eastAsia"/>
                <w:color w:val="4472C4"/>
                <w:sz w:val="13"/>
                <w:lang w:eastAsia="zh-CN"/>
              </w:rPr>
              <w:t>60.67 (b)</w:t>
            </w:r>
          </w:p>
        </w:tc>
        <w:tc>
          <w:tcPr>
            <w:tcW w:w="0" w:type="dxa"/>
            <w:tcBorders>
              <w:bottom w:val="single" w:sz="12" w:space="0" w:color="auto"/>
            </w:tcBorders>
          </w:tcPr>
          <w:p w14:paraId="06B58A61" w14:textId="77777777" w:rsidR="007A32B8" w:rsidRDefault="007A32B8" w:rsidP="007A32B8">
            <w:pPr>
              <w:jc w:val="left"/>
            </w:pPr>
            <w:r>
              <w:t>Other receipts</w:t>
            </w:r>
          </w:p>
        </w:tc>
        <w:tc>
          <w:tcPr>
            <w:tcW w:w="0" w:type="dxa"/>
            <w:tcBorders>
              <w:bottom w:val="single" w:sz="12" w:space="0" w:color="auto"/>
            </w:tcBorders>
          </w:tcPr>
          <w:p w14:paraId="7D8A6EF8" w14:textId="77777777" w:rsidR="007A32B8" w:rsidRDefault="007A32B8" w:rsidP="007A32B8">
            <w:pPr>
              <w:jc w:val="center"/>
            </w:pPr>
          </w:p>
        </w:tc>
        <w:tc>
          <w:tcPr>
            <w:tcW w:w="0" w:type="dxa"/>
            <w:tcBorders>
              <w:bottom w:val="single" w:sz="12" w:space="0" w:color="auto"/>
            </w:tcBorders>
            <w:vAlign w:val="center"/>
          </w:tcPr>
          <w:p w14:paraId="42D02817" w14:textId="654E4987" w:rsidR="007A32B8" w:rsidRDefault="007A32B8" w:rsidP="007A32B8">
            <w:r>
              <w:rPr>
                <w:rFonts w:ascii="Arial" w:hAnsi="Arial" w:cs="Arial"/>
                <w:color w:val="000000"/>
                <w:szCs w:val="16"/>
              </w:rPr>
              <w:t>516</w:t>
            </w:r>
          </w:p>
        </w:tc>
        <w:tc>
          <w:tcPr>
            <w:tcW w:w="0" w:type="dxa"/>
            <w:tcBorders>
              <w:bottom w:val="single" w:sz="12" w:space="0" w:color="auto"/>
            </w:tcBorders>
            <w:vAlign w:val="center"/>
          </w:tcPr>
          <w:p w14:paraId="469EC7E8" w14:textId="0767A9B2" w:rsidR="007A32B8" w:rsidRDefault="007A32B8" w:rsidP="007A32B8">
            <w:r>
              <w:rPr>
                <w:rFonts w:ascii="Arial" w:hAnsi="Arial" w:cs="Arial"/>
                <w:color w:val="000000"/>
                <w:szCs w:val="16"/>
              </w:rPr>
              <w:t>262</w:t>
            </w:r>
          </w:p>
        </w:tc>
      </w:tr>
      <w:tr w:rsidR="0059396B" w14:paraId="6A1F7C41" w14:textId="77777777" w:rsidTr="002A0038">
        <w:tc>
          <w:tcPr>
            <w:tcW w:w="0" w:type="dxa"/>
          </w:tcPr>
          <w:p w14:paraId="31643C10" w14:textId="77777777" w:rsidR="0059396B" w:rsidRDefault="0059396B" w:rsidP="0059396B">
            <w:pPr>
              <w:jc w:val="left"/>
            </w:pPr>
          </w:p>
        </w:tc>
        <w:tc>
          <w:tcPr>
            <w:tcW w:w="0" w:type="dxa"/>
          </w:tcPr>
          <w:p w14:paraId="6D610F52" w14:textId="77777777" w:rsidR="0059396B" w:rsidRDefault="0059396B" w:rsidP="0059396B">
            <w:pPr>
              <w:jc w:val="left"/>
            </w:pPr>
            <w:r>
              <w:rPr>
                <w:b/>
              </w:rPr>
              <w:t>Total receipts</w:t>
            </w:r>
          </w:p>
        </w:tc>
        <w:tc>
          <w:tcPr>
            <w:tcW w:w="0" w:type="dxa"/>
          </w:tcPr>
          <w:p w14:paraId="3F95B101" w14:textId="77777777" w:rsidR="0059396B" w:rsidRDefault="0059396B" w:rsidP="0059396B">
            <w:pPr>
              <w:jc w:val="center"/>
            </w:pPr>
          </w:p>
        </w:tc>
        <w:tc>
          <w:tcPr>
            <w:tcW w:w="0" w:type="dxa"/>
            <w:vAlign w:val="center"/>
          </w:tcPr>
          <w:p w14:paraId="6CB442B6" w14:textId="2EE5C97D" w:rsidR="0059396B" w:rsidRDefault="0059396B" w:rsidP="0059396B">
            <w:r>
              <w:rPr>
                <w:rFonts w:ascii="Arial" w:hAnsi="Arial" w:cs="Arial"/>
                <w:b/>
                <w:bCs/>
                <w:color w:val="000000"/>
                <w:szCs w:val="16"/>
              </w:rPr>
              <w:t>90</w:t>
            </w:r>
            <w:r w:rsidR="003E3065">
              <w:rPr>
                <w:rFonts w:ascii="Arial" w:hAnsi="Arial" w:cs="Arial" w:hint="eastAsia"/>
                <w:b/>
                <w:bCs/>
                <w:color w:val="000000"/>
                <w:szCs w:val="16"/>
                <w:lang w:eastAsia="zh-CN"/>
              </w:rPr>
              <w:t xml:space="preserve"> </w:t>
            </w:r>
            <w:r>
              <w:rPr>
                <w:rFonts w:ascii="Arial" w:hAnsi="Arial" w:cs="Arial"/>
                <w:b/>
                <w:bCs/>
                <w:color w:val="000000"/>
                <w:szCs w:val="16"/>
              </w:rPr>
              <w:t>870</w:t>
            </w:r>
          </w:p>
        </w:tc>
        <w:tc>
          <w:tcPr>
            <w:tcW w:w="0" w:type="dxa"/>
            <w:vAlign w:val="center"/>
          </w:tcPr>
          <w:p w14:paraId="5A7027AB" w14:textId="406F8040" w:rsidR="0059396B" w:rsidRDefault="0059396B" w:rsidP="0059396B">
            <w:r>
              <w:rPr>
                <w:rFonts w:ascii="Arial" w:hAnsi="Arial" w:cs="Arial"/>
                <w:b/>
                <w:bCs/>
                <w:color w:val="000000"/>
                <w:szCs w:val="16"/>
              </w:rPr>
              <w:t>103</w:t>
            </w:r>
            <w:r w:rsidR="003E3065">
              <w:rPr>
                <w:rFonts w:ascii="Arial" w:hAnsi="Arial" w:cs="Arial" w:hint="eastAsia"/>
                <w:b/>
                <w:bCs/>
                <w:color w:val="000000"/>
                <w:szCs w:val="16"/>
                <w:lang w:eastAsia="zh-CN"/>
              </w:rPr>
              <w:t xml:space="preserve"> </w:t>
            </w:r>
            <w:r>
              <w:rPr>
                <w:rFonts w:ascii="Arial" w:hAnsi="Arial" w:cs="Arial"/>
                <w:b/>
                <w:bCs/>
                <w:color w:val="000000"/>
                <w:szCs w:val="16"/>
              </w:rPr>
              <w:t>144</w:t>
            </w:r>
          </w:p>
        </w:tc>
      </w:tr>
      <w:tr w:rsidR="00342237" w14:paraId="330306BE" w14:textId="77777777" w:rsidTr="007F096A">
        <w:tc>
          <w:tcPr>
            <w:tcW w:w="1927" w:type="dxa"/>
          </w:tcPr>
          <w:p w14:paraId="162940F9" w14:textId="77777777" w:rsidR="00342237" w:rsidRDefault="00342237" w:rsidP="00342237">
            <w:pPr>
              <w:jc w:val="left"/>
            </w:pPr>
          </w:p>
        </w:tc>
        <w:tc>
          <w:tcPr>
            <w:tcW w:w="5161" w:type="dxa"/>
          </w:tcPr>
          <w:p w14:paraId="47AE4E46" w14:textId="77777777" w:rsidR="00342237" w:rsidRDefault="00342237" w:rsidP="00342237">
            <w:pPr>
              <w:jc w:val="left"/>
            </w:pPr>
            <w:r>
              <w:rPr>
                <w:b/>
              </w:rPr>
              <w:t>Payments</w:t>
            </w:r>
          </w:p>
        </w:tc>
        <w:tc>
          <w:tcPr>
            <w:tcW w:w="567" w:type="dxa"/>
          </w:tcPr>
          <w:p w14:paraId="04FDA7A7" w14:textId="77777777" w:rsidR="00342237" w:rsidRDefault="00342237" w:rsidP="00342237">
            <w:pPr>
              <w:jc w:val="center"/>
            </w:pPr>
          </w:p>
        </w:tc>
        <w:tc>
          <w:tcPr>
            <w:tcW w:w="992" w:type="dxa"/>
          </w:tcPr>
          <w:p w14:paraId="12156B71" w14:textId="77777777" w:rsidR="00342237" w:rsidRDefault="00342237" w:rsidP="00342237"/>
        </w:tc>
        <w:tc>
          <w:tcPr>
            <w:tcW w:w="992" w:type="dxa"/>
          </w:tcPr>
          <w:p w14:paraId="5AC78340" w14:textId="77777777" w:rsidR="00342237" w:rsidRDefault="00342237" w:rsidP="00342237"/>
        </w:tc>
      </w:tr>
      <w:tr w:rsidR="00322FBB" w14:paraId="7E2EFFB5" w14:textId="77777777" w:rsidTr="002A0038">
        <w:tc>
          <w:tcPr>
            <w:tcW w:w="0" w:type="dxa"/>
          </w:tcPr>
          <w:p w14:paraId="16266E5C" w14:textId="77777777" w:rsidR="00322FBB" w:rsidRDefault="00322FBB" w:rsidP="00322FBB">
            <w:pPr>
              <w:jc w:val="left"/>
            </w:pPr>
          </w:p>
        </w:tc>
        <w:tc>
          <w:tcPr>
            <w:tcW w:w="0" w:type="dxa"/>
          </w:tcPr>
          <w:p w14:paraId="5B646FE6" w14:textId="77777777" w:rsidR="00322FBB" w:rsidRDefault="00322FBB" w:rsidP="00322FBB">
            <w:pPr>
              <w:jc w:val="left"/>
            </w:pPr>
            <w:r>
              <w:t>Payments of grant expenses</w:t>
            </w:r>
          </w:p>
        </w:tc>
        <w:tc>
          <w:tcPr>
            <w:tcW w:w="0" w:type="dxa"/>
          </w:tcPr>
          <w:p w14:paraId="3725B867" w14:textId="77777777" w:rsidR="00322FBB" w:rsidRDefault="00322FBB" w:rsidP="00322FBB">
            <w:pPr>
              <w:jc w:val="center"/>
            </w:pPr>
          </w:p>
        </w:tc>
        <w:tc>
          <w:tcPr>
            <w:tcW w:w="0" w:type="dxa"/>
            <w:vAlign w:val="center"/>
          </w:tcPr>
          <w:p w14:paraId="3D2005D5" w14:textId="1097E7CD" w:rsidR="00322FBB" w:rsidRDefault="00322FBB" w:rsidP="00322FBB">
            <w:r>
              <w:rPr>
                <w:rFonts w:ascii="Arial" w:hAnsi="Arial" w:cs="Arial"/>
                <w:color w:val="000000"/>
                <w:szCs w:val="16"/>
              </w:rPr>
              <w:t>(36</w:t>
            </w:r>
            <w:r w:rsidR="003E3065">
              <w:rPr>
                <w:rFonts w:ascii="Arial" w:hAnsi="Arial" w:cs="Arial" w:hint="eastAsia"/>
                <w:color w:val="000000"/>
                <w:szCs w:val="16"/>
                <w:lang w:eastAsia="zh-CN"/>
              </w:rPr>
              <w:t xml:space="preserve"> </w:t>
            </w:r>
            <w:r>
              <w:rPr>
                <w:rFonts w:ascii="Arial" w:hAnsi="Arial" w:cs="Arial"/>
                <w:color w:val="000000"/>
                <w:szCs w:val="16"/>
              </w:rPr>
              <w:t>227)</w:t>
            </w:r>
          </w:p>
        </w:tc>
        <w:tc>
          <w:tcPr>
            <w:tcW w:w="0" w:type="dxa"/>
            <w:vAlign w:val="center"/>
          </w:tcPr>
          <w:p w14:paraId="108CA1FC" w14:textId="2EA46111" w:rsidR="00322FBB" w:rsidRDefault="00322FBB" w:rsidP="00322FBB">
            <w:r>
              <w:rPr>
                <w:rFonts w:ascii="Arial" w:hAnsi="Arial" w:cs="Arial"/>
                <w:color w:val="000000"/>
                <w:szCs w:val="16"/>
              </w:rPr>
              <w:t>(47</w:t>
            </w:r>
            <w:r w:rsidR="003E3065">
              <w:rPr>
                <w:rFonts w:ascii="Arial" w:hAnsi="Arial" w:cs="Arial" w:hint="eastAsia"/>
                <w:color w:val="000000"/>
                <w:szCs w:val="16"/>
                <w:lang w:eastAsia="zh-CN"/>
              </w:rPr>
              <w:t xml:space="preserve"> </w:t>
            </w:r>
            <w:r>
              <w:rPr>
                <w:rFonts w:ascii="Arial" w:hAnsi="Arial" w:cs="Arial"/>
                <w:color w:val="000000"/>
                <w:szCs w:val="16"/>
              </w:rPr>
              <w:t>011)</w:t>
            </w:r>
          </w:p>
        </w:tc>
      </w:tr>
      <w:tr w:rsidR="00322FBB" w14:paraId="33453DC3" w14:textId="77777777" w:rsidTr="002A0038">
        <w:tc>
          <w:tcPr>
            <w:tcW w:w="0" w:type="dxa"/>
          </w:tcPr>
          <w:p w14:paraId="6C14C7AD" w14:textId="6EC728AD" w:rsidR="00322FBB" w:rsidRDefault="0007383E" w:rsidP="00322FBB">
            <w:pPr>
              <w:jc w:val="left"/>
            </w:pPr>
            <w:r>
              <w:rPr>
                <w:color w:val="4472C4"/>
                <w:sz w:val="13"/>
              </w:rPr>
              <w:t>AASB </w:t>
            </w:r>
            <w:r w:rsidR="00322FBB">
              <w:rPr>
                <w:color w:val="4472C4"/>
                <w:sz w:val="13"/>
              </w:rPr>
              <w:t>10</w:t>
            </w:r>
            <w:r w:rsidR="00322FBB">
              <w:rPr>
                <w:rFonts w:hint="eastAsia"/>
                <w:color w:val="4472C4"/>
                <w:sz w:val="13"/>
                <w:lang w:eastAsia="zh-CN"/>
              </w:rPr>
              <w:t>60</w:t>
            </w:r>
            <w:r w:rsidR="00322FBB">
              <w:rPr>
                <w:color w:val="4472C4"/>
                <w:sz w:val="13"/>
              </w:rPr>
              <w:t>.</w:t>
            </w:r>
            <w:r w:rsidR="00322FBB">
              <w:rPr>
                <w:rFonts w:hint="eastAsia"/>
                <w:color w:val="4472C4"/>
                <w:sz w:val="13"/>
                <w:lang w:eastAsia="zh-CN"/>
              </w:rPr>
              <w:t>67</w:t>
            </w:r>
            <w:r w:rsidR="00322FBB">
              <w:rPr>
                <w:color w:val="4472C4"/>
                <w:sz w:val="13"/>
              </w:rPr>
              <w:t xml:space="preserve"> (c)(d)</w:t>
            </w:r>
          </w:p>
        </w:tc>
        <w:tc>
          <w:tcPr>
            <w:tcW w:w="0" w:type="dxa"/>
          </w:tcPr>
          <w:p w14:paraId="743D1AAD" w14:textId="77777777" w:rsidR="00322FBB" w:rsidRDefault="00322FBB" w:rsidP="00322FBB">
            <w:pPr>
              <w:jc w:val="left"/>
            </w:pPr>
            <w:r>
              <w:t>Payments to suppliers and employees</w:t>
            </w:r>
          </w:p>
        </w:tc>
        <w:tc>
          <w:tcPr>
            <w:tcW w:w="0" w:type="dxa"/>
          </w:tcPr>
          <w:p w14:paraId="67354F2A" w14:textId="77777777" w:rsidR="00322FBB" w:rsidRDefault="00322FBB" w:rsidP="00322FBB">
            <w:pPr>
              <w:jc w:val="center"/>
            </w:pPr>
          </w:p>
        </w:tc>
        <w:tc>
          <w:tcPr>
            <w:tcW w:w="0" w:type="dxa"/>
            <w:vAlign w:val="center"/>
          </w:tcPr>
          <w:p w14:paraId="032AE2E4" w14:textId="6ED811B8" w:rsidR="00322FBB" w:rsidRDefault="00322FBB" w:rsidP="00322FBB">
            <w:r>
              <w:rPr>
                <w:rFonts w:ascii="Arial" w:hAnsi="Arial" w:cs="Arial"/>
                <w:color w:val="000000"/>
                <w:szCs w:val="16"/>
              </w:rPr>
              <w:t>(23</w:t>
            </w:r>
            <w:r w:rsidR="003E3065">
              <w:rPr>
                <w:rFonts w:ascii="Arial" w:hAnsi="Arial" w:cs="Arial" w:hint="eastAsia"/>
                <w:color w:val="000000"/>
                <w:szCs w:val="16"/>
                <w:lang w:eastAsia="zh-CN"/>
              </w:rPr>
              <w:t xml:space="preserve"> </w:t>
            </w:r>
            <w:r>
              <w:rPr>
                <w:rFonts w:ascii="Arial" w:hAnsi="Arial" w:cs="Arial"/>
                <w:color w:val="000000"/>
                <w:szCs w:val="16"/>
              </w:rPr>
              <w:t>479)</w:t>
            </w:r>
          </w:p>
        </w:tc>
        <w:tc>
          <w:tcPr>
            <w:tcW w:w="0" w:type="dxa"/>
            <w:vAlign w:val="center"/>
          </w:tcPr>
          <w:p w14:paraId="1F4EF622" w14:textId="722CA2E5" w:rsidR="00322FBB" w:rsidRDefault="00322FBB" w:rsidP="00322FBB">
            <w:r>
              <w:rPr>
                <w:rFonts w:ascii="Arial" w:hAnsi="Arial" w:cs="Arial"/>
                <w:color w:val="000000"/>
                <w:szCs w:val="16"/>
              </w:rPr>
              <w:t>(21</w:t>
            </w:r>
            <w:r w:rsidR="003E3065">
              <w:rPr>
                <w:rFonts w:ascii="Arial" w:hAnsi="Arial" w:cs="Arial" w:hint="eastAsia"/>
                <w:color w:val="000000"/>
                <w:szCs w:val="16"/>
                <w:lang w:eastAsia="zh-CN"/>
              </w:rPr>
              <w:t xml:space="preserve"> </w:t>
            </w:r>
            <w:r>
              <w:rPr>
                <w:rFonts w:ascii="Arial" w:hAnsi="Arial" w:cs="Arial"/>
                <w:color w:val="000000"/>
                <w:szCs w:val="16"/>
              </w:rPr>
              <w:t>792)</w:t>
            </w:r>
          </w:p>
        </w:tc>
      </w:tr>
      <w:tr w:rsidR="00322FBB" w14:paraId="7F5A1F9D" w14:textId="77777777" w:rsidTr="002A0038">
        <w:tc>
          <w:tcPr>
            <w:tcW w:w="0" w:type="dxa"/>
          </w:tcPr>
          <w:p w14:paraId="025F304B" w14:textId="0CFCD8A2" w:rsidR="00322FBB" w:rsidRDefault="0007383E" w:rsidP="00322FBB">
            <w:pPr>
              <w:jc w:val="left"/>
            </w:pPr>
            <w:r>
              <w:rPr>
                <w:rFonts w:hint="eastAsia"/>
                <w:color w:val="4472C4"/>
                <w:sz w:val="13"/>
                <w:lang w:eastAsia="zh-CN"/>
              </w:rPr>
              <w:t>AASB</w:t>
            </w:r>
            <w:r>
              <w:rPr>
                <w:color w:val="4472C4"/>
                <w:sz w:val="13"/>
                <w:lang w:eastAsia="zh-CN"/>
              </w:rPr>
              <w:t> </w:t>
            </w:r>
            <w:r w:rsidR="00322FBB">
              <w:rPr>
                <w:rFonts w:hint="eastAsia"/>
                <w:color w:val="4472C4"/>
                <w:sz w:val="13"/>
                <w:lang w:eastAsia="zh-CN"/>
              </w:rPr>
              <w:t xml:space="preserve">1060.67 (e) </w:t>
            </w:r>
            <w:r w:rsidR="00322FBB">
              <w:rPr>
                <w:color w:val="4472C4"/>
                <w:sz w:val="13"/>
              </w:rPr>
              <w:t>Interpretation 1031.11</w:t>
            </w:r>
          </w:p>
        </w:tc>
        <w:tc>
          <w:tcPr>
            <w:tcW w:w="0" w:type="dxa"/>
          </w:tcPr>
          <w:p w14:paraId="18CC678B" w14:textId="3572307D" w:rsidR="00322FBB" w:rsidRDefault="00322FBB" w:rsidP="00322FBB">
            <w:pPr>
              <w:jc w:val="left"/>
            </w:pPr>
            <w:r>
              <w:t xml:space="preserve">Goods and services tax paid to the ATO </w:t>
            </w:r>
            <w:r>
              <w:rPr>
                <w:vertAlign w:val="superscript"/>
              </w:rPr>
              <w:t>(b)</w:t>
            </w:r>
          </w:p>
        </w:tc>
        <w:tc>
          <w:tcPr>
            <w:tcW w:w="0" w:type="dxa"/>
          </w:tcPr>
          <w:p w14:paraId="74ACFF1C" w14:textId="77777777" w:rsidR="00322FBB" w:rsidRDefault="00322FBB" w:rsidP="00322FBB">
            <w:pPr>
              <w:jc w:val="center"/>
            </w:pPr>
          </w:p>
        </w:tc>
        <w:tc>
          <w:tcPr>
            <w:tcW w:w="0" w:type="dxa"/>
            <w:vAlign w:val="center"/>
          </w:tcPr>
          <w:p w14:paraId="2BC3CE2F" w14:textId="78BB0AA4" w:rsidR="00322FBB" w:rsidRDefault="00322FBB" w:rsidP="00322FBB">
            <w:r>
              <w:rPr>
                <w:rFonts w:ascii="Arial" w:hAnsi="Arial" w:cs="Arial"/>
                <w:color w:val="000000"/>
                <w:szCs w:val="16"/>
              </w:rPr>
              <w:t>(3</w:t>
            </w:r>
            <w:r w:rsidR="003E3065">
              <w:rPr>
                <w:rFonts w:ascii="Arial" w:hAnsi="Arial" w:cs="Arial" w:hint="eastAsia"/>
                <w:color w:val="000000"/>
                <w:szCs w:val="16"/>
                <w:lang w:eastAsia="zh-CN"/>
              </w:rPr>
              <w:t xml:space="preserve"> </w:t>
            </w:r>
            <w:r>
              <w:rPr>
                <w:rFonts w:ascii="Arial" w:hAnsi="Arial" w:cs="Arial"/>
                <w:color w:val="000000"/>
                <w:szCs w:val="16"/>
              </w:rPr>
              <w:t>055)</w:t>
            </w:r>
          </w:p>
        </w:tc>
        <w:tc>
          <w:tcPr>
            <w:tcW w:w="0" w:type="dxa"/>
            <w:vAlign w:val="center"/>
          </w:tcPr>
          <w:p w14:paraId="11C9A20A" w14:textId="3A94309C" w:rsidR="00322FBB" w:rsidRDefault="00322FBB" w:rsidP="00322FBB">
            <w:r>
              <w:rPr>
                <w:rFonts w:ascii="Arial" w:hAnsi="Arial" w:cs="Arial"/>
                <w:color w:val="000000"/>
                <w:szCs w:val="16"/>
              </w:rPr>
              <w:t>(3</w:t>
            </w:r>
            <w:r w:rsidR="003E3065">
              <w:rPr>
                <w:rFonts w:ascii="Arial" w:hAnsi="Arial" w:cs="Arial" w:hint="eastAsia"/>
                <w:color w:val="000000"/>
                <w:szCs w:val="16"/>
                <w:lang w:eastAsia="zh-CN"/>
              </w:rPr>
              <w:t xml:space="preserve"> </w:t>
            </w:r>
            <w:r>
              <w:rPr>
                <w:rFonts w:ascii="Arial" w:hAnsi="Arial" w:cs="Arial"/>
                <w:color w:val="000000"/>
                <w:szCs w:val="16"/>
              </w:rPr>
              <w:t>497)</w:t>
            </w:r>
          </w:p>
        </w:tc>
      </w:tr>
      <w:tr w:rsidR="00322FBB" w14:paraId="677080C6" w14:textId="77777777" w:rsidTr="002A0038">
        <w:tc>
          <w:tcPr>
            <w:tcW w:w="0" w:type="dxa"/>
          </w:tcPr>
          <w:p w14:paraId="432E4961" w14:textId="7D5972E3" w:rsidR="00322FBB" w:rsidRDefault="0007383E" w:rsidP="00322FBB">
            <w:pPr>
              <w:jc w:val="left"/>
            </w:pPr>
            <w:r>
              <w:rPr>
                <w:color w:val="4472C4"/>
                <w:sz w:val="13"/>
              </w:rPr>
              <w:t>AASB </w:t>
            </w:r>
            <w:r w:rsidR="00322FBB">
              <w:rPr>
                <w:color w:val="4472C4"/>
                <w:sz w:val="13"/>
              </w:rPr>
              <w:t>10</w:t>
            </w:r>
            <w:r w:rsidR="00322FBB">
              <w:rPr>
                <w:rFonts w:hint="eastAsia"/>
                <w:color w:val="4472C4"/>
                <w:sz w:val="13"/>
                <w:lang w:eastAsia="zh-CN"/>
              </w:rPr>
              <w:t>60.82-83</w:t>
            </w:r>
          </w:p>
        </w:tc>
        <w:tc>
          <w:tcPr>
            <w:tcW w:w="0" w:type="dxa"/>
          </w:tcPr>
          <w:p w14:paraId="61C1D558" w14:textId="77777777" w:rsidR="00322FBB" w:rsidRDefault="00322FBB" w:rsidP="00322FBB">
            <w:pPr>
              <w:jc w:val="left"/>
            </w:pPr>
            <w:r>
              <w:t>Interest and other costs of finance paid</w:t>
            </w:r>
          </w:p>
        </w:tc>
        <w:tc>
          <w:tcPr>
            <w:tcW w:w="0" w:type="dxa"/>
          </w:tcPr>
          <w:p w14:paraId="64227944" w14:textId="77777777" w:rsidR="00322FBB" w:rsidRDefault="00322FBB" w:rsidP="00322FBB">
            <w:pPr>
              <w:jc w:val="center"/>
            </w:pPr>
          </w:p>
        </w:tc>
        <w:tc>
          <w:tcPr>
            <w:tcW w:w="0" w:type="dxa"/>
            <w:vAlign w:val="center"/>
          </w:tcPr>
          <w:p w14:paraId="19931FEA" w14:textId="71E9BE4B" w:rsidR="00322FBB" w:rsidRDefault="00322FBB" w:rsidP="00322FBB">
            <w:r>
              <w:rPr>
                <w:rFonts w:ascii="Arial" w:hAnsi="Arial" w:cs="Arial"/>
                <w:color w:val="000000"/>
                <w:szCs w:val="16"/>
              </w:rPr>
              <w:t>(5</w:t>
            </w:r>
            <w:r w:rsidR="003E3065">
              <w:rPr>
                <w:rFonts w:ascii="Arial" w:hAnsi="Arial" w:cs="Arial" w:hint="eastAsia"/>
                <w:color w:val="000000"/>
                <w:szCs w:val="16"/>
                <w:lang w:eastAsia="zh-CN"/>
              </w:rPr>
              <w:t xml:space="preserve"> </w:t>
            </w:r>
            <w:r>
              <w:rPr>
                <w:rFonts w:ascii="Arial" w:hAnsi="Arial" w:cs="Arial"/>
                <w:color w:val="000000"/>
                <w:szCs w:val="16"/>
              </w:rPr>
              <w:t>609)</w:t>
            </w:r>
          </w:p>
        </w:tc>
        <w:tc>
          <w:tcPr>
            <w:tcW w:w="0" w:type="dxa"/>
            <w:vAlign w:val="center"/>
          </w:tcPr>
          <w:p w14:paraId="3C3C114D" w14:textId="2F3642ED" w:rsidR="00322FBB" w:rsidRDefault="00322FBB" w:rsidP="00322FBB">
            <w:r>
              <w:rPr>
                <w:rFonts w:ascii="Arial" w:hAnsi="Arial" w:cs="Arial"/>
                <w:color w:val="000000"/>
                <w:szCs w:val="16"/>
              </w:rPr>
              <w:t>(4</w:t>
            </w:r>
            <w:r w:rsidR="003E3065">
              <w:rPr>
                <w:rFonts w:ascii="Arial" w:hAnsi="Arial" w:cs="Arial" w:hint="eastAsia"/>
                <w:color w:val="000000"/>
                <w:szCs w:val="16"/>
                <w:lang w:eastAsia="zh-CN"/>
              </w:rPr>
              <w:t xml:space="preserve"> </w:t>
            </w:r>
            <w:r>
              <w:rPr>
                <w:rFonts w:ascii="Arial" w:hAnsi="Arial" w:cs="Arial"/>
                <w:color w:val="000000"/>
                <w:szCs w:val="16"/>
              </w:rPr>
              <w:t>944)</w:t>
            </w:r>
          </w:p>
        </w:tc>
      </w:tr>
      <w:tr w:rsidR="00322FBB" w14:paraId="54318B81" w14:textId="77777777" w:rsidTr="002A0038">
        <w:tc>
          <w:tcPr>
            <w:tcW w:w="0" w:type="dxa"/>
          </w:tcPr>
          <w:p w14:paraId="620928E9" w14:textId="77777777" w:rsidR="00322FBB" w:rsidRDefault="00322FBB" w:rsidP="00322FBB">
            <w:pPr>
              <w:jc w:val="left"/>
            </w:pPr>
          </w:p>
        </w:tc>
        <w:tc>
          <w:tcPr>
            <w:tcW w:w="0" w:type="dxa"/>
            <w:tcBorders>
              <w:bottom w:val="single" w:sz="12" w:space="0" w:color="auto"/>
            </w:tcBorders>
          </w:tcPr>
          <w:p w14:paraId="14734B96" w14:textId="77777777" w:rsidR="00322FBB" w:rsidRDefault="00322FBB" w:rsidP="00322FBB">
            <w:pPr>
              <w:jc w:val="left"/>
            </w:pPr>
            <w:r>
              <w:t>Other payments</w:t>
            </w:r>
          </w:p>
        </w:tc>
        <w:tc>
          <w:tcPr>
            <w:tcW w:w="0" w:type="dxa"/>
            <w:tcBorders>
              <w:bottom w:val="single" w:sz="12" w:space="0" w:color="auto"/>
            </w:tcBorders>
          </w:tcPr>
          <w:p w14:paraId="26278446" w14:textId="77777777" w:rsidR="00322FBB" w:rsidRDefault="00322FBB" w:rsidP="00322FBB">
            <w:pPr>
              <w:jc w:val="center"/>
            </w:pPr>
          </w:p>
        </w:tc>
        <w:tc>
          <w:tcPr>
            <w:tcW w:w="0" w:type="dxa"/>
            <w:tcBorders>
              <w:bottom w:val="single" w:sz="12" w:space="0" w:color="auto"/>
            </w:tcBorders>
            <w:vAlign w:val="center"/>
          </w:tcPr>
          <w:p w14:paraId="550A2F8B" w14:textId="4FB2455B" w:rsidR="00322FBB" w:rsidRDefault="00322FBB" w:rsidP="00322FBB">
            <w:r>
              <w:rPr>
                <w:rFonts w:ascii="Arial" w:hAnsi="Arial" w:cs="Arial"/>
                <w:color w:val="000000"/>
                <w:szCs w:val="16"/>
              </w:rPr>
              <w:t>(4</w:t>
            </w:r>
            <w:r w:rsidR="003E3065">
              <w:rPr>
                <w:rFonts w:ascii="Arial" w:hAnsi="Arial" w:cs="Arial" w:hint="eastAsia"/>
                <w:color w:val="000000"/>
                <w:szCs w:val="16"/>
                <w:lang w:eastAsia="zh-CN"/>
              </w:rPr>
              <w:t xml:space="preserve"> </w:t>
            </w:r>
            <w:r>
              <w:rPr>
                <w:rFonts w:ascii="Arial" w:hAnsi="Arial" w:cs="Arial"/>
                <w:color w:val="000000"/>
                <w:szCs w:val="16"/>
              </w:rPr>
              <w:t>382)</w:t>
            </w:r>
          </w:p>
        </w:tc>
        <w:tc>
          <w:tcPr>
            <w:tcW w:w="0" w:type="dxa"/>
            <w:tcBorders>
              <w:bottom w:val="single" w:sz="12" w:space="0" w:color="auto"/>
            </w:tcBorders>
            <w:vAlign w:val="center"/>
          </w:tcPr>
          <w:p w14:paraId="02CED798" w14:textId="051B83F0" w:rsidR="00322FBB" w:rsidRDefault="00322FBB" w:rsidP="00322FBB">
            <w:r>
              <w:rPr>
                <w:rFonts w:ascii="Arial" w:hAnsi="Arial" w:cs="Arial"/>
                <w:color w:val="000000"/>
                <w:szCs w:val="16"/>
              </w:rPr>
              <w:t>(6</w:t>
            </w:r>
            <w:r w:rsidR="003E3065">
              <w:rPr>
                <w:rFonts w:ascii="Arial" w:hAnsi="Arial" w:cs="Arial" w:hint="eastAsia"/>
                <w:color w:val="000000"/>
                <w:szCs w:val="16"/>
                <w:lang w:eastAsia="zh-CN"/>
              </w:rPr>
              <w:t xml:space="preserve"> </w:t>
            </w:r>
            <w:r>
              <w:rPr>
                <w:rFonts w:ascii="Arial" w:hAnsi="Arial" w:cs="Arial"/>
                <w:color w:val="000000"/>
                <w:szCs w:val="16"/>
              </w:rPr>
              <w:t>200)</w:t>
            </w:r>
          </w:p>
        </w:tc>
      </w:tr>
      <w:tr w:rsidR="0074241C" w14:paraId="6451902B" w14:textId="77777777" w:rsidTr="002A0038">
        <w:tc>
          <w:tcPr>
            <w:tcW w:w="0" w:type="dxa"/>
          </w:tcPr>
          <w:p w14:paraId="0BC1B0EE" w14:textId="77777777" w:rsidR="0074241C" w:rsidRDefault="0074241C" w:rsidP="0074241C">
            <w:pPr>
              <w:jc w:val="left"/>
            </w:pPr>
          </w:p>
        </w:tc>
        <w:tc>
          <w:tcPr>
            <w:tcW w:w="0" w:type="dxa"/>
          </w:tcPr>
          <w:p w14:paraId="20AD5582" w14:textId="77777777" w:rsidR="0074241C" w:rsidRDefault="0074241C" w:rsidP="0074241C">
            <w:pPr>
              <w:jc w:val="left"/>
            </w:pPr>
            <w:r>
              <w:rPr>
                <w:b/>
              </w:rPr>
              <w:t>Total payments</w:t>
            </w:r>
          </w:p>
        </w:tc>
        <w:tc>
          <w:tcPr>
            <w:tcW w:w="0" w:type="dxa"/>
          </w:tcPr>
          <w:p w14:paraId="34B614CC" w14:textId="77777777" w:rsidR="0074241C" w:rsidRDefault="0074241C" w:rsidP="0074241C">
            <w:pPr>
              <w:jc w:val="center"/>
            </w:pPr>
          </w:p>
        </w:tc>
        <w:tc>
          <w:tcPr>
            <w:tcW w:w="0" w:type="dxa"/>
            <w:vAlign w:val="center"/>
          </w:tcPr>
          <w:p w14:paraId="4848B545" w14:textId="0BA1336E" w:rsidR="0074241C" w:rsidRDefault="0074241C" w:rsidP="0074241C">
            <w:r>
              <w:rPr>
                <w:rFonts w:ascii="Arial" w:hAnsi="Arial" w:cs="Arial"/>
                <w:b/>
                <w:bCs/>
                <w:color w:val="000000"/>
                <w:szCs w:val="16"/>
              </w:rPr>
              <w:t>(72</w:t>
            </w:r>
            <w:r w:rsidR="003E3065">
              <w:rPr>
                <w:rFonts w:ascii="Arial" w:hAnsi="Arial" w:cs="Arial" w:hint="eastAsia"/>
                <w:b/>
                <w:bCs/>
                <w:color w:val="000000"/>
                <w:szCs w:val="16"/>
                <w:lang w:eastAsia="zh-CN"/>
              </w:rPr>
              <w:t xml:space="preserve"> </w:t>
            </w:r>
            <w:r>
              <w:rPr>
                <w:rFonts w:ascii="Arial" w:hAnsi="Arial" w:cs="Arial"/>
                <w:b/>
                <w:bCs/>
                <w:color w:val="000000"/>
                <w:szCs w:val="16"/>
              </w:rPr>
              <w:t>752)</w:t>
            </w:r>
          </w:p>
        </w:tc>
        <w:tc>
          <w:tcPr>
            <w:tcW w:w="0" w:type="dxa"/>
            <w:vAlign w:val="center"/>
          </w:tcPr>
          <w:p w14:paraId="285EE5C5" w14:textId="423EC100" w:rsidR="0074241C" w:rsidRDefault="0074241C" w:rsidP="0074241C">
            <w:r>
              <w:rPr>
                <w:rFonts w:ascii="Arial" w:hAnsi="Arial" w:cs="Arial"/>
                <w:b/>
                <w:bCs/>
                <w:color w:val="000000"/>
                <w:szCs w:val="16"/>
              </w:rPr>
              <w:t>(83</w:t>
            </w:r>
            <w:r w:rsidR="003E3065">
              <w:rPr>
                <w:rFonts w:ascii="Arial" w:hAnsi="Arial" w:cs="Arial" w:hint="eastAsia"/>
                <w:b/>
                <w:bCs/>
                <w:color w:val="000000"/>
                <w:szCs w:val="16"/>
                <w:lang w:eastAsia="zh-CN"/>
              </w:rPr>
              <w:t xml:space="preserve"> </w:t>
            </w:r>
            <w:r>
              <w:rPr>
                <w:rFonts w:ascii="Arial" w:hAnsi="Arial" w:cs="Arial"/>
                <w:b/>
                <w:bCs/>
                <w:color w:val="000000"/>
                <w:szCs w:val="16"/>
              </w:rPr>
              <w:t>444)</w:t>
            </w:r>
          </w:p>
        </w:tc>
      </w:tr>
      <w:tr w:rsidR="00A11951" w14:paraId="3E8D96A3" w14:textId="77777777" w:rsidTr="002A0038">
        <w:tc>
          <w:tcPr>
            <w:tcW w:w="0" w:type="dxa"/>
          </w:tcPr>
          <w:p w14:paraId="5C81C1BE" w14:textId="77777777" w:rsidR="00A11951" w:rsidRDefault="00A11951" w:rsidP="00A11951">
            <w:pPr>
              <w:jc w:val="left"/>
            </w:pPr>
          </w:p>
        </w:tc>
        <w:tc>
          <w:tcPr>
            <w:tcW w:w="0" w:type="dxa"/>
          </w:tcPr>
          <w:p w14:paraId="78F27448" w14:textId="77777777" w:rsidR="00A11951" w:rsidRDefault="00A11951" w:rsidP="00A11951">
            <w:pPr>
              <w:jc w:val="left"/>
            </w:pPr>
            <w:r>
              <w:rPr>
                <w:b/>
              </w:rPr>
              <w:t>Net cash flows from</w:t>
            </w:r>
            <w:proofErr w:type="gramStart"/>
            <w:r>
              <w:rPr>
                <w:b/>
              </w:rPr>
              <w:t>/(</w:t>
            </w:r>
            <w:proofErr w:type="gramEnd"/>
            <w:r>
              <w:rPr>
                <w:b/>
              </w:rPr>
              <w:t>used in) operating activities</w:t>
            </w:r>
          </w:p>
        </w:tc>
        <w:tc>
          <w:tcPr>
            <w:tcW w:w="0" w:type="dxa"/>
          </w:tcPr>
          <w:p w14:paraId="0863DB55" w14:textId="7C7F061F" w:rsidR="00A11951" w:rsidRDefault="00A11951" w:rsidP="00A11951">
            <w:pPr>
              <w:jc w:val="center"/>
            </w:pPr>
          </w:p>
        </w:tc>
        <w:tc>
          <w:tcPr>
            <w:tcW w:w="0" w:type="dxa"/>
            <w:vAlign w:val="center"/>
          </w:tcPr>
          <w:p w14:paraId="79E1F204" w14:textId="301ACD65" w:rsidR="00A11951" w:rsidRDefault="00A11951" w:rsidP="00A11951">
            <w:r>
              <w:rPr>
                <w:rFonts w:ascii="Arial" w:hAnsi="Arial" w:cs="Arial"/>
                <w:b/>
                <w:bCs/>
                <w:color w:val="000000"/>
                <w:szCs w:val="16"/>
              </w:rPr>
              <w:t>18</w:t>
            </w:r>
            <w:r w:rsidR="003E3065">
              <w:rPr>
                <w:rFonts w:ascii="Arial" w:hAnsi="Arial" w:cs="Arial" w:hint="eastAsia"/>
                <w:b/>
                <w:bCs/>
                <w:color w:val="000000"/>
                <w:szCs w:val="16"/>
                <w:lang w:eastAsia="zh-CN"/>
              </w:rPr>
              <w:t xml:space="preserve"> </w:t>
            </w:r>
            <w:r>
              <w:rPr>
                <w:rFonts w:ascii="Arial" w:hAnsi="Arial" w:cs="Arial"/>
                <w:b/>
                <w:bCs/>
                <w:color w:val="000000"/>
                <w:szCs w:val="16"/>
              </w:rPr>
              <w:t>118</w:t>
            </w:r>
          </w:p>
        </w:tc>
        <w:tc>
          <w:tcPr>
            <w:tcW w:w="0" w:type="dxa"/>
            <w:vAlign w:val="center"/>
          </w:tcPr>
          <w:p w14:paraId="6C0E6EC0" w14:textId="0F467888" w:rsidR="00A11951" w:rsidRDefault="00A11951" w:rsidP="00A11951">
            <w:r>
              <w:rPr>
                <w:rFonts w:ascii="Arial" w:hAnsi="Arial" w:cs="Arial"/>
                <w:b/>
                <w:bCs/>
                <w:color w:val="000000"/>
                <w:szCs w:val="16"/>
              </w:rPr>
              <w:t>19</w:t>
            </w:r>
            <w:r w:rsidR="003E3065">
              <w:rPr>
                <w:rFonts w:ascii="Arial" w:hAnsi="Arial" w:cs="Arial" w:hint="eastAsia"/>
                <w:b/>
                <w:bCs/>
                <w:color w:val="000000"/>
                <w:szCs w:val="16"/>
                <w:lang w:eastAsia="zh-CN"/>
              </w:rPr>
              <w:t xml:space="preserve"> </w:t>
            </w:r>
            <w:r>
              <w:rPr>
                <w:rFonts w:ascii="Arial" w:hAnsi="Arial" w:cs="Arial"/>
                <w:b/>
                <w:bCs/>
                <w:color w:val="000000"/>
                <w:szCs w:val="16"/>
              </w:rPr>
              <w:t>700</w:t>
            </w:r>
          </w:p>
        </w:tc>
      </w:tr>
      <w:tr w:rsidR="00342237" w14:paraId="60B16E71" w14:textId="77777777" w:rsidTr="007F096A">
        <w:tc>
          <w:tcPr>
            <w:tcW w:w="1927" w:type="dxa"/>
          </w:tcPr>
          <w:p w14:paraId="38078C5C" w14:textId="782BE862" w:rsidR="00342237" w:rsidRDefault="0007383E" w:rsidP="00342237">
            <w:pPr>
              <w:jc w:val="left"/>
            </w:pPr>
            <w:r>
              <w:rPr>
                <w:color w:val="4472C4"/>
                <w:sz w:val="13"/>
              </w:rPr>
              <w:t>AASB </w:t>
            </w:r>
            <w:r w:rsidR="00342237">
              <w:rPr>
                <w:color w:val="4472C4"/>
                <w:sz w:val="13"/>
              </w:rPr>
              <w:t>10</w:t>
            </w:r>
            <w:r w:rsidR="00ED51D8">
              <w:rPr>
                <w:rFonts w:hint="eastAsia"/>
                <w:color w:val="4472C4"/>
                <w:sz w:val="13"/>
                <w:lang w:eastAsia="zh-CN"/>
              </w:rPr>
              <w:t>60. 66, 74</w:t>
            </w:r>
          </w:p>
        </w:tc>
        <w:tc>
          <w:tcPr>
            <w:tcW w:w="5161" w:type="dxa"/>
          </w:tcPr>
          <w:p w14:paraId="14A0852F" w14:textId="77777777" w:rsidR="00342237" w:rsidRDefault="00342237" w:rsidP="00342237">
            <w:pPr>
              <w:jc w:val="left"/>
            </w:pPr>
            <w:r>
              <w:rPr>
                <w:b/>
              </w:rPr>
              <w:t>Cash flows from investing activities</w:t>
            </w:r>
          </w:p>
        </w:tc>
        <w:tc>
          <w:tcPr>
            <w:tcW w:w="567" w:type="dxa"/>
          </w:tcPr>
          <w:p w14:paraId="6D222042" w14:textId="77777777" w:rsidR="00342237" w:rsidRDefault="00342237" w:rsidP="00342237">
            <w:pPr>
              <w:jc w:val="center"/>
            </w:pPr>
          </w:p>
        </w:tc>
        <w:tc>
          <w:tcPr>
            <w:tcW w:w="992" w:type="dxa"/>
          </w:tcPr>
          <w:p w14:paraId="513C690E" w14:textId="77777777" w:rsidR="00342237" w:rsidRDefault="00342237" w:rsidP="00342237"/>
        </w:tc>
        <w:tc>
          <w:tcPr>
            <w:tcW w:w="992" w:type="dxa"/>
          </w:tcPr>
          <w:p w14:paraId="15971947" w14:textId="77777777" w:rsidR="00342237" w:rsidRDefault="00342237" w:rsidP="00342237"/>
        </w:tc>
      </w:tr>
      <w:tr w:rsidR="00083899" w14:paraId="5B89429F" w14:textId="77777777" w:rsidTr="002A0038">
        <w:tc>
          <w:tcPr>
            <w:tcW w:w="0" w:type="dxa"/>
          </w:tcPr>
          <w:p w14:paraId="3844FBB2" w14:textId="6AAB05F7" w:rsidR="00083899" w:rsidRDefault="0007383E" w:rsidP="00083899">
            <w:pPr>
              <w:jc w:val="left"/>
            </w:pPr>
            <w:r>
              <w:rPr>
                <w:color w:val="4472C4"/>
                <w:sz w:val="13"/>
              </w:rPr>
              <w:t>AASB </w:t>
            </w:r>
            <w:r w:rsidR="00083899">
              <w:rPr>
                <w:color w:val="4472C4"/>
                <w:sz w:val="13"/>
              </w:rPr>
              <w:t>10</w:t>
            </w:r>
            <w:r w:rsidR="00083899">
              <w:rPr>
                <w:rFonts w:hint="eastAsia"/>
                <w:color w:val="4472C4"/>
                <w:sz w:val="13"/>
                <w:lang w:eastAsia="zh-CN"/>
              </w:rPr>
              <w:t>60</w:t>
            </w:r>
            <w:r w:rsidR="00083899">
              <w:rPr>
                <w:color w:val="4472C4"/>
                <w:sz w:val="13"/>
              </w:rPr>
              <w:t>.</w:t>
            </w:r>
            <w:r w:rsidR="00083899">
              <w:rPr>
                <w:rFonts w:hint="eastAsia"/>
                <w:color w:val="4472C4"/>
                <w:sz w:val="13"/>
                <w:lang w:eastAsia="zh-CN"/>
              </w:rPr>
              <w:t>68</w:t>
            </w:r>
            <w:r w:rsidR="00083899">
              <w:rPr>
                <w:color w:val="4472C4"/>
                <w:sz w:val="13"/>
              </w:rPr>
              <w:t xml:space="preserve"> (</w:t>
            </w:r>
            <w:r w:rsidR="00083899">
              <w:rPr>
                <w:rFonts w:hint="eastAsia"/>
                <w:color w:val="4472C4"/>
                <w:sz w:val="13"/>
                <w:lang w:eastAsia="zh-CN"/>
              </w:rPr>
              <w:t>a</w:t>
            </w:r>
            <w:r w:rsidR="00083899">
              <w:rPr>
                <w:color w:val="4472C4"/>
                <w:sz w:val="13"/>
              </w:rPr>
              <w:t>)</w:t>
            </w:r>
          </w:p>
        </w:tc>
        <w:tc>
          <w:tcPr>
            <w:tcW w:w="0" w:type="dxa"/>
          </w:tcPr>
          <w:p w14:paraId="4978A492" w14:textId="77777777" w:rsidR="00083899" w:rsidRDefault="00083899" w:rsidP="00083899">
            <w:pPr>
              <w:jc w:val="left"/>
            </w:pPr>
            <w:r>
              <w:t>Purchases of non</w:t>
            </w:r>
            <w:r>
              <w:rPr>
                <w:rFonts w:ascii="Cambria Math" w:hAnsi="Cambria Math" w:cs="Cambria Math"/>
              </w:rPr>
              <w:t>‑</w:t>
            </w:r>
            <w:r>
              <w:t>financial assets</w:t>
            </w:r>
          </w:p>
        </w:tc>
        <w:tc>
          <w:tcPr>
            <w:tcW w:w="0" w:type="dxa"/>
          </w:tcPr>
          <w:p w14:paraId="344E44C4" w14:textId="77777777" w:rsidR="00083899" w:rsidRDefault="00083899" w:rsidP="00083899">
            <w:pPr>
              <w:jc w:val="center"/>
            </w:pPr>
          </w:p>
        </w:tc>
        <w:tc>
          <w:tcPr>
            <w:tcW w:w="0" w:type="dxa"/>
            <w:vAlign w:val="center"/>
          </w:tcPr>
          <w:p w14:paraId="39B0D0DF" w14:textId="7A51183D" w:rsidR="00083899" w:rsidRDefault="00083899" w:rsidP="00083899">
            <w:r>
              <w:rPr>
                <w:rFonts w:ascii="Arial" w:hAnsi="Arial" w:cs="Arial"/>
                <w:color w:val="000000"/>
                <w:szCs w:val="16"/>
              </w:rPr>
              <w:t>(3</w:t>
            </w:r>
            <w:r w:rsidR="005237E2">
              <w:rPr>
                <w:rFonts w:ascii="Arial" w:hAnsi="Arial" w:cs="Arial"/>
                <w:color w:val="000000"/>
                <w:szCs w:val="16"/>
              </w:rPr>
              <w:t>3 140</w:t>
            </w:r>
            <w:r>
              <w:rPr>
                <w:rFonts w:ascii="Arial" w:hAnsi="Arial" w:cs="Arial"/>
                <w:color w:val="000000"/>
                <w:szCs w:val="16"/>
              </w:rPr>
              <w:t>)</w:t>
            </w:r>
          </w:p>
        </w:tc>
        <w:tc>
          <w:tcPr>
            <w:tcW w:w="0" w:type="dxa"/>
            <w:vAlign w:val="center"/>
          </w:tcPr>
          <w:p w14:paraId="4F49C14B" w14:textId="141BE894" w:rsidR="00083899" w:rsidRDefault="00083899" w:rsidP="00083899">
            <w:r>
              <w:rPr>
                <w:rFonts w:ascii="Arial" w:hAnsi="Arial" w:cs="Arial"/>
                <w:color w:val="000000"/>
                <w:szCs w:val="16"/>
              </w:rPr>
              <w:t>(29</w:t>
            </w:r>
            <w:r w:rsidR="003E3065">
              <w:rPr>
                <w:rFonts w:ascii="Arial" w:hAnsi="Arial" w:cs="Arial" w:hint="eastAsia"/>
                <w:color w:val="000000"/>
                <w:szCs w:val="16"/>
                <w:lang w:eastAsia="zh-CN"/>
              </w:rPr>
              <w:t xml:space="preserve"> </w:t>
            </w:r>
            <w:r w:rsidR="005237E2">
              <w:rPr>
                <w:rFonts w:ascii="Arial" w:hAnsi="Arial" w:cs="Arial"/>
                <w:color w:val="000000"/>
                <w:szCs w:val="16"/>
              </w:rPr>
              <w:t>575</w:t>
            </w:r>
            <w:r>
              <w:rPr>
                <w:rFonts w:ascii="Arial" w:hAnsi="Arial" w:cs="Arial"/>
                <w:color w:val="000000"/>
                <w:szCs w:val="16"/>
              </w:rPr>
              <w:t>)</w:t>
            </w:r>
          </w:p>
        </w:tc>
      </w:tr>
      <w:tr w:rsidR="00083899" w14:paraId="73B29C5B" w14:textId="77777777" w:rsidTr="002A0038">
        <w:tc>
          <w:tcPr>
            <w:tcW w:w="0" w:type="dxa"/>
          </w:tcPr>
          <w:p w14:paraId="3BCDA893" w14:textId="21818327" w:rsidR="00083899" w:rsidRDefault="0007383E" w:rsidP="00083899">
            <w:pPr>
              <w:jc w:val="left"/>
            </w:pPr>
            <w:r>
              <w:rPr>
                <w:color w:val="4472C4"/>
                <w:sz w:val="13"/>
              </w:rPr>
              <w:t>AASB </w:t>
            </w:r>
            <w:r w:rsidR="00083899">
              <w:rPr>
                <w:color w:val="4472C4"/>
                <w:sz w:val="13"/>
              </w:rPr>
              <w:t>10</w:t>
            </w:r>
            <w:r w:rsidR="00083899">
              <w:rPr>
                <w:rFonts w:hint="eastAsia"/>
                <w:color w:val="4472C4"/>
                <w:sz w:val="13"/>
                <w:lang w:eastAsia="zh-CN"/>
              </w:rPr>
              <w:t>60</w:t>
            </w:r>
            <w:r w:rsidR="00083899">
              <w:rPr>
                <w:color w:val="4472C4"/>
                <w:sz w:val="13"/>
              </w:rPr>
              <w:t>.</w:t>
            </w:r>
            <w:r w:rsidR="00083899">
              <w:rPr>
                <w:rFonts w:hint="eastAsia"/>
                <w:color w:val="4472C4"/>
                <w:sz w:val="13"/>
                <w:lang w:eastAsia="zh-CN"/>
              </w:rPr>
              <w:t>68</w:t>
            </w:r>
            <w:r w:rsidR="00083899">
              <w:rPr>
                <w:color w:val="4472C4"/>
                <w:sz w:val="13"/>
              </w:rPr>
              <w:t xml:space="preserve"> (b)</w:t>
            </w:r>
          </w:p>
        </w:tc>
        <w:tc>
          <w:tcPr>
            <w:tcW w:w="0" w:type="dxa"/>
          </w:tcPr>
          <w:p w14:paraId="5BC8EEEF" w14:textId="77777777" w:rsidR="00083899" w:rsidRDefault="00083899" w:rsidP="00083899">
            <w:pPr>
              <w:jc w:val="left"/>
            </w:pPr>
            <w:r>
              <w:t>Sales of non</w:t>
            </w:r>
            <w:r>
              <w:rPr>
                <w:rFonts w:ascii="Cambria Math" w:hAnsi="Cambria Math" w:cs="Cambria Math"/>
              </w:rPr>
              <w:t>‑</w:t>
            </w:r>
            <w:r>
              <w:t>financial assets</w:t>
            </w:r>
          </w:p>
        </w:tc>
        <w:tc>
          <w:tcPr>
            <w:tcW w:w="0" w:type="dxa"/>
          </w:tcPr>
          <w:p w14:paraId="4683375E" w14:textId="77777777" w:rsidR="00083899" w:rsidRDefault="00083899" w:rsidP="00083899">
            <w:pPr>
              <w:jc w:val="center"/>
            </w:pPr>
          </w:p>
        </w:tc>
        <w:tc>
          <w:tcPr>
            <w:tcW w:w="0" w:type="dxa"/>
            <w:vAlign w:val="center"/>
          </w:tcPr>
          <w:p w14:paraId="32EFE43F" w14:textId="71AC163F" w:rsidR="00083899" w:rsidRDefault="00083899" w:rsidP="00083899">
            <w:r>
              <w:rPr>
                <w:rFonts w:ascii="Arial" w:hAnsi="Arial" w:cs="Arial"/>
                <w:color w:val="000000"/>
                <w:szCs w:val="16"/>
              </w:rPr>
              <w:t>4</w:t>
            </w:r>
            <w:r w:rsidR="003E3065">
              <w:rPr>
                <w:rFonts w:ascii="Arial" w:hAnsi="Arial" w:cs="Arial" w:hint="eastAsia"/>
                <w:color w:val="000000"/>
                <w:szCs w:val="16"/>
                <w:lang w:eastAsia="zh-CN"/>
              </w:rPr>
              <w:t xml:space="preserve"> </w:t>
            </w:r>
            <w:r>
              <w:rPr>
                <w:rFonts w:ascii="Arial" w:hAnsi="Arial" w:cs="Arial"/>
                <w:color w:val="000000"/>
                <w:szCs w:val="16"/>
              </w:rPr>
              <w:t>292</w:t>
            </w:r>
          </w:p>
        </w:tc>
        <w:tc>
          <w:tcPr>
            <w:tcW w:w="0" w:type="dxa"/>
            <w:vAlign w:val="center"/>
          </w:tcPr>
          <w:p w14:paraId="38140939" w14:textId="71DE632C" w:rsidR="00083899" w:rsidRDefault="00083899" w:rsidP="00083899">
            <w:r>
              <w:rPr>
                <w:rFonts w:ascii="Arial" w:hAnsi="Arial" w:cs="Arial"/>
                <w:color w:val="000000"/>
                <w:szCs w:val="16"/>
              </w:rPr>
              <w:t>7</w:t>
            </w:r>
            <w:r w:rsidR="003E3065">
              <w:rPr>
                <w:rFonts w:ascii="Arial" w:hAnsi="Arial" w:cs="Arial" w:hint="eastAsia"/>
                <w:color w:val="000000"/>
                <w:szCs w:val="16"/>
                <w:lang w:eastAsia="zh-CN"/>
              </w:rPr>
              <w:t xml:space="preserve"> </w:t>
            </w:r>
            <w:r>
              <w:rPr>
                <w:rFonts w:ascii="Arial" w:hAnsi="Arial" w:cs="Arial"/>
                <w:color w:val="000000"/>
                <w:szCs w:val="16"/>
              </w:rPr>
              <w:t>428</w:t>
            </w:r>
          </w:p>
        </w:tc>
      </w:tr>
      <w:tr w:rsidR="001841C6" w14:paraId="0D744E20" w14:textId="77777777" w:rsidTr="002A0038">
        <w:tc>
          <w:tcPr>
            <w:tcW w:w="0" w:type="dxa"/>
          </w:tcPr>
          <w:p w14:paraId="11BC5DEB" w14:textId="77777777" w:rsidR="001841C6" w:rsidRDefault="001841C6" w:rsidP="001841C6">
            <w:pPr>
              <w:jc w:val="left"/>
            </w:pPr>
          </w:p>
        </w:tc>
        <w:tc>
          <w:tcPr>
            <w:tcW w:w="0" w:type="dxa"/>
          </w:tcPr>
          <w:p w14:paraId="026BB6FF" w14:textId="77777777" w:rsidR="001841C6" w:rsidRDefault="001841C6" w:rsidP="001841C6">
            <w:pPr>
              <w:jc w:val="left"/>
            </w:pPr>
            <w:r>
              <w:rPr>
                <w:b/>
              </w:rPr>
              <w:t>Net cash flows from</w:t>
            </w:r>
            <w:proofErr w:type="gramStart"/>
            <w:r>
              <w:rPr>
                <w:b/>
              </w:rPr>
              <w:t>/(</w:t>
            </w:r>
            <w:proofErr w:type="gramEnd"/>
            <w:r>
              <w:rPr>
                <w:b/>
              </w:rPr>
              <w:t>used in) investing activities</w:t>
            </w:r>
          </w:p>
        </w:tc>
        <w:tc>
          <w:tcPr>
            <w:tcW w:w="0" w:type="dxa"/>
          </w:tcPr>
          <w:p w14:paraId="79581812" w14:textId="77777777" w:rsidR="001841C6" w:rsidRDefault="001841C6" w:rsidP="001841C6">
            <w:pPr>
              <w:jc w:val="center"/>
            </w:pPr>
          </w:p>
        </w:tc>
        <w:tc>
          <w:tcPr>
            <w:tcW w:w="0" w:type="dxa"/>
            <w:vAlign w:val="center"/>
          </w:tcPr>
          <w:p w14:paraId="43A056AA" w14:textId="7B8F8B96" w:rsidR="001841C6" w:rsidRDefault="001841C6" w:rsidP="001841C6">
            <w:r>
              <w:rPr>
                <w:rFonts w:ascii="Arial" w:hAnsi="Arial" w:cs="Arial"/>
                <w:b/>
                <w:bCs/>
                <w:color w:val="000000"/>
                <w:szCs w:val="16"/>
              </w:rPr>
              <w:t>(28</w:t>
            </w:r>
            <w:r w:rsidR="003E3065">
              <w:rPr>
                <w:rFonts w:ascii="Arial" w:hAnsi="Arial" w:cs="Arial" w:hint="eastAsia"/>
                <w:b/>
                <w:bCs/>
                <w:color w:val="000000"/>
                <w:szCs w:val="16"/>
                <w:lang w:eastAsia="zh-CN"/>
              </w:rPr>
              <w:t xml:space="preserve"> </w:t>
            </w:r>
            <w:r>
              <w:rPr>
                <w:rFonts w:ascii="Arial" w:hAnsi="Arial" w:cs="Arial"/>
                <w:b/>
                <w:bCs/>
                <w:color w:val="000000"/>
                <w:szCs w:val="16"/>
              </w:rPr>
              <w:t>848)</w:t>
            </w:r>
          </w:p>
        </w:tc>
        <w:tc>
          <w:tcPr>
            <w:tcW w:w="0" w:type="dxa"/>
            <w:vAlign w:val="center"/>
          </w:tcPr>
          <w:p w14:paraId="7929865B" w14:textId="4CEAFC64" w:rsidR="001841C6" w:rsidRDefault="001841C6" w:rsidP="001841C6">
            <w:r>
              <w:rPr>
                <w:rFonts w:ascii="Arial" w:hAnsi="Arial" w:cs="Arial"/>
                <w:b/>
                <w:bCs/>
                <w:color w:val="000000"/>
                <w:szCs w:val="16"/>
              </w:rPr>
              <w:t>(22</w:t>
            </w:r>
            <w:r w:rsidR="003E3065">
              <w:rPr>
                <w:rFonts w:ascii="Arial" w:hAnsi="Arial" w:cs="Arial" w:hint="eastAsia"/>
                <w:b/>
                <w:bCs/>
                <w:color w:val="000000"/>
                <w:szCs w:val="16"/>
                <w:lang w:eastAsia="zh-CN"/>
              </w:rPr>
              <w:t xml:space="preserve"> </w:t>
            </w:r>
            <w:r>
              <w:rPr>
                <w:rFonts w:ascii="Arial" w:hAnsi="Arial" w:cs="Arial"/>
                <w:b/>
                <w:bCs/>
                <w:color w:val="000000"/>
                <w:szCs w:val="16"/>
              </w:rPr>
              <w:t>147)</w:t>
            </w:r>
          </w:p>
        </w:tc>
      </w:tr>
      <w:tr w:rsidR="00342237" w14:paraId="5EDE6D61" w14:textId="77777777" w:rsidTr="007F096A">
        <w:tc>
          <w:tcPr>
            <w:tcW w:w="1927" w:type="dxa"/>
          </w:tcPr>
          <w:p w14:paraId="28DAC768" w14:textId="5D0A2D2B" w:rsidR="00342237" w:rsidRDefault="0007383E" w:rsidP="00342237">
            <w:pPr>
              <w:jc w:val="left"/>
            </w:pPr>
            <w:r>
              <w:rPr>
                <w:color w:val="4472C4"/>
                <w:sz w:val="13"/>
              </w:rPr>
              <w:t>AASB </w:t>
            </w:r>
            <w:r w:rsidR="00342237">
              <w:rPr>
                <w:color w:val="4472C4"/>
                <w:sz w:val="13"/>
              </w:rPr>
              <w:t>10</w:t>
            </w:r>
            <w:r w:rsidR="00CB1639">
              <w:rPr>
                <w:rFonts w:hint="eastAsia"/>
                <w:color w:val="4472C4"/>
                <w:sz w:val="13"/>
                <w:lang w:eastAsia="zh-CN"/>
              </w:rPr>
              <w:t>60.74, 86</w:t>
            </w:r>
          </w:p>
        </w:tc>
        <w:tc>
          <w:tcPr>
            <w:tcW w:w="5161" w:type="dxa"/>
          </w:tcPr>
          <w:p w14:paraId="6C209D2C" w14:textId="77777777" w:rsidR="00342237" w:rsidRDefault="00342237" w:rsidP="00342237">
            <w:pPr>
              <w:jc w:val="left"/>
            </w:pPr>
            <w:r>
              <w:rPr>
                <w:b/>
              </w:rPr>
              <w:t>Cash flows from financing activities</w:t>
            </w:r>
          </w:p>
        </w:tc>
        <w:tc>
          <w:tcPr>
            <w:tcW w:w="567" w:type="dxa"/>
          </w:tcPr>
          <w:p w14:paraId="3A3A8A42" w14:textId="77777777" w:rsidR="00342237" w:rsidRDefault="00342237" w:rsidP="00342237">
            <w:pPr>
              <w:jc w:val="center"/>
            </w:pPr>
          </w:p>
        </w:tc>
        <w:tc>
          <w:tcPr>
            <w:tcW w:w="992" w:type="dxa"/>
          </w:tcPr>
          <w:p w14:paraId="72D6E7C1" w14:textId="77777777" w:rsidR="00342237" w:rsidRDefault="00342237" w:rsidP="00342237"/>
        </w:tc>
        <w:tc>
          <w:tcPr>
            <w:tcW w:w="992" w:type="dxa"/>
          </w:tcPr>
          <w:p w14:paraId="3985D8E4" w14:textId="77777777" w:rsidR="00342237" w:rsidRDefault="00342237" w:rsidP="00342237"/>
        </w:tc>
      </w:tr>
      <w:tr w:rsidR="001841C6" w14:paraId="787B9E90" w14:textId="77777777" w:rsidTr="002A0038">
        <w:tc>
          <w:tcPr>
            <w:tcW w:w="0" w:type="dxa"/>
          </w:tcPr>
          <w:p w14:paraId="74758297" w14:textId="77777777" w:rsidR="001841C6" w:rsidRDefault="001841C6" w:rsidP="001841C6">
            <w:pPr>
              <w:jc w:val="left"/>
            </w:pPr>
          </w:p>
        </w:tc>
        <w:tc>
          <w:tcPr>
            <w:tcW w:w="0" w:type="dxa"/>
          </w:tcPr>
          <w:p w14:paraId="5B1FC63A" w14:textId="27D12053" w:rsidR="001841C6" w:rsidRDefault="001841C6" w:rsidP="001841C6">
            <w:pPr>
              <w:jc w:val="left"/>
            </w:pPr>
            <w:r w:rsidRPr="002A0038">
              <w:rPr>
                <w:lang w:eastAsia="zh-CN"/>
              </w:rPr>
              <w:t xml:space="preserve">Capital </w:t>
            </w:r>
            <w:r>
              <w:rPr>
                <w:rFonts w:hint="eastAsia"/>
                <w:lang w:eastAsia="zh-CN"/>
              </w:rPr>
              <w:t>grant</w:t>
            </w:r>
            <w:r>
              <w:rPr>
                <w:lang w:eastAsia="zh-CN"/>
              </w:rPr>
              <w:t>s</w:t>
            </w:r>
          </w:p>
        </w:tc>
        <w:tc>
          <w:tcPr>
            <w:tcW w:w="0" w:type="dxa"/>
          </w:tcPr>
          <w:p w14:paraId="6D048425" w14:textId="77777777" w:rsidR="001841C6" w:rsidRDefault="001841C6" w:rsidP="001841C6">
            <w:pPr>
              <w:jc w:val="center"/>
            </w:pPr>
          </w:p>
        </w:tc>
        <w:tc>
          <w:tcPr>
            <w:tcW w:w="0" w:type="dxa"/>
            <w:vAlign w:val="center"/>
          </w:tcPr>
          <w:p w14:paraId="614E80EA" w14:textId="1CD1CA86" w:rsidR="001841C6" w:rsidRDefault="001841C6" w:rsidP="001841C6">
            <w:r>
              <w:rPr>
                <w:rFonts w:ascii="Arial" w:hAnsi="Arial" w:cs="Arial"/>
                <w:color w:val="000000"/>
                <w:szCs w:val="16"/>
              </w:rPr>
              <w:t>5</w:t>
            </w:r>
            <w:r w:rsidR="003E3065">
              <w:rPr>
                <w:rFonts w:ascii="Arial" w:hAnsi="Arial" w:cs="Arial" w:hint="eastAsia"/>
                <w:color w:val="000000"/>
                <w:szCs w:val="16"/>
                <w:lang w:eastAsia="zh-CN"/>
              </w:rPr>
              <w:t xml:space="preserve"> </w:t>
            </w:r>
            <w:r>
              <w:rPr>
                <w:rFonts w:ascii="Arial" w:hAnsi="Arial" w:cs="Arial"/>
                <w:color w:val="000000"/>
                <w:szCs w:val="16"/>
              </w:rPr>
              <w:t>750</w:t>
            </w:r>
          </w:p>
        </w:tc>
        <w:tc>
          <w:tcPr>
            <w:tcW w:w="0" w:type="dxa"/>
            <w:vAlign w:val="center"/>
          </w:tcPr>
          <w:p w14:paraId="1BB48C6B" w14:textId="37533D43" w:rsidR="001841C6" w:rsidRDefault="001841C6" w:rsidP="001841C6">
            <w:r>
              <w:rPr>
                <w:rFonts w:ascii="Arial" w:hAnsi="Arial" w:cs="Arial"/>
                <w:color w:val="000000"/>
                <w:szCs w:val="16"/>
              </w:rPr>
              <w:t>10</w:t>
            </w:r>
            <w:r w:rsidR="003E3065">
              <w:rPr>
                <w:rFonts w:ascii="Arial" w:hAnsi="Arial" w:cs="Arial" w:hint="eastAsia"/>
                <w:color w:val="000000"/>
                <w:szCs w:val="16"/>
                <w:lang w:eastAsia="zh-CN"/>
              </w:rPr>
              <w:t xml:space="preserve"> </w:t>
            </w:r>
            <w:r>
              <w:rPr>
                <w:rFonts w:ascii="Arial" w:hAnsi="Arial" w:cs="Arial"/>
                <w:color w:val="000000"/>
                <w:szCs w:val="16"/>
              </w:rPr>
              <w:t>500</w:t>
            </w:r>
          </w:p>
        </w:tc>
      </w:tr>
      <w:tr w:rsidR="001841C6" w14:paraId="5C455D20" w14:textId="77777777" w:rsidTr="002A0038">
        <w:tc>
          <w:tcPr>
            <w:tcW w:w="0" w:type="dxa"/>
          </w:tcPr>
          <w:p w14:paraId="397EF545" w14:textId="756A129B" w:rsidR="001841C6" w:rsidRDefault="0007383E" w:rsidP="001841C6">
            <w:pPr>
              <w:jc w:val="left"/>
            </w:pPr>
            <w:r>
              <w:rPr>
                <w:color w:val="4472C4"/>
                <w:sz w:val="13"/>
              </w:rPr>
              <w:t>AASB </w:t>
            </w:r>
            <w:r w:rsidR="001841C6">
              <w:rPr>
                <w:color w:val="4472C4"/>
                <w:sz w:val="13"/>
              </w:rPr>
              <w:t>10</w:t>
            </w:r>
            <w:r w:rsidR="001841C6">
              <w:rPr>
                <w:rFonts w:hint="eastAsia"/>
                <w:color w:val="4472C4"/>
                <w:sz w:val="13"/>
                <w:lang w:eastAsia="zh-CN"/>
              </w:rPr>
              <w:t>60</w:t>
            </w:r>
            <w:r w:rsidR="001841C6">
              <w:rPr>
                <w:color w:val="4472C4"/>
                <w:sz w:val="13"/>
              </w:rPr>
              <w:t>.</w:t>
            </w:r>
            <w:r w:rsidR="001841C6">
              <w:rPr>
                <w:rFonts w:hint="eastAsia"/>
                <w:color w:val="4472C4"/>
                <w:sz w:val="13"/>
                <w:lang w:eastAsia="zh-CN"/>
              </w:rPr>
              <w:t>69</w:t>
            </w:r>
            <w:r w:rsidR="001841C6">
              <w:rPr>
                <w:color w:val="4472C4"/>
                <w:sz w:val="13"/>
              </w:rPr>
              <w:t xml:space="preserve"> (c)</w:t>
            </w:r>
          </w:p>
        </w:tc>
        <w:tc>
          <w:tcPr>
            <w:tcW w:w="0" w:type="dxa"/>
          </w:tcPr>
          <w:p w14:paraId="569434C0" w14:textId="77777777" w:rsidR="001841C6" w:rsidRDefault="001841C6" w:rsidP="001841C6">
            <w:pPr>
              <w:jc w:val="left"/>
            </w:pPr>
            <w:r>
              <w:t>Proceeds from borrowings</w:t>
            </w:r>
          </w:p>
        </w:tc>
        <w:tc>
          <w:tcPr>
            <w:tcW w:w="0" w:type="dxa"/>
          </w:tcPr>
          <w:p w14:paraId="0EB89E0B" w14:textId="77777777" w:rsidR="001841C6" w:rsidRDefault="001841C6" w:rsidP="001841C6">
            <w:pPr>
              <w:jc w:val="center"/>
            </w:pPr>
          </w:p>
        </w:tc>
        <w:tc>
          <w:tcPr>
            <w:tcW w:w="0" w:type="dxa"/>
            <w:vAlign w:val="center"/>
          </w:tcPr>
          <w:p w14:paraId="5B93BBE0" w14:textId="4BB83216" w:rsidR="001841C6" w:rsidRDefault="001841C6" w:rsidP="001841C6">
            <w:r>
              <w:rPr>
                <w:rFonts w:ascii="Arial" w:hAnsi="Arial" w:cs="Arial"/>
                <w:color w:val="000000"/>
                <w:szCs w:val="16"/>
              </w:rPr>
              <w:t>24</w:t>
            </w:r>
            <w:r w:rsidR="003E3065">
              <w:rPr>
                <w:rFonts w:ascii="Arial" w:hAnsi="Arial" w:cs="Arial" w:hint="eastAsia"/>
                <w:color w:val="000000"/>
                <w:szCs w:val="16"/>
                <w:lang w:eastAsia="zh-CN"/>
              </w:rPr>
              <w:t xml:space="preserve"> </w:t>
            </w:r>
            <w:r>
              <w:rPr>
                <w:rFonts w:ascii="Arial" w:hAnsi="Arial" w:cs="Arial"/>
                <w:color w:val="000000"/>
                <w:szCs w:val="16"/>
              </w:rPr>
              <w:t>673</w:t>
            </w:r>
          </w:p>
        </w:tc>
        <w:tc>
          <w:tcPr>
            <w:tcW w:w="0" w:type="dxa"/>
            <w:vAlign w:val="center"/>
          </w:tcPr>
          <w:p w14:paraId="4D9B5CD6" w14:textId="74665872" w:rsidR="001841C6" w:rsidRDefault="001841C6" w:rsidP="001841C6">
            <w:r>
              <w:rPr>
                <w:rFonts w:ascii="Arial" w:hAnsi="Arial" w:cs="Arial"/>
                <w:color w:val="000000"/>
                <w:szCs w:val="16"/>
              </w:rPr>
              <w:t>7</w:t>
            </w:r>
            <w:r w:rsidR="003E3065">
              <w:rPr>
                <w:rFonts w:ascii="Arial" w:hAnsi="Arial" w:cs="Arial" w:hint="eastAsia"/>
                <w:color w:val="000000"/>
                <w:szCs w:val="16"/>
                <w:lang w:eastAsia="zh-CN"/>
              </w:rPr>
              <w:t xml:space="preserve"> </w:t>
            </w:r>
            <w:r>
              <w:rPr>
                <w:rFonts w:ascii="Arial" w:hAnsi="Arial" w:cs="Arial"/>
                <w:color w:val="000000"/>
                <w:szCs w:val="16"/>
              </w:rPr>
              <w:t>455</w:t>
            </w:r>
          </w:p>
        </w:tc>
      </w:tr>
      <w:tr w:rsidR="001841C6" w14:paraId="597C413E" w14:textId="77777777" w:rsidTr="002A0038">
        <w:trPr>
          <w:trHeight w:val="122"/>
        </w:trPr>
        <w:tc>
          <w:tcPr>
            <w:tcW w:w="0" w:type="dxa"/>
          </w:tcPr>
          <w:p w14:paraId="6C12773A" w14:textId="1A9D8198" w:rsidR="001841C6" w:rsidRDefault="0007383E" w:rsidP="001841C6">
            <w:pPr>
              <w:jc w:val="left"/>
            </w:pPr>
            <w:r>
              <w:rPr>
                <w:color w:val="4472C4"/>
                <w:sz w:val="13"/>
              </w:rPr>
              <w:t>AASB </w:t>
            </w:r>
            <w:r w:rsidR="001841C6">
              <w:rPr>
                <w:color w:val="4472C4"/>
                <w:sz w:val="13"/>
              </w:rPr>
              <w:t>10</w:t>
            </w:r>
            <w:r w:rsidR="001841C6">
              <w:rPr>
                <w:rFonts w:hint="eastAsia"/>
                <w:color w:val="4472C4"/>
                <w:sz w:val="13"/>
                <w:lang w:eastAsia="zh-CN"/>
              </w:rPr>
              <w:t>60</w:t>
            </w:r>
            <w:r w:rsidR="001841C6">
              <w:rPr>
                <w:color w:val="4472C4"/>
                <w:sz w:val="13"/>
              </w:rPr>
              <w:t>.</w:t>
            </w:r>
            <w:r w:rsidR="001841C6">
              <w:rPr>
                <w:rFonts w:hint="eastAsia"/>
                <w:color w:val="4472C4"/>
                <w:sz w:val="13"/>
                <w:lang w:eastAsia="zh-CN"/>
              </w:rPr>
              <w:t>69</w:t>
            </w:r>
            <w:r w:rsidR="001841C6">
              <w:rPr>
                <w:color w:val="4472C4"/>
                <w:sz w:val="13"/>
              </w:rPr>
              <w:t xml:space="preserve"> (d)</w:t>
            </w:r>
            <w:r w:rsidR="001841C6">
              <w:rPr>
                <w:rFonts w:hint="eastAsia"/>
                <w:color w:val="4472C4"/>
                <w:sz w:val="13"/>
                <w:lang w:eastAsia="zh-CN"/>
              </w:rPr>
              <w:t>(e)</w:t>
            </w:r>
          </w:p>
        </w:tc>
        <w:tc>
          <w:tcPr>
            <w:tcW w:w="0" w:type="dxa"/>
            <w:tcBorders>
              <w:bottom w:val="single" w:sz="12" w:space="0" w:color="auto"/>
            </w:tcBorders>
          </w:tcPr>
          <w:p w14:paraId="1B74EDC6" w14:textId="00E865F2" w:rsidR="001841C6" w:rsidRDefault="001841C6" w:rsidP="001841C6">
            <w:pPr>
              <w:jc w:val="left"/>
            </w:pPr>
            <w:r>
              <w:t>Repayment of borrowings and principal portion of lease liabilities</w:t>
            </w:r>
            <w:r>
              <w:rPr>
                <w:vertAlign w:val="superscript"/>
              </w:rPr>
              <w:t xml:space="preserve"> (</w:t>
            </w:r>
            <w:r w:rsidR="00AD0422">
              <w:rPr>
                <w:vertAlign w:val="superscript"/>
              </w:rPr>
              <w:t>c</w:t>
            </w:r>
            <w:r>
              <w:rPr>
                <w:vertAlign w:val="superscript"/>
              </w:rPr>
              <w:t>)</w:t>
            </w:r>
          </w:p>
        </w:tc>
        <w:tc>
          <w:tcPr>
            <w:tcW w:w="0" w:type="dxa"/>
            <w:tcBorders>
              <w:bottom w:val="single" w:sz="12" w:space="0" w:color="auto"/>
            </w:tcBorders>
          </w:tcPr>
          <w:p w14:paraId="6FD28896" w14:textId="77777777" w:rsidR="001841C6" w:rsidRDefault="001841C6" w:rsidP="001841C6">
            <w:pPr>
              <w:jc w:val="center"/>
            </w:pPr>
          </w:p>
        </w:tc>
        <w:tc>
          <w:tcPr>
            <w:tcW w:w="0" w:type="dxa"/>
            <w:tcBorders>
              <w:bottom w:val="single" w:sz="12" w:space="0" w:color="auto"/>
            </w:tcBorders>
            <w:vAlign w:val="center"/>
          </w:tcPr>
          <w:p w14:paraId="7ACEE384" w14:textId="6E9BAC49" w:rsidR="001841C6" w:rsidRDefault="001841C6" w:rsidP="001841C6">
            <w:r>
              <w:rPr>
                <w:rFonts w:ascii="Arial" w:hAnsi="Arial" w:cs="Arial"/>
                <w:color w:val="000000"/>
                <w:szCs w:val="16"/>
              </w:rPr>
              <w:t>(8</w:t>
            </w:r>
            <w:r w:rsidR="003E3065">
              <w:rPr>
                <w:rFonts w:ascii="Arial" w:hAnsi="Arial" w:cs="Arial" w:hint="eastAsia"/>
                <w:color w:val="000000"/>
                <w:szCs w:val="16"/>
                <w:lang w:eastAsia="zh-CN"/>
              </w:rPr>
              <w:t xml:space="preserve"> </w:t>
            </w:r>
            <w:r>
              <w:rPr>
                <w:rFonts w:ascii="Arial" w:hAnsi="Arial" w:cs="Arial"/>
                <w:color w:val="000000"/>
                <w:szCs w:val="16"/>
              </w:rPr>
              <w:t>896)</w:t>
            </w:r>
          </w:p>
        </w:tc>
        <w:tc>
          <w:tcPr>
            <w:tcW w:w="0" w:type="dxa"/>
            <w:tcBorders>
              <w:bottom w:val="single" w:sz="12" w:space="0" w:color="auto"/>
            </w:tcBorders>
            <w:vAlign w:val="center"/>
          </w:tcPr>
          <w:p w14:paraId="6DFB3710" w14:textId="1647253F" w:rsidR="001841C6" w:rsidRDefault="001841C6" w:rsidP="001841C6">
            <w:r>
              <w:rPr>
                <w:rFonts w:ascii="Arial" w:hAnsi="Arial" w:cs="Arial"/>
                <w:color w:val="000000"/>
                <w:szCs w:val="16"/>
              </w:rPr>
              <w:t>(4</w:t>
            </w:r>
            <w:r w:rsidR="003E3065">
              <w:rPr>
                <w:rFonts w:ascii="Arial" w:hAnsi="Arial" w:cs="Arial" w:hint="eastAsia"/>
                <w:color w:val="000000"/>
                <w:szCs w:val="16"/>
                <w:lang w:eastAsia="zh-CN"/>
              </w:rPr>
              <w:t xml:space="preserve"> </w:t>
            </w:r>
            <w:r>
              <w:rPr>
                <w:rFonts w:ascii="Arial" w:hAnsi="Arial" w:cs="Arial"/>
                <w:color w:val="000000"/>
                <w:szCs w:val="16"/>
              </w:rPr>
              <w:t>544)</w:t>
            </w:r>
          </w:p>
        </w:tc>
      </w:tr>
      <w:tr w:rsidR="005939C8" w14:paraId="2A918815" w14:textId="77777777" w:rsidTr="002A0038">
        <w:tc>
          <w:tcPr>
            <w:tcW w:w="0" w:type="dxa"/>
          </w:tcPr>
          <w:p w14:paraId="0EDFDF0A" w14:textId="77777777" w:rsidR="005939C8" w:rsidRDefault="005939C8" w:rsidP="005939C8">
            <w:pPr>
              <w:jc w:val="left"/>
            </w:pPr>
          </w:p>
        </w:tc>
        <w:tc>
          <w:tcPr>
            <w:tcW w:w="0" w:type="dxa"/>
          </w:tcPr>
          <w:p w14:paraId="3D7C2B3F" w14:textId="77777777" w:rsidR="005939C8" w:rsidRDefault="005939C8" w:rsidP="005939C8">
            <w:pPr>
              <w:jc w:val="left"/>
            </w:pPr>
            <w:r>
              <w:rPr>
                <w:b/>
              </w:rPr>
              <w:t>Net cash flows from</w:t>
            </w:r>
            <w:proofErr w:type="gramStart"/>
            <w:r>
              <w:rPr>
                <w:b/>
              </w:rPr>
              <w:t>/(</w:t>
            </w:r>
            <w:proofErr w:type="gramEnd"/>
            <w:r>
              <w:rPr>
                <w:b/>
              </w:rPr>
              <w:t>used in) financing activities</w:t>
            </w:r>
          </w:p>
        </w:tc>
        <w:tc>
          <w:tcPr>
            <w:tcW w:w="0" w:type="dxa"/>
          </w:tcPr>
          <w:p w14:paraId="5F93D498" w14:textId="77777777" w:rsidR="005939C8" w:rsidRDefault="005939C8" w:rsidP="005939C8">
            <w:pPr>
              <w:jc w:val="center"/>
            </w:pPr>
          </w:p>
        </w:tc>
        <w:tc>
          <w:tcPr>
            <w:tcW w:w="0" w:type="dxa"/>
            <w:vAlign w:val="center"/>
          </w:tcPr>
          <w:p w14:paraId="454FBAB6" w14:textId="426C9C2E" w:rsidR="005939C8" w:rsidRDefault="005939C8" w:rsidP="005939C8">
            <w:r>
              <w:rPr>
                <w:rFonts w:ascii="Arial" w:hAnsi="Arial" w:cs="Arial"/>
                <w:b/>
                <w:bCs/>
                <w:color w:val="000000"/>
                <w:szCs w:val="16"/>
              </w:rPr>
              <w:t>21</w:t>
            </w:r>
            <w:r w:rsidR="003E3065">
              <w:rPr>
                <w:rFonts w:ascii="Arial" w:hAnsi="Arial" w:cs="Arial" w:hint="eastAsia"/>
                <w:b/>
                <w:bCs/>
                <w:color w:val="000000"/>
                <w:szCs w:val="16"/>
                <w:lang w:eastAsia="zh-CN"/>
              </w:rPr>
              <w:t xml:space="preserve"> </w:t>
            </w:r>
            <w:r>
              <w:rPr>
                <w:rFonts w:ascii="Arial" w:hAnsi="Arial" w:cs="Arial"/>
                <w:b/>
                <w:bCs/>
                <w:color w:val="000000"/>
                <w:szCs w:val="16"/>
              </w:rPr>
              <w:t>527</w:t>
            </w:r>
          </w:p>
        </w:tc>
        <w:tc>
          <w:tcPr>
            <w:tcW w:w="0" w:type="dxa"/>
            <w:vAlign w:val="center"/>
          </w:tcPr>
          <w:p w14:paraId="1EBABCC0" w14:textId="5BB076B0" w:rsidR="005939C8" w:rsidRDefault="005939C8" w:rsidP="005939C8">
            <w:r>
              <w:rPr>
                <w:rFonts w:ascii="Arial" w:hAnsi="Arial" w:cs="Arial"/>
                <w:b/>
                <w:bCs/>
                <w:color w:val="000000"/>
                <w:szCs w:val="16"/>
              </w:rPr>
              <w:t>13</w:t>
            </w:r>
            <w:r w:rsidR="003E3065">
              <w:rPr>
                <w:rFonts w:ascii="Arial" w:hAnsi="Arial" w:cs="Arial" w:hint="eastAsia"/>
                <w:b/>
                <w:bCs/>
                <w:color w:val="000000"/>
                <w:szCs w:val="16"/>
                <w:lang w:eastAsia="zh-CN"/>
              </w:rPr>
              <w:t xml:space="preserve"> </w:t>
            </w:r>
            <w:r>
              <w:rPr>
                <w:rFonts w:ascii="Arial" w:hAnsi="Arial" w:cs="Arial"/>
                <w:b/>
                <w:bCs/>
                <w:color w:val="000000"/>
                <w:szCs w:val="16"/>
              </w:rPr>
              <w:t>411</w:t>
            </w:r>
          </w:p>
        </w:tc>
      </w:tr>
      <w:tr w:rsidR="005939C8" w14:paraId="238B8E41" w14:textId="77777777" w:rsidTr="00E10CD7">
        <w:tc>
          <w:tcPr>
            <w:tcW w:w="0" w:type="dxa"/>
          </w:tcPr>
          <w:p w14:paraId="6232B77E" w14:textId="77777777" w:rsidR="005939C8" w:rsidRDefault="005939C8" w:rsidP="005939C8">
            <w:pPr>
              <w:jc w:val="left"/>
            </w:pPr>
          </w:p>
        </w:tc>
        <w:tc>
          <w:tcPr>
            <w:tcW w:w="0" w:type="dxa"/>
            <w:tcBorders>
              <w:bottom w:val="nil"/>
            </w:tcBorders>
          </w:tcPr>
          <w:p w14:paraId="4EB63AA8" w14:textId="77777777" w:rsidR="005939C8" w:rsidRDefault="005939C8" w:rsidP="005939C8">
            <w:pPr>
              <w:jc w:val="left"/>
            </w:pPr>
            <w:r>
              <w:rPr>
                <w:b/>
              </w:rPr>
              <w:t>Net increase/(decrease) in cash and cash equivalents</w:t>
            </w:r>
          </w:p>
        </w:tc>
        <w:tc>
          <w:tcPr>
            <w:tcW w:w="0" w:type="dxa"/>
            <w:tcBorders>
              <w:bottom w:val="nil"/>
            </w:tcBorders>
          </w:tcPr>
          <w:p w14:paraId="3FF52FB9" w14:textId="77777777" w:rsidR="005939C8" w:rsidRDefault="005939C8" w:rsidP="005939C8">
            <w:pPr>
              <w:jc w:val="center"/>
            </w:pPr>
          </w:p>
        </w:tc>
        <w:tc>
          <w:tcPr>
            <w:tcW w:w="0" w:type="dxa"/>
            <w:tcBorders>
              <w:bottom w:val="nil"/>
            </w:tcBorders>
            <w:vAlign w:val="center"/>
          </w:tcPr>
          <w:p w14:paraId="3C34AD3D" w14:textId="78225096" w:rsidR="005939C8" w:rsidRDefault="005939C8" w:rsidP="005939C8">
            <w:r>
              <w:rPr>
                <w:rFonts w:ascii="Arial" w:hAnsi="Arial" w:cs="Arial"/>
                <w:b/>
                <w:bCs/>
                <w:color w:val="000000"/>
                <w:szCs w:val="16"/>
              </w:rPr>
              <w:t>10</w:t>
            </w:r>
            <w:r w:rsidR="003E3065">
              <w:rPr>
                <w:rFonts w:ascii="Arial" w:hAnsi="Arial" w:cs="Arial" w:hint="eastAsia"/>
                <w:b/>
                <w:bCs/>
                <w:color w:val="000000"/>
                <w:szCs w:val="16"/>
                <w:lang w:eastAsia="zh-CN"/>
              </w:rPr>
              <w:t xml:space="preserve"> </w:t>
            </w:r>
            <w:r>
              <w:rPr>
                <w:rFonts w:ascii="Arial" w:hAnsi="Arial" w:cs="Arial"/>
                <w:b/>
                <w:bCs/>
                <w:color w:val="000000"/>
                <w:szCs w:val="16"/>
              </w:rPr>
              <w:t>797</w:t>
            </w:r>
          </w:p>
        </w:tc>
        <w:tc>
          <w:tcPr>
            <w:tcW w:w="0" w:type="dxa"/>
            <w:tcBorders>
              <w:bottom w:val="nil"/>
            </w:tcBorders>
            <w:vAlign w:val="center"/>
          </w:tcPr>
          <w:p w14:paraId="4BE6DF9E" w14:textId="6C45E470" w:rsidR="005939C8" w:rsidRDefault="005939C8" w:rsidP="005939C8">
            <w:r>
              <w:rPr>
                <w:rFonts w:ascii="Arial" w:hAnsi="Arial" w:cs="Arial"/>
                <w:b/>
                <w:bCs/>
                <w:color w:val="000000"/>
                <w:szCs w:val="16"/>
              </w:rPr>
              <w:t>10</w:t>
            </w:r>
            <w:r w:rsidR="003E3065">
              <w:rPr>
                <w:rFonts w:ascii="Arial" w:hAnsi="Arial" w:cs="Arial" w:hint="eastAsia"/>
                <w:b/>
                <w:bCs/>
                <w:color w:val="000000"/>
                <w:szCs w:val="16"/>
                <w:lang w:eastAsia="zh-CN"/>
              </w:rPr>
              <w:t xml:space="preserve"> </w:t>
            </w:r>
            <w:r>
              <w:rPr>
                <w:rFonts w:ascii="Arial" w:hAnsi="Arial" w:cs="Arial"/>
                <w:b/>
                <w:bCs/>
                <w:color w:val="000000"/>
                <w:szCs w:val="16"/>
              </w:rPr>
              <w:t>964</w:t>
            </w:r>
          </w:p>
        </w:tc>
      </w:tr>
      <w:tr w:rsidR="00712CF0" w14:paraId="08437E91" w14:textId="77777777" w:rsidTr="00E10CD7">
        <w:tc>
          <w:tcPr>
            <w:tcW w:w="0" w:type="dxa"/>
          </w:tcPr>
          <w:p w14:paraId="4D6FED4D" w14:textId="3E02C738" w:rsidR="00712CF0" w:rsidRDefault="0007383E" w:rsidP="00712CF0">
            <w:pPr>
              <w:jc w:val="left"/>
            </w:pPr>
            <w:r>
              <w:rPr>
                <w:color w:val="4472C4"/>
                <w:sz w:val="13"/>
              </w:rPr>
              <w:t>AASB </w:t>
            </w:r>
            <w:r w:rsidR="00712CF0">
              <w:rPr>
                <w:color w:val="4472C4"/>
                <w:sz w:val="13"/>
              </w:rPr>
              <w:t>10</w:t>
            </w:r>
            <w:r w:rsidR="00712CF0">
              <w:rPr>
                <w:rFonts w:hint="eastAsia"/>
                <w:color w:val="4472C4"/>
                <w:sz w:val="13"/>
                <w:lang w:eastAsia="zh-CN"/>
              </w:rPr>
              <w:t>60</w:t>
            </w:r>
            <w:r w:rsidR="00712CF0">
              <w:rPr>
                <w:color w:val="4472C4"/>
                <w:sz w:val="13"/>
              </w:rPr>
              <w:t>.</w:t>
            </w:r>
            <w:r w:rsidR="00712CF0">
              <w:rPr>
                <w:rFonts w:hint="eastAsia"/>
                <w:color w:val="4472C4"/>
                <w:sz w:val="13"/>
                <w:lang w:eastAsia="zh-CN"/>
              </w:rPr>
              <w:t>88</w:t>
            </w:r>
          </w:p>
        </w:tc>
        <w:tc>
          <w:tcPr>
            <w:tcW w:w="0" w:type="dxa"/>
            <w:tcBorders>
              <w:bottom w:val="single" w:sz="12" w:space="0" w:color="auto"/>
            </w:tcBorders>
          </w:tcPr>
          <w:p w14:paraId="59EF75EB" w14:textId="77777777" w:rsidR="00712CF0" w:rsidRDefault="00712CF0" w:rsidP="00712CF0">
            <w:pPr>
              <w:jc w:val="left"/>
            </w:pPr>
            <w:r>
              <w:t>Cash and cash equivalents at beginning of financial year</w:t>
            </w:r>
          </w:p>
        </w:tc>
        <w:tc>
          <w:tcPr>
            <w:tcW w:w="0" w:type="dxa"/>
            <w:tcBorders>
              <w:bottom w:val="single" w:sz="12" w:space="0" w:color="auto"/>
            </w:tcBorders>
          </w:tcPr>
          <w:p w14:paraId="528B9522" w14:textId="77777777" w:rsidR="00712CF0" w:rsidRDefault="00712CF0" w:rsidP="00712CF0">
            <w:pPr>
              <w:jc w:val="center"/>
            </w:pPr>
          </w:p>
        </w:tc>
        <w:tc>
          <w:tcPr>
            <w:tcW w:w="0" w:type="dxa"/>
            <w:tcBorders>
              <w:bottom w:val="single" w:sz="12" w:space="0" w:color="auto"/>
            </w:tcBorders>
            <w:vAlign w:val="center"/>
          </w:tcPr>
          <w:p w14:paraId="4FE50E3F" w14:textId="54C9B88D" w:rsidR="00712CF0" w:rsidRDefault="00712CF0" w:rsidP="00712CF0">
            <w:r>
              <w:rPr>
                <w:rFonts w:ascii="Arial" w:hAnsi="Arial" w:cs="Arial"/>
                <w:color w:val="000000"/>
                <w:szCs w:val="16"/>
              </w:rPr>
              <w:t>61</w:t>
            </w:r>
            <w:r w:rsidR="003E3065">
              <w:rPr>
                <w:rFonts w:ascii="Arial" w:hAnsi="Arial" w:cs="Arial" w:hint="eastAsia"/>
                <w:color w:val="000000"/>
                <w:szCs w:val="16"/>
                <w:lang w:eastAsia="zh-CN"/>
              </w:rPr>
              <w:t xml:space="preserve"> </w:t>
            </w:r>
            <w:r>
              <w:rPr>
                <w:rFonts w:ascii="Arial" w:hAnsi="Arial" w:cs="Arial"/>
                <w:color w:val="000000"/>
                <w:szCs w:val="16"/>
              </w:rPr>
              <w:t>006</w:t>
            </w:r>
          </w:p>
        </w:tc>
        <w:tc>
          <w:tcPr>
            <w:tcW w:w="0" w:type="dxa"/>
            <w:tcBorders>
              <w:bottom w:val="single" w:sz="12" w:space="0" w:color="auto"/>
            </w:tcBorders>
            <w:vAlign w:val="center"/>
          </w:tcPr>
          <w:p w14:paraId="21605903" w14:textId="59B9EE1C" w:rsidR="00712CF0" w:rsidRDefault="00712CF0" w:rsidP="00712CF0">
            <w:r>
              <w:rPr>
                <w:rFonts w:ascii="Arial" w:hAnsi="Arial" w:cs="Arial"/>
                <w:color w:val="000000"/>
                <w:szCs w:val="16"/>
              </w:rPr>
              <w:t>50</w:t>
            </w:r>
            <w:r w:rsidR="003E3065">
              <w:rPr>
                <w:rFonts w:ascii="Arial" w:hAnsi="Arial" w:cs="Arial" w:hint="eastAsia"/>
                <w:color w:val="000000"/>
                <w:szCs w:val="16"/>
                <w:lang w:eastAsia="zh-CN"/>
              </w:rPr>
              <w:t xml:space="preserve"> </w:t>
            </w:r>
            <w:r>
              <w:rPr>
                <w:rFonts w:ascii="Arial" w:hAnsi="Arial" w:cs="Arial"/>
                <w:color w:val="000000"/>
                <w:szCs w:val="16"/>
              </w:rPr>
              <w:t>042</w:t>
            </w:r>
          </w:p>
        </w:tc>
      </w:tr>
      <w:tr w:rsidR="00712CF0" w14:paraId="2AD5BE7A" w14:textId="77777777" w:rsidTr="00E10CD7">
        <w:tc>
          <w:tcPr>
            <w:tcW w:w="0" w:type="dxa"/>
          </w:tcPr>
          <w:p w14:paraId="168E143A" w14:textId="4EC8255E" w:rsidR="00712CF0" w:rsidRDefault="0007383E" w:rsidP="00712CF0">
            <w:pPr>
              <w:jc w:val="left"/>
            </w:pPr>
            <w:r>
              <w:rPr>
                <w:color w:val="4472C4"/>
                <w:sz w:val="13"/>
              </w:rPr>
              <w:t>AASB </w:t>
            </w:r>
            <w:r w:rsidR="00712CF0">
              <w:rPr>
                <w:color w:val="4472C4"/>
                <w:sz w:val="13"/>
              </w:rPr>
              <w:t>10</w:t>
            </w:r>
            <w:r w:rsidR="00712CF0">
              <w:rPr>
                <w:rFonts w:hint="eastAsia"/>
                <w:color w:val="4472C4"/>
                <w:sz w:val="13"/>
                <w:lang w:eastAsia="zh-CN"/>
              </w:rPr>
              <w:t>60</w:t>
            </w:r>
            <w:r w:rsidR="00712CF0">
              <w:rPr>
                <w:color w:val="4472C4"/>
                <w:sz w:val="13"/>
              </w:rPr>
              <w:t>.</w:t>
            </w:r>
            <w:r w:rsidR="00712CF0">
              <w:rPr>
                <w:rFonts w:hint="eastAsia"/>
                <w:color w:val="4472C4"/>
                <w:sz w:val="13"/>
                <w:lang w:eastAsia="zh-CN"/>
              </w:rPr>
              <w:t>88</w:t>
            </w:r>
          </w:p>
        </w:tc>
        <w:tc>
          <w:tcPr>
            <w:tcW w:w="0" w:type="dxa"/>
            <w:tcBorders>
              <w:top w:val="single" w:sz="12" w:space="0" w:color="auto"/>
            </w:tcBorders>
          </w:tcPr>
          <w:p w14:paraId="63AABA87" w14:textId="77777777" w:rsidR="00712CF0" w:rsidRDefault="00712CF0" w:rsidP="00712CF0">
            <w:pPr>
              <w:jc w:val="left"/>
            </w:pPr>
            <w:r>
              <w:rPr>
                <w:b/>
              </w:rPr>
              <w:t>Cash and cash equivalents at end of financial year</w:t>
            </w:r>
          </w:p>
        </w:tc>
        <w:tc>
          <w:tcPr>
            <w:tcW w:w="0" w:type="dxa"/>
            <w:tcBorders>
              <w:top w:val="single" w:sz="12" w:space="0" w:color="auto"/>
            </w:tcBorders>
          </w:tcPr>
          <w:p w14:paraId="27C2B57F" w14:textId="4CF08FCC" w:rsidR="00712CF0" w:rsidRDefault="007F493A" w:rsidP="00712CF0">
            <w:pPr>
              <w:jc w:val="center"/>
            </w:pPr>
            <w:r>
              <w:rPr>
                <w:rFonts w:hint="eastAsia"/>
                <w:lang w:eastAsia="zh-CN"/>
              </w:rPr>
              <w:t>6</w:t>
            </w:r>
            <w:r w:rsidR="00712CF0">
              <w:t>.3</w:t>
            </w:r>
          </w:p>
        </w:tc>
        <w:tc>
          <w:tcPr>
            <w:tcW w:w="0" w:type="dxa"/>
            <w:tcBorders>
              <w:top w:val="single" w:sz="12" w:space="0" w:color="auto"/>
            </w:tcBorders>
            <w:vAlign w:val="center"/>
          </w:tcPr>
          <w:p w14:paraId="73B9848D" w14:textId="0278740C" w:rsidR="00712CF0" w:rsidRDefault="00712CF0" w:rsidP="00712CF0">
            <w:r>
              <w:rPr>
                <w:rFonts w:ascii="Arial" w:hAnsi="Arial" w:cs="Arial"/>
                <w:b/>
                <w:bCs/>
                <w:color w:val="000000"/>
                <w:szCs w:val="16"/>
              </w:rPr>
              <w:t>71</w:t>
            </w:r>
            <w:r w:rsidR="003E3065">
              <w:rPr>
                <w:rFonts w:ascii="Arial" w:hAnsi="Arial" w:cs="Arial" w:hint="eastAsia"/>
                <w:b/>
                <w:bCs/>
                <w:color w:val="000000"/>
                <w:szCs w:val="16"/>
                <w:lang w:eastAsia="zh-CN"/>
              </w:rPr>
              <w:t xml:space="preserve"> </w:t>
            </w:r>
            <w:r>
              <w:rPr>
                <w:rFonts w:ascii="Arial" w:hAnsi="Arial" w:cs="Arial"/>
                <w:b/>
                <w:bCs/>
                <w:color w:val="000000"/>
                <w:szCs w:val="16"/>
              </w:rPr>
              <w:t>803</w:t>
            </w:r>
          </w:p>
        </w:tc>
        <w:tc>
          <w:tcPr>
            <w:tcW w:w="0" w:type="dxa"/>
            <w:tcBorders>
              <w:top w:val="single" w:sz="12" w:space="0" w:color="auto"/>
            </w:tcBorders>
            <w:vAlign w:val="center"/>
          </w:tcPr>
          <w:p w14:paraId="2F1F1700" w14:textId="5541B37B" w:rsidR="00712CF0" w:rsidRDefault="00712CF0" w:rsidP="00712CF0">
            <w:r>
              <w:rPr>
                <w:rFonts w:ascii="Arial" w:hAnsi="Arial" w:cs="Arial"/>
                <w:b/>
                <w:bCs/>
                <w:color w:val="000000"/>
                <w:szCs w:val="16"/>
              </w:rPr>
              <w:t>61</w:t>
            </w:r>
            <w:r w:rsidR="003E3065">
              <w:rPr>
                <w:rFonts w:ascii="Arial" w:hAnsi="Arial" w:cs="Arial" w:hint="eastAsia"/>
                <w:b/>
                <w:bCs/>
                <w:color w:val="000000"/>
                <w:szCs w:val="16"/>
                <w:lang w:eastAsia="zh-CN"/>
              </w:rPr>
              <w:t xml:space="preserve"> </w:t>
            </w:r>
            <w:r>
              <w:rPr>
                <w:rFonts w:ascii="Arial" w:hAnsi="Arial" w:cs="Arial"/>
                <w:b/>
                <w:bCs/>
                <w:color w:val="000000"/>
                <w:szCs w:val="16"/>
              </w:rPr>
              <w:t>006</w:t>
            </w:r>
          </w:p>
        </w:tc>
      </w:tr>
      <w:tr w:rsidR="00342237" w14:paraId="41257101" w14:textId="77777777" w:rsidTr="007F096A">
        <w:tc>
          <w:tcPr>
            <w:tcW w:w="1927" w:type="dxa"/>
            <w:tcBorders>
              <w:bottom w:val="nil"/>
            </w:tcBorders>
          </w:tcPr>
          <w:p w14:paraId="71278828" w14:textId="2CE5DBD8" w:rsidR="00342237" w:rsidRDefault="0007383E" w:rsidP="00342237">
            <w:pPr>
              <w:jc w:val="left"/>
            </w:pPr>
            <w:r>
              <w:rPr>
                <w:color w:val="4472C4"/>
                <w:sz w:val="13"/>
              </w:rPr>
              <w:t>AASB </w:t>
            </w:r>
            <w:r w:rsidR="00C33F23">
              <w:rPr>
                <w:color w:val="4472C4"/>
                <w:sz w:val="13"/>
              </w:rPr>
              <w:t>10</w:t>
            </w:r>
            <w:r w:rsidR="00C33F23">
              <w:rPr>
                <w:rFonts w:hint="eastAsia"/>
                <w:color w:val="4472C4"/>
                <w:sz w:val="13"/>
                <w:lang w:eastAsia="zh-CN"/>
              </w:rPr>
              <w:t>60</w:t>
            </w:r>
            <w:r w:rsidR="00C33F23">
              <w:rPr>
                <w:color w:val="4472C4"/>
                <w:sz w:val="13"/>
              </w:rPr>
              <w:t>.</w:t>
            </w:r>
            <w:r w:rsidR="00C33F23">
              <w:rPr>
                <w:rFonts w:hint="eastAsia"/>
                <w:color w:val="4472C4"/>
                <w:sz w:val="13"/>
                <w:lang w:eastAsia="zh-CN"/>
              </w:rPr>
              <w:t>86</w:t>
            </w:r>
            <w:r w:rsidR="001B32F0">
              <w:rPr>
                <w:rFonts w:hint="eastAsia"/>
                <w:color w:val="4472C4"/>
                <w:sz w:val="13"/>
                <w:lang w:eastAsia="zh-CN"/>
              </w:rPr>
              <w:t>-87</w:t>
            </w:r>
          </w:p>
        </w:tc>
        <w:tc>
          <w:tcPr>
            <w:tcW w:w="5161" w:type="dxa"/>
          </w:tcPr>
          <w:p w14:paraId="149F62FD" w14:textId="77777777" w:rsidR="00342237" w:rsidRDefault="00342237" w:rsidP="00342237">
            <w:pPr>
              <w:jc w:val="left"/>
            </w:pPr>
            <w:r>
              <w:t>Non‑cash transactions</w:t>
            </w:r>
          </w:p>
        </w:tc>
        <w:tc>
          <w:tcPr>
            <w:tcW w:w="567" w:type="dxa"/>
          </w:tcPr>
          <w:p w14:paraId="41A55283" w14:textId="548F6BEB" w:rsidR="00342237" w:rsidRDefault="00342237" w:rsidP="00342237">
            <w:pPr>
              <w:jc w:val="center"/>
            </w:pPr>
          </w:p>
        </w:tc>
        <w:tc>
          <w:tcPr>
            <w:tcW w:w="992" w:type="dxa"/>
          </w:tcPr>
          <w:p w14:paraId="7E5B33D1" w14:textId="77777777" w:rsidR="00342237" w:rsidRDefault="00342237" w:rsidP="00342237"/>
        </w:tc>
        <w:tc>
          <w:tcPr>
            <w:tcW w:w="992" w:type="dxa"/>
          </w:tcPr>
          <w:p w14:paraId="0BDFDD07" w14:textId="77777777" w:rsidR="00342237" w:rsidRDefault="00342237" w:rsidP="00342237"/>
        </w:tc>
      </w:tr>
    </w:tbl>
    <w:p w14:paraId="5372F31E" w14:textId="77777777" w:rsidR="003719CD" w:rsidRDefault="003719CD" w:rsidP="000F5E0B">
      <w:pPr>
        <w:pStyle w:val="Note"/>
      </w:pPr>
      <w:r>
        <w:t>The accompanying notes form part of these financial statements.</w:t>
      </w:r>
    </w:p>
    <w:p w14:paraId="7BE5AD85" w14:textId="77777777" w:rsidR="003719CD" w:rsidRDefault="003719CD" w:rsidP="000F5E0B">
      <w:pPr>
        <w:pStyle w:val="Note"/>
      </w:pPr>
      <w:r>
        <w:t>Notes:</w:t>
      </w:r>
    </w:p>
    <w:p w14:paraId="353ECF89" w14:textId="04692824" w:rsidR="003719CD" w:rsidRDefault="003719CD" w:rsidP="000F5E0B">
      <w:pPr>
        <w:pStyle w:val="Note"/>
      </w:pPr>
      <w:r>
        <w:t>(a)</w:t>
      </w:r>
      <w:r>
        <w:tab/>
        <w:t xml:space="preserve">This format is aligned to </w:t>
      </w:r>
      <w:r w:rsidR="0007383E">
        <w:t>AASB </w:t>
      </w:r>
      <w:r>
        <w:t xml:space="preserve">1049 </w:t>
      </w:r>
      <w:r w:rsidRPr="00436E90">
        <w:rPr>
          <w:i w:val="0"/>
          <w:iCs/>
        </w:rPr>
        <w:t>Whole of Government and General Government Sector Financial Reporting</w:t>
      </w:r>
      <w:r w:rsidR="004D35D8" w:rsidRPr="00436E90">
        <w:rPr>
          <w:i w:val="0"/>
          <w:iCs/>
        </w:rPr>
        <w:t>.</w:t>
      </w:r>
      <w:r>
        <w:t xml:space="preserve"> </w:t>
      </w:r>
    </w:p>
    <w:p w14:paraId="45AC9D4D" w14:textId="47B821BB" w:rsidR="003719CD" w:rsidRDefault="003719CD" w:rsidP="000F5E0B">
      <w:pPr>
        <w:pStyle w:val="Note"/>
      </w:pPr>
      <w:r>
        <w:t>(</w:t>
      </w:r>
      <w:r w:rsidR="00B45A49">
        <w:t>b</w:t>
      </w:r>
      <w:r>
        <w:t>)</w:t>
      </w:r>
      <w:r>
        <w:tab/>
        <w:t>G</w:t>
      </w:r>
      <w:r w:rsidR="00CB4EF5">
        <w:t xml:space="preserve">oods and </w:t>
      </w:r>
      <w:r>
        <w:t>S</w:t>
      </w:r>
      <w:r w:rsidR="00CB4EF5">
        <w:t xml:space="preserve">ervices </w:t>
      </w:r>
      <w:r>
        <w:t>T</w:t>
      </w:r>
      <w:r w:rsidR="00CB4EF5">
        <w:t>ax</w:t>
      </w:r>
      <w:r>
        <w:t xml:space="preserve"> paid to the Australian Taxation Office </w:t>
      </w:r>
      <w:r w:rsidR="00CB4EF5">
        <w:t xml:space="preserve">(ATO) </w:t>
      </w:r>
      <w:r>
        <w:t>is presented on a net basis.</w:t>
      </w:r>
    </w:p>
    <w:p w14:paraId="51CE5A2B" w14:textId="22B28BE0" w:rsidR="003719CD" w:rsidRDefault="003719CD" w:rsidP="000F5E0B">
      <w:pPr>
        <w:pStyle w:val="Note"/>
      </w:pPr>
      <w:r>
        <w:t>(</w:t>
      </w:r>
      <w:r w:rsidR="00AD0422">
        <w:t>c</w:t>
      </w:r>
      <w:r>
        <w:t>)</w:t>
      </w:r>
      <w:r>
        <w:tab/>
      </w:r>
      <w:r w:rsidR="00B85E40">
        <w:t>TV</w:t>
      </w:r>
      <w:r w:rsidR="003E703D">
        <w:t xml:space="preserve"> </w:t>
      </w:r>
      <w:r>
        <w:t>has recognised cash payments for the principal portion of lease payments as financing activities; cash payments for the interest portion as operating activities consistent with the presentation of interest payments and short-term lease payments for leases and low-value assets as operating activities.</w:t>
      </w:r>
    </w:p>
    <w:p w14:paraId="66B82EE4" w14:textId="77777777" w:rsidR="00FA4323" w:rsidRDefault="00FA4323">
      <w:pPr>
        <w:keepLines w:val="0"/>
        <w:rPr>
          <w:rFonts w:asciiTheme="majorHAnsi" w:eastAsiaTheme="majorEastAsia" w:hAnsiTheme="majorHAnsi" w:cstheme="majorBidi"/>
          <w:b/>
          <w:bCs/>
          <w:iCs/>
          <w:color w:val="FFFFFF" w:themeColor="background1"/>
          <w:sz w:val="20"/>
          <w:szCs w:val="24"/>
        </w:rPr>
      </w:pPr>
      <w:r>
        <w:br w:type="page"/>
      </w:r>
    </w:p>
    <w:p w14:paraId="7465FCDC" w14:textId="0F270359" w:rsidR="003719CD" w:rsidRDefault="003719CD" w:rsidP="009E5D6F">
      <w:pPr>
        <w:pStyle w:val="GuidanceBlockHeading"/>
      </w:pPr>
      <w:bookmarkStart w:id="173" w:name="_Toc179811134"/>
      <w:bookmarkStart w:id="174" w:name="_Toc179816834"/>
      <w:bookmarkStart w:id="175" w:name="_Toc179822534"/>
      <w:r>
        <w:t>Guidance – Cash flow statement</w:t>
      </w:r>
      <w:bookmarkEnd w:id="173"/>
      <w:bookmarkEnd w:id="174"/>
      <w:bookmarkEnd w:id="175"/>
    </w:p>
    <w:p w14:paraId="07A26A94" w14:textId="77777777" w:rsidR="003719CD" w:rsidRDefault="003719CD" w:rsidP="002A0038">
      <w:pPr>
        <w:pStyle w:val="GuidanceHeading"/>
        <w:spacing w:before="120" w:after="0"/>
        <w:contextualSpacing/>
      </w:pPr>
      <w:r>
        <w:t xml:space="preserve">Reporting cash flows </w:t>
      </w:r>
    </w:p>
    <w:p w14:paraId="49BE5809" w14:textId="77777777" w:rsidR="0058462A" w:rsidRPr="0058462A" w:rsidRDefault="0058462A" w:rsidP="002A0038">
      <w:pPr>
        <w:spacing w:before="120" w:after="0"/>
        <w:contextualSpacing/>
        <w:rPr>
          <w:rStyle w:val="Guidance"/>
          <w:b/>
          <w:sz w:val="20"/>
        </w:rPr>
      </w:pPr>
      <w:r w:rsidRPr="0058462A">
        <w:rPr>
          <w:rStyle w:val="Guidance"/>
        </w:rPr>
        <w:t>The statement of cash flows provides information about the changes in cash and cash equivalents of an</w:t>
      </w:r>
    </w:p>
    <w:p w14:paraId="26443467" w14:textId="77777777" w:rsidR="0058462A" w:rsidRPr="0058462A" w:rsidRDefault="0058462A" w:rsidP="002A0038">
      <w:pPr>
        <w:spacing w:before="120" w:after="0"/>
        <w:contextualSpacing/>
        <w:rPr>
          <w:rStyle w:val="Guidance"/>
        </w:rPr>
      </w:pPr>
      <w:r w:rsidRPr="0058462A">
        <w:rPr>
          <w:rStyle w:val="Guidance"/>
        </w:rPr>
        <w:t>entity for a reporting period, showing separately changes from operating activities, investing activities and</w:t>
      </w:r>
    </w:p>
    <w:p w14:paraId="37966FDE" w14:textId="104F056B" w:rsidR="008909B0" w:rsidRPr="002A0038" w:rsidRDefault="0058462A" w:rsidP="002A0038">
      <w:pPr>
        <w:spacing w:before="120" w:after="0"/>
        <w:contextualSpacing/>
      </w:pPr>
      <w:r w:rsidRPr="0058462A">
        <w:rPr>
          <w:rStyle w:val="Guidance"/>
        </w:rPr>
        <w:t>financing activities.</w:t>
      </w:r>
      <w:r>
        <w:rPr>
          <w:rStyle w:val="Guidance"/>
          <w:rFonts w:hint="eastAsia"/>
          <w:lang w:eastAsia="zh-CN"/>
        </w:rPr>
        <w:t xml:space="preserve"> </w:t>
      </w:r>
      <w:r w:rsidRPr="009E5D6F">
        <w:rPr>
          <w:rStyle w:val="Reference"/>
        </w:rPr>
        <w:t>[</w:t>
      </w:r>
      <w:r w:rsidR="0007383E">
        <w:rPr>
          <w:rStyle w:val="Reference"/>
        </w:rPr>
        <w:t>AASB </w:t>
      </w:r>
      <w:r w:rsidRPr="009E5D6F">
        <w:rPr>
          <w:rStyle w:val="Reference"/>
        </w:rPr>
        <w:t>10</w:t>
      </w:r>
      <w:r>
        <w:rPr>
          <w:rStyle w:val="Reference"/>
        </w:rPr>
        <w:t>60.</w:t>
      </w:r>
      <w:r>
        <w:rPr>
          <w:rStyle w:val="Reference"/>
          <w:rFonts w:hint="eastAsia"/>
          <w:lang w:eastAsia="zh-CN"/>
        </w:rPr>
        <w:t>64</w:t>
      </w:r>
      <w:r w:rsidRPr="009E5D6F">
        <w:rPr>
          <w:rStyle w:val="Reference"/>
        </w:rPr>
        <w:t>]</w:t>
      </w:r>
    </w:p>
    <w:p w14:paraId="20149D07" w14:textId="18ACDB51" w:rsidR="003719CD" w:rsidRPr="009E5D6F" w:rsidRDefault="002657AB" w:rsidP="002A0038">
      <w:pPr>
        <w:pStyle w:val="GuidanceHeading"/>
        <w:spacing w:before="120" w:after="0"/>
        <w:contextualSpacing/>
        <w:rPr>
          <w:rStyle w:val="Guidance"/>
        </w:rPr>
      </w:pPr>
      <w:r w:rsidRPr="008909B0">
        <w:rPr>
          <w:rStyle w:val="Guidance"/>
          <w:b w:val="0"/>
          <w:sz w:val="18"/>
        </w:rPr>
        <w:t>There</w:t>
      </w:r>
      <w:r w:rsidR="003719CD" w:rsidRPr="008909B0">
        <w:rPr>
          <w:rStyle w:val="Guidance"/>
          <w:b w:val="0"/>
          <w:sz w:val="18"/>
        </w:rPr>
        <w:t xml:space="preserve"> are two methods for reporting cash flows, the direct </w:t>
      </w:r>
      <w:r w:rsidRPr="008909B0">
        <w:rPr>
          <w:rStyle w:val="Guidance"/>
          <w:b w:val="0"/>
          <w:sz w:val="18"/>
        </w:rPr>
        <w:t xml:space="preserve">method and the </w:t>
      </w:r>
      <w:r w:rsidR="003719CD" w:rsidRPr="008909B0">
        <w:rPr>
          <w:rStyle w:val="Guidance"/>
          <w:b w:val="0"/>
          <w:sz w:val="18"/>
        </w:rPr>
        <w:t xml:space="preserve">indirect method. DTF supports the use of the direct method, and this method is adopted for this Model. </w:t>
      </w:r>
      <w:r w:rsidR="003719CD" w:rsidRPr="002A0038">
        <w:rPr>
          <w:rStyle w:val="Reference"/>
          <w:b w:val="0"/>
          <w:bCs/>
        </w:rPr>
        <w:t>[</w:t>
      </w:r>
      <w:r w:rsidR="0007383E">
        <w:rPr>
          <w:rStyle w:val="Reference"/>
          <w:b w:val="0"/>
          <w:bCs/>
        </w:rPr>
        <w:t>AASB </w:t>
      </w:r>
      <w:r w:rsidR="003719CD" w:rsidRPr="002A0038">
        <w:rPr>
          <w:rStyle w:val="Reference"/>
          <w:b w:val="0"/>
          <w:bCs/>
        </w:rPr>
        <w:t>10</w:t>
      </w:r>
      <w:r w:rsidR="004C71D7" w:rsidRPr="002A0038">
        <w:rPr>
          <w:rStyle w:val="Reference"/>
          <w:b w:val="0"/>
          <w:bCs/>
        </w:rPr>
        <w:t>60</w:t>
      </w:r>
      <w:r w:rsidR="003719CD" w:rsidRPr="002A0038">
        <w:rPr>
          <w:rStyle w:val="Reference"/>
          <w:b w:val="0"/>
          <w:bCs/>
        </w:rPr>
        <w:t>.</w:t>
      </w:r>
      <w:r w:rsidR="008909B0" w:rsidRPr="002A0038">
        <w:rPr>
          <w:rStyle w:val="Reference"/>
          <w:b w:val="0"/>
          <w:bCs/>
        </w:rPr>
        <w:t>66</w:t>
      </w:r>
      <w:r w:rsidR="003719CD" w:rsidRPr="002A0038">
        <w:rPr>
          <w:rStyle w:val="Reference"/>
          <w:b w:val="0"/>
          <w:bCs/>
        </w:rPr>
        <w:t>, 10</w:t>
      </w:r>
      <w:r w:rsidR="004C3372" w:rsidRPr="002A0038">
        <w:rPr>
          <w:rStyle w:val="Reference"/>
          <w:b w:val="0"/>
          <w:bCs/>
        </w:rPr>
        <w:t>60.70</w:t>
      </w:r>
      <w:r w:rsidR="003719CD" w:rsidRPr="002A0038">
        <w:rPr>
          <w:rStyle w:val="Reference"/>
          <w:b w:val="0"/>
          <w:bCs/>
        </w:rPr>
        <w:t>]</w:t>
      </w:r>
      <w:r w:rsidR="003719CD" w:rsidRPr="002A0038">
        <w:rPr>
          <w:rStyle w:val="Guidance"/>
          <w:b w:val="0"/>
          <w:bCs/>
        </w:rPr>
        <w:t xml:space="preserve"> </w:t>
      </w:r>
    </w:p>
    <w:p w14:paraId="531BEA92" w14:textId="6C63EC52" w:rsidR="00A960A7" w:rsidRPr="002A0038" w:rsidRDefault="00A960A7" w:rsidP="002A0038">
      <w:pPr>
        <w:spacing w:before="120" w:after="0"/>
        <w:contextualSpacing/>
        <w:rPr>
          <w:color w:val="4472C4" w:themeColor="accent1"/>
        </w:rPr>
      </w:pPr>
      <w:r w:rsidRPr="002A0038">
        <w:rPr>
          <w:b/>
          <w:bCs/>
          <w:color w:val="4472C4" w:themeColor="accent1"/>
        </w:rPr>
        <w:t xml:space="preserve">Direct </w:t>
      </w:r>
      <w:r w:rsidR="001C7C35">
        <w:rPr>
          <w:b/>
          <w:bCs/>
          <w:color w:val="4472C4" w:themeColor="accent1"/>
        </w:rPr>
        <w:t>m</w:t>
      </w:r>
      <w:r w:rsidRPr="002A0038">
        <w:rPr>
          <w:b/>
          <w:bCs/>
          <w:color w:val="4472C4" w:themeColor="accent1"/>
        </w:rPr>
        <w:t>ethod</w:t>
      </w:r>
      <w:r w:rsidR="001C7C35" w:rsidRPr="002A0038">
        <w:rPr>
          <w:color w:val="4472C4" w:themeColor="accent1"/>
        </w:rPr>
        <w:t xml:space="preserve">: </w:t>
      </w:r>
      <w:r w:rsidRPr="002A0038">
        <w:rPr>
          <w:color w:val="4472C4" w:themeColor="accent1"/>
        </w:rPr>
        <w:t>Under the direct method, net cash flow from operating activities is presented by disclosing information about major classes of gross cash receipts and gross cash payments. Such information may be obtained either:</w:t>
      </w:r>
    </w:p>
    <w:p w14:paraId="7102C232" w14:textId="2F1ED13E" w:rsidR="00A960A7" w:rsidRPr="002A0038" w:rsidRDefault="00A960A7" w:rsidP="002A0038">
      <w:pPr>
        <w:pStyle w:val="ListBullet"/>
        <w:numPr>
          <w:ilvl w:val="0"/>
          <w:numId w:val="312"/>
        </w:numPr>
        <w:spacing w:after="0"/>
        <w:contextualSpacing/>
        <w:rPr>
          <w:rStyle w:val="Guidance"/>
        </w:rPr>
      </w:pPr>
      <w:r w:rsidRPr="002A0038">
        <w:rPr>
          <w:rStyle w:val="Guidance"/>
        </w:rPr>
        <w:t>from the accounting records of the entity</w:t>
      </w:r>
    </w:p>
    <w:p w14:paraId="7CD354D8" w14:textId="4C4DBDF3" w:rsidR="00A960A7" w:rsidRPr="002A0038" w:rsidRDefault="00A960A7" w:rsidP="002A0038">
      <w:pPr>
        <w:pStyle w:val="ListBullet"/>
        <w:numPr>
          <w:ilvl w:val="0"/>
          <w:numId w:val="312"/>
        </w:numPr>
        <w:spacing w:after="0"/>
        <w:contextualSpacing/>
        <w:rPr>
          <w:rStyle w:val="Guidance"/>
        </w:rPr>
      </w:pPr>
      <w:r w:rsidRPr="002A0038">
        <w:rPr>
          <w:rStyle w:val="Guidance"/>
        </w:rPr>
        <w:t>by adjusting sales, cost of sales and other items in the statement of comprehensive income (or the statement of profit or loss, if presented) for:</w:t>
      </w:r>
    </w:p>
    <w:p w14:paraId="526AD243" w14:textId="4C4E0A2B" w:rsidR="00A960A7" w:rsidRPr="002A0038" w:rsidRDefault="00A960A7" w:rsidP="002A0038">
      <w:pPr>
        <w:pStyle w:val="ListParagraph"/>
        <w:numPr>
          <w:ilvl w:val="0"/>
          <w:numId w:val="313"/>
        </w:numPr>
        <w:spacing w:before="40" w:line="264" w:lineRule="auto"/>
        <w:ind w:left="697" w:hanging="357"/>
        <w:contextualSpacing/>
        <w:rPr>
          <w:color w:val="4472C4" w:themeColor="accent1"/>
        </w:rPr>
      </w:pPr>
      <w:r w:rsidRPr="002A0038">
        <w:rPr>
          <w:color w:val="4472C4" w:themeColor="accent1"/>
        </w:rPr>
        <w:t>changes during the period in inventories and operating receivables and payables</w:t>
      </w:r>
    </w:p>
    <w:p w14:paraId="67112E7A" w14:textId="68E8FADF" w:rsidR="00A960A7" w:rsidRPr="002A0038" w:rsidRDefault="00A960A7" w:rsidP="002A0038">
      <w:pPr>
        <w:pStyle w:val="ListParagraph"/>
        <w:numPr>
          <w:ilvl w:val="0"/>
          <w:numId w:val="313"/>
        </w:numPr>
        <w:spacing w:before="40" w:line="264" w:lineRule="auto"/>
        <w:ind w:left="697" w:hanging="357"/>
        <w:contextualSpacing/>
        <w:rPr>
          <w:color w:val="4472C4" w:themeColor="accent1"/>
        </w:rPr>
      </w:pPr>
      <w:r w:rsidRPr="002A0038">
        <w:rPr>
          <w:color w:val="4472C4" w:themeColor="accent1"/>
        </w:rPr>
        <w:t>other non-cash items</w:t>
      </w:r>
    </w:p>
    <w:p w14:paraId="4ABBABDA" w14:textId="06E14F44" w:rsidR="006C50CD" w:rsidRPr="002A0038" w:rsidRDefault="00A960A7" w:rsidP="002A0038">
      <w:pPr>
        <w:pStyle w:val="ListParagraph"/>
        <w:numPr>
          <w:ilvl w:val="0"/>
          <w:numId w:val="313"/>
        </w:numPr>
        <w:spacing w:before="40" w:line="264" w:lineRule="auto"/>
        <w:ind w:left="697" w:hanging="357"/>
        <w:contextualSpacing/>
        <w:rPr>
          <w:rStyle w:val="Guidance"/>
        </w:rPr>
      </w:pPr>
      <w:r w:rsidRPr="002A0038">
        <w:rPr>
          <w:color w:val="4472C4" w:themeColor="accent1"/>
        </w:rPr>
        <w:t>other items for which the cash effects are investing or financing cash flows.</w:t>
      </w:r>
      <w:r w:rsidR="00EE5018" w:rsidRPr="002A0038">
        <w:rPr>
          <w:color w:val="4472C4" w:themeColor="accent1"/>
          <w:lang w:eastAsia="zh-CN"/>
        </w:rPr>
        <w:t xml:space="preserve"> </w:t>
      </w:r>
      <w:r w:rsidR="00EE5018" w:rsidRPr="009E5D6F">
        <w:rPr>
          <w:rStyle w:val="Reference"/>
        </w:rPr>
        <w:t>[</w:t>
      </w:r>
      <w:r w:rsidR="0007383E">
        <w:rPr>
          <w:rStyle w:val="Reference"/>
        </w:rPr>
        <w:t>AASB </w:t>
      </w:r>
      <w:r w:rsidR="00EE5018" w:rsidRPr="009E5D6F">
        <w:rPr>
          <w:rStyle w:val="Reference"/>
        </w:rPr>
        <w:t>10</w:t>
      </w:r>
      <w:r w:rsidR="00EE5018">
        <w:rPr>
          <w:rStyle w:val="Reference"/>
        </w:rPr>
        <w:t>60.73</w:t>
      </w:r>
      <w:r w:rsidR="00EE5018" w:rsidRPr="009E5D6F">
        <w:rPr>
          <w:rStyle w:val="Reference"/>
        </w:rPr>
        <w:t>]</w:t>
      </w:r>
    </w:p>
    <w:p w14:paraId="32DA6F57" w14:textId="2B79EC92" w:rsidR="00A86473" w:rsidRPr="00A86473" w:rsidRDefault="003719CD" w:rsidP="002A0038">
      <w:pPr>
        <w:spacing w:before="120" w:after="0"/>
        <w:rPr>
          <w:color w:val="4472C4" w:themeColor="accent1"/>
        </w:rPr>
      </w:pPr>
      <w:r w:rsidRPr="009E5D6F">
        <w:rPr>
          <w:rStyle w:val="Guidance"/>
          <w:b/>
          <w:bCs/>
        </w:rPr>
        <w:t>Operating activities</w:t>
      </w:r>
      <w:r w:rsidRPr="009E5D6F">
        <w:rPr>
          <w:rStyle w:val="Guidance"/>
        </w:rPr>
        <w:t xml:space="preserve">: </w:t>
      </w:r>
      <w:r w:rsidR="00A86473" w:rsidRPr="00A86473">
        <w:rPr>
          <w:color w:val="4472C4" w:themeColor="accent1"/>
        </w:rPr>
        <w:t>Operating activities are the principal revenue-producing activities of the entity. Consequently, cash flows</w:t>
      </w:r>
      <w:r w:rsidR="00A86473">
        <w:rPr>
          <w:color w:val="4472C4" w:themeColor="accent1"/>
        </w:rPr>
        <w:t xml:space="preserve"> </w:t>
      </w:r>
      <w:r w:rsidR="00A86473" w:rsidRPr="00A86473">
        <w:rPr>
          <w:color w:val="4472C4" w:themeColor="accent1"/>
        </w:rPr>
        <w:t xml:space="preserve">from operating activities generally result from the transactions and other events and conditions that </w:t>
      </w:r>
      <w:proofErr w:type="gramStart"/>
      <w:r w:rsidR="00A86473" w:rsidRPr="00A86473">
        <w:rPr>
          <w:color w:val="4472C4" w:themeColor="accent1"/>
        </w:rPr>
        <w:t>enter into</w:t>
      </w:r>
      <w:proofErr w:type="gramEnd"/>
      <w:r w:rsidR="00A86473">
        <w:rPr>
          <w:color w:val="4472C4" w:themeColor="accent1"/>
        </w:rPr>
        <w:t xml:space="preserve"> </w:t>
      </w:r>
      <w:r w:rsidR="00A86473" w:rsidRPr="00A86473">
        <w:rPr>
          <w:color w:val="4472C4" w:themeColor="accent1"/>
        </w:rPr>
        <w:t>the determination of profit or loss. Examples of cash flows from operating activities are:</w:t>
      </w:r>
    </w:p>
    <w:p w14:paraId="00EE206B" w14:textId="4CED2264" w:rsidR="00A86473" w:rsidRPr="002A0038" w:rsidRDefault="00A86473" w:rsidP="002A0038">
      <w:pPr>
        <w:pStyle w:val="ListBullet"/>
        <w:numPr>
          <w:ilvl w:val="0"/>
          <w:numId w:val="314"/>
        </w:numPr>
        <w:spacing w:after="0"/>
        <w:ind w:left="357" w:hanging="357"/>
        <w:rPr>
          <w:rStyle w:val="Guidance"/>
        </w:rPr>
      </w:pPr>
      <w:r w:rsidRPr="002A0038">
        <w:rPr>
          <w:rStyle w:val="Guidance"/>
        </w:rPr>
        <w:t>cash receipts from the sale of goods and the rendering of services</w:t>
      </w:r>
    </w:p>
    <w:p w14:paraId="4A5E6B1B" w14:textId="404D26F4" w:rsidR="00A86473" w:rsidRPr="002A0038" w:rsidRDefault="00A86473" w:rsidP="002A0038">
      <w:pPr>
        <w:pStyle w:val="ListBullet"/>
        <w:numPr>
          <w:ilvl w:val="0"/>
          <w:numId w:val="314"/>
        </w:numPr>
        <w:spacing w:after="0"/>
        <w:ind w:left="357" w:hanging="357"/>
        <w:rPr>
          <w:rStyle w:val="Guidance"/>
        </w:rPr>
      </w:pPr>
      <w:r w:rsidRPr="002A0038">
        <w:rPr>
          <w:rStyle w:val="Guidance"/>
        </w:rPr>
        <w:t>cash receipts from royalties, fees, commissions and other revenue</w:t>
      </w:r>
    </w:p>
    <w:p w14:paraId="233FDA88" w14:textId="6ADC2333" w:rsidR="00A86473" w:rsidRPr="002A0038" w:rsidRDefault="00A86473" w:rsidP="002A0038">
      <w:pPr>
        <w:pStyle w:val="ListBullet"/>
        <w:numPr>
          <w:ilvl w:val="0"/>
          <w:numId w:val="314"/>
        </w:numPr>
        <w:spacing w:after="0"/>
        <w:ind w:left="357" w:hanging="357"/>
        <w:rPr>
          <w:rStyle w:val="Guidance"/>
        </w:rPr>
      </w:pPr>
      <w:r w:rsidRPr="002A0038">
        <w:rPr>
          <w:rStyle w:val="Guidance"/>
        </w:rPr>
        <w:t>cash payments to suppliers for goods and services</w:t>
      </w:r>
    </w:p>
    <w:p w14:paraId="63AF4BAD" w14:textId="1A3F3D16" w:rsidR="00A86473" w:rsidRPr="002A0038" w:rsidRDefault="00A86473" w:rsidP="002A0038">
      <w:pPr>
        <w:pStyle w:val="ListBullet"/>
        <w:numPr>
          <w:ilvl w:val="0"/>
          <w:numId w:val="314"/>
        </w:numPr>
        <w:spacing w:after="0"/>
        <w:ind w:left="357" w:hanging="357"/>
        <w:rPr>
          <w:rStyle w:val="Guidance"/>
        </w:rPr>
      </w:pPr>
      <w:r w:rsidRPr="002A0038">
        <w:rPr>
          <w:rStyle w:val="Guidance"/>
        </w:rPr>
        <w:t>cash payments to and on behalf of employees</w:t>
      </w:r>
    </w:p>
    <w:p w14:paraId="265B395B" w14:textId="07173BA7" w:rsidR="00A86473" w:rsidRDefault="00A86473" w:rsidP="002A0038">
      <w:pPr>
        <w:pStyle w:val="ListBullet"/>
        <w:numPr>
          <w:ilvl w:val="0"/>
          <w:numId w:val="314"/>
        </w:numPr>
        <w:spacing w:after="0"/>
        <w:ind w:left="357" w:hanging="357"/>
        <w:rPr>
          <w:rStyle w:val="Guidance"/>
        </w:rPr>
      </w:pPr>
      <w:r w:rsidRPr="002A0038">
        <w:rPr>
          <w:rStyle w:val="Guidance"/>
        </w:rPr>
        <w:t>cash payments or refunds of income tax, unless they can be specifically identified with financing and investing activities</w:t>
      </w:r>
    </w:p>
    <w:p w14:paraId="290293AD" w14:textId="56D49920" w:rsidR="00A86473" w:rsidRPr="009E5D6F" w:rsidRDefault="00A86473" w:rsidP="002A0038">
      <w:pPr>
        <w:pStyle w:val="ListBullet"/>
        <w:numPr>
          <w:ilvl w:val="0"/>
          <w:numId w:val="314"/>
        </w:numPr>
        <w:spacing w:after="0"/>
        <w:ind w:left="357" w:hanging="357"/>
        <w:rPr>
          <w:rStyle w:val="Guidance"/>
        </w:rPr>
      </w:pPr>
      <w:r w:rsidRPr="002A0038">
        <w:rPr>
          <w:rStyle w:val="Guidance"/>
        </w:rPr>
        <w:t xml:space="preserve">cash receipts and payments from investments, loans and other contracts held for dealing or trading purposes, which are </w:t>
      </w:r>
      <w:proofErr w:type="gramStart"/>
      <w:r w:rsidRPr="002A0038">
        <w:rPr>
          <w:rStyle w:val="Guidance"/>
        </w:rPr>
        <w:t>similar to</w:t>
      </w:r>
      <w:proofErr w:type="gramEnd"/>
      <w:r w:rsidRPr="002A0038">
        <w:rPr>
          <w:rStyle w:val="Guidance"/>
        </w:rPr>
        <w:t xml:space="preserve"> inventory acquired specifically for resale.</w:t>
      </w:r>
    </w:p>
    <w:p w14:paraId="14FA5A27" w14:textId="0520AC49" w:rsidR="003719CD" w:rsidRPr="009E5D6F" w:rsidRDefault="00BB143E" w:rsidP="002A0038">
      <w:pPr>
        <w:pStyle w:val="ListBullet"/>
        <w:numPr>
          <w:ilvl w:val="0"/>
          <w:numId w:val="0"/>
        </w:numPr>
        <w:spacing w:after="0"/>
        <w:rPr>
          <w:rStyle w:val="Guidance"/>
        </w:rPr>
      </w:pPr>
      <w:r w:rsidRPr="002A0038">
        <w:rPr>
          <w:rStyle w:val="Guidance"/>
        </w:rPr>
        <w:t>Some transactions, such as the sale of an item of plant by a manufacturing entity, may give rise to a gain or loss that is included in profit or loss. However, the cash flows relating to such transactions are cash flows from investing activities.</w:t>
      </w:r>
      <w:r w:rsidR="00D16986">
        <w:rPr>
          <w:rStyle w:val="Guidance"/>
          <w:rFonts w:hint="eastAsia"/>
          <w:lang w:eastAsia="zh-CN"/>
        </w:rPr>
        <w:t xml:space="preserve"> </w:t>
      </w:r>
      <w:r w:rsidR="00D16986" w:rsidRPr="009E5D6F">
        <w:rPr>
          <w:rStyle w:val="Reference"/>
        </w:rPr>
        <w:t>[</w:t>
      </w:r>
      <w:r w:rsidR="0007383E">
        <w:rPr>
          <w:rStyle w:val="Reference"/>
        </w:rPr>
        <w:t>AASB </w:t>
      </w:r>
      <w:r w:rsidR="00D16986" w:rsidRPr="009E5D6F">
        <w:rPr>
          <w:rStyle w:val="Reference"/>
        </w:rPr>
        <w:t>10</w:t>
      </w:r>
      <w:r w:rsidR="00D16986">
        <w:rPr>
          <w:rStyle w:val="Reference"/>
        </w:rPr>
        <w:t>60.67</w:t>
      </w:r>
      <w:r w:rsidR="00D16986" w:rsidRPr="009E5D6F">
        <w:rPr>
          <w:rStyle w:val="Reference"/>
        </w:rPr>
        <w:t>]</w:t>
      </w:r>
    </w:p>
    <w:p w14:paraId="05CACFFE" w14:textId="4AD02A52" w:rsidR="00BB143E" w:rsidRPr="00BB143E" w:rsidRDefault="003719CD" w:rsidP="002A0038">
      <w:pPr>
        <w:spacing w:before="120" w:after="0"/>
        <w:contextualSpacing/>
        <w:rPr>
          <w:color w:val="4472C4" w:themeColor="accent1"/>
        </w:rPr>
      </w:pPr>
      <w:r w:rsidRPr="009E5D6F">
        <w:rPr>
          <w:rStyle w:val="Guidance"/>
          <w:b/>
          <w:bCs/>
        </w:rPr>
        <w:t>Investing activities</w:t>
      </w:r>
      <w:r w:rsidRPr="009E5D6F">
        <w:rPr>
          <w:rStyle w:val="Guidance"/>
        </w:rPr>
        <w:t xml:space="preserve">: </w:t>
      </w:r>
      <w:r w:rsidR="00BB143E" w:rsidRPr="00BB143E">
        <w:rPr>
          <w:color w:val="4472C4" w:themeColor="accent1"/>
        </w:rPr>
        <w:t>Investing activities are the acquisition and disposal of long-term assets and other investments not included in</w:t>
      </w:r>
      <w:r w:rsidR="00BB143E">
        <w:rPr>
          <w:color w:val="4472C4" w:themeColor="accent1"/>
        </w:rPr>
        <w:t xml:space="preserve"> </w:t>
      </w:r>
      <w:r w:rsidR="00BB143E" w:rsidRPr="00BB143E">
        <w:rPr>
          <w:color w:val="4472C4" w:themeColor="accent1"/>
        </w:rPr>
        <w:t>cash equivalents. Examples of cash flows arising from investing activities are:</w:t>
      </w:r>
    </w:p>
    <w:p w14:paraId="3C658364" w14:textId="21583429" w:rsidR="00BB143E" w:rsidRPr="002A0038" w:rsidRDefault="00BB143E" w:rsidP="002A0038">
      <w:pPr>
        <w:pStyle w:val="ListBullet"/>
        <w:numPr>
          <w:ilvl w:val="0"/>
          <w:numId w:val="315"/>
        </w:numPr>
        <w:spacing w:after="0"/>
        <w:ind w:left="357" w:hanging="357"/>
        <w:rPr>
          <w:rStyle w:val="Guidance"/>
        </w:rPr>
      </w:pPr>
      <w:r w:rsidRPr="002A0038">
        <w:rPr>
          <w:rStyle w:val="Guidance"/>
        </w:rPr>
        <w:t>cash payments to acquire property, plant and equipment (including self-constructed property, plant and equipment), intangible assets and other long-term assets</w:t>
      </w:r>
    </w:p>
    <w:p w14:paraId="1D6E5D6F" w14:textId="4FD5CF1A" w:rsidR="00BB143E" w:rsidRPr="002A0038" w:rsidRDefault="00BB143E" w:rsidP="002A0038">
      <w:pPr>
        <w:pStyle w:val="ListBullet"/>
        <w:numPr>
          <w:ilvl w:val="0"/>
          <w:numId w:val="315"/>
        </w:numPr>
        <w:spacing w:after="0"/>
        <w:ind w:left="357" w:hanging="357"/>
        <w:rPr>
          <w:rStyle w:val="Guidance"/>
        </w:rPr>
      </w:pPr>
      <w:r w:rsidRPr="002A0038">
        <w:rPr>
          <w:rStyle w:val="Guidance"/>
        </w:rPr>
        <w:t>cash receipts from sales of property, plant and equipment, intangibles and other long-term assets</w:t>
      </w:r>
    </w:p>
    <w:p w14:paraId="78762ADB" w14:textId="5876F9DA" w:rsidR="00BB143E" w:rsidRPr="002A0038" w:rsidRDefault="00BB143E" w:rsidP="002A0038">
      <w:pPr>
        <w:pStyle w:val="ListBullet"/>
        <w:numPr>
          <w:ilvl w:val="0"/>
          <w:numId w:val="315"/>
        </w:numPr>
        <w:adjustRightInd w:val="0"/>
        <w:spacing w:after="0"/>
        <w:ind w:left="357" w:hanging="357"/>
        <w:rPr>
          <w:rStyle w:val="Guidance"/>
        </w:rPr>
      </w:pPr>
      <w:r w:rsidRPr="002A0038">
        <w:rPr>
          <w:rStyle w:val="Guidance"/>
        </w:rPr>
        <w:t>cash payments to acquire equity or debt instruments of other entities and interests in joint ventures (other than payments for those instruments classified as cash equivalents or held for dealing or trading)</w:t>
      </w:r>
    </w:p>
    <w:p w14:paraId="48A2E0E1" w14:textId="675BFF21" w:rsidR="00BB143E" w:rsidRPr="002A0038" w:rsidRDefault="00BB143E" w:rsidP="002A0038">
      <w:pPr>
        <w:pStyle w:val="ListBullet"/>
        <w:numPr>
          <w:ilvl w:val="0"/>
          <w:numId w:val="315"/>
        </w:numPr>
        <w:spacing w:after="0"/>
        <w:ind w:left="357" w:hanging="357"/>
        <w:rPr>
          <w:rStyle w:val="Guidance"/>
        </w:rPr>
      </w:pPr>
      <w:r w:rsidRPr="002A0038">
        <w:rPr>
          <w:rStyle w:val="Guidance"/>
        </w:rPr>
        <w:t>cash receipts from sales of equity or debt instruments of other entities and interests in joint ventures (other than receipts for those instruments classified as cash equivalents or held for dealing or trading)</w:t>
      </w:r>
    </w:p>
    <w:p w14:paraId="2B99F6F9" w14:textId="4F577426" w:rsidR="00BB143E" w:rsidRPr="002A0038" w:rsidRDefault="00BB143E" w:rsidP="002A0038">
      <w:pPr>
        <w:pStyle w:val="ListBullet"/>
        <w:numPr>
          <w:ilvl w:val="0"/>
          <w:numId w:val="315"/>
        </w:numPr>
        <w:spacing w:after="0"/>
        <w:ind w:left="357" w:hanging="357"/>
        <w:rPr>
          <w:rStyle w:val="Guidance"/>
        </w:rPr>
      </w:pPr>
      <w:r w:rsidRPr="002A0038">
        <w:rPr>
          <w:rStyle w:val="Guidance"/>
        </w:rPr>
        <w:t>cash advances and loans made to other parties</w:t>
      </w:r>
    </w:p>
    <w:p w14:paraId="4CA48320" w14:textId="690FA381" w:rsidR="00BB143E" w:rsidRPr="002A0038" w:rsidRDefault="00BB143E" w:rsidP="002A0038">
      <w:pPr>
        <w:pStyle w:val="ListBullet"/>
        <w:numPr>
          <w:ilvl w:val="0"/>
          <w:numId w:val="315"/>
        </w:numPr>
        <w:spacing w:after="0"/>
        <w:ind w:left="357" w:hanging="357"/>
        <w:rPr>
          <w:rStyle w:val="Guidance"/>
        </w:rPr>
      </w:pPr>
      <w:r w:rsidRPr="002A0038">
        <w:rPr>
          <w:rStyle w:val="Guidance"/>
        </w:rPr>
        <w:t>cash receipts from the repayment of advances and loans made to other parties</w:t>
      </w:r>
    </w:p>
    <w:p w14:paraId="1E6DE3CA" w14:textId="18007391" w:rsidR="00DA5743" w:rsidRDefault="00BB143E" w:rsidP="002A0038">
      <w:pPr>
        <w:pStyle w:val="ListBullet"/>
        <w:numPr>
          <w:ilvl w:val="0"/>
          <w:numId w:val="315"/>
        </w:numPr>
        <w:spacing w:after="0"/>
        <w:ind w:left="357" w:hanging="357"/>
        <w:rPr>
          <w:rStyle w:val="Guidance"/>
        </w:rPr>
      </w:pPr>
      <w:r w:rsidRPr="002A0038">
        <w:rPr>
          <w:rStyle w:val="Guidance"/>
        </w:rPr>
        <w:t>cash payments for futures contracts, forward contracts, option contracts and swap contracts, except when the contracts are held for dealing or trading, or the payments are classified as financing activities</w:t>
      </w:r>
    </w:p>
    <w:p w14:paraId="52503E1A" w14:textId="7086F552" w:rsidR="003719CD" w:rsidRPr="009E5D6F" w:rsidRDefault="00BB143E" w:rsidP="002A0038">
      <w:pPr>
        <w:pStyle w:val="ListBullet"/>
        <w:numPr>
          <w:ilvl w:val="0"/>
          <w:numId w:val="315"/>
        </w:numPr>
        <w:spacing w:after="0"/>
        <w:ind w:left="357" w:hanging="357"/>
        <w:rPr>
          <w:rStyle w:val="Guidance"/>
        </w:rPr>
      </w:pPr>
      <w:r w:rsidRPr="002A0038">
        <w:rPr>
          <w:rStyle w:val="Guidance"/>
        </w:rPr>
        <w:t>cash receipts from futures contracts, forward contracts, option contracts and swap contracts, except when the</w:t>
      </w:r>
      <w:r w:rsidR="00DA5743" w:rsidRPr="002A0038">
        <w:rPr>
          <w:rStyle w:val="Guidance"/>
        </w:rPr>
        <w:t xml:space="preserve"> contracts are held for dealing or trading, or the receipts are classified as financing activities.</w:t>
      </w:r>
      <w:r w:rsidR="00D16986">
        <w:rPr>
          <w:rStyle w:val="Guidance"/>
          <w:rFonts w:hint="eastAsia"/>
          <w:lang w:eastAsia="zh-CN"/>
        </w:rPr>
        <w:t xml:space="preserve"> </w:t>
      </w:r>
      <w:r w:rsidR="00D16986" w:rsidRPr="009E5D6F">
        <w:rPr>
          <w:rStyle w:val="Reference"/>
        </w:rPr>
        <w:t>[</w:t>
      </w:r>
      <w:r w:rsidR="0007383E">
        <w:rPr>
          <w:rStyle w:val="Reference"/>
        </w:rPr>
        <w:t>AASB </w:t>
      </w:r>
      <w:r w:rsidR="00D16986" w:rsidRPr="009E5D6F">
        <w:rPr>
          <w:rStyle w:val="Reference"/>
        </w:rPr>
        <w:t>10</w:t>
      </w:r>
      <w:r w:rsidR="00D16986">
        <w:rPr>
          <w:rStyle w:val="Reference"/>
        </w:rPr>
        <w:t>60.68</w:t>
      </w:r>
      <w:r w:rsidR="00D16986" w:rsidRPr="009E5D6F">
        <w:rPr>
          <w:rStyle w:val="Reference"/>
        </w:rPr>
        <w:t>]</w:t>
      </w:r>
    </w:p>
    <w:p w14:paraId="7E256DC3" w14:textId="63D4E6C1" w:rsidR="00DC2FE0" w:rsidRPr="00DC2FE0" w:rsidRDefault="003719CD" w:rsidP="002A0038">
      <w:pPr>
        <w:spacing w:before="120" w:after="0"/>
        <w:contextualSpacing/>
        <w:rPr>
          <w:color w:val="4472C4" w:themeColor="accent1"/>
        </w:rPr>
      </w:pPr>
      <w:r w:rsidRPr="009E5D6F">
        <w:rPr>
          <w:rStyle w:val="Guidance"/>
          <w:b/>
          <w:bCs/>
        </w:rPr>
        <w:t>Financing activities</w:t>
      </w:r>
      <w:r w:rsidRPr="009E5D6F">
        <w:rPr>
          <w:rStyle w:val="Guidance"/>
        </w:rPr>
        <w:t xml:space="preserve">: </w:t>
      </w:r>
      <w:r w:rsidR="00DC2FE0" w:rsidRPr="00DC2FE0">
        <w:rPr>
          <w:color w:val="4472C4" w:themeColor="accent1"/>
        </w:rPr>
        <w:t>Financing activities are activities that result in changes in the size and composition of the contributed equity</w:t>
      </w:r>
      <w:r w:rsidR="00DC2FE0">
        <w:rPr>
          <w:color w:val="4472C4" w:themeColor="accent1"/>
        </w:rPr>
        <w:t xml:space="preserve"> </w:t>
      </w:r>
      <w:r w:rsidR="00DC2FE0" w:rsidRPr="00DC2FE0">
        <w:rPr>
          <w:color w:val="4472C4" w:themeColor="accent1"/>
        </w:rPr>
        <w:t>and borrowings of an entity. Examples of cash flows arising from financing activities are:</w:t>
      </w:r>
    </w:p>
    <w:p w14:paraId="7CF0CDD8" w14:textId="645E4423" w:rsidR="00DC2FE0" w:rsidRPr="002A0038" w:rsidRDefault="00DC2FE0" w:rsidP="002A0038">
      <w:pPr>
        <w:pStyle w:val="ListBullet"/>
        <w:numPr>
          <w:ilvl w:val="0"/>
          <w:numId w:val="378"/>
        </w:numPr>
        <w:spacing w:after="0"/>
        <w:rPr>
          <w:rStyle w:val="Guidance"/>
        </w:rPr>
      </w:pPr>
      <w:r w:rsidRPr="002A0038">
        <w:rPr>
          <w:rStyle w:val="Guidance"/>
        </w:rPr>
        <w:t>cash proceeds from issuing shares or other equity instruments</w:t>
      </w:r>
    </w:p>
    <w:p w14:paraId="3D15C8FC" w14:textId="0F68D0FA" w:rsidR="00DC2FE0" w:rsidRPr="002A0038" w:rsidRDefault="00DC2FE0" w:rsidP="002A0038">
      <w:pPr>
        <w:pStyle w:val="ListBullet"/>
        <w:numPr>
          <w:ilvl w:val="0"/>
          <w:numId w:val="378"/>
        </w:numPr>
        <w:spacing w:after="0"/>
        <w:rPr>
          <w:rStyle w:val="Guidance"/>
        </w:rPr>
      </w:pPr>
      <w:r w:rsidRPr="002A0038">
        <w:rPr>
          <w:rStyle w:val="Guidance"/>
        </w:rPr>
        <w:t>cash payments to owners to acquire or redeem the entity’s shares</w:t>
      </w:r>
    </w:p>
    <w:p w14:paraId="43A2AC39" w14:textId="4325CDA1" w:rsidR="00DC2FE0" w:rsidRPr="002A0038" w:rsidRDefault="00DC2FE0" w:rsidP="002A0038">
      <w:pPr>
        <w:pStyle w:val="ListBullet"/>
        <w:numPr>
          <w:ilvl w:val="0"/>
          <w:numId w:val="378"/>
        </w:numPr>
        <w:spacing w:after="0"/>
        <w:rPr>
          <w:rStyle w:val="Guidance"/>
        </w:rPr>
      </w:pPr>
      <w:r w:rsidRPr="002A0038">
        <w:rPr>
          <w:rStyle w:val="Guidance"/>
        </w:rPr>
        <w:t xml:space="preserve">cash proceeds from issuing debentures, loans, notes, bonds, mortgages and other short-term or </w:t>
      </w:r>
      <w:r w:rsidR="0058462A" w:rsidRPr="0058462A">
        <w:rPr>
          <w:rStyle w:val="Guidance"/>
        </w:rPr>
        <w:t>long-term</w:t>
      </w:r>
      <w:r w:rsidRPr="002A0038">
        <w:rPr>
          <w:rStyle w:val="Guidance"/>
        </w:rPr>
        <w:t xml:space="preserve"> borrowings</w:t>
      </w:r>
    </w:p>
    <w:p w14:paraId="454BDFAC" w14:textId="1C4E65EB" w:rsidR="004A18B5" w:rsidRDefault="00DC2FE0" w:rsidP="004A18B5">
      <w:pPr>
        <w:pStyle w:val="ListBullet"/>
        <w:numPr>
          <w:ilvl w:val="0"/>
          <w:numId w:val="378"/>
        </w:numPr>
        <w:spacing w:after="0"/>
        <w:rPr>
          <w:rStyle w:val="Guidance"/>
        </w:rPr>
      </w:pPr>
      <w:r w:rsidRPr="002A0038">
        <w:rPr>
          <w:rStyle w:val="Guidance"/>
        </w:rPr>
        <w:t>cash repayments of amounts borrowed</w:t>
      </w:r>
    </w:p>
    <w:p w14:paraId="7089C7AF" w14:textId="7A7D561F" w:rsidR="003719CD" w:rsidRPr="009E5D6F" w:rsidRDefault="00DC2FE0" w:rsidP="002A0038">
      <w:pPr>
        <w:pStyle w:val="ListBullet"/>
        <w:numPr>
          <w:ilvl w:val="0"/>
          <w:numId w:val="378"/>
        </w:numPr>
        <w:spacing w:after="0"/>
        <w:rPr>
          <w:rStyle w:val="Guidance"/>
        </w:rPr>
      </w:pPr>
      <w:r w:rsidRPr="002A0038">
        <w:rPr>
          <w:rStyle w:val="Guidance"/>
        </w:rPr>
        <w:t>cash payments by a lessee for the reduction of the outstanding liability relating to a lease.</w:t>
      </w:r>
      <w:r w:rsidR="0058462A">
        <w:rPr>
          <w:rStyle w:val="Guidance"/>
          <w:rFonts w:hint="eastAsia"/>
          <w:lang w:eastAsia="zh-CN"/>
        </w:rPr>
        <w:t xml:space="preserve"> </w:t>
      </w:r>
      <w:r w:rsidR="0058462A" w:rsidRPr="009E5D6F">
        <w:rPr>
          <w:rStyle w:val="Reference"/>
        </w:rPr>
        <w:t>[</w:t>
      </w:r>
      <w:r w:rsidR="0007383E">
        <w:rPr>
          <w:rStyle w:val="Reference"/>
        </w:rPr>
        <w:t>AASB </w:t>
      </w:r>
      <w:r w:rsidR="0058462A" w:rsidRPr="009E5D6F">
        <w:rPr>
          <w:rStyle w:val="Reference"/>
        </w:rPr>
        <w:t>10</w:t>
      </w:r>
      <w:r w:rsidR="0058462A">
        <w:rPr>
          <w:rStyle w:val="Reference"/>
        </w:rPr>
        <w:t>60.69</w:t>
      </w:r>
      <w:r w:rsidR="0058462A" w:rsidRPr="009E5D6F">
        <w:rPr>
          <w:rStyle w:val="Reference"/>
        </w:rPr>
        <w:t>]</w:t>
      </w:r>
    </w:p>
    <w:p w14:paraId="0942BFB7" w14:textId="112977EB" w:rsidR="003719CD" w:rsidRDefault="003719CD" w:rsidP="002A0038">
      <w:pPr>
        <w:pStyle w:val="GuidanceHeading"/>
        <w:spacing w:before="120" w:after="0"/>
      </w:pPr>
      <w:r>
        <w:t>Reporting cash flows on a net basis</w:t>
      </w:r>
      <w:r w:rsidRPr="009E5D6F">
        <w:rPr>
          <w:rStyle w:val="Reference"/>
        </w:rPr>
        <w:t xml:space="preserve"> </w:t>
      </w:r>
    </w:p>
    <w:p w14:paraId="507061B4" w14:textId="7EF57486" w:rsidR="008146C1" w:rsidRPr="008146C1" w:rsidRDefault="008146C1" w:rsidP="002A0038">
      <w:pPr>
        <w:pStyle w:val="GuidanceHeading"/>
        <w:spacing w:before="120" w:after="0"/>
        <w:rPr>
          <w:rStyle w:val="Guidance"/>
          <w:b w:val="0"/>
          <w:sz w:val="18"/>
        </w:rPr>
      </w:pPr>
      <w:r w:rsidRPr="008146C1">
        <w:rPr>
          <w:rStyle w:val="Guidance"/>
          <w:b w:val="0"/>
          <w:sz w:val="18"/>
        </w:rPr>
        <w:t>Cash flows arising from the following operating, investing or financing activities may be reported on a net</w:t>
      </w:r>
      <w:r>
        <w:rPr>
          <w:rStyle w:val="Guidance"/>
          <w:b w:val="0"/>
          <w:sz w:val="18"/>
        </w:rPr>
        <w:t xml:space="preserve"> </w:t>
      </w:r>
      <w:r w:rsidRPr="008146C1">
        <w:rPr>
          <w:rStyle w:val="Guidance"/>
          <w:b w:val="0"/>
          <w:sz w:val="18"/>
        </w:rPr>
        <w:t>basis:</w:t>
      </w:r>
    </w:p>
    <w:p w14:paraId="7697FC6F" w14:textId="06A8A657" w:rsidR="00B64BE9" w:rsidRDefault="00D6490E" w:rsidP="002A0038">
      <w:pPr>
        <w:pStyle w:val="ListBullet"/>
        <w:numPr>
          <w:ilvl w:val="0"/>
          <w:numId w:val="319"/>
        </w:numPr>
        <w:spacing w:after="0"/>
        <w:ind w:left="357" w:hanging="357"/>
        <w:rPr>
          <w:rStyle w:val="Guidance"/>
          <w:b/>
          <w:sz w:val="20"/>
        </w:rPr>
      </w:pPr>
      <w:r>
        <w:rPr>
          <w:rStyle w:val="Guidance"/>
        </w:rPr>
        <w:t>C</w:t>
      </w:r>
      <w:r w:rsidR="008146C1" w:rsidRPr="008146C1">
        <w:rPr>
          <w:rStyle w:val="Guidance"/>
        </w:rPr>
        <w:t>ash receipts and payments on behalf of customers when the cash flows reflect the activities of the customer rather than those of the entity; and</w:t>
      </w:r>
    </w:p>
    <w:p w14:paraId="3E72369F" w14:textId="6F1FB036" w:rsidR="00DF2575" w:rsidRDefault="00D6490E" w:rsidP="002A0038">
      <w:pPr>
        <w:pStyle w:val="ListBullet"/>
        <w:numPr>
          <w:ilvl w:val="0"/>
          <w:numId w:val="319"/>
        </w:numPr>
        <w:spacing w:after="0"/>
        <w:ind w:left="357" w:hanging="357"/>
        <w:rPr>
          <w:rStyle w:val="Guidance"/>
        </w:rPr>
      </w:pPr>
      <w:r>
        <w:rPr>
          <w:rStyle w:val="Guidance"/>
        </w:rPr>
        <w:t>C</w:t>
      </w:r>
      <w:r w:rsidR="008146C1" w:rsidRPr="008146C1">
        <w:rPr>
          <w:rStyle w:val="Guidance"/>
        </w:rPr>
        <w:t>ash receipts and payments for items in which the turnover is quick, the amounts are large, and the</w:t>
      </w:r>
      <w:r w:rsidR="008146C1" w:rsidRPr="00B64BE9">
        <w:rPr>
          <w:rStyle w:val="Guidance"/>
        </w:rPr>
        <w:t xml:space="preserve"> </w:t>
      </w:r>
      <w:r w:rsidR="008146C1" w:rsidRPr="008146C1">
        <w:rPr>
          <w:rStyle w:val="Guidance"/>
        </w:rPr>
        <w:t>maturities are short.</w:t>
      </w:r>
      <w:r w:rsidR="00A37A93">
        <w:rPr>
          <w:rStyle w:val="Guidance"/>
          <w:rFonts w:hint="eastAsia"/>
          <w:lang w:eastAsia="zh-CN"/>
        </w:rPr>
        <w:t xml:space="preserve"> </w:t>
      </w:r>
      <w:r w:rsidR="00A37A93" w:rsidRPr="009E5D6F">
        <w:rPr>
          <w:rStyle w:val="Reference"/>
        </w:rPr>
        <w:t>[</w:t>
      </w:r>
      <w:r w:rsidR="0007383E">
        <w:rPr>
          <w:rStyle w:val="Reference"/>
        </w:rPr>
        <w:t>AASB </w:t>
      </w:r>
      <w:r w:rsidR="00A37A93">
        <w:rPr>
          <w:rStyle w:val="Reference"/>
        </w:rPr>
        <w:t>1060.7</w:t>
      </w:r>
      <w:r w:rsidR="00A37A93">
        <w:rPr>
          <w:rStyle w:val="Reference"/>
          <w:rFonts w:hint="eastAsia"/>
          <w:lang w:eastAsia="zh-CN"/>
        </w:rPr>
        <w:t>5</w:t>
      </w:r>
      <w:r w:rsidR="00A37A93" w:rsidRPr="009E5D6F">
        <w:rPr>
          <w:rStyle w:val="Reference"/>
        </w:rPr>
        <w:t>]</w:t>
      </w:r>
    </w:p>
    <w:p w14:paraId="624F6CBD" w14:textId="77777777" w:rsidR="006C4F60" w:rsidRDefault="006C4F60" w:rsidP="006C4F60">
      <w:pPr>
        <w:pStyle w:val="GuidanceEnd"/>
        <w:spacing w:before="40" w:after="80" w:line="264" w:lineRule="auto"/>
        <w:mirrorIndents/>
      </w:pPr>
    </w:p>
    <w:p w14:paraId="0686A196" w14:textId="3BE87755" w:rsidR="003719CD" w:rsidRDefault="003719CD" w:rsidP="005417F9">
      <w:pPr>
        <w:pStyle w:val="Heading2"/>
        <w:pageBreakBefore/>
      </w:pPr>
      <w:bookmarkStart w:id="176" w:name="SOCIE"/>
      <w:bookmarkStart w:id="177" w:name="_Toc179811135"/>
      <w:bookmarkStart w:id="178" w:name="_Toc179816835"/>
      <w:bookmarkStart w:id="179" w:name="_Toc179822535"/>
      <w:bookmarkStart w:id="180" w:name="_Toc179828224"/>
      <w:bookmarkStart w:id="181" w:name="_Toc179859754"/>
      <w:bookmarkStart w:id="182" w:name="_Toc179867096"/>
      <w:bookmarkStart w:id="183" w:name="_Toc179871489"/>
      <w:bookmarkStart w:id="184" w:name="_Toc179875882"/>
      <w:bookmarkStart w:id="185" w:name="_Toc179880301"/>
      <w:bookmarkStart w:id="186" w:name="_Ref190331240"/>
      <w:bookmarkEnd w:id="176"/>
      <w:r>
        <w:t>Statement of changes in equity</w:t>
      </w:r>
      <w:r w:rsidRPr="00A71D16">
        <w:rPr>
          <w:vertAlign w:val="superscript"/>
        </w:rPr>
        <w:t xml:space="preserve"> (a)</w:t>
      </w:r>
      <w:bookmarkEnd w:id="177"/>
      <w:bookmarkEnd w:id="178"/>
      <w:bookmarkEnd w:id="179"/>
      <w:bookmarkEnd w:id="180"/>
      <w:bookmarkEnd w:id="181"/>
      <w:bookmarkEnd w:id="182"/>
      <w:bookmarkEnd w:id="183"/>
      <w:bookmarkEnd w:id="184"/>
      <w:bookmarkEnd w:id="185"/>
      <w:bookmarkEnd w:id="186"/>
    </w:p>
    <w:p w14:paraId="75F1B54E" w14:textId="0CF5D080" w:rsidR="003719CD" w:rsidRDefault="003719CD" w:rsidP="007D536F">
      <w:pPr>
        <w:pStyle w:val="Caption"/>
      </w:pPr>
      <w:r>
        <w:t xml:space="preserve">For the financial year ended 30 June </w:t>
      </w:r>
      <w:fldSimple w:instr="DOCPROPERTY  YearCurrent  \* MERGEFORMAT">
        <w:r w:rsidR="0054242A">
          <w:t>20X2</w:t>
        </w:r>
      </w:fldSimple>
      <w:r>
        <w:tab/>
      </w:r>
      <w:r>
        <w:tab/>
        <w:t>($ thousand)</w:t>
      </w:r>
    </w:p>
    <w:tbl>
      <w:tblPr>
        <w:tblStyle w:val="DTFTable"/>
        <w:tblW w:w="9639" w:type="dxa"/>
        <w:tblLayout w:type="fixed"/>
        <w:tblLook w:val="0620" w:firstRow="1" w:lastRow="0" w:firstColumn="0" w:lastColumn="0" w:noHBand="1" w:noVBand="1"/>
      </w:tblPr>
      <w:tblGrid>
        <w:gridCol w:w="1276"/>
        <w:gridCol w:w="3402"/>
        <w:gridCol w:w="1418"/>
        <w:gridCol w:w="992"/>
        <w:gridCol w:w="1417"/>
        <w:gridCol w:w="1134"/>
      </w:tblGrid>
      <w:tr w:rsidR="00872CF3" w14:paraId="7B9C406B" w14:textId="77777777" w:rsidTr="00573BA1">
        <w:trPr>
          <w:cnfStyle w:val="100000000000" w:firstRow="1" w:lastRow="0" w:firstColumn="0" w:lastColumn="0" w:oddVBand="0" w:evenVBand="0" w:oddHBand="0" w:evenHBand="0" w:firstRowFirstColumn="0" w:firstRowLastColumn="0" w:lastRowFirstColumn="0" w:lastRowLastColumn="0"/>
          <w:trHeight w:val="746"/>
          <w:tblHeader/>
        </w:trPr>
        <w:tc>
          <w:tcPr>
            <w:tcW w:w="1276" w:type="dxa"/>
            <w:tcBorders>
              <w:top w:val="nil"/>
              <w:bottom w:val="nil"/>
            </w:tcBorders>
            <w:shd w:val="clear" w:color="auto" w:fill="FFFFFF" w:themeFill="background1"/>
          </w:tcPr>
          <w:p w14:paraId="6FE382ED" w14:textId="77777777" w:rsidR="00872CF3" w:rsidRDefault="00872CF3">
            <w:pPr>
              <w:keepNext/>
              <w:jc w:val="left"/>
            </w:pPr>
            <w:r>
              <w:rPr>
                <w:color w:val="4472C4"/>
                <w:sz w:val="13"/>
              </w:rPr>
              <w:t>Source reference</w:t>
            </w:r>
          </w:p>
        </w:tc>
        <w:tc>
          <w:tcPr>
            <w:tcW w:w="3402" w:type="dxa"/>
          </w:tcPr>
          <w:p w14:paraId="0622C14D" w14:textId="3248838C" w:rsidR="00872CF3" w:rsidRDefault="00872CF3">
            <w:pPr>
              <w:keepNext/>
              <w:jc w:val="left"/>
            </w:pPr>
            <w:r>
              <w:t xml:space="preserve"> </w:t>
            </w:r>
          </w:p>
        </w:tc>
        <w:tc>
          <w:tcPr>
            <w:tcW w:w="1418" w:type="dxa"/>
          </w:tcPr>
          <w:p w14:paraId="05113BD5" w14:textId="77777777" w:rsidR="00872CF3" w:rsidRDefault="00872CF3">
            <w:pPr>
              <w:keepNext/>
            </w:pPr>
            <w:r>
              <w:t>Physical asset revaluation surplus</w:t>
            </w:r>
          </w:p>
        </w:tc>
        <w:tc>
          <w:tcPr>
            <w:tcW w:w="992" w:type="dxa"/>
          </w:tcPr>
          <w:p w14:paraId="441422B8" w14:textId="77777777" w:rsidR="00872CF3" w:rsidRDefault="00872CF3">
            <w:pPr>
              <w:keepNext/>
            </w:pPr>
            <w:r>
              <w:t>Accumulated surplus</w:t>
            </w:r>
          </w:p>
        </w:tc>
        <w:tc>
          <w:tcPr>
            <w:tcW w:w="1417" w:type="dxa"/>
          </w:tcPr>
          <w:p w14:paraId="5384CCC0" w14:textId="77777777" w:rsidR="00872CF3" w:rsidRDefault="00872CF3">
            <w:pPr>
              <w:keepNext/>
            </w:pPr>
            <w:r>
              <w:t>Contributions by owner</w:t>
            </w:r>
          </w:p>
        </w:tc>
        <w:tc>
          <w:tcPr>
            <w:tcW w:w="1134" w:type="dxa"/>
          </w:tcPr>
          <w:p w14:paraId="28AFCEC6" w14:textId="77777777" w:rsidR="00872CF3" w:rsidRDefault="00872CF3">
            <w:pPr>
              <w:keepNext/>
            </w:pPr>
            <w:r>
              <w:t>Total</w:t>
            </w:r>
          </w:p>
        </w:tc>
      </w:tr>
      <w:tr w:rsidR="00E60980" w14:paraId="295B6B63" w14:textId="77777777" w:rsidTr="00573BA1">
        <w:trPr>
          <w:trHeight w:val="260"/>
        </w:trPr>
        <w:tc>
          <w:tcPr>
            <w:tcW w:w="1276" w:type="dxa"/>
          </w:tcPr>
          <w:p w14:paraId="34603571" w14:textId="073EFE8E" w:rsidR="00872CF3" w:rsidRDefault="0007383E" w:rsidP="008814D1">
            <w:pPr>
              <w:jc w:val="left"/>
            </w:pPr>
            <w:r>
              <w:rPr>
                <w:color w:val="4472C4"/>
                <w:sz w:val="13"/>
              </w:rPr>
              <w:t>AASB </w:t>
            </w:r>
            <w:r w:rsidR="00872CF3">
              <w:rPr>
                <w:color w:val="4472C4"/>
                <w:sz w:val="13"/>
              </w:rPr>
              <w:t>10</w:t>
            </w:r>
            <w:r w:rsidR="00872CF3">
              <w:rPr>
                <w:rFonts w:hint="eastAsia"/>
                <w:color w:val="4472C4"/>
                <w:sz w:val="13"/>
                <w:lang w:eastAsia="zh-CN"/>
              </w:rPr>
              <w:t>60</w:t>
            </w:r>
            <w:r w:rsidR="00872CF3">
              <w:rPr>
                <w:color w:val="4472C4"/>
                <w:sz w:val="13"/>
              </w:rPr>
              <w:t>.</w:t>
            </w:r>
            <w:r w:rsidR="00872CF3">
              <w:rPr>
                <w:rFonts w:hint="eastAsia"/>
                <w:color w:val="4472C4"/>
                <w:sz w:val="13"/>
                <w:lang w:eastAsia="zh-CN"/>
              </w:rPr>
              <w:t>61</w:t>
            </w:r>
            <w:r w:rsidR="00872CF3">
              <w:rPr>
                <w:color w:val="4472C4"/>
                <w:sz w:val="13"/>
              </w:rPr>
              <w:t xml:space="preserve"> (</w:t>
            </w:r>
            <w:r w:rsidR="00872CF3">
              <w:rPr>
                <w:rFonts w:hint="eastAsia"/>
                <w:color w:val="4472C4"/>
                <w:sz w:val="13"/>
                <w:lang w:eastAsia="zh-CN"/>
              </w:rPr>
              <w:t>c</w:t>
            </w:r>
            <w:r w:rsidR="00872CF3">
              <w:rPr>
                <w:color w:val="4472C4"/>
                <w:sz w:val="13"/>
              </w:rPr>
              <w:t>)</w:t>
            </w:r>
          </w:p>
        </w:tc>
        <w:tc>
          <w:tcPr>
            <w:tcW w:w="3402" w:type="dxa"/>
          </w:tcPr>
          <w:p w14:paraId="69EF1188" w14:textId="53134FA2" w:rsidR="00872CF3" w:rsidRDefault="00872CF3" w:rsidP="008814D1">
            <w:pPr>
              <w:ind w:left="170" w:hanging="170"/>
              <w:jc w:val="left"/>
            </w:pPr>
            <w:r>
              <w:rPr>
                <w:b/>
              </w:rPr>
              <w:t xml:space="preserve">Balance </w:t>
            </w:r>
            <w:proofErr w:type="gramStart"/>
            <w:r>
              <w:rPr>
                <w:b/>
              </w:rPr>
              <w:t>at</w:t>
            </w:r>
            <w:proofErr w:type="gramEnd"/>
            <w:r>
              <w:rPr>
                <w:b/>
              </w:rPr>
              <w:t xml:space="preserve"> 1 July 20X0</w:t>
            </w:r>
          </w:p>
        </w:tc>
        <w:tc>
          <w:tcPr>
            <w:tcW w:w="1418" w:type="dxa"/>
            <w:vAlign w:val="center"/>
          </w:tcPr>
          <w:p w14:paraId="41FAD5BD" w14:textId="26E2CD2C" w:rsidR="00872CF3" w:rsidRDefault="00872CF3" w:rsidP="008814D1">
            <w:r>
              <w:rPr>
                <w:rFonts w:ascii="Arial" w:hAnsi="Arial" w:cs="Arial"/>
                <w:color w:val="000000"/>
                <w:szCs w:val="16"/>
              </w:rPr>
              <w:t>14</w:t>
            </w:r>
            <w:r>
              <w:rPr>
                <w:rFonts w:ascii="Arial" w:hAnsi="Arial" w:cs="Arial" w:hint="eastAsia"/>
                <w:color w:val="000000"/>
                <w:szCs w:val="16"/>
                <w:lang w:eastAsia="zh-CN"/>
              </w:rPr>
              <w:t xml:space="preserve"> </w:t>
            </w:r>
            <w:r>
              <w:rPr>
                <w:rFonts w:ascii="Arial" w:hAnsi="Arial" w:cs="Arial"/>
                <w:color w:val="000000"/>
                <w:szCs w:val="16"/>
              </w:rPr>
              <w:t>756</w:t>
            </w:r>
          </w:p>
        </w:tc>
        <w:tc>
          <w:tcPr>
            <w:tcW w:w="992" w:type="dxa"/>
            <w:vAlign w:val="center"/>
          </w:tcPr>
          <w:p w14:paraId="19ECCF45" w14:textId="65E5EA39" w:rsidR="00872CF3" w:rsidRDefault="00872CF3" w:rsidP="008814D1">
            <w:r>
              <w:rPr>
                <w:rFonts w:ascii="Arial" w:hAnsi="Arial" w:cs="Arial"/>
                <w:color w:val="000000"/>
                <w:szCs w:val="16"/>
              </w:rPr>
              <w:t>62</w:t>
            </w:r>
            <w:r>
              <w:rPr>
                <w:rFonts w:ascii="Arial" w:hAnsi="Arial" w:cs="Arial" w:hint="eastAsia"/>
                <w:color w:val="000000"/>
                <w:szCs w:val="16"/>
                <w:lang w:eastAsia="zh-CN"/>
              </w:rPr>
              <w:t xml:space="preserve"> </w:t>
            </w:r>
            <w:r>
              <w:rPr>
                <w:rFonts w:ascii="Arial" w:hAnsi="Arial" w:cs="Arial"/>
                <w:color w:val="000000"/>
                <w:szCs w:val="16"/>
              </w:rPr>
              <w:t>095</w:t>
            </w:r>
          </w:p>
        </w:tc>
        <w:tc>
          <w:tcPr>
            <w:tcW w:w="1417" w:type="dxa"/>
            <w:vAlign w:val="center"/>
          </w:tcPr>
          <w:p w14:paraId="2CD83F58" w14:textId="4057735C" w:rsidR="00872CF3" w:rsidRDefault="00872CF3" w:rsidP="008814D1">
            <w:r>
              <w:rPr>
                <w:rFonts w:ascii="Arial" w:hAnsi="Arial" w:cs="Arial"/>
                <w:color w:val="000000"/>
                <w:szCs w:val="16"/>
              </w:rPr>
              <w:t>40</w:t>
            </w:r>
            <w:r>
              <w:rPr>
                <w:rFonts w:ascii="Arial" w:hAnsi="Arial" w:cs="Arial" w:hint="eastAsia"/>
                <w:color w:val="000000"/>
                <w:szCs w:val="16"/>
                <w:lang w:eastAsia="zh-CN"/>
              </w:rPr>
              <w:t xml:space="preserve"> </w:t>
            </w:r>
            <w:r>
              <w:rPr>
                <w:rFonts w:ascii="Arial" w:hAnsi="Arial" w:cs="Arial"/>
                <w:color w:val="000000"/>
                <w:szCs w:val="16"/>
              </w:rPr>
              <w:t>160</w:t>
            </w:r>
          </w:p>
        </w:tc>
        <w:tc>
          <w:tcPr>
            <w:tcW w:w="1134" w:type="dxa"/>
            <w:vAlign w:val="center"/>
          </w:tcPr>
          <w:p w14:paraId="7F02CC10" w14:textId="75F1646A" w:rsidR="00872CF3" w:rsidRDefault="00872CF3" w:rsidP="008814D1">
            <w:r>
              <w:rPr>
                <w:rFonts w:ascii="Arial" w:hAnsi="Arial" w:cs="Arial"/>
                <w:color w:val="000000"/>
                <w:szCs w:val="16"/>
              </w:rPr>
              <w:t>117</w:t>
            </w:r>
            <w:r>
              <w:rPr>
                <w:rFonts w:ascii="Arial" w:hAnsi="Arial" w:cs="Arial" w:hint="eastAsia"/>
                <w:color w:val="000000"/>
                <w:szCs w:val="16"/>
                <w:lang w:eastAsia="zh-CN"/>
              </w:rPr>
              <w:t xml:space="preserve"> </w:t>
            </w:r>
            <w:r>
              <w:rPr>
                <w:rFonts w:ascii="Arial" w:hAnsi="Arial" w:cs="Arial"/>
                <w:color w:val="000000"/>
                <w:szCs w:val="16"/>
              </w:rPr>
              <w:t>011</w:t>
            </w:r>
          </w:p>
        </w:tc>
      </w:tr>
      <w:tr w:rsidR="00E60980" w14:paraId="24D4951F" w14:textId="77777777" w:rsidTr="00573BA1">
        <w:trPr>
          <w:trHeight w:val="260"/>
        </w:trPr>
        <w:tc>
          <w:tcPr>
            <w:tcW w:w="0" w:type="dxa"/>
          </w:tcPr>
          <w:p w14:paraId="33338C42" w14:textId="77777777" w:rsidR="00872CF3" w:rsidRDefault="00872CF3" w:rsidP="008814D1">
            <w:pPr>
              <w:jc w:val="left"/>
            </w:pPr>
          </w:p>
        </w:tc>
        <w:tc>
          <w:tcPr>
            <w:tcW w:w="0" w:type="dxa"/>
          </w:tcPr>
          <w:p w14:paraId="5B988AE7" w14:textId="77777777" w:rsidR="00872CF3" w:rsidRDefault="00872CF3" w:rsidP="008814D1">
            <w:pPr>
              <w:ind w:left="170" w:hanging="170"/>
              <w:jc w:val="left"/>
            </w:pPr>
            <w:r>
              <w:t>Net result for the year</w:t>
            </w:r>
          </w:p>
        </w:tc>
        <w:tc>
          <w:tcPr>
            <w:tcW w:w="0" w:type="dxa"/>
            <w:tcBorders>
              <w:bottom w:val="nil"/>
            </w:tcBorders>
            <w:vAlign w:val="center"/>
          </w:tcPr>
          <w:p w14:paraId="09674EBC" w14:textId="48A62819" w:rsidR="00872CF3" w:rsidRDefault="00872CF3" w:rsidP="008814D1">
            <w:r>
              <w:rPr>
                <w:rFonts w:ascii="Arial" w:hAnsi="Arial" w:cs="Arial"/>
                <w:color w:val="000000"/>
                <w:szCs w:val="16"/>
              </w:rPr>
              <w:t>..</w:t>
            </w:r>
          </w:p>
        </w:tc>
        <w:tc>
          <w:tcPr>
            <w:tcW w:w="0" w:type="dxa"/>
            <w:tcBorders>
              <w:bottom w:val="nil"/>
            </w:tcBorders>
            <w:vAlign w:val="center"/>
          </w:tcPr>
          <w:p w14:paraId="63277EEB" w14:textId="295D2F02" w:rsidR="00872CF3" w:rsidRDefault="00872CF3" w:rsidP="008814D1">
            <w:r>
              <w:rPr>
                <w:rFonts w:ascii="Arial" w:hAnsi="Arial" w:cs="Arial"/>
                <w:color w:val="000000"/>
                <w:szCs w:val="16"/>
              </w:rPr>
              <w:t>6</w:t>
            </w:r>
            <w:r>
              <w:rPr>
                <w:rFonts w:ascii="Arial" w:hAnsi="Arial" w:cs="Arial" w:hint="eastAsia"/>
                <w:color w:val="000000"/>
                <w:szCs w:val="16"/>
                <w:lang w:eastAsia="zh-CN"/>
              </w:rPr>
              <w:t xml:space="preserve"> </w:t>
            </w:r>
            <w:r>
              <w:rPr>
                <w:rFonts w:ascii="Arial" w:hAnsi="Arial" w:cs="Arial"/>
                <w:color w:val="000000"/>
                <w:szCs w:val="16"/>
              </w:rPr>
              <w:t>565</w:t>
            </w:r>
          </w:p>
        </w:tc>
        <w:tc>
          <w:tcPr>
            <w:tcW w:w="1417" w:type="dxa"/>
            <w:tcBorders>
              <w:bottom w:val="nil"/>
            </w:tcBorders>
            <w:vAlign w:val="center"/>
          </w:tcPr>
          <w:p w14:paraId="7D3CDED9" w14:textId="76E13717" w:rsidR="00872CF3" w:rsidRDefault="00872CF3" w:rsidP="008814D1">
            <w:r>
              <w:rPr>
                <w:rFonts w:ascii="Arial" w:hAnsi="Arial" w:cs="Arial"/>
                <w:color w:val="000000"/>
                <w:szCs w:val="16"/>
              </w:rPr>
              <w:t>..</w:t>
            </w:r>
          </w:p>
        </w:tc>
        <w:tc>
          <w:tcPr>
            <w:tcW w:w="1134" w:type="dxa"/>
            <w:tcBorders>
              <w:bottom w:val="nil"/>
            </w:tcBorders>
            <w:vAlign w:val="center"/>
          </w:tcPr>
          <w:p w14:paraId="233E371A" w14:textId="390B659E" w:rsidR="00872CF3" w:rsidRDefault="00872CF3" w:rsidP="008814D1">
            <w:r>
              <w:rPr>
                <w:rFonts w:ascii="Arial" w:hAnsi="Arial" w:cs="Arial"/>
                <w:color w:val="000000"/>
                <w:szCs w:val="16"/>
              </w:rPr>
              <w:t>6</w:t>
            </w:r>
            <w:r>
              <w:rPr>
                <w:rFonts w:ascii="Arial" w:hAnsi="Arial" w:cs="Arial" w:hint="eastAsia"/>
                <w:color w:val="000000"/>
                <w:szCs w:val="16"/>
                <w:lang w:eastAsia="zh-CN"/>
              </w:rPr>
              <w:t xml:space="preserve"> </w:t>
            </w:r>
            <w:r>
              <w:rPr>
                <w:rFonts w:ascii="Arial" w:hAnsi="Arial" w:cs="Arial"/>
                <w:color w:val="000000"/>
                <w:szCs w:val="16"/>
              </w:rPr>
              <w:t>565</w:t>
            </w:r>
          </w:p>
        </w:tc>
      </w:tr>
      <w:tr w:rsidR="00E60980" w14:paraId="6E2A575F" w14:textId="77777777" w:rsidTr="00573BA1">
        <w:trPr>
          <w:trHeight w:val="241"/>
        </w:trPr>
        <w:tc>
          <w:tcPr>
            <w:tcW w:w="0" w:type="dxa"/>
          </w:tcPr>
          <w:p w14:paraId="0A699457" w14:textId="77777777" w:rsidR="00872CF3" w:rsidRDefault="00872CF3" w:rsidP="008814D1">
            <w:pPr>
              <w:jc w:val="left"/>
            </w:pPr>
          </w:p>
        </w:tc>
        <w:tc>
          <w:tcPr>
            <w:tcW w:w="0" w:type="dxa"/>
          </w:tcPr>
          <w:p w14:paraId="0F6C8B6D" w14:textId="77777777" w:rsidR="00872CF3" w:rsidRDefault="00872CF3" w:rsidP="008814D1">
            <w:pPr>
              <w:ind w:left="170" w:hanging="170"/>
              <w:jc w:val="left"/>
            </w:pPr>
            <w:r>
              <w:t>Other comprehensive income for the year</w:t>
            </w:r>
          </w:p>
        </w:tc>
        <w:tc>
          <w:tcPr>
            <w:tcW w:w="0" w:type="dxa"/>
            <w:tcBorders>
              <w:top w:val="nil"/>
              <w:left w:val="nil"/>
              <w:bottom w:val="nil"/>
              <w:right w:val="nil"/>
            </w:tcBorders>
            <w:vAlign w:val="center"/>
          </w:tcPr>
          <w:p w14:paraId="36F27C46" w14:textId="6F3C2C9C" w:rsidR="00872CF3" w:rsidRDefault="00872CF3" w:rsidP="008814D1">
            <w:r>
              <w:rPr>
                <w:rFonts w:ascii="Arial" w:hAnsi="Arial" w:cs="Arial"/>
                <w:color w:val="000000"/>
                <w:szCs w:val="16"/>
              </w:rPr>
              <w:t>2</w:t>
            </w:r>
            <w:r>
              <w:rPr>
                <w:rFonts w:ascii="Arial" w:hAnsi="Arial" w:cs="Arial" w:hint="eastAsia"/>
                <w:color w:val="000000"/>
                <w:szCs w:val="16"/>
                <w:lang w:eastAsia="zh-CN"/>
              </w:rPr>
              <w:t xml:space="preserve"> </w:t>
            </w:r>
            <w:r>
              <w:rPr>
                <w:rFonts w:ascii="Arial" w:hAnsi="Arial" w:cs="Arial"/>
                <w:color w:val="000000"/>
                <w:szCs w:val="16"/>
              </w:rPr>
              <w:t>825</w:t>
            </w:r>
          </w:p>
        </w:tc>
        <w:tc>
          <w:tcPr>
            <w:tcW w:w="0" w:type="dxa"/>
            <w:tcBorders>
              <w:top w:val="nil"/>
              <w:left w:val="nil"/>
              <w:bottom w:val="nil"/>
              <w:right w:val="nil"/>
            </w:tcBorders>
            <w:vAlign w:val="center"/>
          </w:tcPr>
          <w:p w14:paraId="7B65489C" w14:textId="72884BCA" w:rsidR="00872CF3" w:rsidRDefault="00872CF3" w:rsidP="008814D1">
            <w:r>
              <w:rPr>
                <w:rFonts w:ascii="Arial" w:hAnsi="Arial" w:cs="Arial"/>
                <w:color w:val="000000"/>
                <w:szCs w:val="16"/>
              </w:rPr>
              <w:t>..</w:t>
            </w:r>
          </w:p>
        </w:tc>
        <w:tc>
          <w:tcPr>
            <w:tcW w:w="1417" w:type="dxa"/>
            <w:tcBorders>
              <w:top w:val="nil"/>
              <w:left w:val="nil"/>
              <w:bottom w:val="nil"/>
              <w:right w:val="nil"/>
            </w:tcBorders>
            <w:vAlign w:val="center"/>
          </w:tcPr>
          <w:p w14:paraId="779F7697" w14:textId="71D06C9B" w:rsidR="00872CF3" w:rsidRDefault="00872CF3" w:rsidP="008814D1">
            <w:r>
              <w:rPr>
                <w:rFonts w:ascii="Arial" w:hAnsi="Arial" w:cs="Arial"/>
                <w:color w:val="000000"/>
                <w:szCs w:val="16"/>
              </w:rPr>
              <w:t>..</w:t>
            </w:r>
          </w:p>
        </w:tc>
        <w:tc>
          <w:tcPr>
            <w:tcW w:w="1134" w:type="dxa"/>
            <w:tcBorders>
              <w:top w:val="nil"/>
              <w:left w:val="nil"/>
              <w:bottom w:val="nil"/>
              <w:right w:val="nil"/>
            </w:tcBorders>
            <w:vAlign w:val="center"/>
          </w:tcPr>
          <w:p w14:paraId="3B956AAE" w14:textId="5D9FCFF1" w:rsidR="00872CF3" w:rsidRDefault="00872CF3" w:rsidP="008814D1">
            <w:r>
              <w:rPr>
                <w:rFonts w:ascii="Arial" w:hAnsi="Arial" w:cs="Arial"/>
                <w:color w:val="000000"/>
                <w:szCs w:val="16"/>
              </w:rPr>
              <w:t>2</w:t>
            </w:r>
            <w:r>
              <w:rPr>
                <w:rFonts w:ascii="Arial" w:hAnsi="Arial" w:cs="Arial" w:hint="eastAsia"/>
                <w:color w:val="000000"/>
                <w:szCs w:val="16"/>
                <w:lang w:eastAsia="zh-CN"/>
              </w:rPr>
              <w:t xml:space="preserve"> </w:t>
            </w:r>
            <w:r>
              <w:rPr>
                <w:rFonts w:ascii="Arial" w:hAnsi="Arial" w:cs="Arial"/>
                <w:color w:val="000000"/>
                <w:szCs w:val="16"/>
              </w:rPr>
              <w:t>825</w:t>
            </w:r>
          </w:p>
        </w:tc>
      </w:tr>
      <w:tr w:rsidR="00E60980" w14:paraId="15248E55" w14:textId="77777777" w:rsidTr="00573BA1">
        <w:trPr>
          <w:trHeight w:val="275"/>
        </w:trPr>
        <w:tc>
          <w:tcPr>
            <w:tcW w:w="0" w:type="dxa"/>
          </w:tcPr>
          <w:p w14:paraId="1CF550ED" w14:textId="77777777" w:rsidR="00E759DC" w:rsidRDefault="00E759DC" w:rsidP="008814D1"/>
        </w:tc>
        <w:tc>
          <w:tcPr>
            <w:tcW w:w="0" w:type="dxa"/>
          </w:tcPr>
          <w:p w14:paraId="0A2E5A9C" w14:textId="7F652932" w:rsidR="00E759DC" w:rsidRPr="00E10CD7" w:rsidRDefault="00E759DC" w:rsidP="00E10CD7">
            <w:pPr>
              <w:ind w:left="170" w:hanging="170"/>
              <w:jc w:val="left"/>
              <w:rPr>
                <w:b/>
                <w:bCs/>
                <w:lang w:eastAsia="zh-CN"/>
              </w:rPr>
            </w:pPr>
            <w:r w:rsidRPr="00E10CD7">
              <w:rPr>
                <w:b/>
                <w:bCs/>
                <w:lang w:eastAsia="zh-CN"/>
              </w:rPr>
              <w:t>Total comprehensive income for the year</w:t>
            </w:r>
          </w:p>
        </w:tc>
        <w:tc>
          <w:tcPr>
            <w:tcW w:w="0" w:type="dxa"/>
            <w:tcBorders>
              <w:top w:val="nil"/>
            </w:tcBorders>
            <w:vAlign w:val="center"/>
          </w:tcPr>
          <w:p w14:paraId="2F56C33A" w14:textId="0AA402BB" w:rsidR="00E759DC" w:rsidRPr="00E10CD7" w:rsidRDefault="0060280C" w:rsidP="0060280C">
            <w:pPr>
              <w:rPr>
                <w:rFonts w:ascii="Arial" w:hAnsi="Arial" w:cs="Arial"/>
                <w:b/>
                <w:bCs/>
                <w:color w:val="000000"/>
                <w:szCs w:val="16"/>
                <w:lang w:eastAsia="zh-CN"/>
              </w:rPr>
            </w:pPr>
            <w:r w:rsidRPr="00E10CD7">
              <w:rPr>
                <w:rFonts w:ascii="Arial" w:hAnsi="Arial" w:cs="Arial"/>
                <w:b/>
                <w:bCs/>
                <w:color w:val="000000"/>
                <w:szCs w:val="16"/>
                <w:lang w:eastAsia="zh-CN"/>
              </w:rPr>
              <w:t>2 825</w:t>
            </w:r>
          </w:p>
        </w:tc>
        <w:tc>
          <w:tcPr>
            <w:tcW w:w="0" w:type="dxa"/>
            <w:tcBorders>
              <w:top w:val="nil"/>
            </w:tcBorders>
            <w:vAlign w:val="center"/>
          </w:tcPr>
          <w:p w14:paraId="2E8C5686" w14:textId="11DFD5C1" w:rsidR="00E759DC" w:rsidRPr="00E10CD7" w:rsidRDefault="0060280C" w:rsidP="008814D1">
            <w:pPr>
              <w:rPr>
                <w:rFonts w:ascii="Arial" w:hAnsi="Arial" w:cs="Arial"/>
                <w:b/>
                <w:bCs/>
                <w:color w:val="000000"/>
                <w:szCs w:val="16"/>
                <w:lang w:eastAsia="zh-CN"/>
              </w:rPr>
            </w:pPr>
            <w:r w:rsidRPr="00E10CD7">
              <w:rPr>
                <w:rFonts w:ascii="Arial" w:hAnsi="Arial" w:cs="Arial"/>
                <w:b/>
                <w:bCs/>
                <w:color w:val="000000"/>
                <w:szCs w:val="16"/>
                <w:lang w:eastAsia="zh-CN"/>
              </w:rPr>
              <w:t>6 565</w:t>
            </w:r>
          </w:p>
        </w:tc>
        <w:tc>
          <w:tcPr>
            <w:tcW w:w="1417" w:type="dxa"/>
            <w:tcBorders>
              <w:top w:val="nil"/>
            </w:tcBorders>
            <w:vAlign w:val="center"/>
          </w:tcPr>
          <w:p w14:paraId="58E00CF9" w14:textId="0E292D95" w:rsidR="00E759DC" w:rsidRPr="00E10CD7" w:rsidRDefault="0060280C" w:rsidP="008814D1">
            <w:pPr>
              <w:rPr>
                <w:rFonts w:ascii="Arial" w:hAnsi="Arial" w:cs="Arial"/>
                <w:b/>
                <w:bCs/>
                <w:color w:val="000000"/>
                <w:szCs w:val="16"/>
                <w:lang w:eastAsia="zh-CN"/>
              </w:rPr>
            </w:pPr>
            <w:r w:rsidRPr="00E10CD7">
              <w:rPr>
                <w:rFonts w:ascii="Arial" w:hAnsi="Arial" w:cs="Arial"/>
                <w:b/>
                <w:bCs/>
                <w:color w:val="000000"/>
                <w:szCs w:val="16"/>
                <w:lang w:eastAsia="zh-CN"/>
              </w:rPr>
              <w:t>..</w:t>
            </w:r>
          </w:p>
        </w:tc>
        <w:tc>
          <w:tcPr>
            <w:tcW w:w="1134" w:type="dxa"/>
            <w:tcBorders>
              <w:top w:val="nil"/>
            </w:tcBorders>
            <w:vAlign w:val="center"/>
          </w:tcPr>
          <w:p w14:paraId="265E9270" w14:textId="0A6A01CA" w:rsidR="00E759DC" w:rsidRPr="00E10CD7" w:rsidRDefault="00407551" w:rsidP="008814D1">
            <w:pPr>
              <w:rPr>
                <w:rFonts w:ascii="Arial" w:hAnsi="Arial" w:cs="Arial"/>
                <w:b/>
                <w:bCs/>
                <w:color w:val="000000"/>
                <w:szCs w:val="16"/>
                <w:lang w:eastAsia="zh-CN"/>
              </w:rPr>
            </w:pPr>
            <w:r w:rsidRPr="00E10CD7">
              <w:rPr>
                <w:rFonts w:ascii="Arial" w:hAnsi="Arial" w:cs="Arial"/>
                <w:b/>
                <w:bCs/>
                <w:color w:val="000000"/>
                <w:szCs w:val="16"/>
                <w:lang w:eastAsia="zh-CN"/>
              </w:rPr>
              <w:t>9 390</w:t>
            </w:r>
          </w:p>
        </w:tc>
      </w:tr>
      <w:tr w:rsidR="00E60980" w14:paraId="7E865366" w14:textId="77777777" w:rsidTr="00573BA1">
        <w:trPr>
          <w:trHeight w:val="275"/>
        </w:trPr>
        <w:tc>
          <w:tcPr>
            <w:tcW w:w="0" w:type="dxa"/>
          </w:tcPr>
          <w:p w14:paraId="6966C042" w14:textId="77777777" w:rsidR="00872CF3" w:rsidRDefault="00872CF3" w:rsidP="008814D1">
            <w:pPr>
              <w:jc w:val="left"/>
            </w:pPr>
          </w:p>
        </w:tc>
        <w:tc>
          <w:tcPr>
            <w:tcW w:w="0" w:type="dxa"/>
          </w:tcPr>
          <w:p w14:paraId="25EAA1C8" w14:textId="77777777" w:rsidR="00872CF3" w:rsidRDefault="00872CF3" w:rsidP="008814D1">
            <w:pPr>
              <w:ind w:left="170" w:hanging="170"/>
              <w:jc w:val="left"/>
            </w:pPr>
            <w:r>
              <w:t>Transfer to accumulated surplus</w:t>
            </w:r>
          </w:p>
        </w:tc>
        <w:tc>
          <w:tcPr>
            <w:tcW w:w="0" w:type="dxa"/>
            <w:tcBorders>
              <w:top w:val="nil"/>
            </w:tcBorders>
            <w:vAlign w:val="center"/>
          </w:tcPr>
          <w:p w14:paraId="71CA2E7D" w14:textId="155C0B69" w:rsidR="00872CF3" w:rsidRDefault="00872CF3" w:rsidP="008814D1">
            <w:r>
              <w:rPr>
                <w:rFonts w:ascii="Arial" w:hAnsi="Arial" w:cs="Arial"/>
                <w:color w:val="000000"/>
                <w:szCs w:val="16"/>
              </w:rPr>
              <w:t>(1</w:t>
            </w:r>
            <w:r>
              <w:rPr>
                <w:rFonts w:ascii="Arial" w:hAnsi="Arial" w:cs="Arial" w:hint="eastAsia"/>
                <w:color w:val="000000"/>
                <w:szCs w:val="16"/>
                <w:lang w:eastAsia="zh-CN"/>
              </w:rPr>
              <w:t xml:space="preserve"> </w:t>
            </w:r>
            <w:r>
              <w:rPr>
                <w:rFonts w:ascii="Arial" w:hAnsi="Arial" w:cs="Arial"/>
                <w:color w:val="000000"/>
                <w:szCs w:val="16"/>
              </w:rPr>
              <w:t>822)</w:t>
            </w:r>
          </w:p>
        </w:tc>
        <w:tc>
          <w:tcPr>
            <w:tcW w:w="0" w:type="dxa"/>
            <w:tcBorders>
              <w:top w:val="nil"/>
            </w:tcBorders>
            <w:vAlign w:val="center"/>
          </w:tcPr>
          <w:p w14:paraId="16734BAB" w14:textId="072E6B2D" w:rsidR="00872CF3" w:rsidRDefault="00872CF3" w:rsidP="008814D1">
            <w:r>
              <w:rPr>
                <w:rFonts w:ascii="Arial" w:hAnsi="Arial" w:cs="Arial"/>
                <w:color w:val="000000"/>
                <w:szCs w:val="16"/>
              </w:rPr>
              <w:t>1</w:t>
            </w:r>
            <w:r>
              <w:rPr>
                <w:rFonts w:ascii="Arial" w:hAnsi="Arial" w:cs="Arial" w:hint="eastAsia"/>
                <w:color w:val="000000"/>
                <w:szCs w:val="16"/>
                <w:lang w:eastAsia="zh-CN"/>
              </w:rPr>
              <w:t xml:space="preserve"> </w:t>
            </w:r>
            <w:r>
              <w:rPr>
                <w:rFonts w:ascii="Arial" w:hAnsi="Arial" w:cs="Arial"/>
                <w:color w:val="000000"/>
                <w:szCs w:val="16"/>
              </w:rPr>
              <w:t>822</w:t>
            </w:r>
          </w:p>
        </w:tc>
        <w:tc>
          <w:tcPr>
            <w:tcW w:w="1417" w:type="dxa"/>
            <w:tcBorders>
              <w:top w:val="nil"/>
            </w:tcBorders>
            <w:vAlign w:val="center"/>
          </w:tcPr>
          <w:p w14:paraId="602AA388" w14:textId="1AD26163" w:rsidR="00872CF3" w:rsidRDefault="00872CF3" w:rsidP="008814D1">
            <w:r>
              <w:rPr>
                <w:rFonts w:ascii="Arial" w:hAnsi="Arial" w:cs="Arial"/>
                <w:color w:val="000000"/>
                <w:szCs w:val="16"/>
              </w:rPr>
              <w:t>..</w:t>
            </w:r>
          </w:p>
        </w:tc>
        <w:tc>
          <w:tcPr>
            <w:tcW w:w="1134" w:type="dxa"/>
            <w:tcBorders>
              <w:top w:val="nil"/>
            </w:tcBorders>
            <w:vAlign w:val="center"/>
          </w:tcPr>
          <w:p w14:paraId="5ED07787" w14:textId="13EEC3BF" w:rsidR="00872CF3" w:rsidRDefault="00872CF3" w:rsidP="008814D1">
            <w:r>
              <w:rPr>
                <w:rFonts w:ascii="Arial" w:hAnsi="Arial" w:cs="Arial"/>
                <w:color w:val="000000"/>
                <w:szCs w:val="16"/>
              </w:rPr>
              <w:t>..</w:t>
            </w:r>
          </w:p>
        </w:tc>
      </w:tr>
      <w:tr w:rsidR="00E60980" w14:paraId="4E7ED41F" w14:textId="77777777" w:rsidTr="00573BA1">
        <w:trPr>
          <w:trHeight w:val="168"/>
        </w:trPr>
        <w:tc>
          <w:tcPr>
            <w:tcW w:w="0" w:type="dxa"/>
          </w:tcPr>
          <w:p w14:paraId="023A7CB3" w14:textId="2C5DBE2B" w:rsidR="00872CF3" w:rsidRDefault="00872CF3" w:rsidP="008814D1">
            <w:pPr>
              <w:jc w:val="left"/>
            </w:pPr>
          </w:p>
        </w:tc>
        <w:tc>
          <w:tcPr>
            <w:tcW w:w="0" w:type="dxa"/>
            <w:tcBorders>
              <w:bottom w:val="single" w:sz="12" w:space="0" w:color="auto"/>
            </w:tcBorders>
          </w:tcPr>
          <w:p w14:paraId="18CE9042" w14:textId="28821F6D" w:rsidR="00872CF3" w:rsidRDefault="00872CF3" w:rsidP="008814D1">
            <w:pPr>
              <w:ind w:left="170" w:hanging="170"/>
              <w:jc w:val="left"/>
            </w:pPr>
            <w:r w:rsidRPr="00F2164E">
              <w:t xml:space="preserve">Capital </w:t>
            </w:r>
            <w:r w:rsidR="00FE110D">
              <w:rPr>
                <w:lang w:eastAsia="zh-CN"/>
              </w:rPr>
              <w:t>contribution</w:t>
            </w:r>
            <w:r w:rsidR="008D7BDD">
              <w:rPr>
                <w:lang w:eastAsia="zh-CN"/>
              </w:rPr>
              <w:t>s</w:t>
            </w:r>
          </w:p>
        </w:tc>
        <w:tc>
          <w:tcPr>
            <w:tcW w:w="0" w:type="dxa"/>
            <w:tcBorders>
              <w:bottom w:val="single" w:sz="12" w:space="0" w:color="auto"/>
            </w:tcBorders>
            <w:vAlign w:val="center"/>
          </w:tcPr>
          <w:p w14:paraId="392D7F71" w14:textId="29471C82" w:rsidR="00872CF3" w:rsidRDefault="00872CF3" w:rsidP="008814D1">
            <w:r>
              <w:rPr>
                <w:rFonts w:ascii="Arial" w:hAnsi="Arial" w:cs="Arial"/>
                <w:color w:val="000000"/>
                <w:szCs w:val="16"/>
              </w:rPr>
              <w:t>..</w:t>
            </w:r>
          </w:p>
        </w:tc>
        <w:tc>
          <w:tcPr>
            <w:tcW w:w="0" w:type="dxa"/>
            <w:tcBorders>
              <w:bottom w:val="single" w:sz="12" w:space="0" w:color="auto"/>
            </w:tcBorders>
            <w:vAlign w:val="center"/>
          </w:tcPr>
          <w:p w14:paraId="5E80E87D" w14:textId="281D7EAB" w:rsidR="00872CF3" w:rsidRDefault="00872CF3" w:rsidP="008814D1">
            <w:r>
              <w:rPr>
                <w:rFonts w:ascii="Arial" w:hAnsi="Arial" w:cs="Arial"/>
                <w:color w:val="000000"/>
                <w:szCs w:val="16"/>
              </w:rPr>
              <w:t>..</w:t>
            </w:r>
          </w:p>
        </w:tc>
        <w:tc>
          <w:tcPr>
            <w:tcW w:w="1417" w:type="dxa"/>
            <w:tcBorders>
              <w:bottom w:val="single" w:sz="12" w:space="0" w:color="auto"/>
            </w:tcBorders>
            <w:vAlign w:val="center"/>
          </w:tcPr>
          <w:p w14:paraId="1263F993" w14:textId="0E913EFD" w:rsidR="00872CF3" w:rsidRDefault="00872CF3" w:rsidP="008814D1">
            <w:r>
              <w:rPr>
                <w:rFonts w:ascii="Arial" w:hAnsi="Arial" w:cs="Arial"/>
                <w:color w:val="000000"/>
                <w:szCs w:val="16"/>
              </w:rPr>
              <w:t>10</w:t>
            </w:r>
            <w:r>
              <w:rPr>
                <w:rFonts w:ascii="Arial" w:hAnsi="Arial" w:cs="Arial" w:hint="eastAsia"/>
                <w:color w:val="000000"/>
                <w:szCs w:val="16"/>
                <w:lang w:eastAsia="zh-CN"/>
              </w:rPr>
              <w:t xml:space="preserve"> </w:t>
            </w:r>
            <w:r>
              <w:rPr>
                <w:rFonts w:ascii="Arial" w:hAnsi="Arial" w:cs="Arial"/>
                <w:color w:val="000000"/>
                <w:szCs w:val="16"/>
              </w:rPr>
              <w:t>500</w:t>
            </w:r>
          </w:p>
        </w:tc>
        <w:tc>
          <w:tcPr>
            <w:tcW w:w="1134" w:type="dxa"/>
            <w:tcBorders>
              <w:bottom w:val="single" w:sz="12" w:space="0" w:color="auto"/>
            </w:tcBorders>
            <w:vAlign w:val="center"/>
          </w:tcPr>
          <w:p w14:paraId="206A410A" w14:textId="752A33B8" w:rsidR="00872CF3" w:rsidRDefault="00872CF3" w:rsidP="008814D1">
            <w:r>
              <w:rPr>
                <w:rFonts w:ascii="Arial" w:hAnsi="Arial" w:cs="Arial"/>
                <w:color w:val="000000"/>
                <w:szCs w:val="16"/>
              </w:rPr>
              <w:t>10</w:t>
            </w:r>
            <w:r>
              <w:rPr>
                <w:rFonts w:ascii="Arial" w:hAnsi="Arial" w:cs="Arial" w:hint="eastAsia"/>
                <w:color w:val="000000"/>
                <w:szCs w:val="16"/>
                <w:lang w:eastAsia="zh-CN"/>
              </w:rPr>
              <w:t xml:space="preserve"> </w:t>
            </w:r>
            <w:r>
              <w:rPr>
                <w:rFonts w:ascii="Arial" w:hAnsi="Arial" w:cs="Arial"/>
                <w:color w:val="000000"/>
                <w:szCs w:val="16"/>
              </w:rPr>
              <w:t>500</w:t>
            </w:r>
          </w:p>
        </w:tc>
      </w:tr>
      <w:tr w:rsidR="00E60980" w14:paraId="75F3DD52" w14:textId="77777777" w:rsidTr="00573BA1">
        <w:trPr>
          <w:trHeight w:val="260"/>
        </w:trPr>
        <w:tc>
          <w:tcPr>
            <w:tcW w:w="1276" w:type="dxa"/>
          </w:tcPr>
          <w:p w14:paraId="7168FA7E" w14:textId="77777777" w:rsidR="00872CF3" w:rsidRDefault="00872CF3" w:rsidP="00BC068B">
            <w:pPr>
              <w:jc w:val="left"/>
            </w:pPr>
          </w:p>
        </w:tc>
        <w:tc>
          <w:tcPr>
            <w:tcW w:w="3402" w:type="dxa"/>
          </w:tcPr>
          <w:p w14:paraId="635EB16D" w14:textId="77777777" w:rsidR="00872CF3" w:rsidRDefault="00872CF3" w:rsidP="00BC068B">
            <w:pPr>
              <w:ind w:left="170" w:hanging="170"/>
              <w:jc w:val="left"/>
            </w:pPr>
            <w:r>
              <w:rPr>
                <w:b/>
              </w:rPr>
              <w:t xml:space="preserve">Balance </w:t>
            </w:r>
            <w:proofErr w:type="gramStart"/>
            <w:r>
              <w:rPr>
                <w:b/>
              </w:rPr>
              <w:t>at</w:t>
            </w:r>
            <w:proofErr w:type="gramEnd"/>
            <w:r>
              <w:rPr>
                <w:b/>
              </w:rPr>
              <w:t xml:space="preserve"> 30 June 20X1</w:t>
            </w:r>
          </w:p>
        </w:tc>
        <w:tc>
          <w:tcPr>
            <w:tcW w:w="1418" w:type="dxa"/>
            <w:vAlign w:val="center"/>
          </w:tcPr>
          <w:p w14:paraId="4A3E3DC0" w14:textId="6F0F0271" w:rsidR="00872CF3" w:rsidRDefault="00872CF3" w:rsidP="00BC068B">
            <w:r>
              <w:rPr>
                <w:rFonts w:ascii="Arial" w:hAnsi="Arial" w:cs="Arial"/>
                <w:b/>
                <w:bCs/>
                <w:color w:val="000000"/>
                <w:szCs w:val="16"/>
              </w:rPr>
              <w:t>15</w:t>
            </w:r>
            <w:r>
              <w:rPr>
                <w:rFonts w:ascii="Arial" w:hAnsi="Arial" w:cs="Arial" w:hint="eastAsia"/>
                <w:b/>
                <w:bCs/>
                <w:color w:val="000000"/>
                <w:szCs w:val="16"/>
                <w:lang w:eastAsia="zh-CN"/>
              </w:rPr>
              <w:t xml:space="preserve"> </w:t>
            </w:r>
            <w:r>
              <w:rPr>
                <w:rFonts w:ascii="Arial" w:hAnsi="Arial" w:cs="Arial"/>
                <w:b/>
                <w:bCs/>
                <w:color w:val="000000"/>
                <w:szCs w:val="16"/>
              </w:rPr>
              <w:t>759</w:t>
            </w:r>
          </w:p>
        </w:tc>
        <w:tc>
          <w:tcPr>
            <w:tcW w:w="992" w:type="dxa"/>
            <w:vAlign w:val="center"/>
          </w:tcPr>
          <w:p w14:paraId="7AD47950" w14:textId="2DDD98C5" w:rsidR="00872CF3" w:rsidRDefault="00872CF3" w:rsidP="00BC068B">
            <w:r>
              <w:rPr>
                <w:rFonts w:ascii="Arial" w:hAnsi="Arial" w:cs="Arial"/>
                <w:b/>
                <w:bCs/>
                <w:color w:val="000000"/>
                <w:szCs w:val="16"/>
              </w:rPr>
              <w:t>70</w:t>
            </w:r>
            <w:r>
              <w:rPr>
                <w:rFonts w:ascii="Arial" w:hAnsi="Arial" w:cs="Arial" w:hint="eastAsia"/>
                <w:b/>
                <w:bCs/>
                <w:color w:val="000000"/>
                <w:szCs w:val="16"/>
                <w:lang w:eastAsia="zh-CN"/>
              </w:rPr>
              <w:t xml:space="preserve"> </w:t>
            </w:r>
            <w:r>
              <w:rPr>
                <w:rFonts w:ascii="Arial" w:hAnsi="Arial" w:cs="Arial"/>
                <w:b/>
                <w:bCs/>
                <w:color w:val="000000"/>
                <w:szCs w:val="16"/>
              </w:rPr>
              <w:t>482</w:t>
            </w:r>
          </w:p>
        </w:tc>
        <w:tc>
          <w:tcPr>
            <w:tcW w:w="1417" w:type="dxa"/>
            <w:vAlign w:val="center"/>
          </w:tcPr>
          <w:p w14:paraId="443EDFAF" w14:textId="293A90D0" w:rsidR="00872CF3" w:rsidRDefault="00872CF3" w:rsidP="00BC068B">
            <w:r>
              <w:rPr>
                <w:rFonts w:ascii="Arial" w:hAnsi="Arial" w:cs="Arial"/>
                <w:b/>
                <w:bCs/>
                <w:color w:val="000000"/>
                <w:szCs w:val="16"/>
              </w:rPr>
              <w:t>50</w:t>
            </w:r>
            <w:r>
              <w:rPr>
                <w:rFonts w:ascii="Arial" w:hAnsi="Arial" w:cs="Arial" w:hint="eastAsia"/>
                <w:b/>
                <w:bCs/>
                <w:color w:val="000000"/>
                <w:szCs w:val="16"/>
                <w:lang w:eastAsia="zh-CN"/>
              </w:rPr>
              <w:t xml:space="preserve"> </w:t>
            </w:r>
            <w:r>
              <w:rPr>
                <w:rFonts w:ascii="Arial" w:hAnsi="Arial" w:cs="Arial"/>
                <w:b/>
                <w:bCs/>
                <w:color w:val="000000"/>
                <w:szCs w:val="16"/>
              </w:rPr>
              <w:t>660</w:t>
            </w:r>
          </w:p>
        </w:tc>
        <w:tc>
          <w:tcPr>
            <w:tcW w:w="1134" w:type="dxa"/>
            <w:vAlign w:val="center"/>
          </w:tcPr>
          <w:p w14:paraId="3B180C86" w14:textId="46D24DD5" w:rsidR="00872CF3" w:rsidRDefault="00872CF3" w:rsidP="00BC068B">
            <w:r>
              <w:rPr>
                <w:rFonts w:ascii="Arial" w:hAnsi="Arial" w:cs="Arial"/>
                <w:b/>
                <w:bCs/>
                <w:color w:val="000000"/>
                <w:szCs w:val="16"/>
              </w:rPr>
              <w:t>136</w:t>
            </w:r>
            <w:r>
              <w:rPr>
                <w:rFonts w:ascii="Arial" w:hAnsi="Arial" w:cs="Arial" w:hint="eastAsia"/>
                <w:b/>
                <w:bCs/>
                <w:color w:val="000000"/>
                <w:szCs w:val="16"/>
                <w:lang w:eastAsia="zh-CN"/>
              </w:rPr>
              <w:t xml:space="preserve"> </w:t>
            </w:r>
            <w:r>
              <w:rPr>
                <w:rFonts w:ascii="Arial" w:hAnsi="Arial" w:cs="Arial"/>
                <w:b/>
                <w:bCs/>
                <w:color w:val="000000"/>
                <w:szCs w:val="16"/>
              </w:rPr>
              <w:t>901</w:t>
            </w:r>
          </w:p>
        </w:tc>
      </w:tr>
      <w:tr w:rsidR="00E60980" w14:paraId="3A985186" w14:textId="77777777" w:rsidTr="00573BA1">
        <w:trPr>
          <w:trHeight w:val="260"/>
        </w:trPr>
        <w:tc>
          <w:tcPr>
            <w:tcW w:w="1276" w:type="dxa"/>
          </w:tcPr>
          <w:p w14:paraId="7311CE88" w14:textId="77777777" w:rsidR="00872CF3" w:rsidRDefault="00872CF3" w:rsidP="00BC068B">
            <w:pPr>
              <w:jc w:val="left"/>
            </w:pPr>
          </w:p>
        </w:tc>
        <w:tc>
          <w:tcPr>
            <w:tcW w:w="3402" w:type="dxa"/>
          </w:tcPr>
          <w:p w14:paraId="0D2D20E9" w14:textId="77777777" w:rsidR="00872CF3" w:rsidRDefault="00872CF3" w:rsidP="00BC068B">
            <w:pPr>
              <w:ind w:left="170" w:hanging="170"/>
              <w:jc w:val="left"/>
            </w:pPr>
            <w:r>
              <w:rPr>
                <w:b/>
              </w:rPr>
              <w:t xml:space="preserve">Balance </w:t>
            </w:r>
            <w:proofErr w:type="gramStart"/>
            <w:r>
              <w:rPr>
                <w:b/>
              </w:rPr>
              <w:t>at</w:t>
            </w:r>
            <w:proofErr w:type="gramEnd"/>
            <w:r>
              <w:rPr>
                <w:b/>
              </w:rPr>
              <w:t xml:space="preserve"> 1 July 20X1</w:t>
            </w:r>
          </w:p>
        </w:tc>
        <w:tc>
          <w:tcPr>
            <w:tcW w:w="1418" w:type="dxa"/>
            <w:vAlign w:val="center"/>
          </w:tcPr>
          <w:p w14:paraId="14700D7E" w14:textId="0D00CF28" w:rsidR="00872CF3" w:rsidRDefault="00872CF3" w:rsidP="00BC068B">
            <w:r>
              <w:rPr>
                <w:rFonts w:ascii="Arial" w:hAnsi="Arial" w:cs="Arial"/>
                <w:b/>
                <w:bCs/>
                <w:color w:val="000000"/>
                <w:szCs w:val="16"/>
              </w:rPr>
              <w:t>15</w:t>
            </w:r>
            <w:r>
              <w:rPr>
                <w:rFonts w:ascii="Arial" w:hAnsi="Arial" w:cs="Arial" w:hint="eastAsia"/>
                <w:b/>
                <w:bCs/>
                <w:color w:val="000000"/>
                <w:szCs w:val="16"/>
                <w:lang w:eastAsia="zh-CN"/>
              </w:rPr>
              <w:t xml:space="preserve"> </w:t>
            </w:r>
            <w:r>
              <w:rPr>
                <w:rFonts w:ascii="Arial" w:hAnsi="Arial" w:cs="Arial"/>
                <w:b/>
                <w:bCs/>
                <w:color w:val="000000"/>
                <w:szCs w:val="16"/>
              </w:rPr>
              <w:t>759</w:t>
            </w:r>
          </w:p>
        </w:tc>
        <w:tc>
          <w:tcPr>
            <w:tcW w:w="992" w:type="dxa"/>
            <w:vAlign w:val="center"/>
          </w:tcPr>
          <w:p w14:paraId="38E8C7AE" w14:textId="7317DEC9" w:rsidR="00872CF3" w:rsidRDefault="00872CF3" w:rsidP="00BC068B">
            <w:r>
              <w:rPr>
                <w:rFonts w:ascii="Arial" w:hAnsi="Arial" w:cs="Arial"/>
                <w:b/>
                <w:bCs/>
                <w:color w:val="000000"/>
                <w:szCs w:val="16"/>
              </w:rPr>
              <w:t>70</w:t>
            </w:r>
            <w:r>
              <w:rPr>
                <w:rFonts w:ascii="Arial" w:hAnsi="Arial" w:cs="Arial" w:hint="eastAsia"/>
                <w:b/>
                <w:bCs/>
                <w:color w:val="000000"/>
                <w:szCs w:val="16"/>
                <w:lang w:eastAsia="zh-CN"/>
              </w:rPr>
              <w:t xml:space="preserve"> </w:t>
            </w:r>
            <w:r>
              <w:rPr>
                <w:rFonts w:ascii="Arial" w:hAnsi="Arial" w:cs="Arial"/>
                <w:b/>
                <w:bCs/>
                <w:color w:val="000000"/>
                <w:szCs w:val="16"/>
              </w:rPr>
              <w:t>482</w:t>
            </w:r>
          </w:p>
        </w:tc>
        <w:tc>
          <w:tcPr>
            <w:tcW w:w="1417" w:type="dxa"/>
            <w:vAlign w:val="center"/>
          </w:tcPr>
          <w:p w14:paraId="554135A7" w14:textId="75CABA21" w:rsidR="00872CF3" w:rsidRDefault="00872CF3" w:rsidP="00BC068B">
            <w:r>
              <w:rPr>
                <w:rFonts w:ascii="Arial" w:hAnsi="Arial" w:cs="Arial"/>
                <w:b/>
                <w:bCs/>
                <w:color w:val="000000"/>
                <w:szCs w:val="16"/>
              </w:rPr>
              <w:t>50</w:t>
            </w:r>
            <w:r>
              <w:rPr>
                <w:rFonts w:ascii="Arial" w:hAnsi="Arial" w:cs="Arial" w:hint="eastAsia"/>
                <w:b/>
                <w:bCs/>
                <w:color w:val="000000"/>
                <w:szCs w:val="16"/>
                <w:lang w:eastAsia="zh-CN"/>
              </w:rPr>
              <w:t xml:space="preserve"> </w:t>
            </w:r>
            <w:r>
              <w:rPr>
                <w:rFonts w:ascii="Arial" w:hAnsi="Arial" w:cs="Arial"/>
                <w:b/>
                <w:bCs/>
                <w:color w:val="000000"/>
                <w:szCs w:val="16"/>
              </w:rPr>
              <w:t>660</w:t>
            </w:r>
          </w:p>
        </w:tc>
        <w:tc>
          <w:tcPr>
            <w:tcW w:w="1134" w:type="dxa"/>
            <w:vAlign w:val="center"/>
          </w:tcPr>
          <w:p w14:paraId="41B42088" w14:textId="7D538097" w:rsidR="00872CF3" w:rsidRDefault="00872CF3" w:rsidP="00BC068B">
            <w:r>
              <w:rPr>
                <w:rFonts w:ascii="Arial" w:hAnsi="Arial" w:cs="Arial"/>
                <w:b/>
                <w:bCs/>
                <w:color w:val="000000"/>
                <w:szCs w:val="16"/>
              </w:rPr>
              <w:t>136</w:t>
            </w:r>
            <w:r>
              <w:rPr>
                <w:rFonts w:ascii="Arial" w:hAnsi="Arial" w:cs="Arial" w:hint="eastAsia"/>
                <w:b/>
                <w:bCs/>
                <w:color w:val="000000"/>
                <w:szCs w:val="16"/>
                <w:lang w:eastAsia="zh-CN"/>
              </w:rPr>
              <w:t xml:space="preserve"> </w:t>
            </w:r>
            <w:r>
              <w:rPr>
                <w:rFonts w:ascii="Arial" w:hAnsi="Arial" w:cs="Arial"/>
                <w:b/>
                <w:bCs/>
                <w:color w:val="000000"/>
                <w:szCs w:val="16"/>
              </w:rPr>
              <w:t>901</w:t>
            </w:r>
          </w:p>
        </w:tc>
      </w:tr>
      <w:tr w:rsidR="00E60980" w14:paraId="6C37FF9E" w14:textId="77777777" w:rsidTr="00573BA1">
        <w:trPr>
          <w:trHeight w:val="260"/>
        </w:trPr>
        <w:tc>
          <w:tcPr>
            <w:tcW w:w="1276" w:type="dxa"/>
          </w:tcPr>
          <w:p w14:paraId="596A755D" w14:textId="77777777" w:rsidR="00872CF3" w:rsidRDefault="00872CF3" w:rsidP="00AA54A7">
            <w:pPr>
              <w:jc w:val="left"/>
            </w:pPr>
          </w:p>
        </w:tc>
        <w:tc>
          <w:tcPr>
            <w:tcW w:w="3402" w:type="dxa"/>
          </w:tcPr>
          <w:p w14:paraId="64256080" w14:textId="77777777" w:rsidR="00872CF3" w:rsidRDefault="00872CF3" w:rsidP="00AA54A7">
            <w:pPr>
              <w:ind w:left="170" w:hanging="170"/>
              <w:jc w:val="left"/>
            </w:pPr>
            <w:r w:rsidRPr="002A0038">
              <w:t>Net result for the year</w:t>
            </w:r>
          </w:p>
        </w:tc>
        <w:tc>
          <w:tcPr>
            <w:tcW w:w="1418" w:type="dxa"/>
            <w:vAlign w:val="center"/>
          </w:tcPr>
          <w:p w14:paraId="14E50C93" w14:textId="077923C2" w:rsidR="00872CF3" w:rsidRDefault="00872CF3" w:rsidP="00AA54A7">
            <w:r>
              <w:rPr>
                <w:rFonts w:ascii="Arial" w:hAnsi="Arial" w:cs="Arial"/>
                <w:color w:val="000000"/>
                <w:szCs w:val="16"/>
              </w:rPr>
              <w:t>..</w:t>
            </w:r>
          </w:p>
        </w:tc>
        <w:tc>
          <w:tcPr>
            <w:tcW w:w="992" w:type="dxa"/>
            <w:vAlign w:val="center"/>
          </w:tcPr>
          <w:p w14:paraId="68E47EF8" w14:textId="4D5D898A" w:rsidR="00872CF3" w:rsidRDefault="00872CF3" w:rsidP="00AA54A7">
            <w:r>
              <w:rPr>
                <w:rFonts w:ascii="Arial" w:hAnsi="Arial" w:cs="Arial"/>
                <w:color w:val="000000"/>
                <w:szCs w:val="16"/>
              </w:rPr>
              <w:t>9</w:t>
            </w:r>
            <w:r>
              <w:rPr>
                <w:rFonts w:ascii="Arial" w:hAnsi="Arial" w:cs="Arial" w:hint="eastAsia"/>
                <w:color w:val="000000"/>
                <w:szCs w:val="16"/>
                <w:lang w:eastAsia="zh-CN"/>
              </w:rPr>
              <w:t xml:space="preserve"> </w:t>
            </w:r>
            <w:r>
              <w:rPr>
                <w:rFonts w:ascii="Arial" w:hAnsi="Arial" w:cs="Arial"/>
                <w:color w:val="000000"/>
                <w:szCs w:val="16"/>
              </w:rPr>
              <w:t>447</w:t>
            </w:r>
          </w:p>
        </w:tc>
        <w:tc>
          <w:tcPr>
            <w:tcW w:w="1417" w:type="dxa"/>
            <w:vAlign w:val="center"/>
          </w:tcPr>
          <w:p w14:paraId="20E7EA14" w14:textId="18725897" w:rsidR="00872CF3" w:rsidRDefault="00872CF3" w:rsidP="00AA54A7">
            <w:r>
              <w:rPr>
                <w:rFonts w:ascii="Arial" w:hAnsi="Arial" w:cs="Arial"/>
                <w:color w:val="000000"/>
                <w:szCs w:val="16"/>
              </w:rPr>
              <w:t>..</w:t>
            </w:r>
          </w:p>
        </w:tc>
        <w:tc>
          <w:tcPr>
            <w:tcW w:w="1134" w:type="dxa"/>
            <w:vAlign w:val="center"/>
          </w:tcPr>
          <w:p w14:paraId="7C0BD003" w14:textId="75BD4A15" w:rsidR="00872CF3" w:rsidRDefault="00872CF3" w:rsidP="00AA54A7">
            <w:r>
              <w:rPr>
                <w:rFonts w:ascii="Arial" w:hAnsi="Arial" w:cs="Arial"/>
                <w:color w:val="000000"/>
                <w:szCs w:val="16"/>
              </w:rPr>
              <w:t>9</w:t>
            </w:r>
            <w:r>
              <w:rPr>
                <w:rFonts w:ascii="Arial" w:hAnsi="Arial" w:cs="Arial" w:hint="eastAsia"/>
                <w:color w:val="000000"/>
                <w:szCs w:val="16"/>
                <w:lang w:eastAsia="zh-CN"/>
              </w:rPr>
              <w:t xml:space="preserve"> </w:t>
            </w:r>
            <w:r>
              <w:rPr>
                <w:rFonts w:ascii="Arial" w:hAnsi="Arial" w:cs="Arial"/>
                <w:color w:val="000000"/>
                <w:szCs w:val="16"/>
              </w:rPr>
              <w:t>447</w:t>
            </w:r>
          </w:p>
        </w:tc>
      </w:tr>
      <w:tr w:rsidR="00E60980" w14:paraId="39C1F5B8" w14:textId="77777777" w:rsidTr="00573BA1">
        <w:trPr>
          <w:trHeight w:val="249"/>
        </w:trPr>
        <w:tc>
          <w:tcPr>
            <w:tcW w:w="1276" w:type="dxa"/>
          </w:tcPr>
          <w:p w14:paraId="3B564C68" w14:textId="77777777" w:rsidR="00872CF3" w:rsidRDefault="00872CF3" w:rsidP="00AA54A7">
            <w:pPr>
              <w:jc w:val="left"/>
            </w:pPr>
          </w:p>
        </w:tc>
        <w:tc>
          <w:tcPr>
            <w:tcW w:w="3402" w:type="dxa"/>
          </w:tcPr>
          <w:p w14:paraId="78BDFCEE" w14:textId="77777777" w:rsidR="00872CF3" w:rsidRDefault="00872CF3" w:rsidP="00AA54A7">
            <w:pPr>
              <w:ind w:left="170" w:hanging="170"/>
              <w:jc w:val="left"/>
            </w:pPr>
            <w:r>
              <w:t>Other comprehensive income for the year</w:t>
            </w:r>
          </w:p>
        </w:tc>
        <w:tc>
          <w:tcPr>
            <w:tcW w:w="1418" w:type="dxa"/>
            <w:vAlign w:val="center"/>
          </w:tcPr>
          <w:p w14:paraId="4A57FD4B" w14:textId="79CFEE6D" w:rsidR="00872CF3" w:rsidRDefault="00872CF3" w:rsidP="00AA54A7">
            <w:r>
              <w:rPr>
                <w:rFonts w:ascii="Arial" w:hAnsi="Arial" w:cs="Arial"/>
                <w:color w:val="000000"/>
                <w:szCs w:val="16"/>
              </w:rPr>
              <w:t>7</w:t>
            </w:r>
            <w:r>
              <w:rPr>
                <w:rFonts w:ascii="Arial" w:hAnsi="Arial" w:cs="Arial" w:hint="eastAsia"/>
                <w:color w:val="000000"/>
                <w:szCs w:val="16"/>
                <w:lang w:eastAsia="zh-CN"/>
              </w:rPr>
              <w:t xml:space="preserve"> </w:t>
            </w:r>
            <w:r>
              <w:rPr>
                <w:rFonts w:ascii="Arial" w:hAnsi="Arial" w:cs="Arial"/>
                <w:color w:val="000000"/>
                <w:szCs w:val="16"/>
              </w:rPr>
              <w:t>403</w:t>
            </w:r>
          </w:p>
        </w:tc>
        <w:tc>
          <w:tcPr>
            <w:tcW w:w="992" w:type="dxa"/>
            <w:vAlign w:val="center"/>
          </w:tcPr>
          <w:p w14:paraId="6ECCEB3C" w14:textId="38FAD3E5" w:rsidR="00872CF3" w:rsidRDefault="00872CF3" w:rsidP="00AA54A7">
            <w:r>
              <w:rPr>
                <w:rFonts w:ascii="Arial" w:hAnsi="Arial" w:cs="Arial"/>
                <w:color w:val="000000"/>
                <w:szCs w:val="16"/>
              </w:rPr>
              <w:t>..</w:t>
            </w:r>
          </w:p>
        </w:tc>
        <w:tc>
          <w:tcPr>
            <w:tcW w:w="1417" w:type="dxa"/>
            <w:vAlign w:val="center"/>
          </w:tcPr>
          <w:p w14:paraId="46695355" w14:textId="099FBB42" w:rsidR="00872CF3" w:rsidRDefault="00872CF3" w:rsidP="00AA54A7">
            <w:r>
              <w:rPr>
                <w:rFonts w:ascii="Arial" w:hAnsi="Arial" w:cs="Arial"/>
                <w:color w:val="000000"/>
                <w:szCs w:val="16"/>
              </w:rPr>
              <w:t>..</w:t>
            </w:r>
          </w:p>
        </w:tc>
        <w:tc>
          <w:tcPr>
            <w:tcW w:w="1134" w:type="dxa"/>
            <w:vAlign w:val="center"/>
          </w:tcPr>
          <w:p w14:paraId="51AECB81" w14:textId="29A9FBEC" w:rsidR="00872CF3" w:rsidRDefault="00872CF3" w:rsidP="00AA54A7">
            <w:r>
              <w:rPr>
                <w:rFonts w:ascii="Arial" w:hAnsi="Arial" w:cs="Arial"/>
                <w:color w:val="000000"/>
                <w:szCs w:val="16"/>
              </w:rPr>
              <w:t>7</w:t>
            </w:r>
            <w:r>
              <w:rPr>
                <w:rFonts w:ascii="Arial" w:hAnsi="Arial" w:cs="Arial" w:hint="eastAsia"/>
                <w:color w:val="000000"/>
                <w:szCs w:val="16"/>
                <w:lang w:eastAsia="zh-CN"/>
              </w:rPr>
              <w:t xml:space="preserve"> </w:t>
            </w:r>
            <w:r>
              <w:rPr>
                <w:rFonts w:ascii="Arial" w:hAnsi="Arial" w:cs="Arial"/>
                <w:color w:val="000000"/>
                <w:szCs w:val="16"/>
              </w:rPr>
              <w:t>403</w:t>
            </w:r>
          </w:p>
        </w:tc>
      </w:tr>
      <w:tr w:rsidR="00E60980" w14:paraId="0F609E21" w14:textId="77777777" w:rsidTr="00573BA1">
        <w:trPr>
          <w:trHeight w:val="249"/>
        </w:trPr>
        <w:tc>
          <w:tcPr>
            <w:tcW w:w="1276" w:type="dxa"/>
          </w:tcPr>
          <w:p w14:paraId="0E56443C" w14:textId="77777777" w:rsidR="00FE3832" w:rsidRDefault="00FE3832" w:rsidP="00AA54A7"/>
        </w:tc>
        <w:tc>
          <w:tcPr>
            <w:tcW w:w="3402" w:type="dxa"/>
          </w:tcPr>
          <w:p w14:paraId="1E8474EF" w14:textId="13A2208B" w:rsidR="00FE3832" w:rsidRPr="00E10CD7" w:rsidRDefault="00FE3832" w:rsidP="00E10CD7">
            <w:pPr>
              <w:ind w:left="170" w:hanging="170"/>
              <w:jc w:val="left"/>
              <w:rPr>
                <w:b/>
                <w:bCs/>
                <w:lang w:eastAsia="zh-CN"/>
              </w:rPr>
            </w:pPr>
            <w:r w:rsidRPr="00E10CD7">
              <w:rPr>
                <w:b/>
                <w:bCs/>
                <w:lang w:eastAsia="zh-CN"/>
              </w:rPr>
              <w:t>Total comprehensive income for the year</w:t>
            </w:r>
          </w:p>
        </w:tc>
        <w:tc>
          <w:tcPr>
            <w:tcW w:w="1418" w:type="dxa"/>
            <w:vAlign w:val="center"/>
          </w:tcPr>
          <w:p w14:paraId="5A86C512" w14:textId="6637CC74" w:rsidR="00FE3832" w:rsidRPr="00E10CD7" w:rsidRDefault="00FE3832" w:rsidP="00AA54A7">
            <w:pPr>
              <w:rPr>
                <w:rFonts w:ascii="Arial" w:hAnsi="Arial" w:cs="Arial"/>
                <w:b/>
                <w:bCs/>
                <w:color w:val="000000"/>
                <w:szCs w:val="16"/>
                <w:lang w:eastAsia="zh-CN"/>
              </w:rPr>
            </w:pPr>
            <w:r w:rsidRPr="00E10CD7">
              <w:rPr>
                <w:rFonts w:ascii="Arial" w:hAnsi="Arial" w:cs="Arial"/>
                <w:b/>
                <w:bCs/>
                <w:color w:val="000000"/>
                <w:szCs w:val="16"/>
                <w:lang w:eastAsia="zh-CN"/>
              </w:rPr>
              <w:t>7 403</w:t>
            </w:r>
          </w:p>
        </w:tc>
        <w:tc>
          <w:tcPr>
            <w:tcW w:w="992" w:type="dxa"/>
            <w:vAlign w:val="center"/>
          </w:tcPr>
          <w:p w14:paraId="7F4331FB" w14:textId="42954031" w:rsidR="00FE3832" w:rsidRPr="00E10CD7" w:rsidRDefault="00FE3832" w:rsidP="00AA54A7">
            <w:pPr>
              <w:rPr>
                <w:rFonts w:ascii="Arial" w:hAnsi="Arial" w:cs="Arial"/>
                <w:b/>
                <w:bCs/>
                <w:color w:val="000000"/>
                <w:szCs w:val="16"/>
                <w:lang w:eastAsia="zh-CN"/>
              </w:rPr>
            </w:pPr>
            <w:r w:rsidRPr="00E10CD7">
              <w:rPr>
                <w:rFonts w:ascii="Arial" w:hAnsi="Arial" w:cs="Arial"/>
                <w:b/>
                <w:bCs/>
                <w:color w:val="000000"/>
                <w:szCs w:val="16"/>
                <w:lang w:eastAsia="zh-CN"/>
              </w:rPr>
              <w:t>9 447</w:t>
            </w:r>
          </w:p>
        </w:tc>
        <w:tc>
          <w:tcPr>
            <w:tcW w:w="1417" w:type="dxa"/>
            <w:vAlign w:val="center"/>
          </w:tcPr>
          <w:p w14:paraId="4FE16058" w14:textId="5C5C396C" w:rsidR="00FE3832" w:rsidRPr="00E10CD7" w:rsidRDefault="00FE3832" w:rsidP="00AA54A7">
            <w:pPr>
              <w:rPr>
                <w:rFonts w:ascii="Arial" w:hAnsi="Arial" w:cs="Arial"/>
                <w:b/>
                <w:bCs/>
                <w:color w:val="000000"/>
                <w:szCs w:val="16"/>
                <w:lang w:eastAsia="zh-CN"/>
              </w:rPr>
            </w:pPr>
            <w:r w:rsidRPr="00E10CD7">
              <w:rPr>
                <w:rFonts w:ascii="Arial" w:hAnsi="Arial" w:cs="Arial"/>
                <w:b/>
                <w:bCs/>
                <w:color w:val="000000"/>
                <w:szCs w:val="16"/>
                <w:lang w:eastAsia="zh-CN"/>
              </w:rPr>
              <w:t>..</w:t>
            </w:r>
          </w:p>
        </w:tc>
        <w:tc>
          <w:tcPr>
            <w:tcW w:w="1134" w:type="dxa"/>
            <w:vAlign w:val="center"/>
          </w:tcPr>
          <w:p w14:paraId="1439FB0B" w14:textId="59BFB45B" w:rsidR="00FE3832" w:rsidRPr="00E10CD7" w:rsidRDefault="00FE3832" w:rsidP="00AA54A7">
            <w:pPr>
              <w:rPr>
                <w:rFonts w:ascii="Arial" w:hAnsi="Arial" w:cs="Arial"/>
                <w:b/>
                <w:bCs/>
                <w:color w:val="000000"/>
                <w:szCs w:val="16"/>
                <w:lang w:eastAsia="zh-CN"/>
              </w:rPr>
            </w:pPr>
            <w:r w:rsidRPr="00E10CD7">
              <w:rPr>
                <w:rFonts w:ascii="Arial" w:hAnsi="Arial" w:cs="Arial"/>
                <w:b/>
                <w:bCs/>
                <w:color w:val="000000"/>
                <w:szCs w:val="16"/>
                <w:lang w:eastAsia="zh-CN"/>
              </w:rPr>
              <w:t>16 850</w:t>
            </w:r>
          </w:p>
        </w:tc>
      </w:tr>
      <w:tr w:rsidR="00E60980" w14:paraId="0D7145A2" w14:textId="77777777" w:rsidTr="00573BA1">
        <w:trPr>
          <w:trHeight w:val="260"/>
        </w:trPr>
        <w:tc>
          <w:tcPr>
            <w:tcW w:w="1276" w:type="dxa"/>
          </w:tcPr>
          <w:p w14:paraId="46777B1C" w14:textId="77777777" w:rsidR="00872CF3" w:rsidRDefault="00872CF3" w:rsidP="00AA54A7">
            <w:pPr>
              <w:jc w:val="left"/>
            </w:pPr>
          </w:p>
        </w:tc>
        <w:tc>
          <w:tcPr>
            <w:tcW w:w="3402" w:type="dxa"/>
          </w:tcPr>
          <w:p w14:paraId="70BAB1CB" w14:textId="77777777" w:rsidR="00872CF3" w:rsidRDefault="00872CF3" w:rsidP="00AA54A7">
            <w:pPr>
              <w:ind w:left="170" w:hanging="170"/>
              <w:jc w:val="left"/>
            </w:pPr>
            <w:r>
              <w:t>Transfer to accumulated surplus</w:t>
            </w:r>
          </w:p>
        </w:tc>
        <w:tc>
          <w:tcPr>
            <w:tcW w:w="1418" w:type="dxa"/>
            <w:vAlign w:val="center"/>
          </w:tcPr>
          <w:p w14:paraId="4EEAB8C1" w14:textId="745B581D" w:rsidR="00872CF3" w:rsidRDefault="00872CF3" w:rsidP="00AA54A7">
            <w:r>
              <w:rPr>
                <w:rFonts w:ascii="Arial" w:hAnsi="Arial" w:cs="Arial"/>
                <w:color w:val="000000"/>
                <w:szCs w:val="16"/>
              </w:rPr>
              <w:t>(637)</w:t>
            </w:r>
          </w:p>
        </w:tc>
        <w:tc>
          <w:tcPr>
            <w:tcW w:w="992" w:type="dxa"/>
            <w:vAlign w:val="center"/>
          </w:tcPr>
          <w:p w14:paraId="56393FE9" w14:textId="6F503F0D" w:rsidR="00872CF3" w:rsidRDefault="00872CF3" w:rsidP="00AA54A7">
            <w:r>
              <w:rPr>
                <w:rFonts w:ascii="Arial" w:hAnsi="Arial" w:cs="Arial"/>
                <w:color w:val="000000"/>
                <w:szCs w:val="16"/>
              </w:rPr>
              <w:t>637</w:t>
            </w:r>
          </w:p>
        </w:tc>
        <w:tc>
          <w:tcPr>
            <w:tcW w:w="1417" w:type="dxa"/>
            <w:vAlign w:val="center"/>
          </w:tcPr>
          <w:p w14:paraId="6D559F17" w14:textId="748FD2ED" w:rsidR="00872CF3" w:rsidRDefault="00872CF3" w:rsidP="00AA54A7">
            <w:r>
              <w:rPr>
                <w:rFonts w:ascii="Arial" w:hAnsi="Arial" w:cs="Arial"/>
                <w:color w:val="000000"/>
                <w:szCs w:val="16"/>
              </w:rPr>
              <w:t>..</w:t>
            </w:r>
          </w:p>
        </w:tc>
        <w:tc>
          <w:tcPr>
            <w:tcW w:w="1134" w:type="dxa"/>
          </w:tcPr>
          <w:p w14:paraId="08C52035" w14:textId="4C9BBC04" w:rsidR="00872CF3" w:rsidRDefault="00872CF3" w:rsidP="00AA54A7">
            <w:r w:rsidRPr="009326A6">
              <w:rPr>
                <w:rFonts w:ascii="Arial" w:hAnsi="Arial" w:cs="Arial"/>
                <w:color w:val="000000"/>
                <w:szCs w:val="16"/>
              </w:rPr>
              <w:t>..</w:t>
            </w:r>
          </w:p>
        </w:tc>
      </w:tr>
      <w:tr w:rsidR="00E60980" w14:paraId="3A51254E" w14:textId="77777777" w:rsidTr="00573BA1">
        <w:trPr>
          <w:trHeight w:val="87"/>
        </w:trPr>
        <w:tc>
          <w:tcPr>
            <w:tcW w:w="0" w:type="dxa"/>
          </w:tcPr>
          <w:p w14:paraId="4D890A0E" w14:textId="77777777" w:rsidR="00872CF3" w:rsidRDefault="00872CF3" w:rsidP="00AA54A7">
            <w:pPr>
              <w:jc w:val="left"/>
            </w:pPr>
          </w:p>
        </w:tc>
        <w:tc>
          <w:tcPr>
            <w:tcW w:w="0" w:type="dxa"/>
            <w:tcBorders>
              <w:bottom w:val="nil"/>
            </w:tcBorders>
          </w:tcPr>
          <w:p w14:paraId="1D538963" w14:textId="77777777" w:rsidR="00872CF3" w:rsidRDefault="00872CF3" w:rsidP="00AA54A7">
            <w:pPr>
              <w:ind w:left="170" w:hanging="170"/>
              <w:jc w:val="left"/>
            </w:pPr>
            <w:r>
              <w:t>Transfer to contributed capital</w:t>
            </w:r>
          </w:p>
        </w:tc>
        <w:tc>
          <w:tcPr>
            <w:tcW w:w="0" w:type="dxa"/>
            <w:tcBorders>
              <w:bottom w:val="nil"/>
            </w:tcBorders>
            <w:vAlign w:val="center"/>
          </w:tcPr>
          <w:p w14:paraId="78DEC0CA" w14:textId="54D152E1" w:rsidR="00872CF3" w:rsidRDefault="00872CF3" w:rsidP="00AA54A7">
            <w:r>
              <w:rPr>
                <w:rFonts w:ascii="Arial" w:hAnsi="Arial" w:cs="Arial"/>
                <w:color w:val="000000"/>
                <w:szCs w:val="16"/>
              </w:rPr>
              <w:t>..</w:t>
            </w:r>
          </w:p>
        </w:tc>
        <w:tc>
          <w:tcPr>
            <w:tcW w:w="0" w:type="dxa"/>
            <w:tcBorders>
              <w:bottom w:val="nil"/>
            </w:tcBorders>
            <w:vAlign w:val="center"/>
          </w:tcPr>
          <w:p w14:paraId="7F2F5F62" w14:textId="7D656384" w:rsidR="00872CF3" w:rsidRDefault="00872CF3" w:rsidP="00AA54A7">
            <w:r>
              <w:rPr>
                <w:rFonts w:ascii="Arial" w:hAnsi="Arial" w:cs="Arial"/>
                <w:color w:val="000000"/>
                <w:szCs w:val="16"/>
              </w:rPr>
              <w:t>(6</w:t>
            </w:r>
            <w:r>
              <w:rPr>
                <w:rFonts w:ascii="Arial" w:hAnsi="Arial" w:cs="Arial" w:hint="eastAsia"/>
                <w:color w:val="000000"/>
                <w:szCs w:val="16"/>
                <w:lang w:eastAsia="zh-CN"/>
              </w:rPr>
              <w:t xml:space="preserve"> </w:t>
            </w:r>
            <w:r>
              <w:rPr>
                <w:rFonts w:ascii="Arial" w:hAnsi="Arial" w:cs="Arial"/>
                <w:color w:val="000000"/>
                <w:szCs w:val="16"/>
              </w:rPr>
              <w:t>847)</w:t>
            </w:r>
          </w:p>
        </w:tc>
        <w:tc>
          <w:tcPr>
            <w:tcW w:w="1417" w:type="dxa"/>
            <w:tcBorders>
              <w:bottom w:val="nil"/>
            </w:tcBorders>
            <w:vAlign w:val="center"/>
          </w:tcPr>
          <w:p w14:paraId="576B3919" w14:textId="35A7C0BB" w:rsidR="00872CF3" w:rsidRDefault="00872CF3" w:rsidP="00AA54A7">
            <w:r>
              <w:rPr>
                <w:rFonts w:ascii="Arial" w:hAnsi="Arial" w:cs="Arial"/>
                <w:color w:val="000000"/>
                <w:szCs w:val="16"/>
              </w:rPr>
              <w:t>6</w:t>
            </w:r>
            <w:r>
              <w:rPr>
                <w:rFonts w:ascii="Arial" w:hAnsi="Arial" w:cs="Arial" w:hint="eastAsia"/>
                <w:color w:val="000000"/>
                <w:szCs w:val="16"/>
                <w:lang w:eastAsia="zh-CN"/>
              </w:rPr>
              <w:t xml:space="preserve"> </w:t>
            </w:r>
            <w:r>
              <w:rPr>
                <w:rFonts w:ascii="Arial" w:hAnsi="Arial" w:cs="Arial"/>
                <w:color w:val="000000"/>
                <w:szCs w:val="16"/>
              </w:rPr>
              <w:t>847</w:t>
            </w:r>
          </w:p>
        </w:tc>
        <w:tc>
          <w:tcPr>
            <w:tcW w:w="1134" w:type="dxa"/>
            <w:tcBorders>
              <w:bottom w:val="nil"/>
            </w:tcBorders>
          </w:tcPr>
          <w:p w14:paraId="477A4FB8" w14:textId="7F99907C" w:rsidR="00872CF3" w:rsidRDefault="00872CF3" w:rsidP="00AA54A7">
            <w:r w:rsidRPr="009326A6">
              <w:rPr>
                <w:rFonts w:ascii="Arial" w:hAnsi="Arial" w:cs="Arial"/>
                <w:color w:val="000000"/>
                <w:szCs w:val="16"/>
              </w:rPr>
              <w:t>..</w:t>
            </w:r>
          </w:p>
        </w:tc>
      </w:tr>
      <w:tr w:rsidR="00E60980" w14:paraId="572B0770" w14:textId="77777777" w:rsidTr="00573BA1">
        <w:trPr>
          <w:trHeight w:val="260"/>
        </w:trPr>
        <w:tc>
          <w:tcPr>
            <w:tcW w:w="0" w:type="dxa"/>
          </w:tcPr>
          <w:p w14:paraId="5610E48C" w14:textId="77777777" w:rsidR="00872CF3" w:rsidRDefault="00872CF3" w:rsidP="00AA54A7">
            <w:pPr>
              <w:jc w:val="left"/>
            </w:pPr>
          </w:p>
        </w:tc>
        <w:tc>
          <w:tcPr>
            <w:tcW w:w="0" w:type="dxa"/>
            <w:tcBorders>
              <w:bottom w:val="single" w:sz="12" w:space="0" w:color="auto"/>
            </w:tcBorders>
          </w:tcPr>
          <w:p w14:paraId="611CA613" w14:textId="098D723B" w:rsidR="00872CF3" w:rsidRPr="0002691E" w:rsidRDefault="00872CF3" w:rsidP="00AA54A7">
            <w:pPr>
              <w:ind w:left="170" w:hanging="170"/>
              <w:jc w:val="left"/>
            </w:pPr>
            <w:r w:rsidRPr="0002691E">
              <w:t xml:space="preserve">Capital </w:t>
            </w:r>
            <w:r w:rsidR="00FE110D">
              <w:rPr>
                <w:lang w:eastAsia="zh-CN"/>
              </w:rPr>
              <w:t>contribution</w:t>
            </w:r>
            <w:r w:rsidR="008D7BDD">
              <w:rPr>
                <w:lang w:eastAsia="zh-CN"/>
              </w:rPr>
              <w:t>s</w:t>
            </w:r>
          </w:p>
        </w:tc>
        <w:tc>
          <w:tcPr>
            <w:tcW w:w="0" w:type="dxa"/>
            <w:tcBorders>
              <w:bottom w:val="single" w:sz="12" w:space="0" w:color="auto"/>
            </w:tcBorders>
            <w:vAlign w:val="center"/>
          </w:tcPr>
          <w:p w14:paraId="06CDAE3F" w14:textId="3067E0D8" w:rsidR="00872CF3" w:rsidRPr="0002691E" w:rsidRDefault="00872CF3" w:rsidP="00AA54A7">
            <w:r>
              <w:rPr>
                <w:rFonts w:ascii="Arial" w:hAnsi="Arial" w:cs="Arial"/>
                <w:color w:val="000000"/>
                <w:szCs w:val="16"/>
              </w:rPr>
              <w:t>..</w:t>
            </w:r>
          </w:p>
        </w:tc>
        <w:tc>
          <w:tcPr>
            <w:tcW w:w="992" w:type="dxa"/>
            <w:tcBorders>
              <w:bottom w:val="single" w:sz="12" w:space="0" w:color="auto"/>
            </w:tcBorders>
            <w:vAlign w:val="center"/>
          </w:tcPr>
          <w:p w14:paraId="65D9AC51" w14:textId="1C299DDB" w:rsidR="00872CF3" w:rsidRPr="0002691E" w:rsidRDefault="00872CF3" w:rsidP="00AA54A7">
            <w:r>
              <w:rPr>
                <w:rFonts w:ascii="Arial" w:hAnsi="Arial" w:cs="Arial"/>
                <w:color w:val="000000"/>
                <w:szCs w:val="16"/>
              </w:rPr>
              <w:t>..</w:t>
            </w:r>
          </w:p>
        </w:tc>
        <w:tc>
          <w:tcPr>
            <w:tcW w:w="1417" w:type="dxa"/>
            <w:tcBorders>
              <w:bottom w:val="single" w:sz="12" w:space="0" w:color="auto"/>
            </w:tcBorders>
            <w:vAlign w:val="center"/>
          </w:tcPr>
          <w:p w14:paraId="6AB49CC7" w14:textId="363B11D0" w:rsidR="00872CF3" w:rsidRDefault="00872CF3" w:rsidP="00AA54A7">
            <w:r>
              <w:rPr>
                <w:rFonts w:ascii="Arial" w:hAnsi="Arial" w:cs="Arial"/>
                <w:color w:val="000000"/>
                <w:szCs w:val="16"/>
              </w:rPr>
              <w:t>5</w:t>
            </w:r>
            <w:r>
              <w:rPr>
                <w:rFonts w:ascii="Arial" w:hAnsi="Arial" w:cs="Arial" w:hint="eastAsia"/>
                <w:color w:val="000000"/>
                <w:szCs w:val="16"/>
                <w:lang w:eastAsia="zh-CN"/>
              </w:rPr>
              <w:t xml:space="preserve"> </w:t>
            </w:r>
            <w:r>
              <w:rPr>
                <w:rFonts w:ascii="Arial" w:hAnsi="Arial" w:cs="Arial"/>
                <w:color w:val="000000"/>
                <w:szCs w:val="16"/>
              </w:rPr>
              <w:t>750</w:t>
            </w:r>
          </w:p>
        </w:tc>
        <w:tc>
          <w:tcPr>
            <w:tcW w:w="1134" w:type="dxa"/>
            <w:tcBorders>
              <w:bottom w:val="single" w:sz="12" w:space="0" w:color="auto"/>
            </w:tcBorders>
            <w:vAlign w:val="center"/>
          </w:tcPr>
          <w:p w14:paraId="2DEF7A13" w14:textId="13271C27" w:rsidR="00872CF3" w:rsidRDefault="00872CF3" w:rsidP="00AA54A7">
            <w:r>
              <w:rPr>
                <w:rFonts w:ascii="Arial" w:hAnsi="Arial" w:cs="Arial"/>
                <w:color w:val="000000"/>
                <w:szCs w:val="16"/>
              </w:rPr>
              <w:t>5</w:t>
            </w:r>
            <w:r>
              <w:rPr>
                <w:rFonts w:ascii="Arial" w:hAnsi="Arial" w:cs="Arial" w:hint="eastAsia"/>
                <w:color w:val="000000"/>
                <w:szCs w:val="16"/>
                <w:lang w:eastAsia="zh-CN"/>
              </w:rPr>
              <w:t xml:space="preserve"> </w:t>
            </w:r>
            <w:r>
              <w:rPr>
                <w:rFonts w:ascii="Arial" w:hAnsi="Arial" w:cs="Arial"/>
                <w:color w:val="000000"/>
                <w:szCs w:val="16"/>
              </w:rPr>
              <w:t>750</w:t>
            </w:r>
          </w:p>
        </w:tc>
      </w:tr>
      <w:tr w:rsidR="00E60980" w14:paraId="3FAA19A6" w14:textId="77777777" w:rsidTr="00573BA1">
        <w:trPr>
          <w:trHeight w:val="275"/>
        </w:trPr>
        <w:tc>
          <w:tcPr>
            <w:tcW w:w="0" w:type="dxa"/>
            <w:tcBorders>
              <w:bottom w:val="nil"/>
            </w:tcBorders>
          </w:tcPr>
          <w:p w14:paraId="053805C2" w14:textId="77777777" w:rsidR="00872CF3" w:rsidRDefault="00872CF3" w:rsidP="00295E65">
            <w:pPr>
              <w:jc w:val="left"/>
            </w:pPr>
          </w:p>
        </w:tc>
        <w:tc>
          <w:tcPr>
            <w:tcW w:w="0" w:type="dxa"/>
            <w:tcBorders>
              <w:top w:val="single" w:sz="12" w:space="0" w:color="auto"/>
            </w:tcBorders>
          </w:tcPr>
          <w:p w14:paraId="51419767" w14:textId="77777777" w:rsidR="00872CF3" w:rsidRDefault="00872CF3" w:rsidP="00295E65">
            <w:pPr>
              <w:jc w:val="left"/>
            </w:pPr>
            <w:r>
              <w:rPr>
                <w:b/>
              </w:rPr>
              <w:t xml:space="preserve">Balance </w:t>
            </w:r>
            <w:proofErr w:type="gramStart"/>
            <w:r>
              <w:rPr>
                <w:b/>
              </w:rPr>
              <w:t>at</w:t>
            </w:r>
            <w:proofErr w:type="gramEnd"/>
            <w:r>
              <w:rPr>
                <w:b/>
              </w:rPr>
              <w:t xml:space="preserve"> 30 June 20X2</w:t>
            </w:r>
          </w:p>
        </w:tc>
        <w:tc>
          <w:tcPr>
            <w:tcW w:w="0" w:type="dxa"/>
            <w:tcBorders>
              <w:top w:val="single" w:sz="12" w:space="0" w:color="auto"/>
            </w:tcBorders>
            <w:vAlign w:val="center"/>
          </w:tcPr>
          <w:p w14:paraId="0878B1CD" w14:textId="5E6FB180" w:rsidR="00872CF3" w:rsidRDefault="00872CF3" w:rsidP="00295E65">
            <w:pPr>
              <w:rPr>
                <w:lang w:eastAsia="zh-CN"/>
              </w:rPr>
            </w:pPr>
            <w:r>
              <w:rPr>
                <w:rFonts w:ascii="Arial" w:hAnsi="Arial" w:cs="Arial"/>
                <w:b/>
                <w:bCs/>
                <w:color w:val="000000"/>
                <w:szCs w:val="16"/>
              </w:rPr>
              <w:t>22</w:t>
            </w:r>
            <w:r>
              <w:rPr>
                <w:rFonts w:ascii="Arial" w:hAnsi="Arial" w:cs="Arial" w:hint="eastAsia"/>
                <w:b/>
                <w:bCs/>
                <w:color w:val="000000"/>
                <w:szCs w:val="16"/>
                <w:lang w:eastAsia="zh-CN"/>
              </w:rPr>
              <w:t xml:space="preserve"> </w:t>
            </w:r>
            <w:r>
              <w:rPr>
                <w:rFonts w:ascii="Arial" w:hAnsi="Arial" w:cs="Arial"/>
                <w:b/>
                <w:bCs/>
                <w:color w:val="000000"/>
                <w:szCs w:val="16"/>
              </w:rPr>
              <w:t>525</w:t>
            </w:r>
          </w:p>
        </w:tc>
        <w:tc>
          <w:tcPr>
            <w:tcW w:w="0" w:type="dxa"/>
            <w:tcBorders>
              <w:top w:val="single" w:sz="12" w:space="0" w:color="auto"/>
            </w:tcBorders>
            <w:vAlign w:val="center"/>
          </w:tcPr>
          <w:p w14:paraId="25218701" w14:textId="7DF95137" w:rsidR="00872CF3" w:rsidRDefault="00872CF3" w:rsidP="00295E65">
            <w:r>
              <w:rPr>
                <w:rFonts w:ascii="Arial" w:hAnsi="Arial" w:cs="Arial"/>
                <w:b/>
                <w:bCs/>
                <w:color w:val="000000"/>
                <w:szCs w:val="16"/>
              </w:rPr>
              <w:t>73</w:t>
            </w:r>
            <w:r>
              <w:rPr>
                <w:rFonts w:ascii="Arial" w:hAnsi="Arial" w:cs="Arial" w:hint="eastAsia"/>
                <w:b/>
                <w:bCs/>
                <w:color w:val="000000"/>
                <w:szCs w:val="16"/>
                <w:lang w:eastAsia="zh-CN"/>
              </w:rPr>
              <w:t xml:space="preserve"> </w:t>
            </w:r>
            <w:r>
              <w:rPr>
                <w:rFonts w:ascii="Arial" w:hAnsi="Arial" w:cs="Arial"/>
                <w:b/>
                <w:bCs/>
                <w:color w:val="000000"/>
                <w:szCs w:val="16"/>
              </w:rPr>
              <w:t>719</w:t>
            </w:r>
          </w:p>
        </w:tc>
        <w:tc>
          <w:tcPr>
            <w:tcW w:w="1417" w:type="dxa"/>
            <w:tcBorders>
              <w:top w:val="single" w:sz="12" w:space="0" w:color="auto"/>
            </w:tcBorders>
            <w:vAlign w:val="center"/>
          </w:tcPr>
          <w:p w14:paraId="1244E8F7" w14:textId="60ADA363" w:rsidR="00872CF3" w:rsidRDefault="00872CF3" w:rsidP="00295E65">
            <w:r>
              <w:rPr>
                <w:rFonts w:ascii="Arial" w:hAnsi="Arial" w:cs="Arial"/>
                <w:b/>
                <w:bCs/>
                <w:color w:val="000000"/>
                <w:szCs w:val="16"/>
              </w:rPr>
              <w:t>63</w:t>
            </w:r>
            <w:r>
              <w:rPr>
                <w:rFonts w:ascii="Arial" w:hAnsi="Arial" w:cs="Arial" w:hint="eastAsia"/>
                <w:b/>
                <w:bCs/>
                <w:color w:val="000000"/>
                <w:szCs w:val="16"/>
                <w:lang w:eastAsia="zh-CN"/>
              </w:rPr>
              <w:t xml:space="preserve"> </w:t>
            </w:r>
            <w:r>
              <w:rPr>
                <w:rFonts w:ascii="Arial" w:hAnsi="Arial" w:cs="Arial"/>
                <w:b/>
                <w:bCs/>
                <w:color w:val="000000"/>
                <w:szCs w:val="16"/>
              </w:rPr>
              <w:t>257</w:t>
            </w:r>
          </w:p>
        </w:tc>
        <w:tc>
          <w:tcPr>
            <w:tcW w:w="1134" w:type="dxa"/>
            <w:tcBorders>
              <w:top w:val="single" w:sz="12" w:space="0" w:color="auto"/>
            </w:tcBorders>
            <w:vAlign w:val="center"/>
          </w:tcPr>
          <w:p w14:paraId="78AA0DAA" w14:textId="00620946" w:rsidR="00872CF3" w:rsidRDefault="00872CF3" w:rsidP="00295E65">
            <w:r>
              <w:rPr>
                <w:rFonts w:ascii="Arial" w:hAnsi="Arial" w:cs="Arial"/>
                <w:b/>
                <w:bCs/>
                <w:color w:val="000000"/>
                <w:szCs w:val="16"/>
              </w:rPr>
              <w:t>159</w:t>
            </w:r>
            <w:r>
              <w:rPr>
                <w:rFonts w:ascii="Arial" w:hAnsi="Arial" w:cs="Arial" w:hint="eastAsia"/>
                <w:b/>
                <w:bCs/>
                <w:color w:val="000000"/>
                <w:szCs w:val="16"/>
                <w:lang w:eastAsia="zh-CN"/>
              </w:rPr>
              <w:t xml:space="preserve"> </w:t>
            </w:r>
            <w:r>
              <w:rPr>
                <w:rFonts w:ascii="Arial" w:hAnsi="Arial" w:cs="Arial"/>
                <w:b/>
                <w:bCs/>
                <w:color w:val="000000"/>
                <w:szCs w:val="16"/>
              </w:rPr>
              <w:t>501</w:t>
            </w:r>
          </w:p>
        </w:tc>
      </w:tr>
    </w:tbl>
    <w:p w14:paraId="7AD29A16" w14:textId="1B44827F" w:rsidR="00854177" w:rsidRPr="00854177" w:rsidRDefault="003719CD" w:rsidP="00854177">
      <w:pPr>
        <w:pStyle w:val="Source"/>
      </w:pPr>
      <w:r>
        <w:t>The accompanying notes form part of these financial statement</w:t>
      </w:r>
      <w:r w:rsidR="004C36F1">
        <w:t>s</w:t>
      </w:r>
      <w:r>
        <w:t>.</w:t>
      </w:r>
    </w:p>
    <w:p w14:paraId="37790F4E" w14:textId="36C167AF" w:rsidR="003719CD" w:rsidRDefault="003719CD" w:rsidP="00854177">
      <w:pPr>
        <w:pStyle w:val="Note"/>
      </w:pPr>
      <w:r>
        <w:t>(a)</w:t>
      </w:r>
      <w:r>
        <w:tab/>
        <w:t xml:space="preserve">This format is aligned to </w:t>
      </w:r>
      <w:r w:rsidR="0007383E">
        <w:t>AASB </w:t>
      </w:r>
      <w:r>
        <w:t xml:space="preserve">1049 </w:t>
      </w:r>
      <w:r w:rsidRPr="00E51206">
        <w:rPr>
          <w:i w:val="0"/>
          <w:iCs/>
        </w:rPr>
        <w:t>Whole of Government and General Government Sector Financial Reporting</w:t>
      </w:r>
      <w:r w:rsidR="00FA4323">
        <w:t>.</w:t>
      </w:r>
    </w:p>
    <w:p w14:paraId="3E30C63F" w14:textId="77777777" w:rsidR="00854177" w:rsidRPr="00E10CD7" w:rsidRDefault="00854177" w:rsidP="00854177"/>
    <w:p w14:paraId="0B9FF053" w14:textId="77777777" w:rsidR="003719CD" w:rsidRDefault="003719CD" w:rsidP="0021248D">
      <w:pPr>
        <w:pStyle w:val="GuidanceBlockHeading"/>
      </w:pPr>
      <w:bookmarkStart w:id="187" w:name="_Toc179811136"/>
      <w:bookmarkStart w:id="188" w:name="_Toc179816836"/>
      <w:bookmarkStart w:id="189" w:name="_Toc179822536"/>
      <w:r>
        <w:t>Guidance – Statement of changes in equity</w:t>
      </w:r>
      <w:bookmarkEnd w:id="187"/>
      <w:bookmarkEnd w:id="188"/>
      <w:bookmarkEnd w:id="189"/>
    </w:p>
    <w:p w14:paraId="3437293C" w14:textId="51DF8C4C" w:rsidR="003719CD" w:rsidRDefault="003719CD" w:rsidP="002A0038">
      <w:pPr>
        <w:pStyle w:val="GuidanceHeading"/>
        <w:spacing w:before="120" w:after="0"/>
      </w:pPr>
      <w:r>
        <w:t>Presentation</w:t>
      </w:r>
      <w:r w:rsidR="00D87D07">
        <w:t xml:space="preserve"> and disclosure</w:t>
      </w:r>
      <w:r>
        <w:t xml:space="preserve"> of statement of changes in equity </w:t>
      </w:r>
    </w:p>
    <w:p w14:paraId="1A6CE295" w14:textId="614E04FC" w:rsidR="0064610F" w:rsidRPr="002A0038" w:rsidRDefault="0064610F" w:rsidP="002A0038">
      <w:pPr>
        <w:spacing w:before="120" w:after="0"/>
      </w:pPr>
      <w:r w:rsidRPr="000F5494">
        <w:rPr>
          <w:rStyle w:val="Guidance"/>
        </w:rPr>
        <w:t>The statement of changes in equity presents an entity’s profit or loss for a reporting period, other comprehensive income for the period, the effects of changes in accounting policies and corrections of errors recognised in the period and the amounts of investments by, and dividends and other distributions to, owners in their capacity as owners during the period.</w:t>
      </w:r>
      <w:r w:rsidRPr="0064610F">
        <w:rPr>
          <w:rStyle w:val="Reference"/>
        </w:rPr>
        <w:t xml:space="preserve"> </w:t>
      </w:r>
      <w:r w:rsidRPr="0021248D">
        <w:rPr>
          <w:rStyle w:val="Reference"/>
        </w:rPr>
        <w:t>[</w:t>
      </w:r>
      <w:r w:rsidR="0007383E">
        <w:rPr>
          <w:rStyle w:val="Reference"/>
        </w:rPr>
        <w:t>AASB </w:t>
      </w:r>
      <w:r w:rsidRPr="0021248D">
        <w:rPr>
          <w:rStyle w:val="Reference"/>
        </w:rPr>
        <w:t>10</w:t>
      </w:r>
      <w:r>
        <w:rPr>
          <w:rStyle w:val="Reference"/>
        </w:rPr>
        <w:t>60</w:t>
      </w:r>
      <w:r w:rsidRPr="0021248D">
        <w:rPr>
          <w:rStyle w:val="Reference"/>
        </w:rPr>
        <w:t>.</w:t>
      </w:r>
      <w:r>
        <w:rPr>
          <w:rStyle w:val="Reference"/>
        </w:rPr>
        <w:t>60</w:t>
      </w:r>
      <w:r w:rsidRPr="0021248D">
        <w:rPr>
          <w:rStyle w:val="Reference"/>
        </w:rPr>
        <w:t>]</w:t>
      </w:r>
    </w:p>
    <w:p w14:paraId="53B99B46" w14:textId="77777777" w:rsidR="00D87D07" w:rsidRPr="00524392" w:rsidRDefault="00D87D07" w:rsidP="002A0038">
      <w:pPr>
        <w:pStyle w:val="GuidanceHeading"/>
        <w:spacing w:before="120" w:after="0"/>
        <w:rPr>
          <w:rStyle w:val="Guidance"/>
          <w:b w:val="0"/>
          <w:bCs/>
          <w:sz w:val="18"/>
        </w:rPr>
      </w:pPr>
      <w:r w:rsidRPr="00524392">
        <w:rPr>
          <w:rStyle w:val="Guidance"/>
          <w:b w:val="0"/>
          <w:bCs/>
          <w:sz w:val="18"/>
        </w:rPr>
        <w:t>The statement of changes in equity includes the following information:</w:t>
      </w:r>
    </w:p>
    <w:p w14:paraId="1286B721" w14:textId="1ED0AB3A" w:rsidR="00D87D07" w:rsidRPr="002A0038" w:rsidRDefault="00393714" w:rsidP="002A0038">
      <w:pPr>
        <w:pStyle w:val="ListBullet"/>
        <w:numPr>
          <w:ilvl w:val="0"/>
          <w:numId w:val="321"/>
        </w:numPr>
        <w:spacing w:after="0"/>
        <w:ind w:left="357" w:hanging="357"/>
        <w:rPr>
          <w:rStyle w:val="Guidance"/>
          <w:bCs/>
          <w:sz w:val="20"/>
        </w:rPr>
      </w:pPr>
      <w:r>
        <w:rPr>
          <w:rStyle w:val="Guidance"/>
          <w:bCs/>
        </w:rPr>
        <w:t>T</w:t>
      </w:r>
      <w:r w:rsidR="00D87D07" w:rsidRPr="006C4F60">
        <w:rPr>
          <w:rStyle w:val="Guidance"/>
          <w:bCs/>
        </w:rPr>
        <w:t>otal comprehensive income for the period, showing separately the total amounts attributable to</w:t>
      </w:r>
      <w:r w:rsidR="00D87D07" w:rsidRPr="002A0038">
        <w:rPr>
          <w:rStyle w:val="Guidance"/>
          <w:bCs/>
        </w:rPr>
        <w:t xml:space="preserve"> </w:t>
      </w:r>
      <w:r w:rsidR="00D87D07" w:rsidRPr="006C4F60">
        <w:rPr>
          <w:rStyle w:val="Guidance"/>
          <w:bCs/>
        </w:rPr>
        <w:t>owners of the parent and to non-controlling interests</w:t>
      </w:r>
    </w:p>
    <w:p w14:paraId="552C39A4" w14:textId="7E23D08D" w:rsidR="00D87D07" w:rsidRPr="006C4F60" w:rsidRDefault="00393714" w:rsidP="002A0038">
      <w:pPr>
        <w:pStyle w:val="ListBullet"/>
        <w:numPr>
          <w:ilvl w:val="0"/>
          <w:numId w:val="321"/>
        </w:numPr>
        <w:spacing w:after="0"/>
        <w:ind w:left="357" w:hanging="357"/>
        <w:rPr>
          <w:rStyle w:val="Guidance"/>
          <w:bCs/>
        </w:rPr>
      </w:pPr>
      <w:r>
        <w:rPr>
          <w:rStyle w:val="Guidance"/>
          <w:bCs/>
        </w:rPr>
        <w:t>F</w:t>
      </w:r>
      <w:r w:rsidR="00D87D07" w:rsidRPr="006C4F60">
        <w:rPr>
          <w:rStyle w:val="Guidance"/>
          <w:bCs/>
        </w:rPr>
        <w:t>or each component of equity, the effects of retrospective application or retrospective restatement</w:t>
      </w:r>
      <w:r w:rsidR="00D87D07" w:rsidRPr="002A0038">
        <w:rPr>
          <w:rStyle w:val="Guidance"/>
          <w:bCs/>
        </w:rPr>
        <w:t xml:space="preserve"> </w:t>
      </w:r>
      <w:r w:rsidR="00D87D07" w:rsidRPr="006C4F60">
        <w:rPr>
          <w:rStyle w:val="Guidance"/>
          <w:bCs/>
        </w:rPr>
        <w:t xml:space="preserve">recognised in accordance with </w:t>
      </w:r>
      <w:r w:rsidR="0007383E">
        <w:rPr>
          <w:rStyle w:val="Guidance"/>
          <w:bCs/>
        </w:rPr>
        <w:t>AASB </w:t>
      </w:r>
      <w:r w:rsidR="00D87D07" w:rsidRPr="006C4F60">
        <w:rPr>
          <w:rStyle w:val="Guidance"/>
          <w:bCs/>
        </w:rPr>
        <w:t>108; and</w:t>
      </w:r>
    </w:p>
    <w:p w14:paraId="1CAC1B74" w14:textId="78522FCC" w:rsidR="00D87D07" w:rsidRPr="006C4F60" w:rsidRDefault="00393714" w:rsidP="002A0038">
      <w:pPr>
        <w:pStyle w:val="ListBullet"/>
        <w:numPr>
          <w:ilvl w:val="0"/>
          <w:numId w:val="321"/>
        </w:numPr>
        <w:spacing w:after="0"/>
        <w:ind w:left="357" w:hanging="357"/>
        <w:rPr>
          <w:rStyle w:val="Guidance"/>
          <w:bCs/>
        </w:rPr>
      </w:pPr>
      <w:r>
        <w:rPr>
          <w:rStyle w:val="Guidance"/>
          <w:bCs/>
        </w:rPr>
        <w:t>F</w:t>
      </w:r>
      <w:r w:rsidR="00D87D07" w:rsidRPr="006C4F60">
        <w:rPr>
          <w:rStyle w:val="Guidance"/>
          <w:bCs/>
        </w:rPr>
        <w:t>or each component of equity, a reconciliation between the carrying amount at the beginning and</w:t>
      </w:r>
      <w:r w:rsidR="00D87D07" w:rsidRPr="002A0038">
        <w:rPr>
          <w:rStyle w:val="Guidance"/>
          <w:bCs/>
        </w:rPr>
        <w:t xml:space="preserve"> </w:t>
      </w:r>
      <w:r w:rsidR="00D87D07" w:rsidRPr="006C4F60">
        <w:rPr>
          <w:rStyle w:val="Guidance"/>
          <w:bCs/>
        </w:rPr>
        <w:t>the end of the period, separately disclosing changes resulting from:</w:t>
      </w:r>
    </w:p>
    <w:p w14:paraId="11A5E093" w14:textId="0400A611" w:rsidR="00D87D07" w:rsidRPr="00524392" w:rsidRDefault="00D87D07" w:rsidP="002A0038">
      <w:pPr>
        <w:pStyle w:val="GuidanceHeading"/>
        <w:numPr>
          <w:ilvl w:val="0"/>
          <w:numId w:val="322"/>
        </w:numPr>
        <w:spacing w:before="40" w:after="0"/>
        <w:ind w:left="697" w:hanging="357"/>
        <w:rPr>
          <w:rStyle w:val="Guidance"/>
          <w:b w:val="0"/>
          <w:bCs/>
          <w:sz w:val="18"/>
        </w:rPr>
      </w:pPr>
      <w:r w:rsidRPr="00524392">
        <w:rPr>
          <w:rStyle w:val="Guidance"/>
          <w:b w:val="0"/>
          <w:bCs/>
          <w:sz w:val="18"/>
        </w:rPr>
        <w:t>profit or loss</w:t>
      </w:r>
    </w:p>
    <w:p w14:paraId="23A51A0E" w14:textId="27EF7E85" w:rsidR="00D87D07" w:rsidRPr="00524392" w:rsidRDefault="00D87D07" w:rsidP="002A0038">
      <w:pPr>
        <w:pStyle w:val="GuidanceHeading"/>
        <w:numPr>
          <w:ilvl w:val="0"/>
          <w:numId w:val="322"/>
        </w:numPr>
        <w:spacing w:before="40" w:after="0"/>
        <w:ind w:left="697" w:hanging="357"/>
        <w:rPr>
          <w:rStyle w:val="Guidance"/>
          <w:b w:val="0"/>
          <w:bCs/>
          <w:sz w:val="18"/>
        </w:rPr>
      </w:pPr>
      <w:r w:rsidRPr="00524392">
        <w:rPr>
          <w:rStyle w:val="Guidance"/>
          <w:b w:val="0"/>
          <w:bCs/>
          <w:sz w:val="18"/>
        </w:rPr>
        <w:t>other comprehensive income</w:t>
      </w:r>
    </w:p>
    <w:p w14:paraId="3A116F65" w14:textId="3231531B" w:rsidR="00D87D07" w:rsidRDefault="00D87D07" w:rsidP="002A0038">
      <w:pPr>
        <w:pStyle w:val="GuidanceHeading"/>
        <w:numPr>
          <w:ilvl w:val="0"/>
          <w:numId w:val="322"/>
        </w:numPr>
        <w:spacing w:before="40" w:after="0"/>
        <w:ind w:left="697" w:hanging="357"/>
        <w:rPr>
          <w:rStyle w:val="Guidance"/>
          <w:b w:val="0"/>
          <w:bCs/>
        </w:rPr>
      </w:pPr>
      <w:r w:rsidRPr="00524392">
        <w:rPr>
          <w:rStyle w:val="Guidance"/>
          <w:b w:val="0"/>
          <w:bCs/>
          <w:sz w:val="18"/>
        </w:rPr>
        <w:t>the amounts of investments by, and dividends and other distributions to, owners in their</w:t>
      </w:r>
      <w:r>
        <w:rPr>
          <w:rStyle w:val="Guidance"/>
          <w:b w:val="0"/>
          <w:bCs/>
          <w:sz w:val="18"/>
        </w:rPr>
        <w:t xml:space="preserve"> </w:t>
      </w:r>
      <w:r w:rsidRPr="00524392">
        <w:rPr>
          <w:rStyle w:val="Guidance"/>
          <w:b w:val="0"/>
          <w:bCs/>
          <w:sz w:val="18"/>
        </w:rPr>
        <w:t>capacity as owners, showing separately issues of shares, treasury share transactions,</w:t>
      </w:r>
      <w:r>
        <w:rPr>
          <w:rStyle w:val="Guidance"/>
          <w:b w:val="0"/>
          <w:bCs/>
          <w:sz w:val="18"/>
        </w:rPr>
        <w:t xml:space="preserve"> </w:t>
      </w:r>
      <w:r w:rsidRPr="00524392">
        <w:rPr>
          <w:rStyle w:val="Guidance"/>
          <w:b w:val="0"/>
          <w:bCs/>
          <w:sz w:val="18"/>
        </w:rPr>
        <w:t>dividends and other distributions to owners and changes in ownership interests in</w:t>
      </w:r>
      <w:r>
        <w:rPr>
          <w:rStyle w:val="Guidance"/>
          <w:b w:val="0"/>
          <w:bCs/>
          <w:sz w:val="18"/>
        </w:rPr>
        <w:t xml:space="preserve"> </w:t>
      </w:r>
      <w:r w:rsidRPr="00524392">
        <w:rPr>
          <w:rStyle w:val="Guidance"/>
          <w:b w:val="0"/>
          <w:bCs/>
          <w:sz w:val="18"/>
        </w:rPr>
        <w:t>subsidiaries that do not result in a loss of control.</w:t>
      </w:r>
      <w:r>
        <w:rPr>
          <w:rStyle w:val="Guidance"/>
          <w:b w:val="0"/>
          <w:bCs/>
          <w:sz w:val="18"/>
        </w:rPr>
        <w:t xml:space="preserve"> </w:t>
      </w:r>
      <w:r w:rsidRPr="002A0038">
        <w:rPr>
          <w:rStyle w:val="Reference"/>
          <w:b w:val="0"/>
          <w:bCs/>
        </w:rPr>
        <w:t>[</w:t>
      </w:r>
      <w:r w:rsidR="0007383E">
        <w:rPr>
          <w:rStyle w:val="Reference"/>
          <w:b w:val="0"/>
          <w:bCs/>
        </w:rPr>
        <w:t>AASB </w:t>
      </w:r>
      <w:r w:rsidRPr="002A0038">
        <w:rPr>
          <w:rStyle w:val="Reference"/>
          <w:b w:val="0"/>
          <w:bCs/>
        </w:rPr>
        <w:t>1060.61]</w:t>
      </w:r>
    </w:p>
    <w:p w14:paraId="279D4EC2" w14:textId="2B67E462" w:rsidR="003719CD" w:rsidRDefault="003719CD" w:rsidP="002A0038">
      <w:pPr>
        <w:pStyle w:val="GuidanceEnd"/>
        <w:pBdr>
          <w:top w:val="single" w:sz="36" w:space="0" w:color="4472C4" w:themeColor="accent1"/>
        </w:pBdr>
      </w:pPr>
    </w:p>
    <w:p w14:paraId="58E327B7" w14:textId="77777777" w:rsidR="003719CD" w:rsidRPr="00D1495F" w:rsidRDefault="003719CD" w:rsidP="00D1495F"/>
    <w:p w14:paraId="1D777D03" w14:textId="77777777" w:rsidR="003719CD" w:rsidRDefault="003719CD" w:rsidP="00DC39DE">
      <w:pPr>
        <w:sectPr w:rsidR="003719CD" w:rsidSect="003A4AB7">
          <w:headerReference w:type="even" r:id="rId45"/>
          <w:headerReference w:type="default" r:id="rId46"/>
          <w:pgSz w:w="11906" w:h="16838" w:code="9"/>
          <w:pgMar w:top="1134" w:right="1134" w:bottom="1134" w:left="1134" w:header="624" w:footer="567" w:gutter="0"/>
          <w:cols w:space="708"/>
          <w:titlePg/>
          <w:docGrid w:linePitch="360"/>
        </w:sectPr>
      </w:pPr>
    </w:p>
    <w:p w14:paraId="21D50148" w14:textId="77777777" w:rsidR="003719CD" w:rsidRDefault="003719CD" w:rsidP="00EC38D4">
      <w:pPr>
        <w:pStyle w:val="Heading1numbered"/>
      </w:pPr>
      <w:bookmarkStart w:id="190" w:name="Section_1"/>
      <w:bookmarkStart w:id="191" w:name="_Toc179811137"/>
      <w:bookmarkStart w:id="192" w:name="_Toc179816837"/>
      <w:bookmarkStart w:id="193" w:name="_Toc179822537"/>
      <w:bookmarkStart w:id="194" w:name="_Toc179828225"/>
      <w:bookmarkStart w:id="195" w:name="_Toc179859755"/>
      <w:bookmarkStart w:id="196" w:name="_Toc179867097"/>
      <w:bookmarkStart w:id="197" w:name="_Toc179871490"/>
      <w:bookmarkStart w:id="198" w:name="_Toc179875883"/>
      <w:bookmarkStart w:id="199" w:name="_Toc179880273"/>
      <w:bookmarkStart w:id="200" w:name="_Toc179880302"/>
      <w:bookmarkStart w:id="201" w:name="_Ref190331236"/>
      <w:bookmarkEnd w:id="190"/>
      <w:r>
        <w:t>ABOUT THIS REPORT</w:t>
      </w:r>
      <w:bookmarkEnd w:id="191"/>
      <w:bookmarkEnd w:id="192"/>
      <w:bookmarkEnd w:id="193"/>
      <w:bookmarkEnd w:id="194"/>
      <w:bookmarkEnd w:id="195"/>
      <w:bookmarkEnd w:id="196"/>
      <w:bookmarkEnd w:id="197"/>
      <w:bookmarkEnd w:id="198"/>
      <w:bookmarkEnd w:id="199"/>
      <w:bookmarkEnd w:id="200"/>
      <w:bookmarkEnd w:id="201"/>
    </w:p>
    <w:p w14:paraId="005C9734" w14:textId="25453832" w:rsidR="008628F0" w:rsidRPr="008628F0" w:rsidRDefault="008628F0" w:rsidP="008628F0">
      <w:pPr>
        <w:sectPr w:rsidR="008628F0" w:rsidRPr="008628F0" w:rsidSect="000E2F05">
          <w:headerReference w:type="even" r:id="rId47"/>
          <w:headerReference w:type="default" r:id="rId48"/>
          <w:footerReference w:type="even" r:id="rId49"/>
          <w:footerReference w:type="default" r:id="rId50"/>
          <w:headerReference w:type="first" r:id="rId51"/>
          <w:pgSz w:w="11906" w:h="16838" w:code="9"/>
          <w:pgMar w:top="1134" w:right="1134" w:bottom="1134" w:left="1134" w:header="624" w:footer="567" w:gutter="0"/>
          <w:cols w:space="708"/>
          <w:titlePg/>
          <w:docGrid w:linePitch="360"/>
        </w:sectPr>
      </w:pPr>
    </w:p>
    <w:p w14:paraId="7B2161D4" w14:textId="3267AC8E" w:rsidR="003719CD" w:rsidRDefault="003719CD" w:rsidP="00DC39DE">
      <w:r>
        <w:t xml:space="preserve">The </w:t>
      </w:r>
      <w:r w:rsidR="00126FA5">
        <w:t>Technology Victoria</w:t>
      </w:r>
      <w:r>
        <w:t xml:space="preserve"> (</w:t>
      </w:r>
      <w:r w:rsidR="001B701F">
        <w:t>TV</w:t>
      </w:r>
      <w:r>
        <w:t xml:space="preserve">) is a </w:t>
      </w:r>
      <w:r w:rsidR="00384289">
        <w:t xml:space="preserve">not-for-profit </w:t>
      </w:r>
      <w:r w:rsidR="005A4F37">
        <w:t xml:space="preserve">entity </w:t>
      </w:r>
      <w:r>
        <w:t xml:space="preserve">established </w:t>
      </w:r>
      <w:r w:rsidR="00A7273B">
        <w:t xml:space="preserve">as a public authority on 1 July 1998 under the </w:t>
      </w:r>
      <w:r w:rsidR="00A7273B" w:rsidRPr="002A0038">
        <w:rPr>
          <w:i/>
          <w:iCs/>
        </w:rPr>
        <w:t>Technology Victoria Act 1998</w:t>
      </w:r>
      <w:r w:rsidR="00A7273B">
        <w:t>.</w:t>
      </w:r>
      <w:r>
        <w:t xml:space="preserve"> </w:t>
      </w:r>
      <w:r w:rsidR="00F66E69" w:rsidRPr="006F796B">
        <w:rPr>
          <w:rStyle w:val="Reference"/>
        </w:rPr>
        <w:t>[</w:t>
      </w:r>
      <w:r w:rsidR="0007383E">
        <w:rPr>
          <w:rStyle w:val="Reference"/>
        </w:rPr>
        <w:t>AASB </w:t>
      </w:r>
      <w:r w:rsidR="00F66E69">
        <w:rPr>
          <w:rStyle w:val="Reference"/>
        </w:rPr>
        <w:t>1060</w:t>
      </w:r>
      <w:r w:rsidR="00F66E69" w:rsidRPr="006F796B">
        <w:rPr>
          <w:rStyle w:val="Reference"/>
        </w:rPr>
        <w:t>.</w:t>
      </w:r>
      <w:r w:rsidR="00F66E69">
        <w:rPr>
          <w:rStyle w:val="Reference"/>
          <w:rFonts w:hint="eastAsia"/>
          <w:lang w:eastAsia="zh-CN"/>
        </w:rPr>
        <w:t>11 (b)</w:t>
      </w:r>
      <w:r w:rsidR="00F66E69" w:rsidRPr="006F796B">
        <w:rPr>
          <w:rStyle w:val="Reference"/>
        </w:rPr>
        <w:t>]</w:t>
      </w:r>
    </w:p>
    <w:p w14:paraId="4AB30E35" w14:textId="77777777" w:rsidR="003719CD" w:rsidRDefault="003719CD" w:rsidP="00DC39DE">
      <w:r>
        <w:t>Its principal address is:</w:t>
      </w:r>
    </w:p>
    <w:p w14:paraId="5234E9C9" w14:textId="6907114D" w:rsidR="003719CD" w:rsidRDefault="003719CD" w:rsidP="00DC39DE">
      <w:r>
        <w:tab/>
      </w:r>
      <w:r w:rsidR="00126FA5">
        <w:t>Technology Victoria</w:t>
      </w:r>
      <w:r>
        <w:br/>
      </w:r>
      <w:r>
        <w:tab/>
        <w:t>1 Victoria Place</w:t>
      </w:r>
      <w:r>
        <w:br/>
      </w:r>
      <w:r>
        <w:tab/>
        <w:t>Melbourne VIC 3000</w:t>
      </w:r>
    </w:p>
    <w:p w14:paraId="52F99863" w14:textId="77AE9D12" w:rsidR="003719CD" w:rsidRDefault="003719CD" w:rsidP="00DC39DE">
      <w:r>
        <w:br w:type="column"/>
        <w:t xml:space="preserve">A description of the nature of its operations and its principal activities is included in the Report of </w:t>
      </w:r>
      <w:r w:rsidR="00A00951">
        <w:t>Operations</w:t>
      </w:r>
      <w:r>
        <w:t xml:space="preserve">, which does not form part of these financial statements. </w:t>
      </w:r>
      <w:r w:rsidRPr="006F796B">
        <w:rPr>
          <w:rStyle w:val="Reference"/>
        </w:rPr>
        <w:t>[</w:t>
      </w:r>
      <w:r w:rsidR="0007383E">
        <w:rPr>
          <w:rStyle w:val="Reference"/>
        </w:rPr>
        <w:t>AASB </w:t>
      </w:r>
      <w:r w:rsidR="001A5AA4">
        <w:rPr>
          <w:rStyle w:val="Reference"/>
        </w:rPr>
        <w:t>1060</w:t>
      </w:r>
      <w:r w:rsidRPr="006F796B">
        <w:rPr>
          <w:rStyle w:val="Reference"/>
        </w:rPr>
        <w:t>.</w:t>
      </w:r>
      <w:r w:rsidR="001A5AA4">
        <w:rPr>
          <w:rStyle w:val="Reference"/>
        </w:rPr>
        <w:t>32</w:t>
      </w:r>
      <w:r w:rsidRPr="006F796B">
        <w:rPr>
          <w:rStyle w:val="Reference"/>
        </w:rPr>
        <w:t>]</w:t>
      </w:r>
    </w:p>
    <w:p w14:paraId="4C57FC09" w14:textId="77777777" w:rsidR="003719CD" w:rsidRDefault="003719CD" w:rsidP="00DC39DE">
      <w:pPr>
        <w:sectPr w:rsidR="003719CD" w:rsidSect="000E2F05">
          <w:type w:val="continuous"/>
          <w:pgSz w:w="11906" w:h="16838" w:code="9"/>
          <w:pgMar w:top="1134" w:right="1134" w:bottom="1134" w:left="1134" w:header="624" w:footer="567" w:gutter="0"/>
          <w:cols w:num="2" w:space="708"/>
          <w:titlePg/>
          <w:docGrid w:linePitch="360"/>
        </w:sectPr>
      </w:pPr>
    </w:p>
    <w:p w14:paraId="666CB896" w14:textId="48956100" w:rsidR="003719CD" w:rsidRDefault="003719CD" w:rsidP="006F796B">
      <w:pPr>
        <w:pStyle w:val="Heading2"/>
      </w:pPr>
      <w:bookmarkStart w:id="202" w:name="INDEX_ComplianceAASB"/>
      <w:bookmarkStart w:id="203" w:name="_Toc179811138"/>
      <w:bookmarkStart w:id="204" w:name="_Toc179816838"/>
      <w:bookmarkStart w:id="205" w:name="_Toc179822538"/>
      <w:bookmarkStart w:id="206" w:name="_Toc179828226"/>
      <w:bookmarkStart w:id="207" w:name="_Toc179859756"/>
      <w:bookmarkStart w:id="208" w:name="_Toc179867098"/>
      <w:bookmarkStart w:id="209" w:name="_Toc179871491"/>
      <w:bookmarkStart w:id="210" w:name="_Toc179875884"/>
      <w:bookmarkStart w:id="211" w:name="_Toc179880303"/>
      <w:bookmarkEnd w:id="202"/>
      <w:r w:rsidRPr="00E27D8F">
        <w:t>Basis of preparation</w:t>
      </w:r>
      <w:bookmarkEnd w:id="203"/>
      <w:bookmarkEnd w:id="204"/>
      <w:bookmarkEnd w:id="205"/>
      <w:bookmarkEnd w:id="206"/>
      <w:bookmarkEnd w:id="207"/>
      <w:bookmarkEnd w:id="208"/>
      <w:bookmarkEnd w:id="209"/>
      <w:bookmarkEnd w:id="210"/>
      <w:bookmarkEnd w:id="211"/>
      <w:r w:rsidR="00B0653D">
        <w:t xml:space="preserve"> </w:t>
      </w:r>
      <w:r w:rsidR="00B0653D" w:rsidRPr="00E51206">
        <w:rPr>
          <w:color w:val="C00000"/>
          <w:sz w:val="20"/>
          <w:szCs w:val="20"/>
        </w:rPr>
        <w:t>[REVISED]</w:t>
      </w:r>
    </w:p>
    <w:p w14:paraId="1CD2547B" w14:textId="0064F1B5" w:rsidR="007055BE" w:rsidRPr="000033D2" w:rsidRDefault="004F4C6B" w:rsidP="007D6CC1">
      <w:r w:rsidRPr="000033D2">
        <w:t xml:space="preserve">These </w:t>
      </w:r>
      <w:r w:rsidR="007D6CC1" w:rsidRPr="000033D2">
        <w:t>financial statements</w:t>
      </w:r>
      <w:r w:rsidR="00D663AF" w:rsidRPr="000033D2">
        <w:t xml:space="preserve"> are</w:t>
      </w:r>
      <w:r w:rsidR="007D6CC1" w:rsidRPr="000033D2">
        <w:t xml:space="preserve"> </w:t>
      </w:r>
      <w:r w:rsidR="0007383E">
        <w:rPr>
          <w:lang w:eastAsia="zh-CN"/>
        </w:rPr>
        <w:t>Tier </w:t>
      </w:r>
      <w:r w:rsidR="00123D72" w:rsidRPr="002A0038">
        <w:rPr>
          <w:lang w:eastAsia="zh-CN"/>
        </w:rPr>
        <w:t xml:space="preserve">2 general purpose financial statements </w:t>
      </w:r>
      <w:r w:rsidR="007D6CC1" w:rsidRPr="000033D2">
        <w:t xml:space="preserve">prepared in accordance with </w:t>
      </w:r>
      <w:r w:rsidR="0007383E">
        <w:t>AASB </w:t>
      </w:r>
      <w:r w:rsidR="007D6CC1" w:rsidRPr="000033D2">
        <w:t xml:space="preserve">1060 </w:t>
      </w:r>
      <w:r w:rsidR="007D6CC1" w:rsidRPr="002A0038">
        <w:rPr>
          <w:i/>
          <w:iCs/>
        </w:rPr>
        <w:t xml:space="preserve">General Purpose Financial Statements – Simplified Disclosures for For-Profit and Not-for-Profit </w:t>
      </w:r>
      <w:r w:rsidR="0007383E">
        <w:rPr>
          <w:i/>
          <w:iCs/>
        </w:rPr>
        <w:t>Tier </w:t>
      </w:r>
      <w:r w:rsidR="007D6CC1" w:rsidRPr="002A0038">
        <w:rPr>
          <w:i/>
          <w:iCs/>
        </w:rPr>
        <w:t>2 Entities</w:t>
      </w:r>
      <w:r w:rsidR="007D6CC1" w:rsidRPr="000033D2">
        <w:t xml:space="preserve"> (</w:t>
      </w:r>
      <w:r w:rsidR="0007383E">
        <w:t>AASB </w:t>
      </w:r>
      <w:r w:rsidR="007D6CC1" w:rsidRPr="000033D2">
        <w:t>1060)</w:t>
      </w:r>
      <w:r w:rsidR="00123D72" w:rsidRPr="000033D2">
        <w:rPr>
          <w:rFonts w:hint="eastAsia"/>
          <w:lang w:eastAsia="zh-CN"/>
        </w:rPr>
        <w:t xml:space="preserve"> and </w:t>
      </w:r>
      <w:r w:rsidR="00123D72" w:rsidRPr="002A0038">
        <w:t xml:space="preserve">Financial Reporting Direction 101 </w:t>
      </w:r>
      <w:r w:rsidR="00123D72" w:rsidRPr="002A0038">
        <w:rPr>
          <w:i/>
          <w:iCs/>
        </w:rPr>
        <w:t xml:space="preserve">Application of Tiers of Australian Accounting Standards </w:t>
      </w:r>
      <w:r w:rsidR="00123D72" w:rsidRPr="002A0038">
        <w:t>(FRD 101)</w:t>
      </w:r>
      <w:r w:rsidR="00A61FC2" w:rsidRPr="000033D2">
        <w:t>.</w:t>
      </w:r>
    </w:p>
    <w:p w14:paraId="73F25218" w14:textId="763C2E79" w:rsidR="003719CD" w:rsidRDefault="003719CD" w:rsidP="00DC39DE">
      <w:r>
        <w:t xml:space="preserve">These financial statements are in Australian </w:t>
      </w:r>
      <w:r w:rsidR="002A1B3D">
        <w:t>dollars,</w:t>
      </w:r>
      <w:r>
        <w:t xml:space="preserve"> and the historical cost convention is used unless a different measurement basis is specifically disclosed in the note</w:t>
      </w:r>
      <w:r w:rsidR="00DC0A19">
        <w:t>s to the financial statements.</w:t>
      </w:r>
      <w:r>
        <w:t xml:space="preserve"> </w:t>
      </w:r>
      <w:r w:rsidRPr="006F796B">
        <w:rPr>
          <w:rStyle w:val="Reference"/>
        </w:rPr>
        <w:t>[</w:t>
      </w:r>
      <w:r w:rsidR="0007383E">
        <w:rPr>
          <w:rStyle w:val="Reference"/>
        </w:rPr>
        <w:t>AASB </w:t>
      </w:r>
      <w:r w:rsidR="008B5AD9">
        <w:rPr>
          <w:rStyle w:val="Reference"/>
        </w:rPr>
        <w:t>1060</w:t>
      </w:r>
      <w:r w:rsidR="00320FC4">
        <w:rPr>
          <w:rStyle w:val="Reference"/>
        </w:rPr>
        <w:t>.31(d)</w:t>
      </w:r>
      <w:r w:rsidR="00457AF4">
        <w:rPr>
          <w:rStyle w:val="Reference"/>
        </w:rPr>
        <w:t>, AASB</w:t>
      </w:r>
      <w:r w:rsidR="00DC267D">
        <w:rPr>
          <w:rStyle w:val="Reference"/>
        </w:rPr>
        <w:t xml:space="preserve"> </w:t>
      </w:r>
      <w:r w:rsidR="00457AF4">
        <w:rPr>
          <w:rStyle w:val="Reference"/>
        </w:rPr>
        <w:t>1060.181</w:t>
      </w:r>
      <w:r w:rsidRPr="006F796B" w:rsidDel="00133F62">
        <w:rPr>
          <w:rStyle w:val="Reference"/>
        </w:rPr>
        <w:t xml:space="preserve"> and</w:t>
      </w:r>
      <w:r w:rsidRPr="006F796B">
        <w:rPr>
          <w:rStyle w:val="Reference"/>
        </w:rPr>
        <w:t xml:space="preserve"> </w:t>
      </w:r>
      <w:r w:rsidR="0007383E">
        <w:rPr>
          <w:rStyle w:val="Reference"/>
        </w:rPr>
        <w:t>AASB </w:t>
      </w:r>
      <w:r w:rsidRPr="006F796B">
        <w:rPr>
          <w:rStyle w:val="Reference"/>
        </w:rPr>
        <w:t>121.11]</w:t>
      </w:r>
    </w:p>
    <w:p w14:paraId="3244495F" w14:textId="54415544" w:rsidR="003719CD" w:rsidRPr="006F796B" w:rsidRDefault="003719CD" w:rsidP="00DC39DE">
      <w:pPr>
        <w:rPr>
          <w:rStyle w:val="Reference"/>
        </w:rPr>
      </w:pPr>
      <w:r>
        <w:t xml:space="preserve">The accrual basis of accounting has been applied in preparing these financial statements, whereby assets, liabilities, equity, income and expenses are recognised in the reporting period to which they relate, regardless of when cash is received or paid. </w:t>
      </w:r>
      <w:r w:rsidRPr="006F796B">
        <w:rPr>
          <w:rStyle w:val="Reference"/>
        </w:rPr>
        <w:t>[</w:t>
      </w:r>
      <w:r w:rsidR="0007383E">
        <w:rPr>
          <w:rStyle w:val="Reference"/>
        </w:rPr>
        <w:t>AASB </w:t>
      </w:r>
      <w:r w:rsidRPr="006F796B">
        <w:rPr>
          <w:rStyle w:val="Reference"/>
        </w:rPr>
        <w:t>10</w:t>
      </w:r>
      <w:r w:rsidR="001409A0">
        <w:rPr>
          <w:rStyle w:val="Reference"/>
        </w:rPr>
        <w:t>60</w:t>
      </w:r>
      <w:r w:rsidRPr="006F796B">
        <w:rPr>
          <w:rStyle w:val="Reference"/>
        </w:rPr>
        <w:t>.</w:t>
      </w:r>
      <w:r w:rsidR="001409A0">
        <w:rPr>
          <w:rStyle w:val="Reference"/>
        </w:rPr>
        <w:t>95</w:t>
      </w:r>
      <w:r w:rsidRPr="006F796B">
        <w:rPr>
          <w:rStyle w:val="Reference"/>
        </w:rPr>
        <w:t>]</w:t>
      </w:r>
    </w:p>
    <w:p w14:paraId="00BF95A9" w14:textId="2AC153EA" w:rsidR="003719CD" w:rsidRDefault="003719CD" w:rsidP="00DC39DE">
      <w:r>
        <w:t xml:space="preserve">Consistent with the requirements of </w:t>
      </w:r>
      <w:r w:rsidR="0007383E">
        <w:t>AASB </w:t>
      </w:r>
      <w:r>
        <w:t xml:space="preserve">1004 </w:t>
      </w:r>
      <w:r w:rsidRPr="006F796B">
        <w:rPr>
          <w:i/>
          <w:iCs/>
        </w:rPr>
        <w:t>Contributions</w:t>
      </w:r>
      <w:r>
        <w:t xml:space="preserve">, contributions by owners (that is, contributed capital and its repayment) are treated as equity transactions and, therefore, do not form part of the income and expenses of </w:t>
      </w:r>
      <w:r w:rsidR="00D90B3E">
        <w:t>TV</w:t>
      </w:r>
      <w:r>
        <w:t>.</w:t>
      </w:r>
    </w:p>
    <w:p w14:paraId="50DD2732" w14:textId="070DA86C" w:rsidR="003719CD" w:rsidRDefault="002D2804" w:rsidP="00DC39DE">
      <w:r>
        <w:t>C</w:t>
      </w:r>
      <w:r w:rsidR="005A7CE1">
        <w:t xml:space="preserve">apital </w:t>
      </w:r>
      <w:r w:rsidR="00805E5F">
        <w:t>grants</w:t>
      </w:r>
      <w:r w:rsidR="005A7CE1">
        <w:t xml:space="preserve"> </w:t>
      </w:r>
      <w:r w:rsidR="003719CD">
        <w:t xml:space="preserve">which have been designated as contributions by owners are recognised as contributed capital. Other transfers that are </w:t>
      </w:r>
      <w:proofErr w:type="gramStart"/>
      <w:r w:rsidR="003719CD">
        <w:t xml:space="preserve">in the nature of </w:t>
      </w:r>
      <w:r w:rsidR="00D10ECF">
        <w:t>distributions</w:t>
      </w:r>
      <w:proofErr w:type="gramEnd"/>
      <w:r w:rsidR="00D10ECF">
        <w:t xml:space="preserve"> </w:t>
      </w:r>
      <w:r w:rsidR="003719CD">
        <w:t xml:space="preserve">to or </w:t>
      </w:r>
      <w:r w:rsidR="00D10ECF">
        <w:t xml:space="preserve">contributions </w:t>
      </w:r>
      <w:r w:rsidR="003719CD">
        <w:t xml:space="preserve">by owners have also been designated as contributions by owners. </w:t>
      </w:r>
    </w:p>
    <w:p w14:paraId="53CFD069" w14:textId="4CFBB633" w:rsidR="003719CD" w:rsidRDefault="003719CD" w:rsidP="00DC39DE">
      <w:r>
        <w:t xml:space="preserve">Judgements, estimates and assumptions are required to be made about financial information being presented. The significant judgements made in the preparation of these financial statements are disclosed in the notes where amounts affected by those judgements are disclosed. Estimates and associated assumptions are based on professional judgements derived from historical experience and various other factors that are believed to be reasonable under the circumstances. Actual results may differ from these estimates. </w:t>
      </w:r>
      <w:r w:rsidRPr="006F796B">
        <w:rPr>
          <w:rStyle w:val="Reference"/>
        </w:rPr>
        <w:t>[</w:t>
      </w:r>
      <w:r w:rsidR="0007383E">
        <w:rPr>
          <w:rStyle w:val="Reference"/>
        </w:rPr>
        <w:t>AASB </w:t>
      </w:r>
      <w:r w:rsidRPr="006F796B">
        <w:rPr>
          <w:rStyle w:val="Reference"/>
        </w:rPr>
        <w:t>10</w:t>
      </w:r>
      <w:r w:rsidR="00F47ECC">
        <w:rPr>
          <w:rStyle w:val="Reference"/>
        </w:rPr>
        <w:t>60</w:t>
      </w:r>
      <w:r w:rsidRPr="006F796B">
        <w:rPr>
          <w:rStyle w:val="Reference"/>
        </w:rPr>
        <w:t>.</w:t>
      </w:r>
      <w:r w:rsidR="00F47ECC">
        <w:rPr>
          <w:rStyle w:val="Reference"/>
        </w:rPr>
        <w:t>96</w:t>
      </w:r>
      <w:r w:rsidRPr="006F796B">
        <w:rPr>
          <w:rStyle w:val="Reference"/>
        </w:rPr>
        <w:t xml:space="preserve"> and 10</w:t>
      </w:r>
      <w:r w:rsidR="00A40119">
        <w:rPr>
          <w:rStyle w:val="Reference"/>
        </w:rPr>
        <w:t>60</w:t>
      </w:r>
      <w:r w:rsidRPr="006F796B">
        <w:rPr>
          <w:rStyle w:val="Reference"/>
        </w:rPr>
        <w:t>.</w:t>
      </w:r>
      <w:r w:rsidR="00A40119">
        <w:rPr>
          <w:rStyle w:val="Reference"/>
        </w:rPr>
        <w:t>97</w:t>
      </w:r>
      <w:r w:rsidRPr="006F796B">
        <w:rPr>
          <w:rStyle w:val="Reference"/>
        </w:rPr>
        <w:t>]</w:t>
      </w:r>
      <w:r>
        <w:t xml:space="preserve"> </w:t>
      </w:r>
    </w:p>
    <w:p w14:paraId="667B3558" w14:textId="7DCFC5CC" w:rsidR="003719CD" w:rsidRDefault="003719CD" w:rsidP="00DC39DE">
      <w:r>
        <w:t xml:space="preserve">Revisions to accounting estimates are recognised in the period in which the estimate is revised </w:t>
      </w:r>
      <w:r w:rsidR="00EE16DF">
        <w:t>and</w:t>
      </w:r>
      <w:r>
        <w:t xml:space="preserve"> in future periods that are affected by the revision. </w:t>
      </w:r>
      <w:r w:rsidRPr="006F796B">
        <w:rPr>
          <w:rStyle w:val="Reference"/>
        </w:rPr>
        <w:t>[</w:t>
      </w:r>
      <w:r w:rsidR="0007383E">
        <w:rPr>
          <w:rStyle w:val="Reference"/>
        </w:rPr>
        <w:t>AASB </w:t>
      </w:r>
      <w:r w:rsidRPr="006F796B">
        <w:rPr>
          <w:rStyle w:val="Reference"/>
        </w:rPr>
        <w:t>108.36]</w:t>
      </w:r>
      <w:r>
        <w:t xml:space="preserve"> Judgements and assumptions made by management in applying AAS that have significant effects on the financial statements and estimates are disclosed in the notes under the heading: ‘Significant judgement or </w:t>
      </w:r>
      <w:proofErr w:type="gramStart"/>
      <w:r>
        <w:t>estimates’</w:t>
      </w:r>
      <w:proofErr w:type="gramEnd"/>
      <w:r>
        <w:t xml:space="preserve">. </w:t>
      </w:r>
    </w:p>
    <w:p w14:paraId="1FBA4BB6" w14:textId="74686392" w:rsidR="003719CD" w:rsidRDefault="003719CD" w:rsidP="00DC39DE">
      <w:r w:rsidRPr="00A81655">
        <w:t xml:space="preserve">These financial statements cover </w:t>
      </w:r>
      <w:r w:rsidR="00516160" w:rsidRPr="002A0038">
        <w:t>TV</w:t>
      </w:r>
      <w:r w:rsidRPr="00A81655">
        <w:t xml:space="preserve"> as an individual reporting entity and include all the controlled activities of </w:t>
      </w:r>
      <w:r w:rsidR="00D90B3E" w:rsidRPr="00A81655">
        <w:t>TV</w:t>
      </w:r>
      <w:r w:rsidRPr="00A81655">
        <w:t xml:space="preserve">. </w:t>
      </w:r>
      <w:r w:rsidR="00A37C9B" w:rsidRPr="00A81655">
        <w:rPr>
          <w:lang w:eastAsia="zh-CN"/>
        </w:rPr>
        <w:t>There is no entity consolidated into</w:t>
      </w:r>
      <w:r w:rsidR="00886CA1" w:rsidRPr="00A81655">
        <w:rPr>
          <w:lang w:eastAsia="zh-CN"/>
        </w:rPr>
        <w:t xml:space="preserve"> TV.</w:t>
      </w:r>
      <w:r w:rsidR="00B3485F">
        <w:rPr>
          <w:rFonts w:hint="eastAsia"/>
          <w:lang w:eastAsia="zh-CN"/>
        </w:rPr>
        <w:t xml:space="preserve"> </w:t>
      </w:r>
      <w:r w:rsidR="00B3485F" w:rsidRPr="006F796B">
        <w:rPr>
          <w:rStyle w:val="Reference"/>
        </w:rPr>
        <w:t>[</w:t>
      </w:r>
      <w:r w:rsidR="0007383E">
        <w:rPr>
          <w:rStyle w:val="Reference"/>
        </w:rPr>
        <w:t>AASB </w:t>
      </w:r>
      <w:r w:rsidR="00B3485F" w:rsidRPr="006F796B">
        <w:rPr>
          <w:rStyle w:val="Reference"/>
        </w:rPr>
        <w:t>10</w:t>
      </w:r>
      <w:r w:rsidR="00B3485F">
        <w:rPr>
          <w:rStyle w:val="Reference"/>
          <w:rFonts w:hint="eastAsia"/>
          <w:lang w:eastAsia="zh-CN"/>
        </w:rPr>
        <w:t>60</w:t>
      </w:r>
      <w:r w:rsidR="00B3485F" w:rsidRPr="006F796B">
        <w:rPr>
          <w:rStyle w:val="Reference"/>
        </w:rPr>
        <w:t>.</w:t>
      </w:r>
      <w:r w:rsidR="00B3485F">
        <w:rPr>
          <w:rStyle w:val="Reference"/>
          <w:rFonts w:hint="eastAsia"/>
          <w:lang w:eastAsia="zh-CN"/>
        </w:rPr>
        <w:t>31 (b)</w:t>
      </w:r>
      <w:r w:rsidR="00B3485F" w:rsidRPr="006F796B">
        <w:rPr>
          <w:rStyle w:val="Reference"/>
        </w:rPr>
        <w:t>]</w:t>
      </w:r>
    </w:p>
    <w:p w14:paraId="04900C35" w14:textId="26E42E67" w:rsidR="003719CD" w:rsidRPr="00956D29" w:rsidRDefault="003719CD" w:rsidP="00DC39DE">
      <w:pPr>
        <w:rPr>
          <w:rStyle w:val="Reference"/>
        </w:rPr>
      </w:pPr>
      <w:r>
        <w:t>All amounts in the financial statements have been rounded to the nearest $1</w:t>
      </w:r>
      <w:r w:rsidR="002378F4">
        <w:t xml:space="preserve"> </w:t>
      </w:r>
      <w:r>
        <w:t xml:space="preserve">000 unless otherwise stated. </w:t>
      </w:r>
      <w:r w:rsidRPr="00956D29">
        <w:rPr>
          <w:rStyle w:val="Reference"/>
        </w:rPr>
        <w:t>[</w:t>
      </w:r>
      <w:r w:rsidR="0007383E">
        <w:rPr>
          <w:rStyle w:val="Reference"/>
        </w:rPr>
        <w:t>AASB </w:t>
      </w:r>
      <w:r w:rsidRPr="00956D29">
        <w:rPr>
          <w:rStyle w:val="Reference"/>
        </w:rPr>
        <w:t>10</w:t>
      </w:r>
      <w:r w:rsidR="00423C51">
        <w:rPr>
          <w:rStyle w:val="Reference"/>
        </w:rPr>
        <w:t>60</w:t>
      </w:r>
      <w:r w:rsidRPr="00956D29">
        <w:rPr>
          <w:rStyle w:val="Reference"/>
        </w:rPr>
        <w:t>.</w:t>
      </w:r>
      <w:r w:rsidR="00423C51">
        <w:rPr>
          <w:rStyle w:val="Reference"/>
        </w:rPr>
        <w:t>3</w:t>
      </w:r>
      <w:r w:rsidRPr="00956D29">
        <w:rPr>
          <w:rStyle w:val="Reference"/>
        </w:rPr>
        <w:t>1(e)]</w:t>
      </w:r>
    </w:p>
    <w:p w14:paraId="253111F7" w14:textId="45715088" w:rsidR="003719CD" w:rsidRDefault="003719CD" w:rsidP="007D536F">
      <w:pPr>
        <w:pStyle w:val="Heading2"/>
      </w:pPr>
      <w:bookmarkStart w:id="212" w:name="_Toc179811139"/>
      <w:bookmarkStart w:id="213" w:name="_Toc179816839"/>
      <w:bookmarkStart w:id="214" w:name="_Toc179822539"/>
      <w:bookmarkStart w:id="215" w:name="_Toc179828227"/>
      <w:bookmarkStart w:id="216" w:name="_Toc179859757"/>
      <w:bookmarkStart w:id="217" w:name="_Toc179867099"/>
      <w:bookmarkStart w:id="218" w:name="_Toc179871492"/>
      <w:bookmarkStart w:id="219" w:name="_Toc179875885"/>
      <w:bookmarkStart w:id="220" w:name="_Toc179880304"/>
      <w:r>
        <w:t>Compliance information</w:t>
      </w:r>
      <w:bookmarkEnd w:id="212"/>
      <w:bookmarkEnd w:id="213"/>
      <w:bookmarkEnd w:id="214"/>
      <w:bookmarkEnd w:id="215"/>
      <w:bookmarkEnd w:id="216"/>
      <w:bookmarkEnd w:id="217"/>
      <w:bookmarkEnd w:id="218"/>
      <w:bookmarkEnd w:id="219"/>
      <w:bookmarkEnd w:id="220"/>
    </w:p>
    <w:p w14:paraId="668AF9DC" w14:textId="4BD1332A" w:rsidR="003719CD" w:rsidRDefault="003719CD" w:rsidP="0007383E">
      <w:pPr>
        <w:keepNext/>
      </w:pPr>
      <w:r>
        <w:t xml:space="preserve">These general-purpose financial statements have been prepared in accordance with the FMA and applicable Australian Accounting Standards (AASs), which include Interpretations, issued by the Australian Accounting Standards Board (AASB). </w:t>
      </w:r>
      <w:r w:rsidR="00FD25E9" w:rsidRPr="006F796B">
        <w:rPr>
          <w:rStyle w:val="Reference"/>
        </w:rPr>
        <w:t>[</w:t>
      </w:r>
      <w:r w:rsidR="0007383E">
        <w:rPr>
          <w:rStyle w:val="Reference"/>
        </w:rPr>
        <w:t>AASB </w:t>
      </w:r>
      <w:r w:rsidR="00FD25E9" w:rsidRPr="006F796B">
        <w:rPr>
          <w:rStyle w:val="Reference"/>
        </w:rPr>
        <w:t>10</w:t>
      </w:r>
      <w:r w:rsidR="00FD25E9">
        <w:rPr>
          <w:rStyle w:val="Reference"/>
          <w:rFonts w:hint="eastAsia"/>
          <w:lang w:eastAsia="zh-CN"/>
        </w:rPr>
        <w:t>60</w:t>
      </w:r>
      <w:r w:rsidR="00FD25E9" w:rsidRPr="006F796B">
        <w:rPr>
          <w:rStyle w:val="Reference"/>
        </w:rPr>
        <w:t>.</w:t>
      </w:r>
      <w:r w:rsidR="00FD25E9">
        <w:rPr>
          <w:rStyle w:val="Reference"/>
          <w:rFonts w:hint="eastAsia"/>
          <w:lang w:eastAsia="zh-CN"/>
        </w:rPr>
        <w:t>11 (a)</w:t>
      </w:r>
      <w:r w:rsidR="00FD25E9" w:rsidRPr="006F796B">
        <w:rPr>
          <w:rStyle w:val="Reference"/>
        </w:rPr>
        <w:t>]</w:t>
      </w:r>
      <w:r w:rsidR="00C775C7">
        <w:rPr>
          <w:rStyle w:val="Reference"/>
        </w:rPr>
        <w:t xml:space="preserve"> </w:t>
      </w:r>
    </w:p>
    <w:p w14:paraId="7CA0518C" w14:textId="4D4045B7" w:rsidR="003719CD" w:rsidRDefault="003719CD" w:rsidP="00DC39DE">
      <w:pPr>
        <w:rPr>
          <w:rStyle w:val="Reference"/>
        </w:rPr>
      </w:pPr>
      <w:r>
        <w:t xml:space="preserve">Where appropriate, those AASs paragraphs applicable to not-for-profit entities have been applied. Accounting policies selected and applied in these financial statements ensure that the resulting financial information satisfies the concepts of relevance and reliability, thereby ensuring that the substance of the underlying transactions or other events is reported. </w:t>
      </w:r>
      <w:r w:rsidRPr="00956D29">
        <w:rPr>
          <w:rStyle w:val="Reference"/>
        </w:rPr>
        <w:t>[</w:t>
      </w:r>
      <w:r w:rsidR="0007383E">
        <w:rPr>
          <w:rStyle w:val="Reference"/>
        </w:rPr>
        <w:t>AASB </w:t>
      </w:r>
      <w:r w:rsidRPr="00956D29">
        <w:rPr>
          <w:rStyle w:val="Reference"/>
        </w:rPr>
        <w:t>101.17]</w:t>
      </w:r>
    </w:p>
    <w:p w14:paraId="5AAC769F" w14:textId="77777777" w:rsidR="006C4F60" w:rsidRPr="002A0038" w:rsidRDefault="006C4F60" w:rsidP="006C4F60">
      <w:pPr>
        <w:rPr>
          <w:rStyle w:val="Reference"/>
          <w:sz w:val="18"/>
          <w:szCs w:val="20"/>
        </w:rPr>
      </w:pPr>
    </w:p>
    <w:p w14:paraId="2D6565E4" w14:textId="77777777" w:rsidR="003719CD" w:rsidRDefault="003719CD" w:rsidP="007D536F">
      <w:pPr>
        <w:pStyle w:val="GuidanceBlockHeading"/>
      </w:pPr>
      <w:bookmarkStart w:id="221" w:name="_Toc179811140"/>
      <w:bookmarkStart w:id="222" w:name="_Toc179816840"/>
      <w:bookmarkStart w:id="223" w:name="_Toc179822540"/>
      <w:r>
        <w:t>Guidance – Basis of preparation and compliance information</w:t>
      </w:r>
      <w:bookmarkEnd w:id="221"/>
      <w:bookmarkEnd w:id="222"/>
      <w:bookmarkEnd w:id="223"/>
    </w:p>
    <w:p w14:paraId="74BBAD7B" w14:textId="77777777" w:rsidR="003E6635" w:rsidRPr="00E10CD7" w:rsidRDefault="003E6635" w:rsidP="003E304B">
      <w:pPr>
        <w:pStyle w:val="GuidanceHeading"/>
        <w:spacing w:before="120" w:after="0"/>
        <w:rPr>
          <w:rStyle w:val="Guidance"/>
          <w:b w:val="0"/>
          <w:sz w:val="18"/>
        </w:rPr>
      </w:pPr>
      <w:r w:rsidRPr="00E10CD7">
        <w:rPr>
          <w:rStyle w:val="Guidance"/>
          <w:b w:val="0"/>
          <w:sz w:val="18"/>
        </w:rPr>
        <w:t>An entity shall disclose in the notes:</w:t>
      </w:r>
    </w:p>
    <w:p w14:paraId="6566EACC" w14:textId="29D56B77" w:rsidR="003E6635" w:rsidRPr="00E10CD7" w:rsidRDefault="003E6635" w:rsidP="00E10CD7">
      <w:pPr>
        <w:pStyle w:val="GuidanceHeading"/>
        <w:spacing w:before="40" w:after="0"/>
        <w:ind w:left="357" w:hanging="357"/>
        <w:rPr>
          <w:rStyle w:val="Guidance"/>
          <w:b w:val="0"/>
          <w:sz w:val="18"/>
        </w:rPr>
      </w:pPr>
      <w:r w:rsidRPr="00E10CD7">
        <w:rPr>
          <w:rStyle w:val="Guidance"/>
          <w:b w:val="0"/>
          <w:sz w:val="18"/>
        </w:rPr>
        <w:t>(a)</w:t>
      </w:r>
      <w:r w:rsidR="00903766">
        <w:rPr>
          <w:rStyle w:val="Guidance"/>
          <w:rFonts w:hint="eastAsia"/>
          <w:b w:val="0"/>
          <w:sz w:val="18"/>
          <w:lang w:eastAsia="zh-CN"/>
        </w:rPr>
        <w:t xml:space="preserve">  </w:t>
      </w:r>
      <w:r w:rsidRPr="00E10CD7">
        <w:rPr>
          <w:rStyle w:val="Guidance"/>
          <w:b w:val="0"/>
          <w:sz w:val="18"/>
        </w:rPr>
        <w:t xml:space="preserve"> the statutory basis or other reporting framework, if any, under which the financial statements are</w:t>
      </w:r>
      <w:r w:rsidR="003E304B">
        <w:rPr>
          <w:rStyle w:val="Guidance"/>
          <w:rFonts w:hint="eastAsia"/>
          <w:b w:val="0"/>
          <w:sz w:val="18"/>
          <w:lang w:eastAsia="zh-CN"/>
        </w:rPr>
        <w:t xml:space="preserve"> </w:t>
      </w:r>
      <w:r w:rsidRPr="00E10CD7">
        <w:rPr>
          <w:rStyle w:val="Guidance"/>
          <w:b w:val="0"/>
          <w:sz w:val="18"/>
        </w:rPr>
        <w:t>prepared</w:t>
      </w:r>
    </w:p>
    <w:p w14:paraId="770CA0ED" w14:textId="06EAA8F5" w:rsidR="00CD626A" w:rsidRPr="00E10CD7" w:rsidRDefault="003E6635" w:rsidP="00A7635C">
      <w:pPr>
        <w:pStyle w:val="GuidanceHeading"/>
        <w:spacing w:before="120" w:after="0"/>
        <w:rPr>
          <w:rStyle w:val="Guidance"/>
        </w:rPr>
      </w:pPr>
      <w:r w:rsidRPr="00E10CD7">
        <w:rPr>
          <w:rStyle w:val="Guidance"/>
          <w:b w:val="0"/>
          <w:sz w:val="18"/>
        </w:rPr>
        <w:t xml:space="preserve">(b) </w:t>
      </w:r>
      <w:r w:rsidR="00903766">
        <w:rPr>
          <w:rStyle w:val="Guidance"/>
          <w:rFonts w:hint="eastAsia"/>
          <w:b w:val="0"/>
          <w:sz w:val="18"/>
          <w:lang w:eastAsia="zh-CN"/>
        </w:rPr>
        <w:t xml:space="preserve">  </w:t>
      </w:r>
      <w:r w:rsidRPr="00E10CD7">
        <w:rPr>
          <w:rStyle w:val="Guidance"/>
          <w:b w:val="0"/>
          <w:sz w:val="18"/>
        </w:rPr>
        <w:t>whether, for the purposes of preparing the financial statements, it is a for-profit or not-for-profit</w:t>
      </w:r>
      <w:r w:rsidR="003E304B">
        <w:rPr>
          <w:rStyle w:val="Guidance"/>
          <w:rFonts w:hint="eastAsia"/>
          <w:b w:val="0"/>
          <w:sz w:val="18"/>
          <w:lang w:eastAsia="zh-CN"/>
        </w:rPr>
        <w:t xml:space="preserve"> </w:t>
      </w:r>
      <w:r w:rsidRPr="00E10CD7">
        <w:rPr>
          <w:rStyle w:val="Guidance"/>
          <w:b w:val="0"/>
          <w:sz w:val="18"/>
        </w:rPr>
        <w:t>entity.</w:t>
      </w:r>
      <w:r w:rsidR="00903766">
        <w:rPr>
          <w:rStyle w:val="Guidance"/>
          <w:rFonts w:hint="eastAsia"/>
          <w:b w:val="0"/>
          <w:sz w:val="18"/>
          <w:lang w:eastAsia="zh-CN"/>
        </w:rPr>
        <w:t xml:space="preserve"> </w:t>
      </w:r>
      <w:r w:rsidR="00A7635C" w:rsidRPr="00164614">
        <w:rPr>
          <w:rStyle w:val="Reference"/>
          <w:b w:val="0"/>
          <w:bCs/>
        </w:rPr>
        <w:t>[</w:t>
      </w:r>
      <w:r w:rsidR="0007383E">
        <w:rPr>
          <w:rStyle w:val="Reference"/>
          <w:b w:val="0"/>
          <w:bCs/>
        </w:rPr>
        <w:t>AASB </w:t>
      </w:r>
      <w:r w:rsidR="00A7635C" w:rsidRPr="00164614">
        <w:rPr>
          <w:rStyle w:val="Reference"/>
          <w:b w:val="0"/>
          <w:bCs/>
        </w:rPr>
        <w:t>1060</w:t>
      </w:r>
      <w:r w:rsidR="00A7635C">
        <w:rPr>
          <w:rStyle w:val="Reference"/>
          <w:rFonts w:hint="eastAsia"/>
          <w:b w:val="0"/>
          <w:bCs/>
          <w:lang w:eastAsia="zh-CN"/>
        </w:rPr>
        <w:t>.11</w:t>
      </w:r>
      <w:r w:rsidR="00A7635C" w:rsidRPr="00164614">
        <w:rPr>
          <w:rStyle w:val="Reference"/>
          <w:b w:val="0"/>
          <w:bCs/>
        </w:rPr>
        <w:t>]</w:t>
      </w:r>
    </w:p>
    <w:p w14:paraId="01352646" w14:textId="38CBA1D8" w:rsidR="003719CD" w:rsidRDefault="00CB4133" w:rsidP="002A0038">
      <w:pPr>
        <w:pStyle w:val="GuidanceHeading"/>
        <w:spacing w:before="120" w:after="0"/>
      </w:pPr>
      <w:r>
        <w:t>Information about judgements</w:t>
      </w:r>
      <w:r w:rsidR="00BF46CD">
        <w:t xml:space="preserve"> </w:t>
      </w:r>
    </w:p>
    <w:p w14:paraId="45E9A9F8" w14:textId="58173334" w:rsidR="00CB4133" w:rsidRPr="002A0038" w:rsidRDefault="00BF46CD" w:rsidP="002A0038">
      <w:pPr>
        <w:pStyle w:val="GuidanceHeading"/>
        <w:spacing w:before="120" w:after="0"/>
      </w:pPr>
      <w:r w:rsidRPr="00BF46CD">
        <w:rPr>
          <w:rStyle w:val="Guidance"/>
          <w:b w:val="0"/>
          <w:sz w:val="18"/>
        </w:rPr>
        <w:t>An entity shall disclose, in the material accounting policy information or other notes, the judgements, apart</w:t>
      </w:r>
      <w:r>
        <w:rPr>
          <w:rStyle w:val="Guidance"/>
          <w:b w:val="0"/>
          <w:sz w:val="18"/>
        </w:rPr>
        <w:t xml:space="preserve"> </w:t>
      </w:r>
      <w:r w:rsidRPr="00BF46CD">
        <w:rPr>
          <w:rStyle w:val="Guidance"/>
          <w:b w:val="0"/>
          <w:sz w:val="18"/>
        </w:rPr>
        <w:t>from those involving estimations, that management has made in the process of applying</w:t>
      </w:r>
      <w:r>
        <w:rPr>
          <w:rStyle w:val="Guidance"/>
          <w:b w:val="0"/>
          <w:sz w:val="18"/>
        </w:rPr>
        <w:t xml:space="preserve"> </w:t>
      </w:r>
      <w:r w:rsidRPr="00BF46CD">
        <w:rPr>
          <w:rStyle w:val="Guidance"/>
          <w:b w:val="0"/>
          <w:sz w:val="18"/>
        </w:rPr>
        <w:t>the entity’s accounting policies and that have the most significant effect on the amounts recognised in the</w:t>
      </w:r>
      <w:r>
        <w:rPr>
          <w:rStyle w:val="Guidance"/>
          <w:b w:val="0"/>
          <w:sz w:val="18"/>
        </w:rPr>
        <w:t xml:space="preserve"> </w:t>
      </w:r>
      <w:r w:rsidRPr="00BF46CD">
        <w:rPr>
          <w:rStyle w:val="Guidance"/>
          <w:b w:val="0"/>
          <w:sz w:val="18"/>
        </w:rPr>
        <w:t>financial statements.</w:t>
      </w:r>
      <w:r w:rsidR="00A91C16">
        <w:rPr>
          <w:rStyle w:val="Guidance"/>
          <w:rFonts w:hint="eastAsia"/>
          <w:b w:val="0"/>
          <w:sz w:val="18"/>
          <w:lang w:eastAsia="zh-CN"/>
        </w:rPr>
        <w:t xml:space="preserve"> </w:t>
      </w:r>
      <w:r w:rsidR="00A91C16" w:rsidRPr="00164614">
        <w:rPr>
          <w:rStyle w:val="Reference"/>
          <w:b w:val="0"/>
          <w:bCs/>
        </w:rPr>
        <w:t>[</w:t>
      </w:r>
      <w:r w:rsidR="0007383E">
        <w:rPr>
          <w:rStyle w:val="Reference"/>
          <w:b w:val="0"/>
          <w:bCs/>
        </w:rPr>
        <w:t>AASB </w:t>
      </w:r>
      <w:r w:rsidR="00A91C16" w:rsidRPr="00164614">
        <w:rPr>
          <w:rStyle w:val="Reference"/>
          <w:b w:val="0"/>
          <w:bCs/>
        </w:rPr>
        <w:t>1060</w:t>
      </w:r>
      <w:r w:rsidR="00A91C16">
        <w:rPr>
          <w:rStyle w:val="Reference"/>
          <w:rFonts w:hint="eastAsia"/>
          <w:b w:val="0"/>
          <w:bCs/>
          <w:lang w:eastAsia="zh-CN"/>
        </w:rPr>
        <w:t>.96</w:t>
      </w:r>
      <w:r w:rsidR="00A91C16" w:rsidRPr="00164614">
        <w:rPr>
          <w:rStyle w:val="Reference"/>
          <w:b w:val="0"/>
          <w:bCs/>
        </w:rPr>
        <w:t>]</w:t>
      </w:r>
    </w:p>
    <w:p w14:paraId="314622AB" w14:textId="08081C8A" w:rsidR="003719CD" w:rsidRDefault="003719CD" w:rsidP="002A0038">
      <w:pPr>
        <w:pStyle w:val="GuidanceHeading"/>
        <w:spacing w:before="120" w:after="0"/>
      </w:pPr>
      <w:r>
        <w:t xml:space="preserve">Key sources of estimation uncertainty </w:t>
      </w:r>
    </w:p>
    <w:p w14:paraId="2A5FC3FD" w14:textId="1F56AFFC" w:rsidR="00A47C89" w:rsidRDefault="004C0C93" w:rsidP="002A0038">
      <w:pPr>
        <w:spacing w:before="120" w:after="0"/>
      </w:pPr>
      <w:r w:rsidRPr="000F5494">
        <w:rPr>
          <w:rStyle w:val="Guidance"/>
        </w:rPr>
        <w:t>An entity shall disclose in the notes information about the key assumptions concerning the future, and other key sources of estimation uncertainty at the reporting date, that have a significant risk of causing a material adjustment to the carrying amounts of assets and liabilities within the next financial year. In respect of those assets and liabilities, the notes shall include details of:</w:t>
      </w:r>
    </w:p>
    <w:p w14:paraId="0ACAB45F" w14:textId="7B888214" w:rsidR="00A47C89" w:rsidRPr="002A0038" w:rsidRDefault="00A47C89" w:rsidP="003E304B">
      <w:pPr>
        <w:pStyle w:val="ListBullet"/>
        <w:numPr>
          <w:ilvl w:val="0"/>
          <w:numId w:val="323"/>
        </w:numPr>
        <w:spacing w:after="0"/>
        <w:ind w:left="357" w:hanging="357"/>
        <w:rPr>
          <w:rStyle w:val="Guidance"/>
        </w:rPr>
      </w:pPr>
      <w:r w:rsidRPr="002A0038">
        <w:rPr>
          <w:rStyle w:val="Guidance"/>
        </w:rPr>
        <w:t>their nature</w:t>
      </w:r>
    </w:p>
    <w:p w14:paraId="5812E4A1" w14:textId="5E3F842B" w:rsidR="00A47C89" w:rsidRPr="00A47C89" w:rsidRDefault="00A47C89" w:rsidP="003E304B">
      <w:pPr>
        <w:pStyle w:val="ListBullet"/>
        <w:numPr>
          <w:ilvl w:val="0"/>
          <w:numId w:val="323"/>
        </w:numPr>
        <w:spacing w:after="0"/>
        <w:ind w:left="357" w:hanging="357"/>
        <w:rPr>
          <w:rStyle w:val="Guidance"/>
        </w:rPr>
      </w:pPr>
      <w:r w:rsidRPr="002A0038">
        <w:rPr>
          <w:rStyle w:val="Guidance"/>
        </w:rPr>
        <w:t>their carrying amount as at the end of the reporting period</w:t>
      </w:r>
      <w:r w:rsidR="00A91C16">
        <w:rPr>
          <w:rStyle w:val="Guidance"/>
          <w:rFonts w:hint="eastAsia"/>
          <w:lang w:eastAsia="zh-CN"/>
        </w:rPr>
        <w:t xml:space="preserve">. </w:t>
      </w:r>
      <w:r w:rsidR="00A91C16" w:rsidRPr="00164614">
        <w:rPr>
          <w:rStyle w:val="Reference"/>
          <w:bCs/>
        </w:rPr>
        <w:t>[</w:t>
      </w:r>
      <w:r w:rsidR="0007383E">
        <w:rPr>
          <w:rStyle w:val="Reference"/>
          <w:bCs/>
        </w:rPr>
        <w:t>AASB </w:t>
      </w:r>
      <w:r w:rsidR="00A91C16" w:rsidRPr="00164614">
        <w:rPr>
          <w:rStyle w:val="Reference"/>
          <w:bCs/>
        </w:rPr>
        <w:t>1060.</w:t>
      </w:r>
      <w:r w:rsidR="00A91C16">
        <w:rPr>
          <w:rStyle w:val="Reference"/>
          <w:rFonts w:hint="eastAsia"/>
          <w:bCs/>
          <w:lang w:eastAsia="zh-CN"/>
        </w:rPr>
        <w:t>97</w:t>
      </w:r>
      <w:r w:rsidR="00A91C16" w:rsidRPr="00164614">
        <w:rPr>
          <w:rStyle w:val="Reference"/>
          <w:bCs/>
        </w:rPr>
        <w:t>]</w:t>
      </w:r>
    </w:p>
    <w:p w14:paraId="720D9CB7" w14:textId="37261BBB" w:rsidR="003719CD" w:rsidRDefault="003719CD" w:rsidP="002A0038">
      <w:pPr>
        <w:pStyle w:val="GuidanceHeading"/>
        <w:spacing w:before="120" w:after="0"/>
      </w:pPr>
      <w:r>
        <w:t xml:space="preserve">Rounding of amounts </w:t>
      </w:r>
    </w:p>
    <w:p w14:paraId="0AB32766" w14:textId="2F1F5D55" w:rsidR="00B00E10" w:rsidRDefault="00F87432" w:rsidP="002D66A8">
      <w:pPr>
        <w:spacing w:before="120" w:after="0"/>
        <w:rPr>
          <w:rStyle w:val="Guidance"/>
        </w:rPr>
      </w:pPr>
      <w:r>
        <w:rPr>
          <w:rFonts w:hint="eastAsia"/>
          <w:color w:val="4472C4" w:themeColor="accent1"/>
          <w:lang w:eastAsia="zh-CN"/>
        </w:rPr>
        <w:t>A</w:t>
      </w:r>
      <w:r w:rsidRPr="00F87432">
        <w:rPr>
          <w:color w:val="4472C4" w:themeColor="accent1"/>
        </w:rPr>
        <w:t>n entity shall display the level of rounding, if any, used in presenting amounts in the financial statements</w:t>
      </w:r>
      <w:r>
        <w:rPr>
          <w:rFonts w:hint="eastAsia"/>
          <w:color w:val="4472C4" w:themeColor="accent1"/>
          <w:lang w:eastAsia="zh-CN"/>
        </w:rPr>
        <w:t xml:space="preserve"> </w:t>
      </w:r>
      <w:r w:rsidRPr="00F87432">
        <w:rPr>
          <w:color w:val="4472C4" w:themeColor="accent1"/>
        </w:rPr>
        <w:t>prominently</w:t>
      </w:r>
      <w:r>
        <w:rPr>
          <w:rFonts w:hint="eastAsia"/>
          <w:color w:val="4472C4" w:themeColor="accent1"/>
          <w:lang w:eastAsia="zh-CN"/>
        </w:rPr>
        <w:t xml:space="preserve"> </w:t>
      </w:r>
      <w:r w:rsidRPr="00F87432">
        <w:rPr>
          <w:color w:val="4472C4" w:themeColor="accent1"/>
        </w:rPr>
        <w:t>and repeat it when necessary for an understanding of the information presented</w:t>
      </w:r>
      <w:r>
        <w:rPr>
          <w:rFonts w:hint="eastAsia"/>
          <w:color w:val="4472C4" w:themeColor="accent1"/>
          <w:lang w:eastAsia="zh-CN"/>
        </w:rPr>
        <w:t xml:space="preserve">. </w:t>
      </w:r>
      <w:r w:rsidRPr="00164614">
        <w:rPr>
          <w:rStyle w:val="Reference"/>
          <w:bCs/>
        </w:rPr>
        <w:t>[</w:t>
      </w:r>
      <w:r w:rsidR="0007383E">
        <w:rPr>
          <w:rStyle w:val="Reference"/>
          <w:bCs/>
        </w:rPr>
        <w:t>AASB </w:t>
      </w:r>
      <w:r w:rsidRPr="00164614">
        <w:rPr>
          <w:rStyle w:val="Reference"/>
          <w:bCs/>
        </w:rPr>
        <w:t>1060.</w:t>
      </w:r>
      <w:r>
        <w:rPr>
          <w:rStyle w:val="Reference"/>
          <w:rFonts w:hint="eastAsia"/>
          <w:bCs/>
          <w:lang w:eastAsia="zh-CN"/>
        </w:rPr>
        <w:t>3</w:t>
      </w:r>
      <w:r w:rsidRPr="00164614">
        <w:rPr>
          <w:rStyle w:val="Reference"/>
          <w:bCs/>
        </w:rPr>
        <w:t>1</w:t>
      </w:r>
      <w:r>
        <w:rPr>
          <w:rStyle w:val="Reference"/>
          <w:rFonts w:hint="eastAsia"/>
          <w:bCs/>
          <w:lang w:eastAsia="zh-CN"/>
        </w:rPr>
        <w:t>(e)</w:t>
      </w:r>
      <w:r w:rsidRPr="00164614">
        <w:rPr>
          <w:rStyle w:val="Reference"/>
          <w:bCs/>
        </w:rPr>
        <w:t>]</w:t>
      </w:r>
    </w:p>
    <w:p w14:paraId="727DE890" w14:textId="77777777" w:rsidR="003719CD" w:rsidRDefault="003719CD" w:rsidP="007D536F">
      <w:pPr>
        <w:pStyle w:val="GuidanceEnd"/>
      </w:pPr>
    </w:p>
    <w:p w14:paraId="0DD06218" w14:textId="68695BF0" w:rsidR="008D7702" w:rsidRDefault="008D7702" w:rsidP="00DC39DE">
      <w:pPr>
        <w:sectPr w:rsidR="008D7702" w:rsidSect="000E2F05">
          <w:headerReference w:type="even" r:id="rId52"/>
          <w:headerReference w:type="default" r:id="rId53"/>
          <w:footerReference w:type="default" r:id="rId54"/>
          <w:headerReference w:type="first" r:id="rId55"/>
          <w:footerReference w:type="first" r:id="rId56"/>
          <w:type w:val="continuous"/>
          <w:pgSz w:w="11906" w:h="16838" w:code="9"/>
          <w:pgMar w:top="1134" w:right="1134" w:bottom="1134" w:left="1134" w:header="624" w:footer="567" w:gutter="0"/>
          <w:cols w:space="708"/>
          <w:titlePg/>
          <w:docGrid w:linePitch="360"/>
        </w:sectPr>
      </w:pPr>
    </w:p>
    <w:p w14:paraId="10F8A43F" w14:textId="0D77E770" w:rsidR="003719CD" w:rsidRPr="003E2FB4" w:rsidRDefault="003719CD" w:rsidP="00BB40F7">
      <w:pPr>
        <w:pStyle w:val="Heading1numbered"/>
        <w:sectPr w:rsidR="003719CD" w:rsidRPr="003E2FB4" w:rsidSect="000E2F05">
          <w:headerReference w:type="even" r:id="rId57"/>
          <w:headerReference w:type="default" r:id="rId58"/>
          <w:footerReference w:type="even" r:id="rId59"/>
          <w:footerReference w:type="default" r:id="rId60"/>
          <w:headerReference w:type="first" r:id="rId61"/>
          <w:pgSz w:w="11906" w:h="16838" w:code="9"/>
          <w:pgMar w:top="1134" w:right="1134" w:bottom="1134" w:left="1134" w:header="624" w:footer="567" w:gutter="0"/>
          <w:cols w:space="708"/>
          <w:titlePg/>
          <w:docGrid w:linePitch="360"/>
        </w:sectPr>
      </w:pPr>
      <w:bookmarkStart w:id="224" w:name="_Toc179811141"/>
      <w:bookmarkStart w:id="225" w:name="_Toc179816841"/>
      <w:bookmarkStart w:id="226" w:name="_Toc179822541"/>
      <w:bookmarkStart w:id="227" w:name="_Toc179828228"/>
      <w:bookmarkStart w:id="228" w:name="_Toc179859758"/>
      <w:bookmarkStart w:id="229" w:name="_Toc179867100"/>
      <w:bookmarkStart w:id="230" w:name="_Toc179871493"/>
      <w:bookmarkStart w:id="231" w:name="_Toc179875886"/>
      <w:bookmarkStart w:id="232" w:name="_Toc179880274"/>
      <w:bookmarkStart w:id="233" w:name="_Toc179880305"/>
      <w:bookmarkStart w:id="234" w:name="Section_2"/>
      <w:r>
        <w:t>FUNDING DELIVERY OF OUR SERVICES</w:t>
      </w:r>
      <w:bookmarkEnd w:id="224"/>
      <w:bookmarkEnd w:id="225"/>
      <w:bookmarkEnd w:id="226"/>
      <w:bookmarkEnd w:id="227"/>
      <w:bookmarkEnd w:id="228"/>
      <w:bookmarkEnd w:id="229"/>
      <w:bookmarkEnd w:id="230"/>
      <w:bookmarkEnd w:id="231"/>
      <w:bookmarkEnd w:id="232"/>
      <w:bookmarkEnd w:id="233"/>
    </w:p>
    <w:p w14:paraId="2DC1B91D" w14:textId="6F682983" w:rsidR="003719CD" w:rsidRDefault="003719CD" w:rsidP="007D536F">
      <w:pPr>
        <w:pStyle w:val="Heading3"/>
      </w:pPr>
      <w:bookmarkStart w:id="235" w:name="_Toc179811142"/>
      <w:bookmarkStart w:id="236" w:name="_Toc179816842"/>
      <w:bookmarkStart w:id="237" w:name="_Toc179822542"/>
      <w:bookmarkStart w:id="238" w:name="_Toc179828229"/>
      <w:bookmarkStart w:id="239" w:name="_Toc179859759"/>
      <w:r>
        <w:t>Introduction</w:t>
      </w:r>
      <w:bookmarkEnd w:id="235"/>
      <w:bookmarkEnd w:id="236"/>
      <w:bookmarkEnd w:id="237"/>
      <w:bookmarkEnd w:id="238"/>
      <w:bookmarkEnd w:id="239"/>
      <w:r w:rsidR="00DE51DF">
        <w:t xml:space="preserve"> </w:t>
      </w:r>
      <w:r w:rsidR="00DE51DF" w:rsidRPr="004F3AB8">
        <w:rPr>
          <w:color w:val="C00000"/>
        </w:rPr>
        <w:t>[REVISED]</w:t>
      </w:r>
    </w:p>
    <w:p w14:paraId="7BE75829" w14:textId="3EF32EE7" w:rsidR="003719CD" w:rsidRDefault="00126FA5" w:rsidP="00DC39DE">
      <w:r>
        <w:t>Technology Victoria</w:t>
      </w:r>
      <w:r w:rsidR="003719CD">
        <w:t>’s (</w:t>
      </w:r>
      <w:r w:rsidR="008A22E9">
        <w:t>TV</w:t>
      </w:r>
      <w:r w:rsidR="003719CD">
        <w:t xml:space="preserve">) overall objective is to research, develop, promote and support the use of leading-edge information, and telecommunications that bring improvements to the efficiency and effectiveness of government operation, and improvements to the quality of life of Victorians. </w:t>
      </w:r>
    </w:p>
    <w:p w14:paraId="2E3CD4F8" w14:textId="144E6B30" w:rsidR="003719CD" w:rsidRDefault="00BA6548" w:rsidP="002A0038">
      <w:r>
        <w:rPr>
          <w:rFonts w:hint="eastAsia"/>
          <w:lang w:eastAsia="zh-CN"/>
        </w:rPr>
        <w:t xml:space="preserve">TV </w:t>
      </w:r>
      <w:r w:rsidR="003719CD">
        <w:t>receives income (</w:t>
      </w:r>
      <w:r w:rsidR="00BF4368">
        <w:rPr>
          <w:rFonts w:hint="eastAsia"/>
          <w:lang w:eastAsia="zh-CN"/>
        </w:rPr>
        <w:t>grant</w:t>
      </w:r>
      <w:r w:rsidR="003719CD">
        <w:t>s)</w:t>
      </w:r>
      <w:r w:rsidR="002C213E">
        <w:rPr>
          <w:rFonts w:hint="eastAsia"/>
          <w:lang w:eastAsia="zh-CN"/>
        </w:rPr>
        <w:t xml:space="preserve"> and </w:t>
      </w:r>
      <w:r w:rsidR="003719CD">
        <w:t>market</w:t>
      </w:r>
      <w:r w:rsidR="003719CD">
        <w:noBreakHyphen/>
        <w:t>based fees providing advice and other services in relation to information technology and telecommunications.</w:t>
      </w:r>
    </w:p>
    <w:p w14:paraId="73097E00" w14:textId="1AD4F2AC" w:rsidR="001F1023" w:rsidRPr="007F307D" w:rsidRDefault="001F1023" w:rsidP="001F1023">
      <w:pPr>
        <w:pStyle w:val="GuidanceEnd"/>
        <w:rPr>
          <w:b/>
          <w:bCs/>
        </w:rPr>
      </w:pPr>
      <w:r w:rsidRPr="007F307D">
        <w:rPr>
          <w:b/>
          <w:bCs/>
        </w:rPr>
        <w:t>Significant judgement</w:t>
      </w:r>
      <w:r w:rsidR="00DF1AD1">
        <w:rPr>
          <w:b/>
          <w:bCs/>
        </w:rPr>
        <w:t xml:space="preserve"> </w:t>
      </w:r>
      <w:r w:rsidR="00ED103C">
        <w:rPr>
          <w:b/>
          <w:bCs/>
        </w:rPr>
        <w:t xml:space="preserve">– </w:t>
      </w:r>
      <w:r w:rsidRPr="007F307D">
        <w:rPr>
          <w:b/>
          <w:bCs/>
        </w:rPr>
        <w:t>Grants revenue</w:t>
      </w:r>
    </w:p>
    <w:p w14:paraId="4E33C142" w14:textId="2ECDC7E2" w:rsidR="001F1023" w:rsidRPr="00AF446B" w:rsidRDefault="001F1023" w:rsidP="001F1023">
      <w:pPr>
        <w:rPr>
          <w:rStyle w:val="Guidance"/>
        </w:rPr>
      </w:pPr>
      <w:r w:rsidRPr="00AF446B">
        <w:rPr>
          <w:rStyle w:val="Guidance"/>
        </w:rPr>
        <w:t>[</w:t>
      </w:r>
      <w:r w:rsidR="00026D72">
        <w:rPr>
          <w:rStyle w:val="Guidance"/>
        </w:rPr>
        <w:t>TV</w:t>
      </w:r>
      <w:r w:rsidRPr="00AF446B">
        <w:rPr>
          <w:rStyle w:val="Guidance"/>
        </w:rPr>
        <w:t xml:space="preserve"> to include specific information on judgements made in the application of the standard]</w:t>
      </w:r>
    </w:p>
    <w:p w14:paraId="3289D32D" w14:textId="4F9CD642" w:rsidR="001F1023" w:rsidRDefault="00026D72" w:rsidP="001F1023">
      <w:r>
        <w:t>TV</w:t>
      </w:r>
      <w:r w:rsidR="001F1023">
        <w:t xml:space="preserve"> has made the judgement that amounts received in relation to </w:t>
      </w:r>
      <w:r w:rsidR="001F1023" w:rsidRPr="00AF446B">
        <w:rPr>
          <w:rStyle w:val="Guidance"/>
        </w:rPr>
        <w:t>[provide details]</w:t>
      </w:r>
      <w:r w:rsidR="001F1023">
        <w:t xml:space="preserve"> should be recognised under </w:t>
      </w:r>
      <w:r w:rsidR="001F1023" w:rsidRPr="00AF446B">
        <w:rPr>
          <w:rStyle w:val="Guidance"/>
        </w:rPr>
        <w:t xml:space="preserve">[AASB 1058 / AASB 15] </w:t>
      </w:r>
      <w:r w:rsidR="001F1023">
        <w:t xml:space="preserve">on the basis that </w:t>
      </w:r>
      <w:r w:rsidR="001F1023" w:rsidRPr="00423699">
        <w:rPr>
          <w:color w:val="0070C0"/>
        </w:rPr>
        <w:t>[</w:t>
      </w:r>
      <w:r w:rsidR="001F1023" w:rsidRPr="00E51206">
        <w:rPr>
          <w:rStyle w:val="Guidance"/>
        </w:rPr>
        <w:t>include details of reasons why a specific treatment was deemed to be judgemental in nature</w:t>
      </w:r>
      <w:r w:rsidR="001F1023" w:rsidRPr="00E51206">
        <w:rPr>
          <w:color w:val="4472C4" w:themeColor="accent1"/>
        </w:rPr>
        <w:t>].</w:t>
      </w:r>
    </w:p>
    <w:p w14:paraId="6C7722C9" w14:textId="77777777" w:rsidR="001F1023" w:rsidRDefault="001F1023" w:rsidP="001F1023">
      <w:pPr>
        <w:pStyle w:val="GuidanceEnd"/>
      </w:pPr>
    </w:p>
    <w:p w14:paraId="6EC2E8D6" w14:textId="76887BB0" w:rsidR="003719CD" w:rsidRDefault="003719CD" w:rsidP="007D536F">
      <w:pPr>
        <w:pStyle w:val="Heading3"/>
      </w:pPr>
      <w:r>
        <w:br w:type="column"/>
      </w:r>
      <w:bookmarkStart w:id="240" w:name="_Toc179811143"/>
      <w:bookmarkStart w:id="241" w:name="_Toc179816843"/>
      <w:bookmarkStart w:id="242" w:name="_Toc179822543"/>
      <w:bookmarkStart w:id="243" w:name="_Toc179828230"/>
      <w:bookmarkStart w:id="244" w:name="_Toc179859760"/>
      <w:r>
        <w:t>Structure</w:t>
      </w:r>
      <w:bookmarkEnd w:id="240"/>
      <w:bookmarkEnd w:id="241"/>
      <w:bookmarkEnd w:id="242"/>
      <w:bookmarkEnd w:id="243"/>
      <w:bookmarkEnd w:id="244"/>
    </w:p>
    <w:p w14:paraId="45287EE5" w14:textId="0C216E70" w:rsidR="004776BF" w:rsidRDefault="003719CD">
      <w:pPr>
        <w:pStyle w:val="TOC9"/>
        <w:rPr>
          <w:noProof/>
          <w:kern w:val="2"/>
          <w:sz w:val="24"/>
          <w:szCs w:val="24"/>
          <w14:ligatures w14:val="standardContextual"/>
        </w:rPr>
      </w:pPr>
      <w:r w:rsidRPr="00940E38">
        <w:fldChar w:fldCharType="begin"/>
      </w:r>
      <w:r w:rsidRPr="00940E38">
        <w:instrText xml:space="preserve"> TOC \h \z \t "Heading 2 </w:instrText>
      </w:r>
      <w:r w:rsidR="003D1DA5">
        <w:instrText>numbered</w:instrText>
      </w:r>
      <w:r w:rsidRPr="00940E38">
        <w:instrText>,9" \b Section</w:instrText>
      </w:r>
      <w:r>
        <w:instrText>_</w:instrText>
      </w:r>
      <w:r w:rsidRPr="00940E38">
        <w:instrText xml:space="preserve">2 \* MERGEFORMAT </w:instrText>
      </w:r>
      <w:r w:rsidRPr="00940E38">
        <w:fldChar w:fldCharType="separate"/>
      </w:r>
      <w:hyperlink w:anchor="_Toc190341862" w:history="1">
        <w:r w:rsidR="004776BF" w:rsidRPr="009D50A9">
          <w:rPr>
            <w:rStyle w:val="Hyperlink"/>
            <w:noProof/>
          </w:rPr>
          <w:t>2.1</w:t>
        </w:r>
        <w:r w:rsidR="004776BF">
          <w:rPr>
            <w:noProof/>
            <w:kern w:val="2"/>
            <w:sz w:val="24"/>
            <w:szCs w:val="24"/>
            <w14:ligatures w14:val="standardContextual"/>
          </w:rPr>
          <w:tab/>
        </w:r>
        <w:r w:rsidR="004776BF" w:rsidRPr="009D50A9">
          <w:rPr>
            <w:rStyle w:val="Hyperlink"/>
            <w:noProof/>
          </w:rPr>
          <w:t>Summary of revenue and income that funds the</w:t>
        </w:r>
        <w:r w:rsidR="004776BF">
          <w:rPr>
            <w:rStyle w:val="Hyperlink"/>
            <w:noProof/>
          </w:rPr>
          <w:t> </w:t>
        </w:r>
        <w:r w:rsidR="004776BF" w:rsidRPr="009D50A9">
          <w:rPr>
            <w:rStyle w:val="Hyperlink"/>
            <w:noProof/>
          </w:rPr>
          <w:t>delivery of our services</w:t>
        </w:r>
        <w:r w:rsidR="004776BF">
          <w:rPr>
            <w:noProof/>
            <w:webHidden/>
          </w:rPr>
          <w:tab/>
        </w:r>
        <w:r w:rsidR="004776BF">
          <w:rPr>
            <w:noProof/>
            <w:webHidden/>
          </w:rPr>
          <w:fldChar w:fldCharType="begin"/>
        </w:r>
        <w:r w:rsidR="004776BF">
          <w:rPr>
            <w:noProof/>
            <w:webHidden/>
          </w:rPr>
          <w:instrText xml:space="preserve"> PAGEREF _Toc190341862 \h </w:instrText>
        </w:r>
        <w:r w:rsidR="004776BF">
          <w:rPr>
            <w:noProof/>
            <w:webHidden/>
          </w:rPr>
        </w:r>
        <w:r w:rsidR="004776BF">
          <w:rPr>
            <w:noProof/>
            <w:webHidden/>
          </w:rPr>
          <w:fldChar w:fldCharType="separate"/>
        </w:r>
        <w:r w:rsidR="0054242A">
          <w:rPr>
            <w:noProof/>
            <w:webHidden/>
          </w:rPr>
          <w:t>23</w:t>
        </w:r>
        <w:r w:rsidR="004776BF">
          <w:rPr>
            <w:noProof/>
            <w:webHidden/>
          </w:rPr>
          <w:fldChar w:fldCharType="end"/>
        </w:r>
      </w:hyperlink>
    </w:p>
    <w:p w14:paraId="3D98FB25" w14:textId="1ECB62B9" w:rsidR="004776BF" w:rsidRDefault="004776BF">
      <w:pPr>
        <w:pStyle w:val="TOC9"/>
        <w:rPr>
          <w:noProof/>
          <w:kern w:val="2"/>
          <w:sz w:val="24"/>
          <w:szCs w:val="24"/>
          <w14:ligatures w14:val="standardContextual"/>
        </w:rPr>
      </w:pPr>
      <w:hyperlink w:anchor="_Toc190341863" w:history="1">
        <w:r w:rsidRPr="009D50A9">
          <w:rPr>
            <w:rStyle w:val="Hyperlink"/>
            <w:noProof/>
          </w:rPr>
          <w:t>2.2</w:t>
        </w:r>
        <w:r>
          <w:rPr>
            <w:noProof/>
            <w:kern w:val="2"/>
            <w:sz w:val="24"/>
            <w:szCs w:val="24"/>
            <w14:ligatures w14:val="standardContextual"/>
          </w:rPr>
          <w:tab/>
        </w:r>
        <w:r w:rsidRPr="009D50A9">
          <w:rPr>
            <w:rStyle w:val="Hyperlink"/>
            <w:noProof/>
          </w:rPr>
          <w:t>Income from transactions</w:t>
        </w:r>
        <w:r>
          <w:rPr>
            <w:noProof/>
            <w:webHidden/>
          </w:rPr>
          <w:tab/>
        </w:r>
        <w:r>
          <w:rPr>
            <w:noProof/>
            <w:webHidden/>
          </w:rPr>
          <w:fldChar w:fldCharType="begin"/>
        </w:r>
        <w:r>
          <w:rPr>
            <w:noProof/>
            <w:webHidden/>
          </w:rPr>
          <w:instrText xml:space="preserve"> PAGEREF _Toc190341863 \h </w:instrText>
        </w:r>
        <w:r>
          <w:rPr>
            <w:noProof/>
            <w:webHidden/>
          </w:rPr>
        </w:r>
        <w:r>
          <w:rPr>
            <w:noProof/>
            <w:webHidden/>
          </w:rPr>
          <w:fldChar w:fldCharType="separate"/>
        </w:r>
        <w:r w:rsidR="0054242A">
          <w:rPr>
            <w:noProof/>
            <w:webHidden/>
          </w:rPr>
          <w:t>23</w:t>
        </w:r>
        <w:r>
          <w:rPr>
            <w:noProof/>
            <w:webHidden/>
          </w:rPr>
          <w:fldChar w:fldCharType="end"/>
        </w:r>
      </w:hyperlink>
    </w:p>
    <w:p w14:paraId="138CBADF" w14:textId="30E7A01F" w:rsidR="00CA5CF8" w:rsidRDefault="003719CD" w:rsidP="007D536F">
      <w:pPr>
        <w:sectPr w:rsidR="00CA5CF8" w:rsidSect="00CA5CF8">
          <w:type w:val="continuous"/>
          <w:pgSz w:w="11906" w:h="16838" w:code="9"/>
          <w:pgMar w:top="1134" w:right="1134" w:bottom="1134" w:left="1134" w:header="624" w:footer="567" w:gutter="0"/>
          <w:cols w:num="2" w:space="708"/>
          <w:titlePg/>
          <w:docGrid w:linePitch="360"/>
        </w:sectPr>
      </w:pPr>
      <w:r w:rsidRPr="00940E38">
        <w:fldChar w:fldCharType="end"/>
      </w:r>
    </w:p>
    <w:p w14:paraId="0633E4FD" w14:textId="30BBDF23" w:rsidR="003719CD" w:rsidRDefault="003719CD" w:rsidP="00AD7DA5">
      <w:pPr>
        <w:pStyle w:val="Heading2numbered"/>
      </w:pPr>
      <w:bookmarkStart w:id="245" w:name="_Toc96704851"/>
      <w:bookmarkStart w:id="246" w:name="_Toc64983249"/>
      <w:bookmarkStart w:id="247" w:name="_Toc179816844"/>
      <w:bookmarkStart w:id="248" w:name="_Toc179822544"/>
      <w:bookmarkStart w:id="249" w:name="_Toc179828231"/>
      <w:bookmarkStart w:id="250" w:name="_Toc179859761"/>
      <w:bookmarkStart w:id="251" w:name="_Toc179867101"/>
      <w:bookmarkStart w:id="252" w:name="_Toc179871494"/>
      <w:bookmarkStart w:id="253" w:name="_Toc179875887"/>
      <w:bookmarkStart w:id="254" w:name="_Toc179880306"/>
      <w:bookmarkStart w:id="255" w:name="_Toc190339861"/>
      <w:bookmarkStart w:id="256" w:name="_Toc190341862"/>
      <w:r>
        <w:t>Summary of revenue and income that funds the</w:t>
      </w:r>
      <w:r w:rsidR="004776BF">
        <w:t> </w:t>
      </w:r>
      <w:r>
        <w:t>delivery of our services</w:t>
      </w:r>
      <w:bookmarkEnd w:id="245"/>
      <w:bookmarkEnd w:id="246"/>
      <w:bookmarkEnd w:id="247"/>
      <w:bookmarkEnd w:id="248"/>
      <w:bookmarkEnd w:id="249"/>
      <w:bookmarkEnd w:id="250"/>
      <w:bookmarkEnd w:id="251"/>
      <w:bookmarkEnd w:id="252"/>
      <w:bookmarkEnd w:id="253"/>
      <w:bookmarkEnd w:id="254"/>
      <w:bookmarkEnd w:id="255"/>
      <w:bookmarkEnd w:id="256"/>
    </w:p>
    <w:p w14:paraId="0FE46999" w14:textId="77777777" w:rsidR="003719CD" w:rsidRPr="007F307D" w:rsidRDefault="003719CD" w:rsidP="007D536F">
      <w:pPr>
        <w:pStyle w:val="TableUnits"/>
      </w:pPr>
      <w:r>
        <w:tab/>
      </w:r>
      <w:r>
        <w:tab/>
      </w:r>
      <w:r w:rsidRPr="007F307D">
        <w:t>($ thousand)</w:t>
      </w:r>
    </w:p>
    <w:tbl>
      <w:tblPr>
        <w:tblStyle w:val="DTFTable"/>
        <w:tblW w:w="9639" w:type="dxa"/>
        <w:tblLayout w:type="fixed"/>
        <w:tblLook w:val="0620" w:firstRow="1" w:lastRow="0" w:firstColumn="0" w:lastColumn="0" w:noHBand="1" w:noVBand="1"/>
      </w:tblPr>
      <w:tblGrid>
        <w:gridCol w:w="1349"/>
        <w:gridCol w:w="5739"/>
        <w:gridCol w:w="821"/>
        <w:gridCol w:w="865"/>
        <w:gridCol w:w="865"/>
      </w:tblGrid>
      <w:tr w:rsidR="00182709" w14:paraId="4FA1D69D" w14:textId="77777777" w:rsidTr="00E71E36">
        <w:trPr>
          <w:cnfStyle w:val="100000000000" w:firstRow="1" w:lastRow="0" w:firstColumn="0" w:lastColumn="0" w:oddVBand="0" w:evenVBand="0" w:oddHBand="0" w:evenHBand="0" w:firstRowFirstColumn="0" w:firstRowLastColumn="0" w:lastRowFirstColumn="0" w:lastRowLastColumn="0"/>
          <w:tblHeader/>
        </w:trPr>
        <w:tc>
          <w:tcPr>
            <w:tcW w:w="1349" w:type="dxa"/>
            <w:tcBorders>
              <w:top w:val="nil"/>
              <w:bottom w:val="nil"/>
            </w:tcBorders>
            <w:shd w:val="clear" w:color="auto" w:fill="FFFFFF" w:themeFill="background1"/>
          </w:tcPr>
          <w:p w14:paraId="74947F9E" w14:textId="77777777" w:rsidR="00182709" w:rsidRDefault="0044097C">
            <w:pPr>
              <w:keepNext/>
              <w:jc w:val="left"/>
            </w:pPr>
            <w:r>
              <w:rPr>
                <w:color w:val="4472C4"/>
                <w:sz w:val="13"/>
              </w:rPr>
              <w:t>Source reference</w:t>
            </w:r>
          </w:p>
        </w:tc>
        <w:tc>
          <w:tcPr>
            <w:tcW w:w="5739" w:type="dxa"/>
          </w:tcPr>
          <w:p w14:paraId="7FF0CF66" w14:textId="77777777" w:rsidR="00182709" w:rsidRDefault="00182709">
            <w:pPr>
              <w:keepNext/>
              <w:jc w:val="left"/>
            </w:pPr>
          </w:p>
        </w:tc>
        <w:tc>
          <w:tcPr>
            <w:tcW w:w="821" w:type="dxa"/>
          </w:tcPr>
          <w:p w14:paraId="545177C3" w14:textId="77777777" w:rsidR="00182709" w:rsidRDefault="0044097C">
            <w:pPr>
              <w:keepNext/>
              <w:jc w:val="center"/>
            </w:pPr>
            <w:r>
              <w:t>Notes</w:t>
            </w:r>
          </w:p>
        </w:tc>
        <w:tc>
          <w:tcPr>
            <w:tcW w:w="865" w:type="dxa"/>
          </w:tcPr>
          <w:p w14:paraId="546C497B" w14:textId="77777777" w:rsidR="00182709" w:rsidRDefault="0044097C">
            <w:pPr>
              <w:keepNext/>
            </w:pPr>
            <w:r>
              <w:t>20X2</w:t>
            </w:r>
          </w:p>
        </w:tc>
        <w:tc>
          <w:tcPr>
            <w:tcW w:w="865" w:type="dxa"/>
          </w:tcPr>
          <w:p w14:paraId="594BE520" w14:textId="77777777" w:rsidR="00182709" w:rsidRDefault="0044097C">
            <w:pPr>
              <w:keepNext/>
            </w:pPr>
            <w:r>
              <w:t>20X1</w:t>
            </w:r>
          </w:p>
        </w:tc>
      </w:tr>
      <w:tr w:rsidR="00BA1A9A" w14:paraId="11A7BB90" w14:textId="77777777" w:rsidTr="002A0038">
        <w:tc>
          <w:tcPr>
            <w:tcW w:w="0" w:type="dxa"/>
          </w:tcPr>
          <w:p w14:paraId="0B2ED957" w14:textId="5077E8C1" w:rsidR="00BA1A9A" w:rsidRDefault="0007383E" w:rsidP="00BA1A9A">
            <w:pPr>
              <w:jc w:val="left"/>
            </w:pPr>
            <w:r>
              <w:rPr>
                <w:color w:val="4472C4"/>
                <w:sz w:val="13"/>
              </w:rPr>
              <w:t>AASB </w:t>
            </w:r>
            <w:r w:rsidR="00BA1A9A">
              <w:rPr>
                <w:color w:val="4472C4"/>
                <w:sz w:val="13"/>
              </w:rPr>
              <w:t>1060.157(b)</w:t>
            </w:r>
          </w:p>
        </w:tc>
        <w:tc>
          <w:tcPr>
            <w:tcW w:w="0" w:type="dxa"/>
          </w:tcPr>
          <w:p w14:paraId="1F548F63" w14:textId="77777777" w:rsidR="00BA1A9A" w:rsidRDefault="00BA1A9A" w:rsidP="00BA1A9A">
            <w:pPr>
              <w:jc w:val="left"/>
            </w:pPr>
            <w:r>
              <w:t>Sale of goods and services</w:t>
            </w:r>
          </w:p>
        </w:tc>
        <w:tc>
          <w:tcPr>
            <w:tcW w:w="0" w:type="dxa"/>
            <w:vAlign w:val="center"/>
          </w:tcPr>
          <w:p w14:paraId="0A0D85F6" w14:textId="119C07A2" w:rsidR="00BA1A9A" w:rsidRDefault="00BA1A9A" w:rsidP="00BA1A9A">
            <w:pPr>
              <w:jc w:val="center"/>
            </w:pPr>
            <w:r>
              <w:rPr>
                <w:rFonts w:ascii="Arial" w:hAnsi="Arial" w:cs="Arial"/>
                <w:color w:val="000000"/>
                <w:szCs w:val="16"/>
              </w:rPr>
              <w:t>2.2.2</w:t>
            </w:r>
          </w:p>
        </w:tc>
        <w:tc>
          <w:tcPr>
            <w:tcW w:w="0" w:type="dxa"/>
            <w:vAlign w:val="center"/>
          </w:tcPr>
          <w:p w14:paraId="43D8DC4C" w14:textId="29DD8E3F" w:rsidR="00BA1A9A" w:rsidRDefault="00BA1A9A" w:rsidP="00BA1A9A">
            <w:r>
              <w:rPr>
                <w:rFonts w:ascii="Arial" w:hAnsi="Arial" w:cs="Arial"/>
                <w:color w:val="000000"/>
                <w:szCs w:val="16"/>
              </w:rPr>
              <w:t>82</w:t>
            </w:r>
            <w:r w:rsidR="003E3065">
              <w:rPr>
                <w:rFonts w:ascii="Arial" w:hAnsi="Arial" w:cs="Arial" w:hint="eastAsia"/>
                <w:color w:val="000000"/>
                <w:szCs w:val="16"/>
                <w:lang w:eastAsia="zh-CN"/>
              </w:rPr>
              <w:t xml:space="preserve"> </w:t>
            </w:r>
            <w:r>
              <w:rPr>
                <w:rFonts w:ascii="Arial" w:hAnsi="Arial" w:cs="Arial"/>
                <w:color w:val="000000"/>
                <w:szCs w:val="16"/>
              </w:rPr>
              <w:t>392</w:t>
            </w:r>
          </w:p>
        </w:tc>
        <w:tc>
          <w:tcPr>
            <w:tcW w:w="0" w:type="dxa"/>
            <w:vAlign w:val="center"/>
          </w:tcPr>
          <w:p w14:paraId="718836B5" w14:textId="209878D1" w:rsidR="00BA1A9A" w:rsidRDefault="00BA1A9A" w:rsidP="00BA1A9A">
            <w:r>
              <w:rPr>
                <w:rFonts w:ascii="Arial" w:hAnsi="Arial" w:cs="Arial"/>
                <w:color w:val="000000"/>
                <w:szCs w:val="16"/>
              </w:rPr>
              <w:t>64</w:t>
            </w:r>
            <w:r w:rsidR="003E3065">
              <w:rPr>
                <w:rFonts w:ascii="Arial" w:hAnsi="Arial" w:cs="Arial" w:hint="eastAsia"/>
                <w:color w:val="000000"/>
                <w:szCs w:val="16"/>
                <w:lang w:eastAsia="zh-CN"/>
              </w:rPr>
              <w:t xml:space="preserve"> </w:t>
            </w:r>
            <w:r>
              <w:rPr>
                <w:rFonts w:ascii="Arial" w:hAnsi="Arial" w:cs="Arial"/>
                <w:color w:val="000000"/>
                <w:szCs w:val="16"/>
              </w:rPr>
              <w:t>466</w:t>
            </w:r>
          </w:p>
        </w:tc>
      </w:tr>
      <w:tr w:rsidR="00BA1A9A" w14:paraId="083B838B" w14:textId="77777777" w:rsidTr="002A0038">
        <w:tc>
          <w:tcPr>
            <w:tcW w:w="0" w:type="dxa"/>
          </w:tcPr>
          <w:p w14:paraId="6AD335E3" w14:textId="7C113864" w:rsidR="00BA1A9A" w:rsidRDefault="0007383E" w:rsidP="00BA1A9A">
            <w:pPr>
              <w:jc w:val="left"/>
            </w:pPr>
            <w:r>
              <w:rPr>
                <w:color w:val="4472C4"/>
                <w:sz w:val="13"/>
              </w:rPr>
              <w:t>AASB </w:t>
            </w:r>
            <w:r w:rsidR="00BA1A9A">
              <w:rPr>
                <w:color w:val="4472C4"/>
                <w:sz w:val="13"/>
              </w:rPr>
              <w:t>1060.</w:t>
            </w:r>
            <w:r w:rsidR="00246663">
              <w:rPr>
                <w:rFonts w:hint="eastAsia"/>
                <w:color w:val="4472C4"/>
                <w:sz w:val="13"/>
                <w:lang w:eastAsia="zh-CN"/>
              </w:rPr>
              <w:t>229</w:t>
            </w:r>
            <w:r w:rsidR="00BA1A9A">
              <w:rPr>
                <w:color w:val="4472C4"/>
                <w:sz w:val="13"/>
              </w:rPr>
              <w:t>(</w:t>
            </w:r>
            <w:r w:rsidR="00246663">
              <w:rPr>
                <w:rFonts w:hint="eastAsia"/>
                <w:color w:val="4472C4"/>
                <w:sz w:val="13"/>
                <w:lang w:eastAsia="zh-CN"/>
              </w:rPr>
              <w:t>a</w:t>
            </w:r>
            <w:r w:rsidR="00BA1A9A">
              <w:rPr>
                <w:color w:val="4472C4"/>
                <w:sz w:val="13"/>
              </w:rPr>
              <w:t>)</w:t>
            </w:r>
          </w:p>
        </w:tc>
        <w:tc>
          <w:tcPr>
            <w:tcW w:w="0" w:type="dxa"/>
          </w:tcPr>
          <w:p w14:paraId="43C7369B" w14:textId="77777777" w:rsidR="00BA1A9A" w:rsidRDefault="00BA1A9A" w:rsidP="00BA1A9A">
            <w:pPr>
              <w:jc w:val="left"/>
            </w:pPr>
            <w:r>
              <w:t>Grants</w:t>
            </w:r>
          </w:p>
        </w:tc>
        <w:tc>
          <w:tcPr>
            <w:tcW w:w="0" w:type="dxa"/>
            <w:vAlign w:val="center"/>
          </w:tcPr>
          <w:p w14:paraId="4C86BCF0" w14:textId="145FBE5F" w:rsidR="00BA1A9A" w:rsidRDefault="00BA1A9A" w:rsidP="00BA1A9A">
            <w:pPr>
              <w:jc w:val="center"/>
            </w:pPr>
            <w:r>
              <w:rPr>
                <w:rFonts w:ascii="Arial" w:hAnsi="Arial" w:cs="Arial"/>
                <w:color w:val="000000"/>
                <w:szCs w:val="16"/>
              </w:rPr>
              <w:t>2.2.3</w:t>
            </w:r>
          </w:p>
        </w:tc>
        <w:tc>
          <w:tcPr>
            <w:tcW w:w="0" w:type="dxa"/>
            <w:vAlign w:val="center"/>
          </w:tcPr>
          <w:p w14:paraId="680B1ADA" w14:textId="38171130" w:rsidR="00BA1A9A" w:rsidRDefault="00BA1A9A" w:rsidP="00BA1A9A">
            <w:r>
              <w:rPr>
                <w:rFonts w:ascii="Arial" w:hAnsi="Arial" w:cs="Arial"/>
                <w:color w:val="000000"/>
                <w:szCs w:val="16"/>
              </w:rPr>
              <w:t>13</w:t>
            </w:r>
            <w:r w:rsidR="003E3065">
              <w:rPr>
                <w:rFonts w:ascii="Arial" w:hAnsi="Arial" w:cs="Arial" w:hint="eastAsia"/>
                <w:color w:val="000000"/>
                <w:szCs w:val="16"/>
                <w:lang w:eastAsia="zh-CN"/>
              </w:rPr>
              <w:t xml:space="preserve"> </w:t>
            </w:r>
            <w:r>
              <w:rPr>
                <w:rFonts w:ascii="Arial" w:hAnsi="Arial" w:cs="Arial"/>
                <w:color w:val="000000"/>
                <w:szCs w:val="16"/>
              </w:rPr>
              <w:t>338</w:t>
            </w:r>
          </w:p>
        </w:tc>
        <w:tc>
          <w:tcPr>
            <w:tcW w:w="0" w:type="dxa"/>
            <w:vAlign w:val="center"/>
          </w:tcPr>
          <w:p w14:paraId="0D120AF8" w14:textId="67FB2DA2" w:rsidR="00BA1A9A" w:rsidRDefault="00BA1A9A" w:rsidP="00BA1A9A">
            <w:r>
              <w:rPr>
                <w:rFonts w:ascii="Arial" w:hAnsi="Arial" w:cs="Arial"/>
                <w:color w:val="000000"/>
                <w:szCs w:val="16"/>
              </w:rPr>
              <w:t>12</w:t>
            </w:r>
            <w:r w:rsidR="003E3065">
              <w:rPr>
                <w:rFonts w:ascii="Arial" w:hAnsi="Arial" w:cs="Arial" w:hint="eastAsia"/>
                <w:color w:val="000000"/>
                <w:szCs w:val="16"/>
                <w:lang w:eastAsia="zh-CN"/>
              </w:rPr>
              <w:t xml:space="preserve"> </w:t>
            </w:r>
            <w:r>
              <w:rPr>
                <w:rFonts w:ascii="Arial" w:hAnsi="Arial" w:cs="Arial"/>
                <w:color w:val="000000"/>
                <w:szCs w:val="16"/>
              </w:rPr>
              <w:t>213</w:t>
            </w:r>
          </w:p>
        </w:tc>
      </w:tr>
      <w:tr w:rsidR="00BA1A9A" w14:paraId="72078618" w14:textId="77777777" w:rsidTr="002A0038">
        <w:tc>
          <w:tcPr>
            <w:tcW w:w="0" w:type="dxa"/>
          </w:tcPr>
          <w:p w14:paraId="6E322EDB" w14:textId="0379B831" w:rsidR="00BA1A9A" w:rsidRDefault="0007383E" w:rsidP="00BA1A9A">
            <w:pPr>
              <w:jc w:val="left"/>
            </w:pPr>
            <w:r>
              <w:rPr>
                <w:color w:val="4472C4"/>
                <w:sz w:val="13"/>
              </w:rPr>
              <w:t>AASB </w:t>
            </w:r>
            <w:r w:rsidR="00BA1A9A">
              <w:rPr>
                <w:color w:val="4472C4"/>
                <w:sz w:val="13"/>
              </w:rPr>
              <w:t>1060.157(b)</w:t>
            </w:r>
          </w:p>
        </w:tc>
        <w:tc>
          <w:tcPr>
            <w:tcW w:w="0" w:type="dxa"/>
            <w:tcBorders>
              <w:bottom w:val="nil"/>
            </w:tcBorders>
          </w:tcPr>
          <w:p w14:paraId="163C6CB7" w14:textId="77777777" w:rsidR="00BA1A9A" w:rsidRDefault="00BA1A9A" w:rsidP="00BA1A9A">
            <w:pPr>
              <w:jc w:val="left"/>
            </w:pPr>
            <w:r>
              <w:t>Fair value of assets and services received free of charge or for nominal consideration</w:t>
            </w:r>
          </w:p>
        </w:tc>
        <w:tc>
          <w:tcPr>
            <w:tcW w:w="0" w:type="dxa"/>
            <w:tcBorders>
              <w:bottom w:val="nil"/>
            </w:tcBorders>
            <w:vAlign w:val="center"/>
          </w:tcPr>
          <w:p w14:paraId="2723645A" w14:textId="2A129FD5" w:rsidR="00BA1A9A" w:rsidRDefault="00BA1A9A" w:rsidP="00BA1A9A">
            <w:pPr>
              <w:jc w:val="center"/>
            </w:pPr>
            <w:r>
              <w:rPr>
                <w:rFonts w:ascii="Arial" w:hAnsi="Arial" w:cs="Arial"/>
                <w:color w:val="000000"/>
                <w:szCs w:val="16"/>
              </w:rPr>
              <w:t>2.2.4</w:t>
            </w:r>
          </w:p>
        </w:tc>
        <w:tc>
          <w:tcPr>
            <w:tcW w:w="0" w:type="dxa"/>
            <w:tcBorders>
              <w:bottom w:val="nil"/>
            </w:tcBorders>
            <w:vAlign w:val="center"/>
          </w:tcPr>
          <w:p w14:paraId="13CD8932" w14:textId="278A6B26" w:rsidR="00BA1A9A" w:rsidRDefault="00BA1A9A" w:rsidP="00BA1A9A">
            <w:r>
              <w:rPr>
                <w:rFonts w:ascii="Arial" w:hAnsi="Arial" w:cs="Arial"/>
                <w:color w:val="000000"/>
                <w:szCs w:val="16"/>
              </w:rPr>
              <w:t>1</w:t>
            </w:r>
            <w:r w:rsidR="003E3065">
              <w:rPr>
                <w:rFonts w:ascii="Arial" w:hAnsi="Arial" w:cs="Arial" w:hint="eastAsia"/>
                <w:color w:val="000000"/>
                <w:szCs w:val="16"/>
                <w:lang w:eastAsia="zh-CN"/>
              </w:rPr>
              <w:t xml:space="preserve"> </w:t>
            </w:r>
            <w:r>
              <w:rPr>
                <w:rFonts w:ascii="Arial" w:hAnsi="Arial" w:cs="Arial"/>
                <w:color w:val="000000"/>
                <w:szCs w:val="16"/>
              </w:rPr>
              <w:t>589</w:t>
            </w:r>
          </w:p>
        </w:tc>
        <w:tc>
          <w:tcPr>
            <w:tcW w:w="0" w:type="dxa"/>
            <w:tcBorders>
              <w:bottom w:val="nil"/>
            </w:tcBorders>
            <w:vAlign w:val="center"/>
          </w:tcPr>
          <w:p w14:paraId="4F14F4FE" w14:textId="3F3A5B44" w:rsidR="00BA1A9A" w:rsidRDefault="00BA1A9A" w:rsidP="00BA1A9A">
            <w:r>
              <w:rPr>
                <w:rFonts w:ascii="Arial" w:hAnsi="Arial" w:cs="Arial"/>
                <w:color w:val="000000"/>
                <w:szCs w:val="16"/>
              </w:rPr>
              <w:t>1</w:t>
            </w:r>
            <w:r w:rsidR="003E3065">
              <w:rPr>
                <w:rFonts w:ascii="Arial" w:hAnsi="Arial" w:cs="Arial" w:hint="eastAsia"/>
                <w:color w:val="000000"/>
                <w:szCs w:val="16"/>
                <w:lang w:eastAsia="zh-CN"/>
              </w:rPr>
              <w:t xml:space="preserve"> </w:t>
            </w:r>
            <w:r>
              <w:rPr>
                <w:rFonts w:ascii="Arial" w:hAnsi="Arial" w:cs="Arial"/>
                <w:color w:val="000000"/>
                <w:szCs w:val="16"/>
              </w:rPr>
              <w:t>708</w:t>
            </w:r>
          </w:p>
        </w:tc>
      </w:tr>
      <w:tr w:rsidR="00BA1A9A" w:rsidRPr="007629A5" w14:paraId="4200D1B8" w14:textId="77777777" w:rsidTr="002A0038">
        <w:tc>
          <w:tcPr>
            <w:tcW w:w="0" w:type="dxa"/>
          </w:tcPr>
          <w:p w14:paraId="4DABB887" w14:textId="4A960A86" w:rsidR="00BA1A9A" w:rsidRDefault="0007383E" w:rsidP="002A0038">
            <w:pPr>
              <w:jc w:val="left"/>
              <w:rPr>
                <w:color w:val="4472C4"/>
                <w:sz w:val="13"/>
                <w:lang w:eastAsia="zh-CN"/>
              </w:rPr>
            </w:pPr>
            <w:r>
              <w:rPr>
                <w:color w:val="4472C4"/>
                <w:sz w:val="13"/>
              </w:rPr>
              <w:t>AASB </w:t>
            </w:r>
            <w:r w:rsidR="00BA1A9A">
              <w:rPr>
                <w:color w:val="4472C4"/>
                <w:sz w:val="13"/>
              </w:rPr>
              <w:t>1060.</w:t>
            </w:r>
            <w:r w:rsidR="00AF7967">
              <w:rPr>
                <w:rFonts w:hint="eastAsia"/>
                <w:color w:val="4472C4"/>
                <w:sz w:val="13"/>
                <w:lang w:eastAsia="zh-CN"/>
              </w:rPr>
              <w:t>119(a)</w:t>
            </w:r>
          </w:p>
        </w:tc>
        <w:tc>
          <w:tcPr>
            <w:tcW w:w="0" w:type="dxa"/>
            <w:tcBorders>
              <w:bottom w:val="nil"/>
            </w:tcBorders>
          </w:tcPr>
          <w:p w14:paraId="4FD2E53D" w14:textId="6923B8D9" w:rsidR="00BA1A9A" w:rsidRPr="002A0038" w:rsidRDefault="00BA1A9A" w:rsidP="002A0038">
            <w:pPr>
              <w:jc w:val="left"/>
              <w:rPr>
                <w:color w:val="4472C4"/>
                <w:sz w:val="13"/>
              </w:rPr>
            </w:pPr>
            <w:r w:rsidRPr="007629A5">
              <w:t>Interest income</w:t>
            </w:r>
          </w:p>
        </w:tc>
        <w:tc>
          <w:tcPr>
            <w:tcW w:w="0" w:type="dxa"/>
            <w:tcBorders>
              <w:bottom w:val="nil"/>
            </w:tcBorders>
            <w:vAlign w:val="center"/>
          </w:tcPr>
          <w:p w14:paraId="68B138F6" w14:textId="40E4A6F0" w:rsidR="00BA1A9A" w:rsidRPr="007629A5" w:rsidRDefault="00BA1A9A" w:rsidP="00BA1A9A">
            <w:pPr>
              <w:jc w:val="center"/>
            </w:pPr>
            <w:r>
              <w:rPr>
                <w:rFonts w:ascii="Arial" w:hAnsi="Arial" w:cs="Arial"/>
                <w:color w:val="000000"/>
                <w:szCs w:val="16"/>
              </w:rPr>
              <w:t>2.2.1</w:t>
            </w:r>
          </w:p>
        </w:tc>
        <w:tc>
          <w:tcPr>
            <w:tcW w:w="0" w:type="dxa"/>
            <w:tcBorders>
              <w:bottom w:val="nil"/>
            </w:tcBorders>
            <w:vAlign w:val="center"/>
          </w:tcPr>
          <w:p w14:paraId="71E33378" w14:textId="25D1E7F4" w:rsidR="00BA1A9A" w:rsidRPr="007629A5" w:rsidRDefault="00BA1A9A" w:rsidP="00BA1A9A">
            <w:r>
              <w:rPr>
                <w:rFonts w:ascii="Arial" w:hAnsi="Arial" w:cs="Arial"/>
                <w:color w:val="000000"/>
                <w:szCs w:val="16"/>
              </w:rPr>
              <w:t>3</w:t>
            </w:r>
            <w:r w:rsidR="003E3065">
              <w:rPr>
                <w:rFonts w:ascii="Arial" w:hAnsi="Arial" w:cs="Arial" w:hint="eastAsia"/>
                <w:color w:val="000000"/>
                <w:szCs w:val="16"/>
                <w:lang w:eastAsia="zh-CN"/>
              </w:rPr>
              <w:t xml:space="preserve"> </w:t>
            </w:r>
            <w:r>
              <w:rPr>
                <w:rFonts w:ascii="Arial" w:hAnsi="Arial" w:cs="Arial"/>
                <w:color w:val="000000"/>
                <w:szCs w:val="16"/>
              </w:rPr>
              <w:t>864</w:t>
            </w:r>
          </w:p>
        </w:tc>
        <w:tc>
          <w:tcPr>
            <w:tcW w:w="0" w:type="dxa"/>
            <w:tcBorders>
              <w:bottom w:val="nil"/>
            </w:tcBorders>
            <w:vAlign w:val="center"/>
          </w:tcPr>
          <w:p w14:paraId="343A7755" w14:textId="6A833A55" w:rsidR="00BA1A9A" w:rsidRPr="007629A5" w:rsidRDefault="00BA1A9A" w:rsidP="00BA1A9A">
            <w:r>
              <w:rPr>
                <w:rFonts w:ascii="Arial" w:hAnsi="Arial" w:cs="Arial"/>
                <w:color w:val="000000"/>
                <w:szCs w:val="16"/>
              </w:rPr>
              <w:t>2</w:t>
            </w:r>
            <w:r w:rsidR="003E3065">
              <w:rPr>
                <w:rFonts w:ascii="Arial" w:hAnsi="Arial" w:cs="Arial" w:hint="eastAsia"/>
                <w:color w:val="000000"/>
                <w:szCs w:val="16"/>
                <w:lang w:eastAsia="zh-CN"/>
              </w:rPr>
              <w:t xml:space="preserve"> </w:t>
            </w:r>
            <w:r>
              <w:rPr>
                <w:rFonts w:ascii="Arial" w:hAnsi="Arial" w:cs="Arial"/>
                <w:color w:val="000000"/>
                <w:szCs w:val="16"/>
              </w:rPr>
              <w:t>897</w:t>
            </w:r>
          </w:p>
        </w:tc>
      </w:tr>
      <w:tr w:rsidR="00BA1A9A" w14:paraId="5499D3DA" w14:textId="77777777" w:rsidTr="002A0038">
        <w:tc>
          <w:tcPr>
            <w:tcW w:w="0" w:type="dxa"/>
          </w:tcPr>
          <w:p w14:paraId="25B02E0C" w14:textId="26C8B6E7" w:rsidR="00BA1A9A" w:rsidRDefault="0007383E" w:rsidP="00BA1A9A">
            <w:pPr>
              <w:jc w:val="left"/>
            </w:pPr>
            <w:r>
              <w:rPr>
                <w:color w:val="4472C4"/>
                <w:sz w:val="13"/>
              </w:rPr>
              <w:t>AASB </w:t>
            </w:r>
            <w:r w:rsidR="00BA1A9A">
              <w:rPr>
                <w:color w:val="4472C4"/>
                <w:sz w:val="13"/>
              </w:rPr>
              <w:t>1060.157(b)</w:t>
            </w:r>
          </w:p>
        </w:tc>
        <w:tc>
          <w:tcPr>
            <w:tcW w:w="0" w:type="dxa"/>
            <w:tcBorders>
              <w:top w:val="nil"/>
              <w:bottom w:val="single" w:sz="12" w:space="0" w:color="auto"/>
            </w:tcBorders>
          </w:tcPr>
          <w:p w14:paraId="72E3486A" w14:textId="77777777" w:rsidR="00BA1A9A" w:rsidRDefault="00BA1A9A" w:rsidP="00BA1A9A">
            <w:pPr>
              <w:jc w:val="left"/>
            </w:pPr>
            <w:r>
              <w:t>Other income</w:t>
            </w:r>
          </w:p>
        </w:tc>
        <w:tc>
          <w:tcPr>
            <w:tcW w:w="0" w:type="dxa"/>
            <w:tcBorders>
              <w:top w:val="nil"/>
              <w:bottom w:val="single" w:sz="12" w:space="0" w:color="auto"/>
            </w:tcBorders>
            <w:vAlign w:val="center"/>
          </w:tcPr>
          <w:p w14:paraId="145E0458" w14:textId="3CCC1605" w:rsidR="00BA1A9A" w:rsidRDefault="00BA1A9A" w:rsidP="00BA1A9A">
            <w:pPr>
              <w:jc w:val="center"/>
            </w:pPr>
            <w:r>
              <w:rPr>
                <w:rFonts w:ascii="Arial" w:hAnsi="Arial" w:cs="Arial"/>
                <w:color w:val="000000"/>
                <w:szCs w:val="16"/>
              </w:rPr>
              <w:t>2.2.5</w:t>
            </w:r>
          </w:p>
        </w:tc>
        <w:tc>
          <w:tcPr>
            <w:tcW w:w="0" w:type="dxa"/>
            <w:tcBorders>
              <w:top w:val="nil"/>
              <w:bottom w:val="single" w:sz="12" w:space="0" w:color="auto"/>
            </w:tcBorders>
            <w:vAlign w:val="center"/>
          </w:tcPr>
          <w:p w14:paraId="75D964EE" w14:textId="7C75A13E" w:rsidR="00BA1A9A" w:rsidRDefault="00BA1A9A" w:rsidP="00BA1A9A">
            <w:r>
              <w:rPr>
                <w:rFonts w:ascii="Arial" w:hAnsi="Arial" w:cs="Arial"/>
                <w:color w:val="000000"/>
                <w:szCs w:val="16"/>
              </w:rPr>
              <w:t>3</w:t>
            </w:r>
            <w:r w:rsidR="003E3065">
              <w:rPr>
                <w:rFonts w:ascii="Arial" w:hAnsi="Arial" w:cs="Arial" w:hint="eastAsia"/>
                <w:color w:val="000000"/>
                <w:szCs w:val="16"/>
                <w:lang w:eastAsia="zh-CN"/>
              </w:rPr>
              <w:t xml:space="preserve"> </w:t>
            </w:r>
            <w:r>
              <w:rPr>
                <w:rFonts w:ascii="Arial" w:hAnsi="Arial" w:cs="Arial"/>
                <w:color w:val="000000"/>
                <w:szCs w:val="16"/>
              </w:rPr>
              <w:t>213</w:t>
            </w:r>
          </w:p>
        </w:tc>
        <w:tc>
          <w:tcPr>
            <w:tcW w:w="0" w:type="dxa"/>
            <w:tcBorders>
              <w:top w:val="nil"/>
              <w:bottom w:val="single" w:sz="12" w:space="0" w:color="auto"/>
            </w:tcBorders>
            <w:vAlign w:val="center"/>
          </w:tcPr>
          <w:p w14:paraId="3001EACF" w14:textId="47B7C926" w:rsidR="00BA1A9A" w:rsidRDefault="00BA1A9A" w:rsidP="00BA1A9A">
            <w:r>
              <w:rPr>
                <w:rFonts w:ascii="Arial" w:hAnsi="Arial" w:cs="Arial"/>
                <w:color w:val="000000"/>
                <w:szCs w:val="16"/>
              </w:rPr>
              <w:t>3</w:t>
            </w:r>
            <w:r w:rsidR="003E3065">
              <w:rPr>
                <w:rFonts w:ascii="Arial" w:hAnsi="Arial" w:cs="Arial" w:hint="eastAsia"/>
                <w:color w:val="000000"/>
                <w:szCs w:val="16"/>
                <w:lang w:eastAsia="zh-CN"/>
              </w:rPr>
              <w:t xml:space="preserve"> </w:t>
            </w:r>
            <w:r>
              <w:rPr>
                <w:rFonts w:ascii="Arial" w:hAnsi="Arial" w:cs="Arial"/>
                <w:color w:val="000000"/>
                <w:szCs w:val="16"/>
              </w:rPr>
              <w:t>826</w:t>
            </w:r>
          </w:p>
        </w:tc>
      </w:tr>
      <w:tr w:rsidR="00782D77" w14:paraId="4AE9AA1E" w14:textId="77777777" w:rsidTr="002A0038">
        <w:tc>
          <w:tcPr>
            <w:tcW w:w="0" w:type="dxa"/>
            <w:tcBorders>
              <w:bottom w:val="nil"/>
            </w:tcBorders>
          </w:tcPr>
          <w:p w14:paraId="2C612511" w14:textId="151325E7" w:rsidR="00782D77" w:rsidRDefault="0007383E" w:rsidP="00782D77">
            <w:pPr>
              <w:jc w:val="left"/>
            </w:pPr>
            <w:r>
              <w:rPr>
                <w:color w:val="4472C4"/>
                <w:sz w:val="13"/>
              </w:rPr>
              <w:t>AASB </w:t>
            </w:r>
            <w:r w:rsidR="00782D77">
              <w:rPr>
                <w:color w:val="4472C4"/>
                <w:sz w:val="13"/>
              </w:rPr>
              <w:t>1060.157(b)</w:t>
            </w:r>
          </w:p>
        </w:tc>
        <w:tc>
          <w:tcPr>
            <w:tcW w:w="0" w:type="dxa"/>
          </w:tcPr>
          <w:p w14:paraId="25D7D2F8" w14:textId="77777777" w:rsidR="00782D77" w:rsidRDefault="00782D77" w:rsidP="00782D77">
            <w:pPr>
              <w:jc w:val="left"/>
            </w:pPr>
            <w:r>
              <w:rPr>
                <w:b/>
              </w:rPr>
              <w:t>Total revenue and income from transactions</w:t>
            </w:r>
          </w:p>
        </w:tc>
        <w:tc>
          <w:tcPr>
            <w:tcW w:w="0" w:type="dxa"/>
          </w:tcPr>
          <w:p w14:paraId="63C54D1B" w14:textId="77777777" w:rsidR="00782D77" w:rsidRDefault="00782D77" w:rsidP="00782D77">
            <w:pPr>
              <w:jc w:val="center"/>
            </w:pPr>
          </w:p>
        </w:tc>
        <w:tc>
          <w:tcPr>
            <w:tcW w:w="0" w:type="dxa"/>
            <w:vAlign w:val="center"/>
          </w:tcPr>
          <w:p w14:paraId="232BFCEC" w14:textId="42523A04" w:rsidR="00782D77" w:rsidRDefault="00782D77" w:rsidP="00782D77">
            <w:r>
              <w:rPr>
                <w:rFonts w:ascii="Arial" w:hAnsi="Arial" w:cs="Arial"/>
                <w:b/>
                <w:bCs/>
                <w:color w:val="000000"/>
                <w:szCs w:val="16"/>
              </w:rPr>
              <w:t>104</w:t>
            </w:r>
            <w:r w:rsidR="003E3065">
              <w:rPr>
                <w:rFonts w:ascii="Arial" w:hAnsi="Arial" w:cs="Arial" w:hint="eastAsia"/>
                <w:b/>
                <w:bCs/>
                <w:color w:val="000000"/>
                <w:szCs w:val="16"/>
                <w:lang w:eastAsia="zh-CN"/>
              </w:rPr>
              <w:t xml:space="preserve"> </w:t>
            </w:r>
            <w:r>
              <w:rPr>
                <w:rFonts w:ascii="Arial" w:hAnsi="Arial" w:cs="Arial"/>
                <w:b/>
                <w:bCs/>
                <w:color w:val="000000"/>
                <w:szCs w:val="16"/>
              </w:rPr>
              <w:t>396</w:t>
            </w:r>
          </w:p>
        </w:tc>
        <w:tc>
          <w:tcPr>
            <w:tcW w:w="0" w:type="dxa"/>
            <w:vAlign w:val="center"/>
          </w:tcPr>
          <w:p w14:paraId="6992A3BA" w14:textId="67888FB5" w:rsidR="00782D77" w:rsidRDefault="00782D77" w:rsidP="00782D77">
            <w:r>
              <w:rPr>
                <w:rFonts w:ascii="Arial" w:hAnsi="Arial" w:cs="Arial"/>
                <w:b/>
                <w:bCs/>
                <w:color w:val="000000"/>
                <w:szCs w:val="16"/>
              </w:rPr>
              <w:t>85</w:t>
            </w:r>
            <w:r w:rsidR="003E3065">
              <w:rPr>
                <w:rFonts w:ascii="Arial" w:hAnsi="Arial" w:cs="Arial" w:hint="eastAsia"/>
                <w:b/>
                <w:bCs/>
                <w:color w:val="000000"/>
                <w:szCs w:val="16"/>
                <w:lang w:eastAsia="zh-CN"/>
              </w:rPr>
              <w:t xml:space="preserve"> </w:t>
            </w:r>
            <w:r>
              <w:rPr>
                <w:rFonts w:ascii="Arial" w:hAnsi="Arial" w:cs="Arial"/>
                <w:b/>
                <w:bCs/>
                <w:color w:val="000000"/>
                <w:szCs w:val="16"/>
              </w:rPr>
              <w:t>110</w:t>
            </w:r>
          </w:p>
        </w:tc>
      </w:tr>
    </w:tbl>
    <w:p w14:paraId="3814D463" w14:textId="7CFDEDF0" w:rsidR="006F25E9" w:rsidRPr="00CA5CF8" w:rsidRDefault="003719CD" w:rsidP="00CA5CF8">
      <w:r>
        <w:t xml:space="preserve">Revenue and income that fund delivery of </w:t>
      </w:r>
      <w:r w:rsidR="00343787">
        <w:t>TV</w:t>
      </w:r>
      <w:r>
        <w:t xml:space="preserve">’s services are accounted for consistently with the requirements of the relevant accounting standards disclosed in the following notes. </w:t>
      </w:r>
      <w:bookmarkStart w:id="257" w:name="INDEX_ParApprop"/>
      <w:bookmarkStart w:id="258" w:name="_Toc64983250"/>
      <w:bookmarkEnd w:id="257"/>
    </w:p>
    <w:p w14:paraId="27FA8514" w14:textId="77777777" w:rsidR="003719CD" w:rsidRDefault="003719CD" w:rsidP="00BB40F7">
      <w:pPr>
        <w:pStyle w:val="Heading2numbered"/>
      </w:pPr>
      <w:bookmarkStart w:id="259" w:name="_Toc179805503"/>
      <w:bookmarkStart w:id="260" w:name="_Toc179811145"/>
      <w:bookmarkStart w:id="261" w:name="_Toc179816845"/>
      <w:bookmarkStart w:id="262" w:name="_Toc179822545"/>
      <w:bookmarkStart w:id="263" w:name="_Toc179828232"/>
      <w:bookmarkStart w:id="264" w:name="_Toc179859762"/>
      <w:bookmarkStart w:id="265" w:name="_Toc179867102"/>
      <w:bookmarkStart w:id="266" w:name="_Toc179871495"/>
      <w:bookmarkStart w:id="267" w:name="_Toc179875888"/>
      <w:bookmarkStart w:id="268" w:name="_Toc179805504"/>
      <w:bookmarkStart w:id="269" w:name="_Toc179811146"/>
      <w:bookmarkStart w:id="270" w:name="_Toc179816846"/>
      <w:bookmarkStart w:id="271" w:name="_Toc179822546"/>
      <w:bookmarkStart w:id="272" w:name="_Toc179828233"/>
      <w:bookmarkStart w:id="273" w:name="_Toc179859763"/>
      <w:bookmarkStart w:id="274" w:name="_Toc179867103"/>
      <w:bookmarkStart w:id="275" w:name="_Toc179871496"/>
      <w:bookmarkStart w:id="276" w:name="_Toc179875889"/>
      <w:bookmarkStart w:id="277" w:name="_Toc179805505"/>
      <w:bookmarkStart w:id="278" w:name="_Toc179811147"/>
      <w:bookmarkStart w:id="279" w:name="_Toc179816847"/>
      <w:bookmarkStart w:id="280" w:name="_Toc179822547"/>
      <w:bookmarkStart w:id="281" w:name="_Toc179828234"/>
      <w:bookmarkStart w:id="282" w:name="_Toc179859764"/>
      <w:bookmarkStart w:id="283" w:name="_Toc179867104"/>
      <w:bookmarkStart w:id="284" w:name="_Toc179871497"/>
      <w:bookmarkStart w:id="285" w:name="_Toc179875890"/>
      <w:bookmarkStart w:id="286" w:name="_Toc179805506"/>
      <w:bookmarkStart w:id="287" w:name="_Toc179811148"/>
      <w:bookmarkStart w:id="288" w:name="_Toc179816848"/>
      <w:bookmarkStart w:id="289" w:name="_Toc179822548"/>
      <w:bookmarkStart w:id="290" w:name="_Toc179828235"/>
      <w:bookmarkStart w:id="291" w:name="_Toc179859765"/>
      <w:bookmarkStart w:id="292" w:name="_Toc179867105"/>
      <w:bookmarkStart w:id="293" w:name="_Toc179871498"/>
      <w:bookmarkStart w:id="294" w:name="_Toc179875891"/>
      <w:bookmarkStart w:id="295" w:name="_Toc179805507"/>
      <w:bookmarkStart w:id="296" w:name="_Toc179811149"/>
      <w:bookmarkStart w:id="297" w:name="_Toc179816849"/>
      <w:bookmarkStart w:id="298" w:name="_Toc179822549"/>
      <w:bookmarkStart w:id="299" w:name="_Toc179828236"/>
      <w:bookmarkStart w:id="300" w:name="_Toc179859766"/>
      <w:bookmarkStart w:id="301" w:name="_Toc179867106"/>
      <w:bookmarkStart w:id="302" w:name="_Toc179871499"/>
      <w:bookmarkStart w:id="303" w:name="_Toc179875892"/>
      <w:bookmarkStart w:id="304" w:name="_Toc179805508"/>
      <w:bookmarkStart w:id="305" w:name="_Toc179811150"/>
      <w:bookmarkStart w:id="306" w:name="_Toc179816850"/>
      <w:bookmarkStart w:id="307" w:name="_Toc179822550"/>
      <w:bookmarkStart w:id="308" w:name="_Toc179828237"/>
      <w:bookmarkStart w:id="309" w:name="_Toc179859767"/>
      <w:bookmarkStart w:id="310" w:name="_Toc179867107"/>
      <w:bookmarkStart w:id="311" w:name="_Toc179871500"/>
      <w:bookmarkStart w:id="312" w:name="_Toc179875893"/>
      <w:bookmarkStart w:id="313" w:name="_Toc179805509"/>
      <w:bookmarkStart w:id="314" w:name="_Toc179811151"/>
      <w:bookmarkStart w:id="315" w:name="_Toc179816851"/>
      <w:bookmarkStart w:id="316" w:name="_Toc179822551"/>
      <w:bookmarkStart w:id="317" w:name="_Toc179828238"/>
      <w:bookmarkStart w:id="318" w:name="_Toc179859768"/>
      <w:bookmarkStart w:id="319" w:name="_Toc179867108"/>
      <w:bookmarkStart w:id="320" w:name="_Toc179871501"/>
      <w:bookmarkStart w:id="321" w:name="_Toc179875894"/>
      <w:bookmarkStart w:id="322" w:name="_Toc179805510"/>
      <w:bookmarkStart w:id="323" w:name="_Toc179811152"/>
      <w:bookmarkStart w:id="324" w:name="_Toc179816852"/>
      <w:bookmarkStart w:id="325" w:name="_Toc179822552"/>
      <w:bookmarkStart w:id="326" w:name="_Toc179828239"/>
      <w:bookmarkStart w:id="327" w:name="_Toc179859769"/>
      <w:bookmarkStart w:id="328" w:name="_Toc179867109"/>
      <w:bookmarkStart w:id="329" w:name="_Toc179871502"/>
      <w:bookmarkStart w:id="330" w:name="_Toc179875895"/>
      <w:bookmarkStart w:id="331" w:name="_Toc179805511"/>
      <w:bookmarkStart w:id="332" w:name="_Toc179811153"/>
      <w:bookmarkStart w:id="333" w:name="_Toc179816853"/>
      <w:bookmarkStart w:id="334" w:name="_Toc179822553"/>
      <w:bookmarkStart w:id="335" w:name="_Toc179828240"/>
      <w:bookmarkStart w:id="336" w:name="_Toc179859770"/>
      <w:bookmarkStart w:id="337" w:name="_Toc179867110"/>
      <w:bookmarkStart w:id="338" w:name="_Toc179871503"/>
      <w:bookmarkStart w:id="339" w:name="_Toc179875896"/>
      <w:bookmarkStart w:id="340" w:name="_Toc179805602"/>
      <w:bookmarkStart w:id="341" w:name="_Toc179811244"/>
      <w:bookmarkStart w:id="342" w:name="_Toc179816944"/>
      <w:bookmarkStart w:id="343" w:name="_Toc179822644"/>
      <w:bookmarkStart w:id="344" w:name="_Toc179828331"/>
      <w:bookmarkStart w:id="345" w:name="_Toc179859861"/>
      <w:bookmarkStart w:id="346" w:name="_Toc179867201"/>
      <w:bookmarkStart w:id="347" w:name="_Toc179871594"/>
      <w:bookmarkStart w:id="348" w:name="_Toc179875987"/>
      <w:bookmarkStart w:id="349" w:name="_Toc179805698"/>
      <w:bookmarkStart w:id="350" w:name="_Toc179811340"/>
      <w:bookmarkStart w:id="351" w:name="_Toc179817040"/>
      <w:bookmarkStart w:id="352" w:name="_Toc179822740"/>
      <w:bookmarkStart w:id="353" w:name="_Toc179828427"/>
      <w:bookmarkStart w:id="354" w:name="_Toc179859957"/>
      <w:bookmarkStart w:id="355" w:name="_Toc179867297"/>
      <w:bookmarkStart w:id="356" w:name="_Toc179871690"/>
      <w:bookmarkStart w:id="357" w:name="_Toc179876083"/>
      <w:bookmarkStart w:id="358" w:name="_Toc179805699"/>
      <w:bookmarkStart w:id="359" w:name="_Toc179811341"/>
      <w:bookmarkStart w:id="360" w:name="_Toc179817041"/>
      <w:bookmarkStart w:id="361" w:name="_Toc179822741"/>
      <w:bookmarkStart w:id="362" w:name="_Toc179828428"/>
      <w:bookmarkStart w:id="363" w:name="_Toc179859958"/>
      <w:bookmarkStart w:id="364" w:name="_Toc179867298"/>
      <w:bookmarkStart w:id="365" w:name="_Toc179871691"/>
      <w:bookmarkStart w:id="366" w:name="_Toc179876084"/>
      <w:bookmarkStart w:id="367" w:name="_Toc179805700"/>
      <w:bookmarkStart w:id="368" w:name="_Toc179811342"/>
      <w:bookmarkStart w:id="369" w:name="_Toc179817042"/>
      <w:bookmarkStart w:id="370" w:name="_Toc179822742"/>
      <w:bookmarkStart w:id="371" w:name="_Toc179828429"/>
      <w:bookmarkStart w:id="372" w:name="_Toc179859959"/>
      <w:bookmarkStart w:id="373" w:name="_Toc179867299"/>
      <w:bookmarkStart w:id="374" w:name="_Toc179871692"/>
      <w:bookmarkStart w:id="375" w:name="_Toc179876085"/>
      <w:bookmarkStart w:id="376" w:name="_Toc179805701"/>
      <w:bookmarkStart w:id="377" w:name="_Toc179811343"/>
      <w:bookmarkStart w:id="378" w:name="_Toc179817043"/>
      <w:bookmarkStart w:id="379" w:name="_Toc179822743"/>
      <w:bookmarkStart w:id="380" w:name="_Toc179828430"/>
      <w:bookmarkStart w:id="381" w:name="_Toc179859960"/>
      <w:bookmarkStart w:id="382" w:name="_Toc179867300"/>
      <w:bookmarkStart w:id="383" w:name="_Toc179871693"/>
      <w:bookmarkStart w:id="384" w:name="_Toc179876086"/>
      <w:bookmarkStart w:id="385" w:name="_Toc179805702"/>
      <w:bookmarkStart w:id="386" w:name="_Toc179811344"/>
      <w:bookmarkStart w:id="387" w:name="_Toc179817044"/>
      <w:bookmarkStart w:id="388" w:name="_Toc179822744"/>
      <w:bookmarkStart w:id="389" w:name="_Toc179828431"/>
      <w:bookmarkStart w:id="390" w:name="_Toc179859961"/>
      <w:bookmarkStart w:id="391" w:name="_Toc179867301"/>
      <w:bookmarkStart w:id="392" w:name="_Toc179871694"/>
      <w:bookmarkStart w:id="393" w:name="_Toc179876087"/>
      <w:bookmarkStart w:id="394" w:name="_Toc179805703"/>
      <w:bookmarkStart w:id="395" w:name="_Toc179811345"/>
      <w:bookmarkStart w:id="396" w:name="_Toc179817045"/>
      <w:bookmarkStart w:id="397" w:name="_Toc179822745"/>
      <w:bookmarkStart w:id="398" w:name="_Toc179828432"/>
      <w:bookmarkStart w:id="399" w:name="_Toc179859962"/>
      <w:bookmarkStart w:id="400" w:name="_Toc179867302"/>
      <w:bookmarkStart w:id="401" w:name="_Toc179871695"/>
      <w:bookmarkStart w:id="402" w:name="_Toc179876088"/>
      <w:bookmarkStart w:id="403" w:name="_Toc179805704"/>
      <w:bookmarkStart w:id="404" w:name="_Toc179811346"/>
      <w:bookmarkStart w:id="405" w:name="_Toc179817046"/>
      <w:bookmarkStart w:id="406" w:name="_Toc179822746"/>
      <w:bookmarkStart w:id="407" w:name="_Toc179828433"/>
      <w:bookmarkStart w:id="408" w:name="_Toc179859963"/>
      <w:bookmarkStart w:id="409" w:name="_Toc179867303"/>
      <w:bookmarkStart w:id="410" w:name="_Toc179871696"/>
      <w:bookmarkStart w:id="411" w:name="_Toc179876089"/>
      <w:bookmarkStart w:id="412" w:name="_Toc179805705"/>
      <w:bookmarkStart w:id="413" w:name="_Toc179811347"/>
      <w:bookmarkStart w:id="414" w:name="_Toc179817047"/>
      <w:bookmarkStart w:id="415" w:name="_Toc179822747"/>
      <w:bookmarkStart w:id="416" w:name="_Toc179828434"/>
      <w:bookmarkStart w:id="417" w:name="_Toc179859964"/>
      <w:bookmarkStart w:id="418" w:name="_Toc179867304"/>
      <w:bookmarkStart w:id="419" w:name="_Toc179871697"/>
      <w:bookmarkStart w:id="420" w:name="_Toc179876090"/>
      <w:bookmarkStart w:id="421" w:name="_Toc179805706"/>
      <w:bookmarkStart w:id="422" w:name="_Toc179811348"/>
      <w:bookmarkStart w:id="423" w:name="_Toc179817048"/>
      <w:bookmarkStart w:id="424" w:name="_Toc179822748"/>
      <w:bookmarkStart w:id="425" w:name="_Toc179828435"/>
      <w:bookmarkStart w:id="426" w:name="_Toc179859965"/>
      <w:bookmarkStart w:id="427" w:name="_Toc179867305"/>
      <w:bookmarkStart w:id="428" w:name="_Toc179871698"/>
      <w:bookmarkStart w:id="429" w:name="_Toc179876091"/>
      <w:bookmarkStart w:id="430" w:name="_Toc179805707"/>
      <w:bookmarkStart w:id="431" w:name="_Toc179811349"/>
      <w:bookmarkStart w:id="432" w:name="_Toc179817049"/>
      <w:bookmarkStart w:id="433" w:name="_Toc179822749"/>
      <w:bookmarkStart w:id="434" w:name="_Toc179828436"/>
      <w:bookmarkStart w:id="435" w:name="_Toc179859966"/>
      <w:bookmarkStart w:id="436" w:name="_Toc179867306"/>
      <w:bookmarkStart w:id="437" w:name="_Toc179871699"/>
      <w:bookmarkStart w:id="438" w:name="_Toc179876092"/>
      <w:bookmarkStart w:id="439" w:name="_Toc179805726"/>
      <w:bookmarkStart w:id="440" w:name="_Toc179811368"/>
      <w:bookmarkStart w:id="441" w:name="_Toc179817068"/>
      <w:bookmarkStart w:id="442" w:name="_Toc179822768"/>
      <w:bookmarkStart w:id="443" w:name="_Toc179828455"/>
      <w:bookmarkStart w:id="444" w:name="_Toc179859985"/>
      <w:bookmarkStart w:id="445" w:name="_Toc179867325"/>
      <w:bookmarkStart w:id="446" w:name="_Toc179871718"/>
      <w:bookmarkStart w:id="447" w:name="_Toc179876111"/>
      <w:bookmarkStart w:id="448" w:name="_Toc179805731"/>
      <w:bookmarkStart w:id="449" w:name="_Toc179811373"/>
      <w:bookmarkStart w:id="450" w:name="_Toc179817073"/>
      <w:bookmarkStart w:id="451" w:name="_Toc179822773"/>
      <w:bookmarkStart w:id="452" w:name="_Toc179828460"/>
      <w:bookmarkStart w:id="453" w:name="_Toc179859990"/>
      <w:bookmarkStart w:id="454" w:name="_Toc179867330"/>
      <w:bookmarkStart w:id="455" w:name="_Toc179871723"/>
      <w:bookmarkStart w:id="456" w:name="_Toc179876116"/>
      <w:bookmarkStart w:id="457" w:name="_Toc179805732"/>
      <w:bookmarkStart w:id="458" w:name="_Toc179811374"/>
      <w:bookmarkStart w:id="459" w:name="_Toc179817074"/>
      <w:bookmarkStart w:id="460" w:name="_Toc179822774"/>
      <w:bookmarkStart w:id="461" w:name="_Toc179828461"/>
      <w:bookmarkStart w:id="462" w:name="_Toc179859991"/>
      <w:bookmarkStart w:id="463" w:name="_Toc179867331"/>
      <w:bookmarkStart w:id="464" w:name="_Toc179871724"/>
      <w:bookmarkStart w:id="465" w:name="_Toc179876117"/>
      <w:bookmarkStart w:id="466" w:name="_Toc179805733"/>
      <w:bookmarkStart w:id="467" w:name="_Toc179811375"/>
      <w:bookmarkStart w:id="468" w:name="_Toc179817075"/>
      <w:bookmarkStart w:id="469" w:name="_Toc179822775"/>
      <w:bookmarkStart w:id="470" w:name="_Toc179828462"/>
      <w:bookmarkStart w:id="471" w:name="_Toc179859992"/>
      <w:bookmarkStart w:id="472" w:name="_Toc179867332"/>
      <w:bookmarkStart w:id="473" w:name="_Toc179871725"/>
      <w:bookmarkStart w:id="474" w:name="_Toc179876118"/>
      <w:bookmarkStart w:id="475" w:name="_Toc179805734"/>
      <w:bookmarkStart w:id="476" w:name="_Toc179811376"/>
      <w:bookmarkStart w:id="477" w:name="_Toc179817076"/>
      <w:bookmarkStart w:id="478" w:name="_Toc179822776"/>
      <w:bookmarkStart w:id="479" w:name="_Toc179828463"/>
      <w:bookmarkStart w:id="480" w:name="_Toc179859993"/>
      <w:bookmarkStart w:id="481" w:name="_Toc179867333"/>
      <w:bookmarkStart w:id="482" w:name="_Toc179871726"/>
      <w:bookmarkStart w:id="483" w:name="_Toc179876119"/>
      <w:bookmarkStart w:id="484" w:name="_Toc179805735"/>
      <w:bookmarkStart w:id="485" w:name="_Toc179811377"/>
      <w:bookmarkStart w:id="486" w:name="_Toc179817077"/>
      <w:bookmarkStart w:id="487" w:name="_Toc179822777"/>
      <w:bookmarkStart w:id="488" w:name="_Toc179828464"/>
      <w:bookmarkStart w:id="489" w:name="_Toc179859994"/>
      <w:bookmarkStart w:id="490" w:name="_Toc179867334"/>
      <w:bookmarkStart w:id="491" w:name="_Toc179871727"/>
      <w:bookmarkStart w:id="492" w:name="_Toc179876120"/>
      <w:bookmarkStart w:id="493" w:name="_Toc179805736"/>
      <w:bookmarkStart w:id="494" w:name="_Toc179811378"/>
      <w:bookmarkStart w:id="495" w:name="_Toc179817078"/>
      <w:bookmarkStart w:id="496" w:name="_Toc179822778"/>
      <w:bookmarkStart w:id="497" w:name="_Toc179828465"/>
      <w:bookmarkStart w:id="498" w:name="_Toc179859995"/>
      <w:bookmarkStart w:id="499" w:name="_Toc179867335"/>
      <w:bookmarkStart w:id="500" w:name="_Toc179871728"/>
      <w:bookmarkStart w:id="501" w:name="_Toc179876121"/>
      <w:bookmarkStart w:id="502" w:name="_Toc179805737"/>
      <w:bookmarkStart w:id="503" w:name="_Toc179811379"/>
      <w:bookmarkStart w:id="504" w:name="_Toc179817079"/>
      <w:bookmarkStart w:id="505" w:name="_Toc179822779"/>
      <w:bookmarkStart w:id="506" w:name="_Toc179828466"/>
      <w:bookmarkStart w:id="507" w:name="_Toc179859996"/>
      <w:bookmarkStart w:id="508" w:name="_Toc179867336"/>
      <w:bookmarkStart w:id="509" w:name="_Toc179871729"/>
      <w:bookmarkStart w:id="510" w:name="_Toc179876122"/>
      <w:bookmarkStart w:id="511" w:name="_Toc179805738"/>
      <w:bookmarkStart w:id="512" w:name="_Toc179811380"/>
      <w:bookmarkStart w:id="513" w:name="_Toc179817080"/>
      <w:bookmarkStart w:id="514" w:name="_Toc179822780"/>
      <w:bookmarkStart w:id="515" w:name="_Toc179828467"/>
      <w:bookmarkStart w:id="516" w:name="_Toc179859997"/>
      <w:bookmarkStart w:id="517" w:name="_Toc179867337"/>
      <w:bookmarkStart w:id="518" w:name="_Toc179871730"/>
      <w:bookmarkStart w:id="519" w:name="_Toc179876123"/>
      <w:bookmarkStart w:id="520" w:name="_Toc179805739"/>
      <w:bookmarkStart w:id="521" w:name="_Toc179811381"/>
      <w:bookmarkStart w:id="522" w:name="_Toc179817081"/>
      <w:bookmarkStart w:id="523" w:name="_Toc179822781"/>
      <w:bookmarkStart w:id="524" w:name="_Toc179828468"/>
      <w:bookmarkStart w:id="525" w:name="_Toc179859998"/>
      <w:bookmarkStart w:id="526" w:name="_Toc179867338"/>
      <w:bookmarkStart w:id="527" w:name="_Toc179871731"/>
      <w:bookmarkStart w:id="528" w:name="_Toc179876124"/>
      <w:bookmarkStart w:id="529" w:name="_Toc179805740"/>
      <w:bookmarkStart w:id="530" w:name="_Toc179811382"/>
      <w:bookmarkStart w:id="531" w:name="_Toc179817082"/>
      <w:bookmarkStart w:id="532" w:name="_Toc179822782"/>
      <w:bookmarkStart w:id="533" w:name="_Toc179828469"/>
      <w:bookmarkStart w:id="534" w:name="_Toc179859999"/>
      <w:bookmarkStart w:id="535" w:name="_Toc179867339"/>
      <w:bookmarkStart w:id="536" w:name="_Toc179871732"/>
      <w:bookmarkStart w:id="537" w:name="_Toc179876125"/>
      <w:bookmarkStart w:id="538" w:name="_Toc179805741"/>
      <w:bookmarkStart w:id="539" w:name="_Toc179811383"/>
      <w:bookmarkStart w:id="540" w:name="_Toc179817083"/>
      <w:bookmarkStart w:id="541" w:name="_Toc179822783"/>
      <w:bookmarkStart w:id="542" w:name="_Toc179828470"/>
      <w:bookmarkStart w:id="543" w:name="_Toc179860000"/>
      <w:bookmarkStart w:id="544" w:name="_Toc179867340"/>
      <w:bookmarkStart w:id="545" w:name="_Toc179871733"/>
      <w:bookmarkStart w:id="546" w:name="_Toc179876126"/>
      <w:bookmarkStart w:id="547" w:name="_Toc179805742"/>
      <w:bookmarkStart w:id="548" w:name="_Toc179811384"/>
      <w:bookmarkStart w:id="549" w:name="_Toc179817084"/>
      <w:bookmarkStart w:id="550" w:name="_Toc179822784"/>
      <w:bookmarkStart w:id="551" w:name="_Toc179828471"/>
      <w:bookmarkStart w:id="552" w:name="_Toc179860001"/>
      <w:bookmarkStart w:id="553" w:name="_Toc179867341"/>
      <w:bookmarkStart w:id="554" w:name="_Toc179871734"/>
      <w:bookmarkStart w:id="555" w:name="_Toc179876127"/>
      <w:bookmarkStart w:id="556" w:name="_Toc179805743"/>
      <w:bookmarkStart w:id="557" w:name="_Toc179811385"/>
      <w:bookmarkStart w:id="558" w:name="_Toc179817085"/>
      <w:bookmarkStart w:id="559" w:name="_Toc179822785"/>
      <w:bookmarkStart w:id="560" w:name="_Toc179828472"/>
      <w:bookmarkStart w:id="561" w:name="_Toc179860002"/>
      <w:bookmarkStart w:id="562" w:name="_Toc179867342"/>
      <w:bookmarkStart w:id="563" w:name="_Toc179871735"/>
      <w:bookmarkStart w:id="564" w:name="_Toc179876128"/>
      <w:bookmarkStart w:id="565" w:name="_Toc179805744"/>
      <w:bookmarkStart w:id="566" w:name="_Toc179811386"/>
      <w:bookmarkStart w:id="567" w:name="_Toc179817086"/>
      <w:bookmarkStart w:id="568" w:name="_Toc179822786"/>
      <w:bookmarkStart w:id="569" w:name="_Toc179828473"/>
      <w:bookmarkStart w:id="570" w:name="_Toc179860003"/>
      <w:bookmarkStart w:id="571" w:name="_Toc179867343"/>
      <w:bookmarkStart w:id="572" w:name="_Toc179871736"/>
      <w:bookmarkStart w:id="573" w:name="_Toc179876129"/>
      <w:bookmarkStart w:id="574" w:name="_Toc179805745"/>
      <w:bookmarkStart w:id="575" w:name="_Toc179811387"/>
      <w:bookmarkStart w:id="576" w:name="_Toc179817087"/>
      <w:bookmarkStart w:id="577" w:name="_Toc179822787"/>
      <w:bookmarkStart w:id="578" w:name="_Toc179828474"/>
      <w:bookmarkStart w:id="579" w:name="_Toc179860004"/>
      <w:bookmarkStart w:id="580" w:name="_Toc179867344"/>
      <w:bookmarkStart w:id="581" w:name="_Toc179871737"/>
      <w:bookmarkStart w:id="582" w:name="_Toc179876130"/>
      <w:bookmarkStart w:id="583" w:name="_Toc96704854"/>
      <w:bookmarkStart w:id="584" w:name="_Toc64983252"/>
      <w:bookmarkStart w:id="585" w:name="_Toc179817088"/>
      <w:bookmarkStart w:id="586" w:name="_Toc179822788"/>
      <w:bookmarkStart w:id="587" w:name="_Toc179828475"/>
      <w:bookmarkStart w:id="588" w:name="_Toc179860005"/>
      <w:bookmarkStart w:id="589" w:name="_Toc179867345"/>
      <w:bookmarkStart w:id="590" w:name="_Toc179871738"/>
      <w:bookmarkStart w:id="591" w:name="_Toc179876131"/>
      <w:bookmarkStart w:id="592" w:name="_Toc179880307"/>
      <w:bookmarkStart w:id="593" w:name="_Toc190339862"/>
      <w:bookmarkStart w:id="594" w:name="_Toc190341863"/>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r>
        <w:t>Income from transactions</w:t>
      </w:r>
      <w:bookmarkEnd w:id="583"/>
      <w:bookmarkEnd w:id="584"/>
      <w:bookmarkEnd w:id="585"/>
      <w:bookmarkEnd w:id="586"/>
      <w:bookmarkEnd w:id="587"/>
      <w:bookmarkEnd w:id="588"/>
      <w:bookmarkEnd w:id="589"/>
      <w:bookmarkEnd w:id="590"/>
      <w:bookmarkEnd w:id="591"/>
      <w:bookmarkEnd w:id="592"/>
      <w:bookmarkEnd w:id="593"/>
      <w:bookmarkEnd w:id="594"/>
    </w:p>
    <w:p w14:paraId="50D00876" w14:textId="77777777" w:rsidR="003719CD" w:rsidRDefault="003719CD" w:rsidP="00BB40F7">
      <w:pPr>
        <w:pStyle w:val="Heading3numbered"/>
      </w:pPr>
      <w:bookmarkStart w:id="595" w:name="_Toc179811389"/>
      <w:bookmarkStart w:id="596" w:name="_Toc179817089"/>
      <w:bookmarkStart w:id="597" w:name="_Toc179822789"/>
      <w:bookmarkStart w:id="598" w:name="_Toc179828476"/>
      <w:bookmarkStart w:id="599" w:name="_Toc179860006"/>
      <w:r>
        <w:t>Interest income</w:t>
      </w:r>
      <w:bookmarkEnd w:id="595"/>
      <w:bookmarkEnd w:id="596"/>
      <w:bookmarkEnd w:id="597"/>
      <w:bookmarkEnd w:id="598"/>
      <w:bookmarkEnd w:id="599"/>
    </w:p>
    <w:p w14:paraId="7399D322" w14:textId="630F4145" w:rsidR="00800F2F" w:rsidRDefault="003719CD" w:rsidP="00DC39DE">
      <w:r>
        <w:t xml:space="preserve">Interest income includes interest received on </w:t>
      </w:r>
      <w:r w:rsidR="001A6181">
        <w:rPr>
          <w:rFonts w:hint="eastAsia"/>
          <w:lang w:eastAsia="zh-CN"/>
        </w:rPr>
        <w:t>cash</w:t>
      </w:r>
      <w:r>
        <w:t xml:space="preserve"> and</w:t>
      </w:r>
      <w:r w:rsidR="004C0CFA">
        <w:rPr>
          <w:rFonts w:hint="eastAsia"/>
          <w:lang w:eastAsia="zh-CN"/>
        </w:rPr>
        <w:t xml:space="preserve"> </w:t>
      </w:r>
      <w:r w:rsidR="00BA74F2">
        <w:rPr>
          <w:lang w:eastAsia="zh-CN"/>
        </w:rPr>
        <w:t>deposits.</w:t>
      </w:r>
      <w:r w:rsidR="00BA74F2">
        <w:t xml:space="preserve"> </w:t>
      </w:r>
      <w:r w:rsidR="00800F2F">
        <w:t xml:space="preserve">Refer </w:t>
      </w:r>
      <w:r w:rsidR="00800F2F" w:rsidRPr="00BD2722">
        <w:t>t</w:t>
      </w:r>
      <w:r w:rsidR="00580092" w:rsidRPr="00BD2722">
        <w:t xml:space="preserve">o </w:t>
      </w:r>
      <w:r w:rsidR="00E81F2A" w:rsidRPr="002A0038">
        <w:rPr>
          <w:lang w:eastAsia="zh-CN"/>
        </w:rPr>
        <w:t>7</w:t>
      </w:r>
      <w:r w:rsidR="00580092" w:rsidRPr="00BD2722">
        <w:t>.1.</w:t>
      </w:r>
      <w:r w:rsidR="001A6181" w:rsidRPr="002A0038">
        <w:rPr>
          <w:lang w:eastAsia="zh-CN"/>
        </w:rPr>
        <w:t>1</w:t>
      </w:r>
      <w:r w:rsidR="00580092" w:rsidRPr="00BD2722">
        <w:t xml:space="preserve"> for </w:t>
      </w:r>
      <w:r w:rsidR="00034440" w:rsidRPr="00BD2722">
        <w:t>information</w:t>
      </w:r>
      <w:r w:rsidR="00034440">
        <w:t xml:space="preserve"> on </w:t>
      </w:r>
      <w:r w:rsidR="00580092">
        <w:t>interest income</w:t>
      </w:r>
      <w:r w:rsidR="0054675A">
        <w:t>.</w:t>
      </w:r>
    </w:p>
    <w:p w14:paraId="299E4BA4" w14:textId="1AA1CB76" w:rsidR="003719CD" w:rsidRPr="002A0038" w:rsidRDefault="003719CD" w:rsidP="00BB40F7">
      <w:pPr>
        <w:pStyle w:val="Heading3numbered"/>
        <w:rPr>
          <w:bCs/>
          <w:sz w:val="24"/>
          <w:szCs w:val="28"/>
        </w:rPr>
      </w:pPr>
      <w:bookmarkStart w:id="600" w:name="_Toc179811390"/>
      <w:bookmarkStart w:id="601" w:name="_Toc179817090"/>
      <w:bookmarkStart w:id="602" w:name="_Toc179822790"/>
      <w:bookmarkStart w:id="603" w:name="_Toc179828477"/>
      <w:bookmarkStart w:id="604" w:name="_Toc179860007"/>
      <w:r>
        <w:t>Sale of goods and services</w:t>
      </w:r>
      <w:r w:rsidR="00DF6ABF">
        <w:t xml:space="preserve"> </w:t>
      </w:r>
      <w:r w:rsidR="00DF6ABF" w:rsidRPr="00E51206">
        <w:rPr>
          <w:rFonts w:asciiTheme="minorHAnsi" w:eastAsia="SimSun" w:hAnsiTheme="minorHAnsi" w:cstheme="minorBidi"/>
          <w:bCs/>
          <w:color w:val="C00000"/>
          <w:sz w:val="15"/>
          <w:szCs w:val="20"/>
        </w:rPr>
        <w:t>[</w:t>
      </w:r>
      <w:r w:rsidR="0007383E" w:rsidRPr="00E51206">
        <w:rPr>
          <w:rFonts w:asciiTheme="minorHAnsi" w:eastAsia="SimSun" w:hAnsiTheme="minorHAnsi" w:cstheme="minorBidi"/>
          <w:bCs/>
          <w:color w:val="C00000"/>
          <w:sz w:val="15"/>
          <w:szCs w:val="20"/>
        </w:rPr>
        <w:t>AASB </w:t>
      </w:r>
      <w:r w:rsidR="00DF6ABF" w:rsidRPr="00E51206">
        <w:rPr>
          <w:rFonts w:asciiTheme="minorHAnsi" w:eastAsia="SimSun" w:hAnsiTheme="minorHAnsi" w:cstheme="minorBidi"/>
          <w:bCs/>
          <w:color w:val="C00000"/>
          <w:sz w:val="15"/>
          <w:szCs w:val="20"/>
        </w:rPr>
        <w:t>1060.157(a)]</w:t>
      </w:r>
      <w:bookmarkEnd w:id="600"/>
      <w:bookmarkEnd w:id="601"/>
      <w:bookmarkEnd w:id="602"/>
      <w:bookmarkEnd w:id="603"/>
      <w:bookmarkEnd w:id="604"/>
      <w:r w:rsidR="007F2B04">
        <w:rPr>
          <w:rFonts w:asciiTheme="minorHAnsi" w:eastAsia="SimSun" w:hAnsiTheme="minorHAnsi" w:cstheme="minorBidi"/>
          <w:bCs/>
          <w:color w:val="C00000"/>
          <w:sz w:val="15"/>
          <w:szCs w:val="20"/>
        </w:rPr>
        <w:t xml:space="preserve"> </w:t>
      </w:r>
      <w:r w:rsidR="007F2B04" w:rsidRPr="004F3AB8">
        <w:rPr>
          <w:color w:val="C00000"/>
        </w:rPr>
        <w:t>[REVISED]</w:t>
      </w:r>
    </w:p>
    <w:p w14:paraId="38C8A167" w14:textId="65C081F0" w:rsidR="003719CD" w:rsidRDefault="003719CD" w:rsidP="007D536F">
      <w:pPr>
        <w:pStyle w:val="TableUnits"/>
      </w:pPr>
      <w:r>
        <w:t>($ thousand)</w:t>
      </w:r>
    </w:p>
    <w:tbl>
      <w:tblPr>
        <w:tblStyle w:val="DTFTable"/>
        <w:tblW w:w="9639" w:type="dxa"/>
        <w:tblLayout w:type="fixed"/>
        <w:tblLook w:val="0620" w:firstRow="1" w:lastRow="0" w:firstColumn="0" w:lastColumn="0" w:noHBand="1" w:noVBand="1"/>
      </w:tblPr>
      <w:tblGrid>
        <w:gridCol w:w="1349"/>
        <w:gridCol w:w="6558"/>
        <w:gridCol w:w="866"/>
        <w:gridCol w:w="866"/>
      </w:tblGrid>
      <w:tr w:rsidR="00182709" w14:paraId="55A4DBBB" w14:textId="0B05F535" w:rsidTr="002A0038">
        <w:trPr>
          <w:cnfStyle w:val="100000000000" w:firstRow="1" w:lastRow="0" w:firstColumn="0" w:lastColumn="0" w:oddVBand="0" w:evenVBand="0" w:oddHBand="0" w:evenHBand="0" w:firstRowFirstColumn="0" w:firstRowLastColumn="0" w:lastRowFirstColumn="0" w:lastRowLastColumn="0"/>
          <w:tblHeader/>
        </w:trPr>
        <w:tc>
          <w:tcPr>
            <w:tcW w:w="1349" w:type="dxa"/>
            <w:tcBorders>
              <w:top w:val="nil"/>
              <w:bottom w:val="nil"/>
            </w:tcBorders>
            <w:shd w:val="clear" w:color="auto" w:fill="FFFFFF" w:themeFill="background1"/>
          </w:tcPr>
          <w:p w14:paraId="45C6FE41" w14:textId="02289B0F" w:rsidR="00182709" w:rsidRDefault="0044097C">
            <w:pPr>
              <w:keepNext/>
              <w:jc w:val="left"/>
            </w:pPr>
            <w:r>
              <w:rPr>
                <w:color w:val="4472C4"/>
                <w:sz w:val="13"/>
              </w:rPr>
              <w:t>Source reference</w:t>
            </w:r>
          </w:p>
        </w:tc>
        <w:tc>
          <w:tcPr>
            <w:tcW w:w="6558" w:type="dxa"/>
          </w:tcPr>
          <w:p w14:paraId="7E14D07C" w14:textId="6AD12F0A" w:rsidR="00182709" w:rsidRDefault="00182709">
            <w:pPr>
              <w:keepNext/>
              <w:jc w:val="left"/>
            </w:pPr>
          </w:p>
        </w:tc>
        <w:tc>
          <w:tcPr>
            <w:tcW w:w="866" w:type="dxa"/>
          </w:tcPr>
          <w:p w14:paraId="7F8F332F" w14:textId="75502395" w:rsidR="00182709" w:rsidRDefault="0044097C">
            <w:pPr>
              <w:keepNext/>
            </w:pPr>
            <w:r>
              <w:t>20X2</w:t>
            </w:r>
          </w:p>
        </w:tc>
        <w:tc>
          <w:tcPr>
            <w:tcW w:w="866" w:type="dxa"/>
          </w:tcPr>
          <w:p w14:paraId="33AB81F1" w14:textId="1937C179" w:rsidR="00182709" w:rsidRDefault="0044097C">
            <w:pPr>
              <w:keepNext/>
            </w:pPr>
            <w:r>
              <w:t>20X1</w:t>
            </w:r>
          </w:p>
        </w:tc>
      </w:tr>
      <w:tr w:rsidR="000033D2" w14:paraId="2A0BA26A" w14:textId="12AC0E2F" w:rsidTr="002A0038">
        <w:tc>
          <w:tcPr>
            <w:tcW w:w="1349" w:type="dxa"/>
          </w:tcPr>
          <w:p w14:paraId="308E8554" w14:textId="10808D2A" w:rsidR="000033D2" w:rsidRDefault="0007383E" w:rsidP="000033D2">
            <w:pPr>
              <w:jc w:val="left"/>
            </w:pPr>
            <w:r>
              <w:rPr>
                <w:color w:val="4472C4"/>
                <w:sz w:val="13"/>
              </w:rPr>
              <w:t>AASB </w:t>
            </w:r>
            <w:r w:rsidR="000033D2">
              <w:rPr>
                <w:color w:val="4472C4"/>
                <w:sz w:val="13"/>
              </w:rPr>
              <w:t>1060.157(b)</w:t>
            </w:r>
          </w:p>
        </w:tc>
        <w:tc>
          <w:tcPr>
            <w:tcW w:w="6558" w:type="dxa"/>
          </w:tcPr>
          <w:p w14:paraId="669DACAC" w14:textId="39AD6916" w:rsidR="000033D2" w:rsidRDefault="000033D2" w:rsidP="000033D2">
            <w:pPr>
              <w:jc w:val="left"/>
            </w:pPr>
            <w:r>
              <w:t>Sale of goods</w:t>
            </w:r>
          </w:p>
        </w:tc>
        <w:tc>
          <w:tcPr>
            <w:tcW w:w="866" w:type="dxa"/>
          </w:tcPr>
          <w:p w14:paraId="49F6356D" w14:textId="51677C4D" w:rsidR="000033D2" w:rsidRPr="002A0038" w:rsidRDefault="000033D2" w:rsidP="000033D2">
            <w:pPr>
              <w:rPr>
                <w:highlight w:val="yellow"/>
              </w:rPr>
            </w:pPr>
            <w:r w:rsidRPr="00F10716">
              <w:t>13</w:t>
            </w:r>
            <w:r>
              <w:rPr>
                <w:rFonts w:hint="eastAsia"/>
                <w:lang w:eastAsia="zh-CN"/>
              </w:rPr>
              <w:t xml:space="preserve"> </w:t>
            </w:r>
            <w:r w:rsidRPr="00F10716">
              <w:t>706</w:t>
            </w:r>
          </w:p>
        </w:tc>
        <w:tc>
          <w:tcPr>
            <w:tcW w:w="866" w:type="dxa"/>
          </w:tcPr>
          <w:p w14:paraId="056C6281" w14:textId="0A188326" w:rsidR="000033D2" w:rsidRPr="002A0038" w:rsidRDefault="000033D2" w:rsidP="000033D2">
            <w:pPr>
              <w:rPr>
                <w:highlight w:val="yellow"/>
              </w:rPr>
            </w:pPr>
            <w:r w:rsidRPr="00F10716">
              <w:t>9</w:t>
            </w:r>
            <w:r>
              <w:rPr>
                <w:rFonts w:hint="eastAsia"/>
                <w:lang w:eastAsia="zh-CN"/>
              </w:rPr>
              <w:t xml:space="preserve"> </w:t>
            </w:r>
            <w:r w:rsidRPr="00F10716">
              <w:t>206</w:t>
            </w:r>
          </w:p>
        </w:tc>
      </w:tr>
      <w:tr w:rsidR="000033D2" w14:paraId="625CCE86" w14:textId="14FF9653" w:rsidTr="002A0038">
        <w:tc>
          <w:tcPr>
            <w:tcW w:w="1349" w:type="dxa"/>
          </w:tcPr>
          <w:p w14:paraId="612452E5" w14:textId="5496E447" w:rsidR="000033D2" w:rsidRDefault="0007383E" w:rsidP="000033D2">
            <w:pPr>
              <w:jc w:val="left"/>
            </w:pPr>
            <w:r>
              <w:rPr>
                <w:color w:val="4472C4"/>
                <w:sz w:val="13"/>
              </w:rPr>
              <w:t>AASB </w:t>
            </w:r>
            <w:r w:rsidR="000033D2">
              <w:rPr>
                <w:color w:val="4472C4"/>
                <w:sz w:val="13"/>
              </w:rPr>
              <w:t>1060.157(b)</w:t>
            </w:r>
          </w:p>
        </w:tc>
        <w:tc>
          <w:tcPr>
            <w:tcW w:w="6558" w:type="dxa"/>
            <w:tcBorders>
              <w:bottom w:val="single" w:sz="12" w:space="0" w:color="auto"/>
            </w:tcBorders>
          </w:tcPr>
          <w:p w14:paraId="498D0477" w14:textId="611C1006" w:rsidR="000033D2" w:rsidRDefault="000033D2" w:rsidP="000033D2">
            <w:pPr>
              <w:jc w:val="left"/>
            </w:pPr>
            <w:r>
              <w:t>Rendering of services</w:t>
            </w:r>
          </w:p>
        </w:tc>
        <w:tc>
          <w:tcPr>
            <w:tcW w:w="866" w:type="dxa"/>
            <w:tcBorders>
              <w:bottom w:val="single" w:sz="12" w:space="0" w:color="auto"/>
            </w:tcBorders>
            <w:vAlign w:val="center"/>
          </w:tcPr>
          <w:p w14:paraId="41F12AF0" w14:textId="6CB79EFA" w:rsidR="000033D2" w:rsidRPr="002A0038" w:rsidRDefault="000033D2" w:rsidP="000033D2">
            <w:pPr>
              <w:rPr>
                <w:highlight w:val="yellow"/>
              </w:rPr>
            </w:pPr>
            <w:r>
              <w:rPr>
                <w:rFonts w:ascii="Arial" w:hAnsi="Arial" w:cs="Arial"/>
                <w:color w:val="000000"/>
                <w:szCs w:val="16"/>
              </w:rPr>
              <w:t>68</w:t>
            </w:r>
            <w:r>
              <w:rPr>
                <w:rFonts w:ascii="Arial" w:hAnsi="Arial" w:cs="Arial" w:hint="eastAsia"/>
                <w:color w:val="000000"/>
                <w:szCs w:val="16"/>
                <w:lang w:eastAsia="zh-CN"/>
              </w:rPr>
              <w:t xml:space="preserve"> </w:t>
            </w:r>
            <w:r>
              <w:rPr>
                <w:rFonts w:ascii="Arial" w:hAnsi="Arial" w:cs="Arial"/>
                <w:color w:val="000000"/>
                <w:szCs w:val="16"/>
              </w:rPr>
              <w:t>686</w:t>
            </w:r>
          </w:p>
        </w:tc>
        <w:tc>
          <w:tcPr>
            <w:tcW w:w="866" w:type="dxa"/>
            <w:tcBorders>
              <w:bottom w:val="single" w:sz="12" w:space="0" w:color="auto"/>
            </w:tcBorders>
            <w:vAlign w:val="center"/>
          </w:tcPr>
          <w:p w14:paraId="5C090DA1" w14:textId="5B5ABEFA" w:rsidR="000033D2" w:rsidRPr="002A0038" w:rsidRDefault="000033D2" w:rsidP="000033D2">
            <w:pPr>
              <w:rPr>
                <w:highlight w:val="yellow"/>
              </w:rPr>
            </w:pPr>
            <w:r>
              <w:rPr>
                <w:rFonts w:ascii="Arial" w:hAnsi="Arial" w:cs="Arial"/>
                <w:color w:val="000000"/>
                <w:szCs w:val="16"/>
              </w:rPr>
              <w:t>55</w:t>
            </w:r>
            <w:r>
              <w:rPr>
                <w:rFonts w:ascii="Arial" w:hAnsi="Arial" w:cs="Arial" w:hint="eastAsia"/>
                <w:color w:val="000000"/>
                <w:szCs w:val="16"/>
                <w:lang w:eastAsia="zh-CN"/>
              </w:rPr>
              <w:t xml:space="preserve"> </w:t>
            </w:r>
            <w:r>
              <w:rPr>
                <w:rFonts w:ascii="Arial" w:hAnsi="Arial" w:cs="Arial"/>
                <w:color w:val="000000"/>
                <w:szCs w:val="16"/>
              </w:rPr>
              <w:t>260</w:t>
            </w:r>
          </w:p>
        </w:tc>
      </w:tr>
      <w:tr w:rsidR="00AC3DAF" w14:paraId="26EDEC99" w14:textId="0D0FEA4F" w:rsidTr="002A0038">
        <w:tc>
          <w:tcPr>
            <w:tcW w:w="1349" w:type="dxa"/>
            <w:tcBorders>
              <w:bottom w:val="nil"/>
            </w:tcBorders>
          </w:tcPr>
          <w:p w14:paraId="1D6BE03F" w14:textId="2C369D0F" w:rsidR="00AC3DAF" w:rsidRDefault="00AC3DAF" w:rsidP="00AC3DAF">
            <w:pPr>
              <w:jc w:val="left"/>
            </w:pPr>
          </w:p>
        </w:tc>
        <w:tc>
          <w:tcPr>
            <w:tcW w:w="6558" w:type="dxa"/>
          </w:tcPr>
          <w:p w14:paraId="4E868423" w14:textId="576515F4" w:rsidR="00AC3DAF" w:rsidRDefault="00AC3DAF" w:rsidP="00AC3DAF">
            <w:pPr>
              <w:jc w:val="left"/>
            </w:pPr>
            <w:r>
              <w:rPr>
                <w:b/>
              </w:rPr>
              <w:t>Total sale of goods and services</w:t>
            </w:r>
          </w:p>
        </w:tc>
        <w:tc>
          <w:tcPr>
            <w:tcW w:w="866" w:type="dxa"/>
            <w:vAlign w:val="center"/>
          </w:tcPr>
          <w:p w14:paraId="198815D9" w14:textId="41956F31" w:rsidR="00AC3DAF" w:rsidRDefault="00AC3DAF" w:rsidP="00AC3DAF">
            <w:r>
              <w:rPr>
                <w:rFonts w:ascii="Arial" w:hAnsi="Arial" w:cs="Arial"/>
                <w:b/>
                <w:bCs/>
                <w:color w:val="000000"/>
                <w:szCs w:val="16"/>
              </w:rPr>
              <w:t>82</w:t>
            </w:r>
            <w:r w:rsidR="003E3065">
              <w:rPr>
                <w:rFonts w:ascii="Arial" w:hAnsi="Arial" w:cs="Arial" w:hint="eastAsia"/>
                <w:b/>
                <w:bCs/>
                <w:color w:val="000000"/>
                <w:szCs w:val="16"/>
                <w:lang w:eastAsia="zh-CN"/>
              </w:rPr>
              <w:t xml:space="preserve"> </w:t>
            </w:r>
            <w:r>
              <w:rPr>
                <w:rFonts w:ascii="Arial" w:hAnsi="Arial" w:cs="Arial"/>
                <w:b/>
                <w:bCs/>
                <w:color w:val="000000"/>
                <w:szCs w:val="16"/>
              </w:rPr>
              <w:t>392</w:t>
            </w:r>
          </w:p>
        </w:tc>
        <w:tc>
          <w:tcPr>
            <w:tcW w:w="866" w:type="dxa"/>
            <w:vAlign w:val="center"/>
          </w:tcPr>
          <w:p w14:paraId="14BAE539" w14:textId="1CD7701D" w:rsidR="00AC3DAF" w:rsidRDefault="00AC3DAF" w:rsidP="00AC3DAF">
            <w:r>
              <w:rPr>
                <w:rFonts w:ascii="Arial" w:hAnsi="Arial" w:cs="Arial"/>
                <w:b/>
                <w:bCs/>
                <w:color w:val="000000"/>
                <w:szCs w:val="16"/>
              </w:rPr>
              <w:t>64</w:t>
            </w:r>
            <w:r w:rsidR="003E3065">
              <w:rPr>
                <w:rFonts w:ascii="Arial" w:hAnsi="Arial" w:cs="Arial" w:hint="eastAsia"/>
                <w:b/>
                <w:bCs/>
                <w:color w:val="000000"/>
                <w:szCs w:val="16"/>
                <w:lang w:eastAsia="zh-CN"/>
              </w:rPr>
              <w:t xml:space="preserve"> </w:t>
            </w:r>
            <w:r>
              <w:rPr>
                <w:rFonts w:ascii="Arial" w:hAnsi="Arial" w:cs="Arial"/>
                <w:b/>
                <w:bCs/>
                <w:color w:val="000000"/>
                <w:szCs w:val="16"/>
              </w:rPr>
              <w:t>466</w:t>
            </w:r>
          </w:p>
        </w:tc>
      </w:tr>
    </w:tbl>
    <w:p w14:paraId="6C98B5F0" w14:textId="5AE352B7" w:rsidR="003719CD" w:rsidRDefault="003719CD" w:rsidP="00DC39DE">
      <w:r>
        <w:t>The sale of goods and services included in the table above are transaction</w:t>
      </w:r>
      <w:r w:rsidR="00114B70">
        <w:t>s</w:t>
      </w:r>
      <w:r>
        <w:t xml:space="preserve"> that </w:t>
      </w:r>
      <w:r w:rsidR="005C3C86">
        <w:t>TV</w:t>
      </w:r>
      <w:r>
        <w:t xml:space="preserve"> has determined to be classified as revenue from contracts with customers in accordance with </w:t>
      </w:r>
      <w:r w:rsidR="0007383E">
        <w:t>AASB </w:t>
      </w:r>
      <w:r>
        <w:t>15</w:t>
      </w:r>
      <w:r w:rsidR="00114B70">
        <w:t xml:space="preserve"> </w:t>
      </w:r>
      <w:r w:rsidR="00114B70">
        <w:rPr>
          <w:i/>
          <w:iCs/>
        </w:rPr>
        <w:t>Revenue from Contracts with Customers</w:t>
      </w:r>
      <w:r>
        <w:t xml:space="preserve">. </w:t>
      </w:r>
    </w:p>
    <w:p w14:paraId="6D77073B" w14:textId="5080DD84" w:rsidR="00E00FC9" w:rsidRPr="002A0038" w:rsidRDefault="00E00FC9" w:rsidP="00624E52">
      <w:pPr>
        <w:rPr>
          <w:b/>
          <w:bCs/>
        </w:rPr>
      </w:pPr>
      <w:r>
        <w:t xml:space="preserve">TV recognises as revenue the amount of the </w:t>
      </w:r>
      <w:r w:rsidRPr="66B169FF">
        <w:rPr>
          <w:rFonts w:ascii="Arial" w:eastAsia="Arial" w:hAnsi="Arial" w:cs="Arial"/>
        </w:rPr>
        <w:t>transaction price that is allocated to a performance obligation in the contract with the customer when or as that performance obligation is satisfied by transferring a promised good or service to a customer. An asset is transferred when or as the customer obtains control of that asset.</w:t>
      </w:r>
      <w:r>
        <w:rPr>
          <w:rFonts w:ascii="Arial" w:eastAsia="Arial" w:hAnsi="Arial" w:cs="Arial"/>
        </w:rPr>
        <w:t xml:space="preserve"> </w:t>
      </w:r>
      <w:r w:rsidRPr="007F307D">
        <w:rPr>
          <w:rStyle w:val="Reference"/>
        </w:rPr>
        <w:t>[AASB</w:t>
      </w:r>
      <w:r>
        <w:rPr>
          <w:rStyle w:val="Reference"/>
        </w:rPr>
        <w:t xml:space="preserve"> </w:t>
      </w:r>
      <w:r w:rsidRPr="007F307D">
        <w:rPr>
          <w:rStyle w:val="Reference"/>
        </w:rPr>
        <w:t>15.</w:t>
      </w:r>
      <w:r>
        <w:rPr>
          <w:rStyle w:val="Reference"/>
        </w:rPr>
        <w:t>46</w:t>
      </w:r>
      <w:r w:rsidRPr="007F307D">
        <w:rPr>
          <w:rStyle w:val="Reference"/>
        </w:rPr>
        <w:t>]</w:t>
      </w:r>
      <w:r>
        <w:rPr>
          <w:rStyle w:val="Reference"/>
        </w:rPr>
        <w:t xml:space="preserve"> </w:t>
      </w:r>
    </w:p>
    <w:p w14:paraId="6C60C332" w14:textId="33A17FC1" w:rsidR="000B0A8A" w:rsidRDefault="007C6EF9" w:rsidP="00624E52">
      <w:pPr>
        <w:rPr>
          <w:rFonts w:ascii="Arial" w:hAnsi="Arial" w:cs="Arial"/>
        </w:rPr>
      </w:pPr>
      <w:r>
        <w:rPr>
          <w:rFonts w:ascii="Arial" w:hAnsi="Arial" w:cs="Arial" w:hint="eastAsia"/>
          <w:lang w:eastAsia="zh-CN"/>
        </w:rPr>
        <w:t>Revenue</w:t>
      </w:r>
      <w:r w:rsidR="00505460">
        <w:rPr>
          <w:rFonts w:ascii="Arial" w:hAnsi="Arial" w:cs="Arial"/>
        </w:rPr>
        <w:t xml:space="preserve"> is recognised when the goods are delivered and accepted by </w:t>
      </w:r>
      <w:r w:rsidR="00505460" w:rsidRPr="0002691E">
        <w:rPr>
          <w:rFonts w:ascii="Arial" w:hAnsi="Arial" w:cs="Arial"/>
        </w:rPr>
        <w:t>customers.</w:t>
      </w:r>
      <w:r w:rsidR="00583B11" w:rsidRPr="0002691E">
        <w:rPr>
          <w:rFonts w:ascii="Arial" w:hAnsi="Arial" w:cs="Arial"/>
        </w:rPr>
        <w:t xml:space="preserve"> Invoices are usually payable within 30 days.</w:t>
      </w:r>
      <w:r w:rsidR="00583B11">
        <w:rPr>
          <w:rFonts w:ascii="Arial" w:hAnsi="Arial" w:cs="Arial"/>
        </w:rPr>
        <w:t xml:space="preserve"> </w:t>
      </w:r>
      <w:r w:rsidR="00B26DBE">
        <w:rPr>
          <w:lang w:eastAsia="zh-CN"/>
        </w:rPr>
        <w:t>The goods provided by TV include computer software.</w:t>
      </w:r>
    </w:p>
    <w:p w14:paraId="0DB5C930" w14:textId="3ECA3A71" w:rsidR="003719CD" w:rsidRDefault="003719CD" w:rsidP="00E10CD7">
      <w:r>
        <w:t>Revenue from the rendering of services is recognised</w:t>
      </w:r>
      <w:r w:rsidR="00715636">
        <w:t xml:space="preserve"> </w:t>
      </w:r>
      <w:r w:rsidR="004E03E6" w:rsidRPr="004E03E6">
        <w:t>at a point in time when the performance obligation is satisfied when the service is completed</w:t>
      </w:r>
      <w:r w:rsidR="00950D6A">
        <w:t xml:space="preserve">, </w:t>
      </w:r>
      <w:r>
        <w:t xml:space="preserve">over time when the customer simultaneously receives and consumes the services as it is provided. </w:t>
      </w:r>
      <w:r w:rsidRPr="007F307D">
        <w:rPr>
          <w:rStyle w:val="Reference"/>
        </w:rPr>
        <w:t>[AASB</w:t>
      </w:r>
      <w:r w:rsidR="007D0580">
        <w:rPr>
          <w:rStyle w:val="Reference"/>
        </w:rPr>
        <w:t xml:space="preserve"> </w:t>
      </w:r>
      <w:r w:rsidRPr="007F307D">
        <w:rPr>
          <w:rStyle w:val="Reference"/>
        </w:rPr>
        <w:t>15.</w:t>
      </w:r>
      <w:r w:rsidR="00612D9A">
        <w:rPr>
          <w:rStyle w:val="Reference"/>
        </w:rPr>
        <w:t>35</w:t>
      </w:r>
      <w:r w:rsidRPr="007F307D">
        <w:rPr>
          <w:rStyle w:val="Reference"/>
        </w:rPr>
        <w:t>]</w:t>
      </w:r>
      <w:r>
        <w:t xml:space="preserve"> </w:t>
      </w:r>
      <w:r w:rsidR="004571BD">
        <w:t xml:space="preserve">The services provided by TV </w:t>
      </w:r>
      <w:r w:rsidR="00097E31">
        <w:t xml:space="preserve">include workplace support, </w:t>
      </w:r>
      <w:r w:rsidR="006F6C41">
        <w:t>hosting and projects</w:t>
      </w:r>
      <w:r w:rsidR="00047FC8">
        <w:t xml:space="preserve">. </w:t>
      </w:r>
      <w:r w:rsidR="0097680C" w:rsidRPr="007F307D">
        <w:rPr>
          <w:rStyle w:val="Reference"/>
        </w:rPr>
        <w:t>[AASB</w:t>
      </w:r>
      <w:r w:rsidR="007D0580">
        <w:rPr>
          <w:rStyle w:val="Reference"/>
        </w:rPr>
        <w:t xml:space="preserve"> </w:t>
      </w:r>
      <w:r w:rsidR="0097680C" w:rsidRPr="007F307D">
        <w:rPr>
          <w:rStyle w:val="Reference"/>
        </w:rPr>
        <w:t>1</w:t>
      </w:r>
      <w:r w:rsidR="0097680C">
        <w:rPr>
          <w:rStyle w:val="Reference"/>
        </w:rPr>
        <w:t>060</w:t>
      </w:r>
      <w:r w:rsidR="0097680C" w:rsidRPr="007F307D">
        <w:rPr>
          <w:rStyle w:val="Reference"/>
        </w:rPr>
        <w:t>.</w:t>
      </w:r>
      <w:r w:rsidR="0097680C">
        <w:rPr>
          <w:rStyle w:val="Reference"/>
        </w:rPr>
        <w:t>157</w:t>
      </w:r>
      <w:r w:rsidR="0097680C" w:rsidRPr="007F307D">
        <w:rPr>
          <w:rStyle w:val="Reference"/>
        </w:rPr>
        <w:t>]</w:t>
      </w:r>
      <w:r w:rsidR="0097680C">
        <w:t xml:space="preserve"> </w:t>
      </w:r>
      <w:r w:rsidR="00047FC8">
        <w:t xml:space="preserve">The majority of </w:t>
      </w:r>
      <w:r w:rsidR="00C8775F">
        <w:t xml:space="preserve">service revenue is recognised over time </w:t>
      </w:r>
      <w:r w:rsidR="00250A4C">
        <w:t xml:space="preserve">as </w:t>
      </w:r>
      <w:r w:rsidR="00700258">
        <w:t xml:space="preserve">the customer simultaneously receives and consumes </w:t>
      </w:r>
      <w:r w:rsidR="003F2B40">
        <w:t>the services as it is provided.</w:t>
      </w:r>
    </w:p>
    <w:p w14:paraId="49D6F02C" w14:textId="7A735F7F" w:rsidR="00D6208A" w:rsidRDefault="00D6208A" w:rsidP="00C93E45">
      <w:r w:rsidRPr="0002691E">
        <w:t>When revenue is recognised over time</w:t>
      </w:r>
      <w:r w:rsidR="00663C4C" w:rsidRPr="0002691E">
        <w:t xml:space="preserve"> as the services are provided, the stage of completion for determining </w:t>
      </w:r>
      <w:r w:rsidR="00925744" w:rsidRPr="0002691E">
        <w:t xml:space="preserve">the amount </w:t>
      </w:r>
      <w:r w:rsidR="00925744" w:rsidRPr="003C2B9A">
        <w:t>of revenue to recognise is assessed based on output method</w:t>
      </w:r>
      <w:r w:rsidR="00B13BD6" w:rsidRPr="003C2B9A">
        <w:t>.</w:t>
      </w:r>
      <w:r w:rsidR="00DB62C0" w:rsidRPr="00DB62C0">
        <w:rPr>
          <w:rStyle w:val="Reference"/>
        </w:rPr>
        <w:t xml:space="preserve"> </w:t>
      </w:r>
      <w:r w:rsidR="00DB62C0" w:rsidRPr="007F307D">
        <w:rPr>
          <w:rStyle w:val="Reference"/>
        </w:rPr>
        <w:t>[AASB</w:t>
      </w:r>
      <w:r w:rsidR="007D0580">
        <w:rPr>
          <w:rStyle w:val="Reference"/>
        </w:rPr>
        <w:t xml:space="preserve"> </w:t>
      </w:r>
      <w:r w:rsidR="00DB62C0" w:rsidRPr="007F307D">
        <w:rPr>
          <w:rStyle w:val="Reference"/>
        </w:rPr>
        <w:t>1</w:t>
      </w:r>
      <w:r w:rsidR="00DB62C0">
        <w:rPr>
          <w:rStyle w:val="Reference"/>
        </w:rPr>
        <w:t>060</w:t>
      </w:r>
      <w:r w:rsidR="00DB62C0" w:rsidRPr="007F307D">
        <w:rPr>
          <w:rStyle w:val="Reference"/>
        </w:rPr>
        <w:t>.</w:t>
      </w:r>
      <w:r w:rsidR="00DB62C0">
        <w:rPr>
          <w:rStyle w:val="Reference"/>
        </w:rPr>
        <w:t>158</w:t>
      </w:r>
      <w:r w:rsidR="00DB62C0" w:rsidRPr="007F307D">
        <w:rPr>
          <w:rStyle w:val="Reference"/>
        </w:rPr>
        <w:t>]</w:t>
      </w:r>
      <w:r w:rsidR="0089381A">
        <w:rPr>
          <w:rStyle w:val="Reference"/>
        </w:rPr>
        <w:t xml:space="preserve"> </w:t>
      </w:r>
      <w:r w:rsidR="007B7562" w:rsidRPr="007B7562">
        <w:t xml:space="preserve">Output methods recognise revenue </w:t>
      </w:r>
      <w:r w:rsidR="00EE16DF" w:rsidRPr="007B7562">
        <w:t>based on</w:t>
      </w:r>
      <w:r w:rsidR="007B7562" w:rsidRPr="007B7562">
        <w:t xml:space="preserve"> direct measurements of the value to the customer of the goods or services transferred to date relative to the remaining goods or services promised under the contract.</w:t>
      </w:r>
      <w:r w:rsidR="006A038F">
        <w:t xml:space="preserve"> </w:t>
      </w:r>
      <w:r w:rsidR="006A038F" w:rsidRPr="007F307D">
        <w:rPr>
          <w:rStyle w:val="Reference"/>
        </w:rPr>
        <w:t>[AASB</w:t>
      </w:r>
      <w:r w:rsidR="007D0580">
        <w:rPr>
          <w:rStyle w:val="Reference"/>
        </w:rPr>
        <w:t xml:space="preserve"> </w:t>
      </w:r>
      <w:r w:rsidR="006A038F" w:rsidRPr="007F307D">
        <w:rPr>
          <w:rStyle w:val="Reference"/>
        </w:rPr>
        <w:t>15.</w:t>
      </w:r>
      <w:r w:rsidR="006A038F">
        <w:rPr>
          <w:rStyle w:val="Reference"/>
        </w:rPr>
        <w:t>B15</w:t>
      </w:r>
      <w:r w:rsidR="006A038F" w:rsidRPr="007F307D">
        <w:rPr>
          <w:rStyle w:val="Reference"/>
        </w:rPr>
        <w:t>]</w:t>
      </w:r>
      <w:r w:rsidR="006A038F">
        <w:t xml:space="preserve"> TV applies output method by </w:t>
      </w:r>
      <w:r w:rsidR="00A36F06">
        <w:t xml:space="preserve">assessing milestone </w:t>
      </w:r>
      <w:r w:rsidR="00DB62C0">
        <w:t xml:space="preserve">reached and </w:t>
      </w:r>
      <w:r w:rsidR="00B72E4E">
        <w:t>time elapsed.</w:t>
      </w:r>
      <w:r w:rsidR="007B7562" w:rsidRPr="007B7562">
        <w:t xml:space="preserve"> </w:t>
      </w:r>
      <w:r w:rsidR="006627E0" w:rsidRPr="003C2B9A">
        <w:t>Invoices for services are usually payable within 30 days.</w:t>
      </w:r>
      <w:r w:rsidR="0043657D" w:rsidRPr="003C2B9A">
        <w:rPr>
          <w:color w:val="000000"/>
        </w:rPr>
        <w:t xml:space="preserve"> </w:t>
      </w:r>
      <w:r w:rsidR="0043657D" w:rsidRPr="003C2B9A">
        <w:t>In</w:t>
      </w:r>
      <w:r w:rsidR="00553963">
        <w:t xml:space="preserve"> </w:t>
      </w:r>
      <w:r w:rsidR="0043657D" w:rsidRPr="003C2B9A">
        <w:t>rare circumstance</w:t>
      </w:r>
      <w:r w:rsidR="00357566">
        <w:t>s</w:t>
      </w:r>
      <w:r w:rsidR="005E3F0C">
        <w:t>,</w:t>
      </w:r>
      <w:r w:rsidR="0043657D" w:rsidRPr="003C2B9A">
        <w:t xml:space="preserve"> where there may be a change in the scope</w:t>
      </w:r>
      <w:r w:rsidR="0043657D" w:rsidRPr="0043657D">
        <w:t xml:space="preserve"> of services provided, the customer will be provided with a new contract for the additional services to be rendered and revenue is recognised consistent with </w:t>
      </w:r>
      <w:r w:rsidR="002802DE">
        <w:t xml:space="preserve">the </w:t>
      </w:r>
      <w:r w:rsidR="0043657D" w:rsidRPr="0043657D">
        <w:t>accounting policy above.</w:t>
      </w:r>
    </w:p>
    <w:p w14:paraId="69CE4221" w14:textId="0ECE40FD" w:rsidR="00E66B15" w:rsidRDefault="00E66B15" w:rsidP="00C93E45">
      <w:r w:rsidRPr="00E66B15">
        <w:t>For contracts that permit the customer to return an item, revenue is recognised to the extent it is highly probable that a significant cumulative reversal will not occur. Therefore, the amount of revenue recognised is adjusted for the expected returns, which are estimated based on the historical data. In these circumstances, a refund liability and a right to recover returned goods asset are recognised.</w:t>
      </w:r>
    </w:p>
    <w:p w14:paraId="061D9A8A" w14:textId="372379E2" w:rsidR="003719CD" w:rsidRDefault="003719CD" w:rsidP="00C93E45">
      <w:r w:rsidRPr="00BD2722">
        <w:t xml:space="preserve">Consideration received in advance of </w:t>
      </w:r>
      <w:r w:rsidR="00CD70CE">
        <w:t xml:space="preserve">fulfilment of the performance obligation and the related recognition of </w:t>
      </w:r>
      <w:r w:rsidR="001F6265">
        <w:rPr>
          <w:rFonts w:hint="eastAsia"/>
          <w:lang w:eastAsia="zh-CN"/>
        </w:rPr>
        <w:t>t</w:t>
      </w:r>
      <w:r w:rsidRPr="00BD2722">
        <w:t xml:space="preserve">he associated revenue from the customer is recorded as a contract liability (Note </w:t>
      </w:r>
      <w:r w:rsidR="00D375E3" w:rsidRPr="00BD2722">
        <w:rPr>
          <w:lang w:eastAsia="zh-CN"/>
        </w:rPr>
        <w:t>5</w:t>
      </w:r>
      <w:r w:rsidRPr="00BD2722">
        <w:t>.2). Where the performance obligation is satisfied but not yet billed, a contract asset is recorded (Note </w:t>
      </w:r>
      <w:r w:rsidR="00D375E3" w:rsidRPr="00BD2722">
        <w:rPr>
          <w:lang w:eastAsia="zh-CN"/>
        </w:rPr>
        <w:t>5</w:t>
      </w:r>
      <w:r w:rsidRPr="00BD2722">
        <w:t>.1</w:t>
      </w:r>
      <w:r w:rsidR="00B42CDE" w:rsidRPr="002A0038">
        <w:rPr>
          <w:lang w:eastAsia="zh-CN"/>
        </w:rPr>
        <w:t>.1</w:t>
      </w:r>
      <w:r w:rsidRPr="00BD2722">
        <w:t xml:space="preserve">). </w:t>
      </w:r>
      <w:r w:rsidRPr="00BD2722">
        <w:rPr>
          <w:rStyle w:val="Reference"/>
        </w:rPr>
        <w:t>[</w:t>
      </w:r>
      <w:r w:rsidR="0007383E">
        <w:rPr>
          <w:rStyle w:val="Reference"/>
        </w:rPr>
        <w:t>AASB </w:t>
      </w:r>
      <w:r w:rsidRPr="003E2FB4">
        <w:rPr>
          <w:rStyle w:val="Reference"/>
        </w:rPr>
        <w:t>15.105]</w:t>
      </w:r>
    </w:p>
    <w:p w14:paraId="38BE48E5" w14:textId="77777777" w:rsidR="003719CD" w:rsidRDefault="003719CD" w:rsidP="00BB40F7">
      <w:pPr>
        <w:pStyle w:val="Heading3numbered"/>
      </w:pPr>
      <w:bookmarkStart w:id="605" w:name="_Toc179811391"/>
      <w:bookmarkStart w:id="606" w:name="_Toc179817091"/>
      <w:bookmarkStart w:id="607" w:name="_Toc179822791"/>
      <w:bookmarkStart w:id="608" w:name="_Toc179828478"/>
      <w:bookmarkStart w:id="609" w:name="_Toc179860008"/>
      <w:r>
        <w:t>Grants</w:t>
      </w:r>
      <w:bookmarkEnd w:id="605"/>
      <w:bookmarkEnd w:id="606"/>
      <w:bookmarkEnd w:id="607"/>
      <w:bookmarkEnd w:id="608"/>
      <w:bookmarkEnd w:id="609"/>
    </w:p>
    <w:p w14:paraId="76FF4BD6" w14:textId="77777777" w:rsidR="003719CD" w:rsidRDefault="003719CD" w:rsidP="007D536F">
      <w:pPr>
        <w:pStyle w:val="TableUnits"/>
      </w:pPr>
      <w:r>
        <w:t>($ thousand)</w:t>
      </w:r>
    </w:p>
    <w:tbl>
      <w:tblPr>
        <w:tblStyle w:val="DTFTable"/>
        <w:tblW w:w="9639" w:type="dxa"/>
        <w:tblLayout w:type="fixed"/>
        <w:tblLook w:val="0620" w:firstRow="1" w:lastRow="0" w:firstColumn="0" w:lastColumn="0" w:noHBand="1" w:noVBand="1"/>
      </w:tblPr>
      <w:tblGrid>
        <w:gridCol w:w="1560"/>
        <w:gridCol w:w="6347"/>
        <w:gridCol w:w="866"/>
        <w:gridCol w:w="866"/>
      </w:tblGrid>
      <w:tr w:rsidR="00182709" w14:paraId="4E90C985" w14:textId="77777777" w:rsidTr="006F25E9">
        <w:trPr>
          <w:cnfStyle w:val="100000000000" w:firstRow="1" w:lastRow="0" w:firstColumn="0" w:lastColumn="0" w:oddVBand="0" w:evenVBand="0" w:oddHBand="0" w:evenHBand="0" w:firstRowFirstColumn="0" w:firstRowLastColumn="0" w:lastRowFirstColumn="0" w:lastRowLastColumn="0"/>
          <w:tblHeader/>
        </w:trPr>
        <w:tc>
          <w:tcPr>
            <w:tcW w:w="1560" w:type="dxa"/>
            <w:tcBorders>
              <w:top w:val="nil"/>
              <w:bottom w:val="nil"/>
            </w:tcBorders>
            <w:shd w:val="clear" w:color="auto" w:fill="FFFFFF" w:themeFill="background1"/>
          </w:tcPr>
          <w:p w14:paraId="39A54384" w14:textId="77777777" w:rsidR="00182709" w:rsidRDefault="0044097C">
            <w:pPr>
              <w:keepNext/>
              <w:jc w:val="left"/>
            </w:pPr>
            <w:r>
              <w:rPr>
                <w:color w:val="4472C4"/>
                <w:sz w:val="13"/>
              </w:rPr>
              <w:t>Source reference</w:t>
            </w:r>
          </w:p>
        </w:tc>
        <w:tc>
          <w:tcPr>
            <w:tcW w:w="6347" w:type="dxa"/>
          </w:tcPr>
          <w:p w14:paraId="141C0263" w14:textId="77777777" w:rsidR="00182709" w:rsidRDefault="00182709">
            <w:pPr>
              <w:keepNext/>
              <w:jc w:val="left"/>
            </w:pPr>
          </w:p>
        </w:tc>
        <w:tc>
          <w:tcPr>
            <w:tcW w:w="866" w:type="dxa"/>
          </w:tcPr>
          <w:p w14:paraId="119444DE" w14:textId="77777777" w:rsidR="00182709" w:rsidRDefault="0044097C">
            <w:pPr>
              <w:keepNext/>
            </w:pPr>
            <w:r>
              <w:t>20X2</w:t>
            </w:r>
          </w:p>
        </w:tc>
        <w:tc>
          <w:tcPr>
            <w:tcW w:w="866" w:type="dxa"/>
          </w:tcPr>
          <w:p w14:paraId="0022B545" w14:textId="77777777" w:rsidR="00182709" w:rsidRDefault="0044097C">
            <w:pPr>
              <w:keepNext/>
            </w:pPr>
            <w:r>
              <w:t>20X1</w:t>
            </w:r>
          </w:p>
        </w:tc>
      </w:tr>
      <w:tr w:rsidR="00182709" w14:paraId="68CF9125" w14:textId="77777777" w:rsidTr="006F25E9">
        <w:tc>
          <w:tcPr>
            <w:tcW w:w="1560" w:type="dxa"/>
          </w:tcPr>
          <w:p w14:paraId="238FC8AA" w14:textId="77777777" w:rsidR="00182709" w:rsidRDefault="00182709">
            <w:pPr>
              <w:jc w:val="left"/>
            </w:pPr>
          </w:p>
        </w:tc>
        <w:tc>
          <w:tcPr>
            <w:tcW w:w="6347" w:type="dxa"/>
          </w:tcPr>
          <w:p w14:paraId="5E11DF59" w14:textId="117B0FFE" w:rsidR="00182709" w:rsidRDefault="004F0631">
            <w:pPr>
              <w:jc w:val="left"/>
            </w:pPr>
            <w:r>
              <w:rPr>
                <w:b/>
              </w:rPr>
              <w:t xml:space="preserve">Grants </w:t>
            </w:r>
            <w:r w:rsidR="0044097C">
              <w:rPr>
                <w:b/>
              </w:rPr>
              <w:t>recognised as income of not</w:t>
            </w:r>
            <w:r w:rsidR="0044097C">
              <w:rPr>
                <w:b/>
              </w:rPr>
              <w:noBreakHyphen/>
              <w:t>for</w:t>
            </w:r>
            <w:r w:rsidR="0044097C">
              <w:rPr>
                <w:b/>
              </w:rPr>
              <w:noBreakHyphen/>
              <w:t>profit entit</w:t>
            </w:r>
            <w:r w:rsidR="00E91F2C">
              <w:rPr>
                <w:b/>
              </w:rPr>
              <w:t>i</w:t>
            </w:r>
            <w:r w:rsidR="0044097C">
              <w:rPr>
                <w:b/>
              </w:rPr>
              <w:t>es</w:t>
            </w:r>
          </w:p>
        </w:tc>
        <w:tc>
          <w:tcPr>
            <w:tcW w:w="866" w:type="dxa"/>
          </w:tcPr>
          <w:p w14:paraId="6EB23F02" w14:textId="77777777" w:rsidR="00182709" w:rsidRDefault="00182709"/>
        </w:tc>
        <w:tc>
          <w:tcPr>
            <w:tcW w:w="866" w:type="dxa"/>
          </w:tcPr>
          <w:p w14:paraId="47281C39" w14:textId="77777777" w:rsidR="00182709" w:rsidRDefault="00182709"/>
        </w:tc>
      </w:tr>
      <w:tr w:rsidR="00CC34EA" w14:paraId="504C17C1" w14:textId="77777777" w:rsidTr="002A0038">
        <w:tc>
          <w:tcPr>
            <w:tcW w:w="0" w:type="dxa"/>
          </w:tcPr>
          <w:p w14:paraId="7E001B7E" w14:textId="2FB7D787" w:rsidR="00CC34EA" w:rsidRDefault="0007383E" w:rsidP="00CC34EA">
            <w:pPr>
              <w:jc w:val="left"/>
            </w:pPr>
            <w:r>
              <w:rPr>
                <w:color w:val="4472C4"/>
                <w:sz w:val="13"/>
              </w:rPr>
              <w:t>AASB </w:t>
            </w:r>
            <w:r w:rsidR="00CC34EA">
              <w:rPr>
                <w:color w:val="4472C4"/>
                <w:sz w:val="13"/>
              </w:rPr>
              <w:t>1060.229</w:t>
            </w:r>
          </w:p>
        </w:tc>
        <w:tc>
          <w:tcPr>
            <w:tcW w:w="0" w:type="dxa"/>
          </w:tcPr>
          <w:p w14:paraId="652BB5EB" w14:textId="77777777" w:rsidR="00CC34EA" w:rsidRDefault="00CC34EA" w:rsidP="00CC34EA">
            <w:pPr>
              <w:jc w:val="left"/>
            </w:pPr>
            <w:r>
              <w:t>General purpose</w:t>
            </w:r>
          </w:p>
        </w:tc>
        <w:tc>
          <w:tcPr>
            <w:tcW w:w="0" w:type="dxa"/>
            <w:vAlign w:val="center"/>
          </w:tcPr>
          <w:p w14:paraId="58EEF008" w14:textId="1669518F" w:rsidR="00CC34EA" w:rsidRDefault="00CC34EA" w:rsidP="00CC34EA">
            <w:r>
              <w:rPr>
                <w:rFonts w:ascii="Arial" w:hAnsi="Arial" w:cs="Arial"/>
                <w:color w:val="000000"/>
                <w:szCs w:val="16"/>
              </w:rPr>
              <w:t>6</w:t>
            </w:r>
            <w:r w:rsidR="003E3065">
              <w:rPr>
                <w:rFonts w:ascii="Arial" w:hAnsi="Arial" w:cs="Arial" w:hint="eastAsia"/>
                <w:color w:val="000000"/>
                <w:szCs w:val="16"/>
                <w:lang w:eastAsia="zh-CN"/>
              </w:rPr>
              <w:t xml:space="preserve"> </w:t>
            </w:r>
            <w:r>
              <w:rPr>
                <w:rFonts w:ascii="Arial" w:hAnsi="Arial" w:cs="Arial"/>
                <w:color w:val="000000"/>
                <w:szCs w:val="16"/>
              </w:rPr>
              <w:t>066</w:t>
            </w:r>
          </w:p>
        </w:tc>
        <w:tc>
          <w:tcPr>
            <w:tcW w:w="0" w:type="dxa"/>
            <w:vAlign w:val="center"/>
          </w:tcPr>
          <w:p w14:paraId="617B3FD1" w14:textId="616AA8CC" w:rsidR="00CC34EA" w:rsidRDefault="00CC34EA" w:rsidP="00CC34EA">
            <w:r>
              <w:rPr>
                <w:rFonts w:ascii="Arial" w:hAnsi="Arial" w:cs="Arial"/>
                <w:color w:val="000000"/>
                <w:szCs w:val="16"/>
              </w:rPr>
              <w:t>7</w:t>
            </w:r>
            <w:r w:rsidR="003E3065">
              <w:rPr>
                <w:rFonts w:ascii="Arial" w:hAnsi="Arial" w:cs="Arial" w:hint="eastAsia"/>
                <w:color w:val="000000"/>
                <w:szCs w:val="16"/>
                <w:lang w:eastAsia="zh-CN"/>
              </w:rPr>
              <w:t xml:space="preserve"> </w:t>
            </w:r>
            <w:r>
              <w:rPr>
                <w:rFonts w:ascii="Arial" w:hAnsi="Arial" w:cs="Arial"/>
                <w:color w:val="000000"/>
                <w:szCs w:val="16"/>
              </w:rPr>
              <w:t>902</w:t>
            </w:r>
          </w:p>
        </w:tc>
      </w:tr>
      <w:tr w:rsidR="00E92135" w14:paraId="75173E27" w14:textId="77777777" w:rsidTr="002A0038">
        <w:tc>
          <w:tcPr>
            <w:tcW w:w="0" w:type="dxa"/>
          </w:tcPr>
          <w:p w14:paraId="7395E590" w14:textId="74A8F789" w:rsidR="00E92135" w:rsidRDefault="0007383E" w:rsidP="00E92135">
            <w:pPr>
              <w:jc w:val="left"/>
            </w:pPr>
            <w:r>
              <w:rPr>
                <w:color w:val="4472C4"/>
                <w:sz w:val="13"/>
              </w:rPr>
              <w:t>AASB </w:t>
            </w:r>
            <w:r w:rsidR="00E92135">
              <w:rPr>
                <w:color w:val="4472C4"/>
                <w:sz w:val="13"/>
              </w:rPr>
              <w:t>1060.233</w:t>
            </w:r>
          </w:p>
        </w:tc>
        <w:tc>
          <w:tcPr>
            <w:tcW w:w="0" w:type="dxa"/>
          </w:tcPr>
          <w:p w14:paraId="5894ACCA" w14:textId="77777777" w:rsidR="00E92135" w:rsidRDefault="00E92135" w:rsidP="00E92135">
            <w:pPr>
              <w:jc w:val="left"/>
            </w:pPr>
            <w:r>
              <w:t>Other specific purpose to acquire a recognisable non</w:t>
            </w:r>
            <w:r>
              <w:noBreakHyphen/>
              <w:t>financial asset</w:t>
            </w:r>
          </w:p>
        </w:tc>
        <w:tc>
          <w:tcPr>
            <w:tcW w:w="0" w:type="dxa"/>
            <w:vAlign w:val="center"/>
          </w:tcPr>
          <w:p w14:paraId="5AB59560" w14:textId="02C972F9" w:rsidR="00E92135" w:rsidRDefault="00E92135" w:rsidP="00E92135">
            <w:r>
              <w:rPr>
                <w:rFonts w:ascii="Arial" w:hAnsi="Arial" w:cs="Arial"/>
                <w:color w:val="000000"/>
                <w:szCs w:val="16"/>
              </w:rPr>
              <w:t>2</w:t>
            </w:r>
            <w:r w:rsidR="003E3065">
              <w:rPr>
                <w:rFonts w:ascii="Arial" w:hAnsi="Arial" w:cs="Arial" w:hint="eastAsia"/>
                <w:color w:val="000000"/>
                <w:szCs w:val="16"/>
                <w:lang w:eastAsia="zh-CN"/>
              </w:rPr>
              <w:t xml:space="preserve"> </w:t>
            </w:r>
            <w:r>
              <w:rPr>
                <w:rFonts w:ascii="Arial" w:hAnsi="Arial" w:cs="Arial"/>
                <w:color w:val="000000"/>
                <w:szCs w:val="16"/>
              </w:rPr>
              <w:t>482</w:t>
            </w:r>
          </w:p>
        </w:tc>
        <w:tc>
          <w:tcPr>
            <w:tcW w:w="0" w:type="dxa"/>
            <w:vAlign w:val="center"/>
          </w:tcPr>
          <w:p w14:paraId="03307578" w14:textId="054C731B" w:rsidR="00E92135" w:rsidRDefault="00E92135" w:rsidP="00E92135">
            <w:r>
              <w:rPr>
                <w:rFonts w:ascii="Arial" w:hAnsi="Arial" w:cs="Arial"/>
                <w:color w:val="000000"/>
                <w:szCs w:val="16"/>
              </w:rPr>
              <w:t>910</w:t>
            </w:r>
          </w:p>
        </w:tc>
      </w:tr>
      <w:tr w:rsidR="00E92135" w14:paraId="2C464E88" w14:textId="77777777" w:rsidTr="002A0038">
        <w:tc>
          <w:tcPr>
            <w:tcW w:w="0" w:type="dxa"/>
          </w:tcPr>
          <w:p w14:paraId="17B85BE7" w14:textId="0F60E85D" w:rsidR="00E92135" w:rsidRDefault="0007383E" w:rsidP="00E92135">
            <w:pPr>
              <w:jc w:val="left"/>
            </w:pPr>
            <w:r>
              <w:rPr>
                <w:color w:val="4472C4"/>
                <w:sz w:val="13"/>
              </w:rPr>
              <w:t>AASB </w:t>
            </w:r>
            <w:r w:rsidR="00E92135">
              <w:rPr>
                <w:color w:val="4472C4"/>
                <w:sz w:val="13"/>
              </w:rPr>
              <w:t>1060.229</w:t>
            </w:r>
          </w:p>
        </w:tc>
        <w:tc>
          <w:tcPr>
            <w:tcW w:w="0" w:type="dxa"/>
          </w:tcPr>
          <w:p w14:paraId="16AA6F88" w14:textId="77777777" w:rsidR="00E92135" w:rsidRDefault="00E92135" w:rsidP="00E92135">
            <w:pPr>
              <w:jc w:val="left"/>
            </w:pPr>
            <w:r>
              <w:t>Other specific purpose grants</w:t>
            </w:r>
          </w:p>
        </w:tc>
        <w:tc>
          <w:tcPr>
            <w:tcW w:w="0" w:type="dxa"/>
            <w:vAlign w:val="center"/>
          </w:tcPr>
          <w:p w14:paraId="23857A3E" w14:textId="554BF1F9" w:rsidR="00E92135" w:rsidRDefault="00E92135" w:rsidP="00E92135">
            <w:r>
              <w:rPr>
                <w:rFonts w:ascii="Arial" w:hAnsi="Arial" w:cs="Arial"/>
                <w:color w:val="000000"/>
                <w:szCs w:val="16"/>
              </w:rPr>
              <w:t>3</w:t>
            </w:r>
            <w:r w:rsidR="003E3065">
              <w:rPr>
                <w:rFonts w:ascii="Arial" w:hAnsi="Arial" w:cs="Arial" w:hint="eastAsia"/>
                <w:color w:val="000000"/>
                <w:szCs w:val="16"/>
                <w:lang w:eastAsia="zh-CN"/>
              </w:rPr>
              <w:t xml:space="preserve"> </w:t>
            </w:r>
            <w:r>
              <w:rPr>
                <w:rFonts w:ascii="Arial" w:hAnsi="Arial" w:cs="Arial"/>
                <w:color w:val="000000"/>
                <w:szCs w:val="16"/>
              </w:rPr>
              <w:t>230</w:t>
            </w:r>
          </w:p>
        </w:tc>
        <w:tc>
          <w:tcPr>
            <w:tcW w:w="0" w:type="dxa"/>
            <w:vAlign w:val="center"/>
          </w:tcPr>
          <w:p w14:paraId="52AF5B16" w14:textId="5D8ED38B" w:rsidR="00E92135" w:rsidRDefault="00E92135" w:rsidP="00E92135">
            <w:r>
              <w:rPr>
                <w:rFonts w:ascii="Arial" w:hAnsi="Arial" w:cs="Arial"/>
                <w:color w:val="000000"/>
                <w:szCs w:val="16"/>
              </w:rPr>
              <w:t>1</w:t>
            </w:r>
            <w:r w:rsidR="003E3065">
              <w:rPr>
                <w:rFonts w:ascii="Arial" w:hAnsi="Arial" w:cs="Arial" w:hint="eastAsia"/>
                <w:color w:val="000000"/>
                <w:szCs w:val="16"/>
                <w:lang w:eastAsia="zh-CN"/>
              </w:rPr>
              <w:t xml:space="preserve"> </w:t>
            </w:r>
            <w:r>
              <w:rPr>
                <w:rFonts w:ascii="Arial" w:hAnsi="Arial" w:cs="Arial"/>
                <w:color w:val="000000"/>
                <w:szCs w:val="16"/>
              </w:rPr>
              <w:t>006</w:t>
            </w:r>
          </w:p>
        </w:tc>
      </w:tr>
      <w:tr w:rsidR="00182709" w14:paraId="67F0EF41" w14:textId="77777777" w:rsidTr="006F25E9">
        <w:tc>
          <w:tcPr>
            <w:tcW w:w="1560" w:type="dxa"/>
          </w:tcPr>
          <w:p w14:paraId="203F94B2" w14:textId="77777777" w:rsidR="00182709" w:rsidRDefault="00182709">
            <w:pPr>
              <w:jc w:val="left"/>
            </w:pPr>
          </w:p>
        </w:tc>
        <w:tc>
          <w:tcPr>
            <w:tcW w:w="6347" w:type="dxa"/>
          </w:tcPr>
          <w:p w14:paraId="4238299C" w14:textId="39213B65" w:rsidR="00182709" w:rsidRDefault="004F0631">
            <w:pPr>
              <w:jc w:val="left"/>
            </w:pPr>
            <w:r>
              <w:rPr>
                <w:b/>
              </w:rPr>
              <w:t xml:space="preserve">Grants </w:t>
            </w:r>
            <w:r w:rsidR="0044097C">
              <w:rPr>
                <w:b/>
              </w:rPr>
              <w:t>recognised as revenue from contract with customers</w:t>
            </w:r>
          </w:p>
        </w:tc>
        <w:tc>
          <w:tcPr>
            <w:tcW w:w="866" w:type="dxa"/>
          </w:tcPr>
          <w:p w14:paraId="7FA1214E" w14:textId="77777777" w:rsidR="00182709" w:rsidRDefault="00182709"/>
        </w:tc>
        <w:tc>
          <w:tcPr>
            <w:tcW w:w="866" w:type="dxa"/>
          </w:tcPr>
          <w:p w14:paraId="6387B328" w14:textId="77777777" w:rsidR="00182709" w:rsidRDefault="00182709"/>
        </w:tc>
      </w:tr>
      <w:tr w:rsidR="00884F1E" w14:paraId="61A5EC1E" w14:textId="77777777" w:rsidTr="002A0038">
        <w:tc>
          <w:tcPr>
            <w:tcW w:w="0" w:type="dxa"/>
          </w:tcPr>
          <w:p w14:paraId="211775C5" w14:textId="1FDE094C" w:rsidR="00884F1E" w:rsidRDefault="0007383E" w:rsidP="00884F1E">
            <w:pPr>
              <w:jc w:val="left"/>
            </w:pPr>
            <w:r>
              <w:rPr>
                <w:color w:val="4472C4"/>
                <w:sz w:val="13"/>
              </w:rPr>
              <w:t>AASB </w:t>
            </w:r>
            <w:proofErr w:type="gramStart"/>
            <w:r w:rsidR="00884F1E">
              <w:rPr>
                <w:color w:val="4472C4"/>
                <w:sz w:val="13"/>
              </w:rPr>
              <w:t>15.F</w:t>
            </w:r>
            <w:proofErr w:type="gramEnd"/>
            <w:r w:rsidR="00884F1E">
              <w:rPr>
                <w:color w:val="4472C4"/>
                <w:sz w:val="13"/>
              </w:rPr>
              <w:t>20</w:t>
            </w:r>
          </w:p>
        </w:tc>
        <w:tc>
          <w:tcPr>
            <w:tcW w:w="0" w:type="dxa"/>
            <w:tcBorders>
              <w:bottom w:val="single" w:sz="12" w:space="0" w:color="auto"/>
            </w:tcBorders>
          </w:tcPr>
          <w:p w14:paraId="1C0DC249" w14:textId="77777777" w:rsidR="00884F1E" w:rsidRDefault="00884F1E" w:rsidP="00884F1E">
            <w:pPr>
              <w:jc w:val="left"/>
            </w:pPr>
            <w:r>
              <w:t>Other specific purpose grants</w:t>
            </w:r>
          </w:p>
        </w:tc>
        <w:tc>
          <w:tcPr>
            <w:tcW w:w="0" w:type="dxa"/>
            <w:tcBorders>
              <w:bottom w:val="single" w:sz="12" w:space="0" w:color="auto"/>
            </w:tcBorders>
            <w:vAlign w:val="center"/>
          </w:tcPr>
          <w:p w14:paraId="56E33B71" w14:textId="4B565F86" w:rsidR="00884F1E" w:rsidRDefault="00884F1E" w:rsidP="00884F1E">
            <w:r>
              <w:rPr>
                <w:rFonts w:ascii="Arial" w:hAnsi="Arial" w:cs="Arial"/>
                <w:color w:val="000000"/>
                <w:szCs w:val="16"/>
              </w:rPr>
              <w:t>1</w:t>
            </w:r>
            <w:r w:rsidR="003E3065">
              <w:rPr>
                <w:rFonts w:ascii="Arial" w:hAnsi="Arial" w:cs="Arial" w:hint="eastAsia"/>
                <w:color w:val="000000"/>
                <w:szCs w:val="16"/>
                <w:lang w:eastAsia="zh-CN"/>
              </w:rPr>
              <w:t xml:space="preserve"> </w:t>
            </w:r>
            <w:r>
              <w:rPr>
                <w:rFonts w:ascii="Arial" w:hAnsi="Arial" w:cs="Arial"/>
                <w:color w:val="000000"/>
                <w:szCs w:val="16"/>
              </w:rPr>
              <w:t>560</w:t>
            </w:r>
          </w:p>
        </w:tc>
        <w:tc>
          <w:tcPr>
            <w:tcW w:w="0" w:type="dxa"/>
            <w:tcBorders>
              <w:bottom w:val="single" w:sz="12" w:space="0" w:color="auto"/>
            </w:tcBorders>
            <w:vAlign w:val="center"/>
          </w:tcPr>
          <w:p w14:paraId="666C3E7B" w14:textId="4B9B8453" w:rsidR="00884F1E" w:rsidRDefault="00884F1E" w:rsidP="00884F1E">
            <w:r>
              <w:rPr>
                <w:rFonts w:ascii="Arial" w:hAnsi="Arial" w:cs="Arial"/>
                <w:color w:val="000000"/>
                <w:szCs w:val="16"/>
              </w:rPr>
              <w:t>2</w:t>
            </w:r>
            <w:r w:rsidR="003E3065">
              <w:rPr>
                <w:rFonts w:ascii="Arial" w:hAnsi="Arial" w:cs="Arial" w:hint="eastAsia"/>
                <w:color w:val="000000"/>
                <w:szCs w:val="16"/>
                <w:lang w:eastAsia="zh-CN"/>
              </w:rPr>
              <w:t xml:space="preserve"> </w:t>
            </w:r>
            <w:r>
              <w:rPr>
                <w:rFonts w:ascii="Arial" w:hAnsi="Arial" w:cs="Arial"/>
                <w:color w:val="000000"/>
                <w:szCs w:val="16"/>
              </w:rPr>
              <w:t>395</w:t>
            </w:r>
          </w:p>
        </w:tc>
      </w:tr>
      <w:tr w:rsidR="00884F1E" w14:paraId="11F8A030" w14:textId="77777777" w:rsidTr="002A0038">
        <w:tc>
          <w:tcPr>
            <w:tcW w:w="0" w:type="dxa"/>
            <w:tcBorders>
              <w:bottom w:val="nil"/>
            </w:tcBorders>
          </w:tcPr>
          <w:p w14:paraId="35602945" w14:textId="77777777" w:rsidR="00884F1E" w:rsidRDefault="00884F1E" w:rsidP="00884F1E">
            <w:pPr>
              <w:jc w:val="left"/>
            </w:pPr>
          </w:p>
        </w:tc>
        <w:tc>
          <w:tcPr>
            <w:tcW w:w="0" w:type="dxa"/>
          </w:tcPr>
          <w:p w14:paraId="451C04E6" w14:textId="77777777" w:rsidR="00884F1E" w:rsidRDefault="00884F1E" w:rsidP="00884F1E">
            <w:pPr>
              <w:jc w:val="left"/>
            </w:pPr>
            <w:r>
              <w:rPr>
                <w:b/>
              </w:rPr>
              <w:t>Total grants</w:t>
            </w:r>
          </w:p>
        </w:tc>
        <w:tc>
          <w:tcPr>
            <w:tcW w:w="0" w:type="dxa"/>
            <w:vAlign w:val="center"/>
          </w:tcPr>
          <w:p w14:paraId="5EF4B44F" w14:textId="5FF4B1DB" w:rsidR="00884F1E" w:rsidRDefault="00884F1E" w:rsidP="00884F1E">
            <w:r>
              <w:rPr>
                <w:rFonts w:ascii="Arial" w:hAnsi="Arial" w:cs="Arial"/>
                <w:b/>
                <w:bCs/>
                <w:color w:val="000000"/>
                <w:szCs w:val="16"/>
              </w:rPr>
              <w:t>13</w:t>
            </w:r>
            <w:r w:rsidR="003E3065">
              <w:rPr>
                <w:rFonts w:ascii="Arial" w:hAnsi="Arial" w:cs="Arial" w:hint="eastAsia"/>
                <w:b/>
                <w:bCs/>
                <w:color w:val="000000"/>
                <w:szCs w:val="16"/>
                <w:lang w:eastAsia="zh-CN"/>
              </w:rPr>
              <w:t xml:space="preserve"> </w:t>
            </w:r>
            <w:r>
              <w:rPr>
                <w:rFonts w:ascii="Arial" w:hAnsi="Arial" w:cs="Arial"/>
                <w:b/>
                <w:bCs/>
                <w:color w:val="000000"/>
                <w:szCs w:val="16"/>
              </w:rPr>
              <w:t>338</w:t>
            </w:r>
          </w:p>
        </w:tc>
        <w:tc>
          <w:tcPr>
            <w:tcW w:w="0" w:type="dxa"/>
            <w:vAlign w:val="center"/>
          </w:tcPr>
          <w:p w14:paraId="6CB622D9" w14:textId="4957FE18" w:rsidR="00884F1E" w:rsidRDefault="00884F1E" w:rsidP="00884F1E">
            <w:r>
              <w:rPr>
                <w:rFonts w:ascii="Arial" w:hAnsi="Arial" w:cs="Arial"/>
                <w:b/>
                <w:bCs/>
                <w:color w:val="000000"/>
                <w:szCs w:val="16"/>
              </w:rPr>
              <w:t>12</w:t>
            </w:r>
            <w:r w:rsidR="003E3065">
              <w:rPr>
                <w:rFonts w:ascii="Arial" w:hAnsi="Arial" w:cs="Arial" w:hint="eastAsia"/>
                <w:b/>
                <w:bCs/>
                <w:color w:val="000000"/>
                <w:szCs w:val="16"/>
                <w:lang w:eastAsia="zh-CN"/>
              </w:rPr>
              <w:t xml:space="preserve"> </w:t>
            </w:r>
            <w:r>
              <w:rPr>
                <w:rFonts w:ascii="Arial" w:hAnsi="Arial" w:cs="Arial"/>
                <w:b/>
                <w:bCs/>
                <w:color w:val="000000"/>
                <w:szCs w:val="16"/>
              </w:rPr>
              <w:t>213</w:t>
            </w:r>
          </w:p>
        </w:tc>
      </w:tr>
    </w:tbl>
    <w:p w14:paraId="420DB2EF" w14:textId="30C417B0" w:rsidR="003719CD" w:rsidRPr="00CA5CF8" w:rsidRDefault="003719CD" w:rsidP="00CA5CF8">
      <w:pPr>
        <w:pStyle w:val="Heading4"/>
      </w:pPr>
      <w:bookmarkStart w:id="610" w:name="_Toc179811392"/>
      <w:bookmarkStart w:id="611" w:name="_Toc179817092"/>
      <w:bookmarkStart w:id="612" w:name="_Toc179822792"/>
      <w:r w:rsidRPr="00CA5CF8">
        <w:t xml:space="preserve">Grants recognised under </w:t>
      </w:r>
      <w:r w:rsidR="0007383E">
        <w:t>AASB </w:t>
      </w:r>
      <w:r w:rsidRPr="00CA5CF8">
        <w:t>1058</w:t>
      </w:r>
      <w:bookmarkEnd w:id="610"/>
      <w:bookmarkEnd w:id="611"/>
      <w:bookmarkEnd w:id="612"/>
    </w:p>
    <w:p w14:paraId="22964B26" w14:textId="74894C26" w:rsidR="003719CD" w:rsidRDefault="0000644A" w:rsidP="00DC39DE">
      <w:r>
        <w:t>TV</w:t>
      </w:r>
      <w:r w:rsidR="00DB1350">
        <w:t xml:space="preserve"> </w:t>
      </w:r>
      <w:r w:rsidR="003719CD">
        <w:t xml:space="preserve">has determined that the </w:t>
      </w:r>
      <w:r w:rsidR="003D0E86">
        <w:rPr>
          <w:rFonts w:hint="eastAsia"/>
          <w:lang w:eastAsia="zh-CN"/>
        </w:rPr>
        <w:t xml:space="preserve">income </w:t>
      </w:r>
      <w:r w:rsidR="002F76A4">
        <w:rPr>
          <w:rFonts w:hint="eastAsia"/>
          <w:lang w:eastAsia="zh-CN"/>
        </w:rPr>
        <w:t xml:space="preserve">of not-for-profit </w:t>
      </w:r>
      <w:r w:rsidR="002F76A4">
        <w:rPr>
          <w:lang w:eastAsia="zh-CN"/>
        </w:rPr>
        <w:t>entities</w:t>
      </w:r>
      <w:r w:rsidR="002F76A4">
        <w:rPr>
          <w:rFonts w:hint="eastAsia"/>
          <w:lang w:eastAsia="zh-CN"/>
        </w:rPr>
        <w:t xml:space="preserve"> </w:t>
      </w:r>
      <w:r w:rsidR="003719CD">
        <w:t xml:space="preserve">in the table above </w:t>
      </w:r>
      <w:r w:rsidR="008429C6">
        <w:rPr>
          <w:rFonts w:hint="eastAsia"/>
          <w:lang w:eastAsia="zh-CN"/>
        </w:rPr>
        <w:t xml:space="preserve">is recognised </w:t>
      </w:r>
      <w:r w:rsidR="003719CD">
        <w:t xml:space="preserve">under </w:t>
      </w:r>
      <w:r w:rsidR="0007383E">
        <w:t>AASB </w:t>
      </w:r>
      <w:r w:rsidR="003719CD">
        <w:t>1058</w:t>
      </w:r>
      <w:r w:rsidR="008429C6">
        <w:rPr>
          <w:rFonts w:hint="eastAsia"/>
          <w:lang w:eastAsia="zh-CN"/>
        </w:rPr>
        <w:t xml:space="preserve"> on the basis that it </w:t>
      </w:r>
      <w:r w:rsidR="003719CD">
        <w:t>has been earned under arrangements that are either not enforceable or linked to sufficiently specific performance obligations.</w:t>
      </w:r>
    </w:p>
    <w:p w14:paraId="7ACDBFDA" w14:textId="78BDBB67" w:rsidR="003719CD" w:rsidRDefault="003719CD" w:rsidP="007D536F">
      <w:r>
        <w:t xml:space="preserve">Income from grants without any sufficiently specific performance obligations or that are not enforceable, is recognised when </w:t>
      </w:r>
      <w:r w:rsidR="0000644A">
        <w:t>TV</w:t>
      </w:r>
      <w:r w:rsidR="00DB1350">
        <w:t xml:space="preserve"> </w:t>
      </w:r>
      <w:r>
        <w:t xml:space="preserve">has an unconditional right to receive cash which usually coincides with receipt of cash. On initial recognition of the asset, </w:t>
      </w:r>
      <w:r w:rsidR="0000644A">
        <w:t>TV</w:t>
      </w:r>
      <w:r w:rsidR="00DB1350">
        <w:t xml:space="preserve"> </w:t>
      </w:r>
      <w:r>
        <w:t xml:space="preserve">recognises any related contributions by owners, increases in liabilities, decreases in assets </w:t>
      </w:r>
      <w:r w:rsidR="005C7ECC">
        <w:t>or</w:t>
      </w:r>
      <w:r>
        <w:t xml:space="preserve"> revenue (‘related amounts’) in accordance with other Australian Accounting Standards. Related amounts may take the form of: </w:t>
      </w:r>
    </w:p>
    <w:p w14:paraId="4246003D" w14:textId="44669FED" w:rsidR="003719CD" w:rsidRDefault="003719CD" w:rsidP="002A0038">
      <w:pPr>
        <w:pStyle w:val="ListBullet"/>
        <w:numPr>
          <w:ilvl w:val="0"/>
          <w:numId w:val="370"/>
        </w:numPr>
      </w:pPr>
      <w:r>
        <w:t xml:space="preserve">contributions by owners, in accordance with </w:t>
      </w:r>
      <w:r w:rsidR="0007383E">
        <w:t>AASB </w:t>
      </w:r>
      <w:r>
        <w:t>1004</w:t>
      </w:r>
      <w:r w:rsidR="005C7ECC">
        <w:t xml:space="preserve"> </w:t>
      </w:r>
      <w:r w:rsidR="005C7ECC">
        <w:rPr>
          <w:i/>
          <w:iCs/>
        </w:rPr>
        <w:t>Contrib</w:t>
      </w:r>
      <w:r w:rsidR="00CC284A">
        <w:rPr>
          <w:i/>
          <w:iCs/>
        </w:rPr>
        <w:t>utions</w:t>
      </w:r>
    </w:p>
    <w:p w14:paraId="1283E952" w14:textId="440A7767" w:rsidR="003719CD" w:rsidRDefault="003719CD" w:rsidP="002A0038">
      <w:pPr>
        <w:pStyle w:val="ListBullet"/>
        <w:numPr>
          <w:ilvl w:val="0"/>
          <w:numId w:val="370"/>
        </w:numPr>
      </w:pPr>
      <w:r>
        <w:t xml:space="preserve">revenue or a contract liability arising from a contract with a customer, in accordance with </w:t>
      </w:r>
      <w:r w:rsidR="0007383E">
        <w:t>AASB </w:t>
      </w:r>
      <w:r>
        <w:t>15</w:t>
      </w:r>
    </w:p>
    <w:p w14:paraId="699ABB5D" w14:textId="1351ABAA" w:rsidR="003719CD" w:rsidRDefault="003719CD" w:rsidP="002A0038">
      <w:pPr>
        <w:pStyle w:val="ListBullet"/>
        <w:numPr>
          <w:ilvl w:val="0"/>
          <w:numId w:val="370"/>
        </w:numPr>
      </w:pPr>
      <w:r>
        <w:t xml:space="preserve">a lease liability in accordance with </w:t>
      </w:r>
      <w:r w:rsidR="0007383E">
        <w:t>AASB </w:t>
      </w:r>
      <w:r>
        <w:t>16</w:t>
      </w:r>
      <w:r w:rsidR="00CC284A">
        <w:t xml:space="preserve"> </w:t>
      </w:r>
      <w:r w:rsidR="00CC284A">
        <w:rPr>
          <w:i/>
          <w:iCs/>
        </w:rPr>
        <w:t>Leases</w:t>
      </w:r>
    </w:p>
    <w:p w14:paraId="7012D10C" w14:textId="2F61FB90" w:rsidR="003719CD" w:rsidRDefault="003719CD" w:rsidP="002A0038">
      <w:pPr>
        <w:pStyle w:val="ListBullet"/>
        <w:numPr>
          <w:ilvl w:val="0"/>
          <w:numId w:val="370"/>
        </w:numPr>
      </w:pPr>
      <w:r>
        <w:t xml:space="preserve">a financial instrument, in accordance with </w:t>
      </w:r>
      <w:r w:rsidR="0007383E">
        <w:t>AASB </w:t>
      </w:r>
      <w:r>
        <w:t>9</w:t>
      </w:r>
      <w:r w:rsidR="00CC284A">
        <w:t xml:space="preserve"> </w:t>
      </w:r>
      <w:r w:rsidR="00CC284A">
        <w:rPr>
          <w:i/>
          <w:iCs/>
        </w:rPr>
        <w:t>Financial Instruments</w:t>
      </w:r>
    </w:p>
    <w:p w14:paraId="1CEAB9A4" w14:textId="60DB21B6" w:rsidR="003719CD" w:rsidRDefault="003719CD" w:rsidP="002A0038">
      <w:pPr>
        <w:pStyle w:val="ListBullet"/>
        <w:numPr>
          <w:ilvl w:val="0"/>
          <w:numId w:val="370"/>
        </w:numPr>
      </w:pPr>
      <w:r>
        <w:t xml:space="preserve">a provision, in accordance with </w:t>
      </w:r>
      <w:r w:rsidR="0007383E">
        <w:t>AASB </w:t>
      </w:r>
      <w:r>
        <w:t>137</w:t>
      </w:r>
      <w:r w:rsidR="00CC284A">
        <w:t xml:space="preserve"> </w:t>
      </w:r>
      <w:r w:rsidR="00CC284A">
        <w:rPr>
          <w:i/>
          <w:iCs/>
        </w:rPr>
        <w:t>Provisions, Contingent Liabilities and Contingent Assets</w:t>
      </w:r>
      <w:r>
        <w:t>.</w:t>
      </w:r>
    </w:p>
    <w:p w14:paraId="05D5F8D5" w14:textId="61BFBE0B" w:rsidR="003719CD" w:rsidRDefault="003719CD" w:rsidP="00DC39DE">
      <w:r>
        <w:t xml:space="preserve">Income from grants to construct </w:t>
      </w:r>
      <w:r w:rsidR="00F22AF2">
        <w:t>TV</w:t>
      </w:r>
      <w:r>
        <w:t xml:space="preserve">’s Wantirna South data storage centre and the development and construction of the web infrastructure framework are recognised progressively as the asset is constructed. This aligns with </w:t>
      </w:r>
      <w:r w:rsidR="005E5882">
        <w:t>TV</w:t>
      </w:r>
      <w:r>
        <w:t xml:space="preserve">’s obligation to construct the asset. The progressive percentage costs incurred is used to recognise income because this most closely reflects the construction progress as costs are incurred as the works are </w:t>
      </w:r>
      <w:r w:rsidR="00CC284A">
        <w:t>completed</w:t>
      </w:r>
      <w:r>
        <w:t xml:space="preserve">. </w:t>
      </w:r>
      <w:r w:rsidRPr="003E2FB4">
        <w:rPr>
          <w:rStyle w:val="Reference"/>
        </w:rPr>
        <w:t>[</w:t>
      </w:r>
      <w:r w:rsidR="0007383E">
        <w:rPr>
          <w:rStyle w:val="Reference"/>
        </w:rPr>
        <w:t>AASB </w:t>
      </w:r>
      <w:r w:rsidRPr="003E2FB4">
        <w:rPr>
          <w:rStyle w:val="Reference"/>
        </w:rPr>
        <w:t>1058.32</w:t>
      </w:r>
      <w:r w:rsidR="007D187D">
        <w:rPr>
          <w:rStyle w:val="Reference"/>
        </w:rPr>
        <w:t xml:space="preserve">; </w:t>
      </w:r>
      <w:r w:rsidR="0097746B">
        <w:rPr>
          <w:rStyle w:val="Reference"/>
        </w:rPr>
        <w:t>1060.234-237</w:t>
      </w:r>
      <w:r w:rsidRPr="003E2FB4">
        <w:rPr>
          <w:rStyle w:val="Reference"/>
        </w:rPr>
        <w:t>]</w:t>
      </w:r>
    </w:p>
    <w:p w14:paraId="7CB7ABC3" w14:textId="283407DF" w:rsidR="003719CD" w:rsidRDefault="003719CD" w:rsidP="007D536F">
      <w:pPr>
        <w:pStyle w:val="Heading4"/>
      </w:pPr>
      <w:bookmarkStart w:id="613" w:name="_Toc179811393"/>
      <w:bookmarkStart w:id="614" w:name="_Toc179817093"/>
      <w:bookmarkStart w:id="615" w:name="_Toc179822793"/>
      <w:r>
        <w:t xml:space="preserve">Grants recognised under </w:t>
      </w:r>
      <w:r w:rsidR="0007383E">
        <w:t>AASB </w:t>
      </w:r>
      <w:r>
        <w:t>15</w:t>
      </w:r>
      <w:bookmarkEnd w:id="613"/>
      <w:bookmarkEnd w:id="614"/>
      <w:bookmarkEnd w:id="615"/>
    </w:p>
    <w:p w14:paraId="2D45545F" w14:textId="4F4576FE" w:rsidR="003719CD" w:rsidRDefault="003719CD" w:rsidP="00DC39DE">
      <w:r>
        <w:t xml:space="preserve">Income from grants that are enforceable and sufficiently specific performance obligations </w:t>
      </w:r>
      <w:r w:rsidR="00612D9A">
        <w:t>are</w:t>
      </w:r>
      <w:r>
        <w:t xml:space="preserve"> accounted for as revenue from contracts with customers under </w:t>
      </w:r>
      <w:r w:rsidR="0007383E">
        <w:t>AASB </w:t>
      </w:r>
      <w:r>
        <w:t xml:space="preserve">15. These grants relate to the provision of technology services. Revenue is recognised when </w:t>
      </w:r>
      <w:r w:rsidR="00A45F55">
        <w:t>TV</w:t>
      </w:r>
      <w:r w:rsidR="00175453">
        <w:t xml:space="preserve"> </w:t>
      </w:r>
      <w:r>
        <w:t>satisfies the performance obligation by providing the relevant technology services to the relevant agencies. This is recognised based on the consideration specified in the funding agreement and to the extent that it is highly probable a significant reversal of the revenue will not occur. The payments are normally received in advance or shortly after the relevant obligation is satisfied.</w:t>
      </w:r>
      <w:r w:rsidR="004432FD">
        <w:t xml:space="preserve"> </w:t>
      </w:r>
      <w:r w:rsidR="00850419" w:rsidRPr="003E2FB4">
        <w:rPr>
          <w:rStyle w:val="Reference"/>
        </w:rPr>
        <w:t>[</w:t>
      </w:r>
      <w:r w:rsidR="0007383E">
        <w:rPr>
          <w:rStyle w:val="Reference"/>
        </w:rPr>
        <w:t>AASB </w:t>
      </w:r>
      <w:r w:rsidR="00850419" w:rsidRPr="003E2FB4">
        <w:rPr>
          <w:rStyle w:val="Reference"/>
        </w:rPr>
        <w:t>10</w:t>
      </w:r>
      <w:r w:rsidR="00D505A6">
        <w:rPr>
          <w:rStyle w:val="Reference"/>
        </w:rPr>
        <w:t>60.157-159]</w:t>
      </w:r>
    </w:p>
    <w:p w14:paraId="5F07479C" w14:textId="04A1EED9" w:rsidR="003719CD" w:rsidRDefault="002137D8" w:rsidP="00BB40F7">
      <w:pPr>
        <w:pStyle w:val="Heading3numbered"/>
      </w:pPr>
      <w:bookmarkStart w:id="616" w:name="_Toc179811394"/>
      <w:bookmarkStart w:id="617" w:name="_Toc179817094"/>
      <w:bookmarkStart w:id="618" w:name="_Toc179822794"/>
      <w:bookmarkStart w:id="619" w:name="_Toc179828479"/>
      <w:bookmarkStart w:id="620" w:name="_Toc179860009"/>
      <w:r>
        <w:t>A</w:t>
      </w:r>
      <w:r w:rsidR="003719CD">
        <w:t xml:space="preserve">ssets and services received free of charge or for nominal consideration </w:t>
      </w:r>
      <w:bookmarkEnd w:id="616"/>
      <w:bookmarkEnd w:id="617"/>
      <w:bookmarkEnd w:id="618"/>
      <w:bookmarkEnd w:id="619"/>
      <w:bookmarkEnd w:id="620"/>
    </w:p>
    <w:p w14:paraId="355305A9" w14:textId="77777777" w:rsidR="003719CD" w:rsidRDefault="003719CD" w:rsidP="007D536F">
      <w:pPr>
        <w:pStyle w:val="TableUnits"/>
      </w:pPr>
      <w:r>
        <w:t>($ thousand)</w:t>
      </w:r>
    </w:p>
    <w:tbl>
      <w:tblPr>
        <w:tblStyle w:val="DTFTable"/>
        <w:tblW w:w="9639" w:type="dxa"/>
        <w:tblLayout w:type="fixed"/>
        <w:tblLook w:val="0620" w:firstRow="1" w:lastRow="0" w:firstColumn="0" w:lastColumn="0" w:noHBand="1" w:noVBand="1"/>
      </w:tblPr>
      <w:tblGrid>
        <w:gridCol w:w="1349"/>
        <w:gridCol w:w="6558"/>
        <w:gridCol w:w="866"/>
        <w:gridCol w:w="866"/>
      </w:tblGrid>
      <w:tr w:rsidR="00182709" w14:paraId="39195E98" w14:textId="77777777" w:rsidTr="002A0038">
        <w:trPr>
          <w:cnfStyle w:val="100000000000" w:firstRow="1" w:lastRow="0" w:firstColumn="0" w:lastColumn="0" w:oddVBand="0" w:evenVBand="0" w:oddHBand="0" w:evenHBand="0" w:firstRowFirstColumn="0" w:firstRowLastColumn="0" w:lastRowFirstColumn="0" w:lastRowLastColumn="0"/>
          <w:tblHeader/>
        </w:trPr>
        <w:tc>
          <w:tcPr>
            <w:tcW w:w="1349" w:type="dxa"/>
            <w:tcBorders>
              <w:top w:val="nil"/>
              <w:bottom w:val="nil"/>
            </w:tcBorders>
            <w:shd w:val="clear" w:color="auto" w:fill="FFFFFF" w:themeFill="background1"/>
          </w:tcPr>
          <w:p w14:paraId="6973906A" w14:textId="77777777" w:rsidR="00182709" w:rsidRDefault="0044097C">
            <w:pPr>
              <w:keepNext/>
              <w:jc w:val="left"/>
            </w:pPr>
            <w:r>
              <w:rPr>
                <w:color w:val="4472C4"/>
                <w:sz w:val="13"/>
              </w:rPr>
              <w:t>Source reference</w:t>
            </w:r>
          </w:p>
        </w:tc>
        <w:tc>
          <w:tcPr>
            <w:tcW w:w="6558" w:type="dxa"/>
          </w:tcPr>
          <w:p w14:paraId="117828E6" w14:textId="77777777" w:rsidR="00182709" w:rsidRDefault="00182709">
            <w:pPr>
              <w:keepNext/>
              <w:jc w:val="left"/>
            </w:pPr>
          </w:p>
        </w:tc>
        <w:tc>
          <w:tcPr>
            <w:tcW w:w="866" w:type="dxa"/>
          </w:tcPr>
          <w:p w14:paraId="49C5B2BB" w14:textId="77777777" w:rsidR="00182709" w:rsidRDefault="0044097C">
            <w:pPr>
              <w:keepNext/>
            </w:pPr>
            <w:r>
              <w:t>20X2</w:t>
            </w:r>
          </w:p>
        </w:tc>
        <w:tc>
          <w:tcPr>
            <w:tcW w:w="866" w:type="dxa"/>
          </w:tcPr>
          <w:p w14:paraId="40668C18" w14:textId="77777777" w:rsidR="00182709" w:rsidRDefault="0044097C">
            <w:pPr>
              <w:keepNext/>
            </w:pPr>
            <w:r>
              <w:t>20X1</w:t>
            </w:r>
          </w:p>
        </w:tc>
      </w:tr>
      <w:tr w:rsidR="00182709" w14:paraId="092E6131" w14:textId="77777777" w:rsidTr="002A0038">
        <w:tc>
          <w:tcPr>
            <w:tcW w:w="1349" w:type="dxa"/>
          </w:tcPr>
          <w:p w14:paraId="1D4EB9F3" w14:textId="77777777" w:rsidR="00182709" w:rsidRDefault="00182709">
            <w:pPr>
              <w:jc w:val="left"/>
            </w:pPr>
          </w:p>
        </w:tc>
        <w:tc>
          <w:tcPr>
            <w:tcW w:w="6558" w:type="dxa"/>
          </w:tcPr>
          <w:p w14:paraId="704052C0" w14:textId="77777777" w:rsidR="00182709" w:rsidRDefault="0044097C">
            <w:pPr>
              <w:jc w:val="left"/>
            </w:pPr>
            <w:r>
              <w:rPr>
                <w:b/>
              </w:rPr>
              <w:t>Assets</w:t>
            </w:r>
          </w:p>
        </w:tc>
        <w:tc>
          <w:tcPr>
            <w:tcW w:w="866" w:type="dxa"/>
          </w:tcPr>
          <w:p w14:paraId="6EB387C8" w14:textId="77777777" w:rsidR="00182709" w:rsidRDefault="00182709"/>
        </w:tc>
        <w:tc>
          <w:tcPr>
            <w:tcW w:w="866" w:type="dxa"/>
          </w:tcPr>
          <w:p w14:paraId="786D038E" w14:textId="77777777" w:rsidR="00182709" w:rsidRDefault="00182709"/>
        </w:tc>
      </w:tr>
      <w:tr w:rsidR="002542EC" w14:paraId="359B4263" w14:textId="77777777" w:rsidTr="002A0038">
        <w:tc>
          <w:tcPr>
            <w:tcW w:w="1349" w:type="dxa"/>
          </w:tcPr>
          <w:p w14:paraId="535338FE" w14:textId="1C4CC2B1" w:rsidR="002542EC" w:rsidRDefault="0007383E" w:rsidP="002542EC">
            <w:pPr>
              <w:jc w:val="left"/>
            </w:pPr>
            <w:r>
              <w:rPr>
                <w:color w:val="4472C4"/>
                <w:sz w:val="13"/>
              </w:rPr>
              <w:t>AASB </w:t>
            </w:r>
            <w:r w:rsidR="002542EC" w:rsidRPr="002A0038">
              <w:rPr>
                <w:color w:val="4472C4"/>
                <w:sz w:val="13"/>
              </w:rPr>
              <w:t>1060.229 (a)</w:t>
            </w:r>
          </w:p>
        </w:tc>
        <w:tc>
          <w:tcPr>
            <w:tcW w:w="6558" w:type="dxa"/>
          </w:tcPr>
          <w:p w14:paraId="3ABE37D9" w14:textId="77777777" w:rsidR="002542EC" w:rsidRDefault="002542EC" w:rsidP="002542EC">
            <w:pPr>
              <w:jc w:val="left"/>
            </w:pPr>
            <w:r>
              <w:t>Cash donations and gifts</w:t>
            </w:r>
          </w:p>
        </w:tc>
        <w:tc>
          <w:tcPr>
            <w:tcW w:w="866" w:type="dxa"/>
            <w:vAlign w:val="center"/>
          </w:tcPr>
          <w:p w14:paraId="2E7155ED" w14:textId="1F7AFF1A" w:rsidR="002542EC" w:rsidRDefault="002542EC" w:rsidP="002542EC">
            <w:r>
              <w:rPr>
                <w:rFonts w:ascii="Arial" w:hAnsi="Arial" w:cs="Arial"/>
                <w:color w:val="000000"/>
                <w:szCs w:val="16"/>
              </w:rPr>
              <w:t>1</w:t>
            </w:r>
            <w:r w:rsidR="003E3065">
              <w:rPr>
                <w:rFonts w:ascii="Arial" w:hAnsi="Arial" w:cs="Arial" w:hint="eastAsia"/>
                <w:color w:val="000000"/>
                <w:szCs w:val="16"/>
                <w:lang w:eastAsia="zh-CN"/>
              </w:rPr>
              <w:t xml:space="preserve"> </w:t>
            </w:r>
            <w:r>
              <w:rPr>
                <w:rFonts w:ascii="Arial" w:hAnsi="Arial" w:cs="Arial"/>
                <w:color w:val="000000"/>
                <w:szCs w:val="16"/>
              </w:rPr>
              <w:t>540</w:t>
            </w:r>
          </w:p>
        </w:tc>
        <w:tc>
          <w:tcPr>
            <w:tcW w:w="866" w:type="dxa"/>
            <w:vAlign w:val="center"/>
          </w:tcPr>
          <w:p w14:paraId="4CFA339F" w14:textId="4C9941C4" w:rsidR="002542EC" w:rsidRDefault="002542EC" w:rsidP="002542EC">
            <w:r>
              <w:rPr>
                <w:rFonts w:ascii="Arial" w:hAnsi="Arial" w:cs="Arial"/>
                <w:color w:val="000000"/>
                <w:szCs w:val="16"/>
              </w:rPr>
              <w:t>1</w:t>
            </w:r>
            <w:r w:rsidR="003E3065">
              <w:rPr>
                <w:rFonts w:ascii="Arial" w:hAnsi="Arial" w:cs="Arial" w:hint="eastAsia"/>
                <w:color w:val="000000"/>
                <w:szCs w:val="16"/>
                <w:lang w:eastAsia="zh-CN"/>
              </w:rPr>
              <w:t xml:space="preserve"> </w:t>
            </w:r>
            <w:r>
              <w:rPr>
                <w:rFonts w:ascii="Arial" w:hAnsi="Arial" w:cs="Arial"/>
                <w:color w:val="000000"/>
                <w:szCs w:val="16"/>
              </w:rPr>
              <w:t>674</w:t>
            </w:r>
          </w:p>
        </w:tc>
      </w:tr>
      <w:tr w:rsidR="002542EC" w14:paraId="5CD8D65C" w14:textId="77777777" w:rsidTr="002A0038">
        <w:tc>
          <w:tcPr>
            <w:tcW w:w="1349" w:type="dxa"/>
          </w:tcPr>
          <w:p w14:paraId="204EB1D3" w14:textId="77777777" w:rsidR="002542EC" w:rsidRDefault="002542EC" w:rsidP="002542EC">
            <w:pPr>
              <w:jc w:val="left"/>
            </w:pPr>
          </w:p>
        </w:tc>
        <w:tc>
          <w:tcPr>
            <w:tcW w:w="6558" w:type="dxa"/>
          </w:tcPr>
          <w:p w14:paraId="0608A7AC" w14:textId="77777777" w:rsidR="002542EC" w:rsidRDefault="002542EC" w:rsidP="002542EC">
            <w:pPr>
              <w:jc w:val="left"/>
            </w:pPr>
            <w:r>
              <w:t>Plant and equipment</w:t>
            </w:r>
          </w:p>
        </w:tc>
        <w:tc>
          <w:tcPr>
            <w:tcW w:w="866" w:type="dxa"/>
            <w:vAlign w:val="center"/>
          </w:tcPr>
          <w:p w14:paraId="151537EB" w14:textId="2E7CD452" w:rsidR="002542EC" w:rsidRDefault="002542EC" w:rsidP="002542EC">
            <w:r>
              <w:rPr>
                <w:rFonts w:ascii="Arial" w:hAnsi="Arial" w:cs="Arial"/>
                <w:color w:val="000000"/>
                <w:szCs w:val="16"/>
              </w:rPr>
              <w:t>49</w:t>
            </w:r>
          </w:p>
        </w:tc>
        <w:tc>
          <w:tcPr>
            <w:tcW w:w="866" w:type="dxa"/>
            <w:vAlign w:val="center"/>
          </w:tcPr>
          <w:p w14:paraId="6A0F0251" w14:textId="05EA18A5" w:rsidR="002542EC" w:rsidRDefault="002542EC" w:rsidP="002542EC">
            <w:r>
              <w:rPr>
                <w:rFonts w:ascii="Arial" w:hAnsi="Arial" w:cs="Arial"/>
                <w:color w:val="000000"/>
                <w:szCs w:val="16"/>
              </w:rPr>
              <w:t>34</w:t>
            </w:r>
          </w:p>
        </w:tc>
      </w:tr>
      <w:tr w:rsidR="002542EC" w14:paraId="6ECE1FBB" w14:textId="77777777" w:rsidTr="002A0038">
        <w:tc>
          <w:tcPr>
            <w:tcW w:w="1349" w:type="dxa"/>
            <w:tcBorders>
              <w:bottom w:val="nil"/>
            </w:tcBorders>
          </w:tcPr>
          <w:p w14:paraId="0A986D07" w14:textId="6CEE647F" w:rsidR="002542EC" w:rsidRDefault="0007383E" w:rsidP="002542EC">
            <w:pPr>
              <w:jc w:val="left"/>
            </w:pPr>
            <w:r>
              <w:rPr>
                <w:color w:val="4472C4"/>
                <w:sz w:val="13"/>
              </w:rPr>
              <w:t>AASB </w:t>
            </w:r>
            <w:r w:rsidR="002542EC">
              <w:rPr>
                <w:color w:val="4472C4"/>
                <w:sz w:val="13"/>
              </w:rPr>
              <w:t>1060.229</w:t>
            </w:r>
          </w:p>
        </w:tc>
        <w:tc>
          <w:tcPr>
            <w:tcW w:w="6558" w:type="dxa"/>
          </w:tcPr>
          <w:p w14:paraId="149B67C8" w14:textId="77777777" w:rsidR="002542EC" w:rsidRDefault="002542EC" w:rsidP="002542EC">
            <w:pPr>
              <w:jc w:val="left"/>
            </w:pPr>
            <w:r>
              <w:rPr>
                <w:b/>
              </w:rPr>
              <w:t>Total fair value of assets and services received free of charge or for nominal consideration</w:t>
            </w:r>
          </w:p>
        </w:tc>
        <w:tc>
          <w:tcPr>
            <w:tcW w:w="866" w:type="dxa"/>
            <w:vAlign w:val="center"/>
          </w:tcPr>
          <w:p w14:paraId="28E92D03" w14:textId="690BCD26" w:rsidR="002542EC" w:rsidRDefault="002542EC" w:rsidP="002542EC">
            <w:r>
              <w:rPr>
                <w:rFonts w:ascii="Arial" w:hAnsi="Arial" w:cs="Arial"/>
                <w:b/>
                <w:bCs/>
                <w:color w:val="000000"/>
                <w:szCs w:val="16"/>
              </w:rPr>
              <w:t>1</w:t>
            </w:r>
            <w:r w:rsidR="003E3065">
              <w:rPr>
                <w:rFonts w:ascii="Arial" w:hAnsi="Arial" w:cs="Arial" w:hint="eastAsia"/>
                <w:b/>
                <w:bCs/>
                <w:color w:val="000000"/>
                <w:szCs w:val="16"/>
                <w:lang w:eastAsia="zh-CN"/>
              </w:rPr>
              <w:t xml:space="preserve"> </w:t>
            </w:r>
            <w:r>
              <w:rPr>
                <w:rFonts w:ascii="Arial" w:hAnsi="Arial" w:cs="Arial"/>
                <w:b/>
                <w:bCs/>
                <w:color w:val="000000"/>
                <w:szCs w:val="16"/>
              </w:rPr>
              <w:t>589</w:t>
            </w:r>
          </w:p>
        </w:tc>
        <w:tc>
          <w:tcPr>
            <w:tcW w:w="866" w:type="dxa"/>
            <w:vAlign w:val="center"/>
          </w:tcPr>
          <w:p w14:paraId="14709F43" w14:textId="04CA2132" w:rsidR="002542EC" w:rsidRDefault="002542EC" w:rsidP="002542EC">
            <w:r>
              <w:rPr>
                <w:rFonts w:ascii="Arial" w:hAnsi="Arial" w:cs="Arial"/>
                <w:b/>
                <w:bCs/>
                <w:color w:val="000000"/>
                <w:szCs w:val="16"/>
              </w:rPr>
              <w:t>1</w:t>
            </w:r>
            <w:r w:rsidR="003E3065">
              <w:rPr>
                <w:rFonts w:ascii="Arial" w:hAnsi="Arial" w:cs="Arial" w:hint="eastAsia"/>
                <w:b/>
                <w:bCs/>
                <w:color w:val="000000"/>
                <w:szCs w:val="16"/>
                <w:lang w:eastAsia="zh-CN"/>
              </w:rPr>
              <w:t xml:space="preserve"> </w:t>
            </w:r>
            <w:r>
              <w:rPr>
                <w:rFonts w:ascii="Arial" w:hAnsi="Arial" w:cs="Arial"/>
                <w:b/>
                <w:bCs/>
                <w:color w:val="000000"/>
                <w:szCs w:val="16"/>
              </w:rPr>
              <w:t>708</w:t>
            </w:r>
          </w:p>
        </w:tc>
      </w:tr>
    </w:tbl>
    <w:p w14:paraId="60F21071" w14:textId="6707988F" w:rsidR="003719CD" w:rsidRDefault="003719CD" w:rsidP="00DC39DE">
      <w:r>
        <w:t xml:space="preserve">Contributions of resources provided free of charge or for nominal consideration are recognised at their fair value when </w:t>
      </w:r>
      <w:r w:rsidR="00361380">
        <w:t xml:space="preserve">TV </w:t>
      </w:r>
      <w:r>
        <w:t xml:space="preserve">obtains control over the resources, irrespective of whether restrictions or conditions are imposed over the use of the contributions. </w:t>
      </w:r>
    </w:p>
    <w:p w14:paraId="61680442" w14:textId="77777777" w:rsidR="003719CD" w:rsidRDefault="003719CD" w:rsidP="00BB40F7">
      <w:pPr>
        <w:pStyle w:val="Heading3numbered"/>
      </w:pPr>
      <w:bookmarkStart w:id="621" w:name="_Toc179805751"/>
      <w:bookmarkStart w:id="622" w:name="_Toc179811395"/>
      <w:bookmarkStart w:id="623" w:name="_Toc179817095"/>
      <w:bookmarkStart w:id="624" w:name="_Toc179822795"/>
      <w:bookmarkStart w:id="625" w:name="_Toc179828480"/>
      <w:bookmarkStart w:id="626" w:name="_Toc179860010"/>
      <w:bookmarkStart w:id="627" w:name="_Toc179805752"/>
      <w:bookmarkStart w:id="628" w:name="_Toc179811396"/>
      <w:bookmarkStart w:id="629" w:name="_Toc179817096"/>
      <w:bookmarkStart w:id="630" w:name="_Toc179822796"/>
      <w:bookmarkStart w:id="631" w:name="_Toc179828481"/>
      <w:bookmarkStart w:id="632" w:name="_Toc179860011"/>
      <w:bookmarkStart w:id="633" w:name="_Toc179811397"/>
      <w:bookmarkStart w:id="634" w:name="_Toc179817097"/>
      <w:bookmarkStart w:id="635" w:name="_Toc179822797"/>
      <w:bookmarkStart w:id="636" w:name="_Toc179828482"/>
      <w:bookmarkStart w:id="637" w:name="_Toc179860012"/>
      <w:bookmarkEnd w:id="621"/>
      <w:bookmarkEnd w:id="622"/>
      <w:bookmarkEnd w:id="623"/>
      <w:bookmarkEnd w:id="624"/>
      <w:bookmarkEnd w:id="625"/>
      <w:bookmarkEnd w:id="626"/>
      <w:bookmarkEnd w:id="627"/>
      <w:bookmarkEnd w:id="628"/>
      <w:bookmarkEnd w:id="629"/>
      <w:bookmarkEnd w:id="630"/>
      <w:bookmarkEnd w:id="631"/>
      <w:bookmarkEnd w:id="632"/>
      <w:r>
        <w:t>Other income</w:t>
      </w:r>
      <w:bookmarkEnd w:id="633"/>
      <w:bookmarkEnd w:id="634"/>
      <w:bookmarkEnd w:id="635"/>
      <w:bookmarkEnd w:id="636"/>
      <w:bookmarkEnd w:id="637"/>
    </w:p>
    <w:p w14:paraId="6E783F00" w14:textId="77777777" w:rsidR="003719CD" w:rsidRDefault="003719CD" w:rsidP="007D536F">
      <w:pPr>
        <w:pStyle w:val="TableUnits"/>
      </w:pPr>
      <w:r>
        <w:t>($ thousand)</w:t>
      </w:r>
    </w:p>
    <w:tbl>
      <w:tblPr>
        <w:tblStyle w:val="DTFTable"/>
        <w:tblW w:w="9639" w:type="dxa"/>
        <w:tblLayout w:type="fixed"/>
        <w:tblLook w:val="0620" w:firstRow="1" w:lastRow="0" w:firstColumn="0" w:lastColumn="0" w:noHBand="1" w:noVBand="1"/>
      </w:tblPr>
      <w:tblGrid>
        <w:gridCol w:w="1349"/>
        <w:gridCol w:w="6558"/>
        <w:gridCol w:w="866"/>
        <w:gridCol w:w="866"/>
      </w:tblGrid>
      <w:tr w:rsidR="00182709" w14:paraId="4413CEBE" w14:textId="77777777" w:rsidTr="002A0038">
        <w:trPr>
          <w:cnfStyle w:val="100000000000" w:firstRow="1" w:lastRow="0" w:firstColumn="0" w:lastColumn="0" w:oddVBand="0" w:evenVBand="0" w:oddHBand="0" w:evenHBand="0" w:firstRowFirstColumn="0" w:firstRowLastColumn="0" w:lastRowFirstColumn="0" w:lastRowLastColumn="0"/>
          <w:tblHeader/>
        </w:trPr>
        <w:tc>
          <w:tcPr>
            <w:tcW w:w="1349" w:type="dxa"/>
            <w:tcBorders>
              <w:top w:val="nil"/>
              <w:bottom w:val="nil"/>
            </w:tcBorders>
            <w:shd w:val="clear" w:color="auto" w:fill="FFFFFF" w:themeFill="background1"/>
          </w:tcPr>
          <w:p w14:paraId="28DEBA79" w14:textId="77777777" w:rsidR="00182709" w:rsidRDefault="0044097C">
            <w:pPr>
              <w:keepNext/>
              <w:jc w:val="left"/>
            </w:pPr>
            <w:r>
              <w:rPr>
                <w:color w:val="4472C4"/>
                <w:sz w:val="13"/>
              </w:rPr>
              <w:t>Source reference</w:t>
            </w:r>
          </w:p>
        </w:tc>
        <w:tc>
          <w:tcPr>
            <w:tcW w:w="6558" w:type="dxa"/>
          </w:tcPr>
          <w:p w14:paraId="03A48735" w14:textId="77777777" w:rsidR="00182709" w:rsidRDefault="00182709">
            <w:pPr>
              <w:keepNext/>
              <w:jc w:val="left"/>
            </w:pPr>
          </w:p>
        </w:tc>
        <w:tc>
          <w:tcPr>
            <w:tcW w:w="866" w:type="dxa"/>
          </w:tcPr>
          <w:p w14:paraId="59E3A829" w14:textId="77777777" w:rsidR="00182709" w:rsidRDefault="0044097C">
            <w:pPr>
              <w:keepNext/>
            </w:pPr>
            <w:r>
              <w:t>20X2</w:t>
            </w:r>
          </w:p>
        </w:tc>
        <w:tc>
          <w:tcPr>
            <w:tcW w:w="866" w:type="dxa"/>
          </w:tcPr>
          <w:p w14:paraId="0DB717AC" w14:textId="77777777" w:rsidR="00182709" w:rsidRDefault="0044097C">
            <w:pPr>
              <w:keepNext/>
            </w:pPr>
            <w:r>
              <w:t>20X1</w:t>
            </w:r>
          </w:p>
        </w:tc>
      </w:tr>
      <w:tr w:rsidR="00321990" w14:paraId="7CE6383C" w14:textId="77777777" w:rsidTr="002A0038">
        <w:tc>
          <w:tcPr>
            <w:tcW w:w="1349" w:type="dxa"/>
          </w:tcPr>
          <w:p w14:paraId="0D0D5F93" w14:textId="57B9E0B3" w:rsidR="00321990" w:rsidRDefault="0007383E" w:rsidP="00321990">
            <w:pPr>
              <w:jc w:val="left"/>
            </w:pPr>
            <w:r>
              <w:rPr>
                <w:color w:val="4472C4"/>
                <w:sz w:val="13"/>
              </w:rPr>
              <w:t>AASB </w:t>
            </w:r>
            <w:r w:rsidR="00321990">
              <w:rPr>
                <w:color w:val="4472C4"/>
                <w:sz w:val="13"/>
              </w:rPr>
              <w:t>15.104</w:t>
            </w:r>
          </w:p>
        </w:tc>
        <w:tc>
          <w:tcPr>
            <w:tcW w:w="6558" w:type="dxa"/>
          </w:tcPr>
          <w:p w14:paraId="55184F56" w14:textId="77777777" w:rsidR="00321990" w:rsidRDefault="00321990" w:rsidP="00321990">
            <w:pPr>
              <w:jc w:val="left"/>
            </w:pPr>
            <w:r>
              <w:t>Bad debts reversal</w:t>
            </w:r>
          </w:p>
        </w:tc>
        <w:tc>
          <w:tcPr>
            <w:tcW w:w="866" w:type="dxa"/>
            <w:vAlign w:val="center"/>
          </w:tcPr>
          <w:p w14:paraId="20A87448" w14:textId="2CA15066" w:rsidR="00321990" w:rsidRDefault="00321990" w:rsidP="00321990">
            <w:r>
              <w:rPr>
                <w:rFonts w:ascii="Arial" w:hAnsi="Arial" w:cs="Arial"/>
                <w:color w:val="000000"/>
                <w:szCs w:val="16"/>
              </w:rPr>
              <w:t>205</w:t>
            </w:r>
          </w:p>
        </w:tc>
        <w:tc>
          <w:tcPr>
            <w:tcW w:w="866" w:type="dxa"/>
            <w:vAlign w:val="center"/>
          </w:tcPr>
          <w:p w14:paraId="7981A00E" w14:textId="43962149" w:rsidR="00321990" w:rsidRDefault="00321990" w:rsidP="00321990">
            <w:r>
              <w:rPr>
                <w:rFonts w:ascii="Arial" w:hAnsi="Arial" w:cs="Arial"/>
                <w:color w:val="000000"/>
                <w:szCs w:val="16"/>
              </w:rPr>
              <w:t>114</w:t>
            </w:r>
          </w:p>
        </w:tc>
      </w:tr>
      <w:tr w:rsidR="008E1BE8" w14:paraId="15EF08B5" w14:textId="77777777" w:rsidTr="002A0038">
        <w:tc>
          <w:tcPr>
            <w:tcW w:w="1349" w:type="dxa"/>
          </w:tcPr>
          <w:p w14:paraId="47D22C16" w14:textId="18BB0373" w:rsidR="008E1BE8" w:rsidRDefault="0007383E" w:rsidP="008E1BE8">
            <w:pPr>
              <w:jc w:val="left"/>
            </w:pPr>
            <w:r>
              <w:rPr>
                <w:color w:val="4472C4"/>
                <w:sz w:val="13"/>
              </w:rPr>
              <w:t>AASB </w:t>
            </w:r>
            <w:r w:rsidR="008E1BE8">
              <w:rPr>
                <w:color w:val="4472C4"/>
                <w:sz w:val="13"/>
              </w:rPr>
              <w:t>1060.230</w:t>
            </w:r>
          </w:p>
        </w:tc>
        <w:tc>
          <w:tcPr>
            <w:tcW w:w="6558" w:type="dxa"/>
          </w:tcPr>
          <w:p w14:paraId="64F22055" w14:textId="77777777" w:rsidR="008E1BE8" w:rsidRPr="00680F2E" w:rsidRDefault="008E1BE8" w:rsidP="008E1BE8">
            <w:pPr>
              <w:jc w:val="left"/>
            </w:pPr>
            <w:r w:rsidRPr="00680F2E">
              <w:t>Fines &amp; regulatory fees</w:t>
            </w:r>
          </w:p>
        </w:tc>
        <w:tc>
          <w:tcPr>
            <w:tcW w:w="866" w:type="dxa"/>
            <w:vAlign w:val="center"/>
          </w:tcPr>
          <w:p w14:paraId="37CF3CA3" w14:textId="7187CB41" w:rsidR="008E1BE8" w:rsidRPr="00680F2E" w:rsidRDefault="008E1BE8" w:rsidP="008E1BE8">
            <w:r>
              <w:rPr>
                <w:rFonts w:ascii="Arial" w:hAnsi="Arial" w:cs="Arial"/>
                <w:color w:val="000000"/>
                <w:szCs w:val="16"/>
              </w:rPr>
              <w:t>2</w:t>
            </w:r>
            <w:r w:rsidR="003E3065">
              <w:rPr>
                <w:rFonts w:ascii="Arial" w:hAnsi="Arial" w:cs="Arial" w:hint="eastAsia"/>
                <w:color w:val="000000"/>
                <w:szCs w:val="16"/>
                <w:lang w:eastAsia="zh-CN"/>
              </w:rPr>
              <w:t xml:space="preserve"> </w:t>
            </w:r>
            <w:r>
              <w:rPr>
                <w:rFonts w:ascii="Arial" w:hAnsi="Arial" w:cs="Arial"/>
                <w:color w:val="000000"/>
                <w:szCs w:val="16"/>
              </w:rPr>
              <w:t>735</w:t>
            </w:r>
          </w:p>
        </w:tc>
        <w:tc>
          <w:tcPr>
            <w:tcW w:w="866" w:type="dxa"/>
            <w:vAlign w:val="center"/>
          </w:tcPr>
          <w:p w14:paraId="2456184D" w14:textId="018D5F5F" w:rsidR="008E1BE8" w:rsidRPr="00680F2E" w:rsidRDefault="008E1BE8" w:rsidP="008E1BE8">
            <w:r>
              <w:rPr>
                <w:rFonts w:ascii="Arial" w:hAnsi="Arial" w:cs="Arial"/>
                <w:color w:val="000000"/>
                <w:szCs w:val="16"/>
              </w:rPr>
              <w:t>3</w:t>
            </w:r>
            <w:r w:rsidR="003E3065">
              <w:rPr>
                <w:rFonts w:ascii="Arial" w:hAnsi="Arial" w:cs="Arial" w:hint="eastAsia"/>
                <w:color w:val="000000"/>
                <w:szCs w:val="16"/>
                <w:lang w:eastAsia="zh-CN"/>
              </w:rPr>
              <w:t xml:space="preserve"> </w:t>
            </w:r>
            <w:r>
              <w:rPr>
                <w:rFonts w:ascii="Arial" w:hAnsi="Arial" w:cs="Arial"/>
                <w:color w:val="000000"/>
                <w:szCs w:val="16"/>
              </w:rPr>
              <w:t>220</w:t>
            </w:r>
          </w:p>
        </w:tc>
      </w:tr>
      <w:tr w:rsidR="008E1BE8" w14:paraId="5DA8CF6C" w14:textId="77777777" w:rsidTr="002A0038">
        <w:tc>
          <w:tcPr>
            <w:tcW w:w="1349" w:type="dxa"/>
          </w:tcPr>
          <w:p w14:paraId="0E2DCD37" w14:textId="77777777" w:rsidR="008E1BE8" w:rsidRDefault="008E1BE8" w:rsidP="008E1BE8">
            <w:pPr>
              <w:jc w:val="left"/>
            </w:pPr>
          </w:p>
        </w:tc>
        <w:tc>
          <w:tcPr>
            <w:tcW w:w="6558" w:type="dxa"/>
          </w:tcPr>
          <w:p w14:paraId="0E267912" w14:textId="77777777" w:rsidR="008E1BE8" w:rsidRDefault="008E1BE8" w:rsidP="008E1BE8">
            <w:pPr>
              <w:jc w:val="left"/>
            </w:pPr>
            <w:r>
              <w:t>Other miscellaneous income</w:t>
            </w:r>
          </w:p>
        </w:tc>
        <w:tc>
          <w:tcPr>
            <w:tcW w:w="866" w:type="dxa"/>
            <w:vAlign w:val="center"/>
          </w:tcPr>
          <w:p w14:paraId="74FF62F4" w14:textId="27908293" w:rsidR="008E1BE8" w:rsidRDefault="008E1BE8" w:rsidP="008E1BE8">
            <w:r>
              <w:rPr>
                <w:rFonts w:ascii="Arial" w:hAnsi="Arial" w:cs="Arial"/>
                <w:color w:val="000000"/>
                <w:szCs w:val="16"/>
              </w:rPr>
              <w:t>273</w:t>
            </w:r>
          </w:p>
        </w:tc>
        <w:tc>
          <w:tcPr>
            <w:tcW w:w="866" w:type="dxa"/>
            <w:vAlign w:val="center"/>
          </w:tcPr>
          <w:p w14:paraId="04842C6C" w14:textId="6DEE0AAE" w:rsidR="008E1BE8" w:rsidRDefault="008E1BE8" w:rsidP="008E1BE8">
            <w:r>
              <w:rPr>
                <w:rFonts w:ascii="Arial" w:hAnsi="Arial" w:cs="Arial"/>
                <w:color w:val="000000"/>
                <w:szCs w:val="16"/>
              </w:rPr>
              <w:t>492</w:t>
            </w:r>
          </w:p>
        </w:tc>
      </w:tr>
      <w:tr w:rsidR="0086535B" w14:paraId="5AC2360D" w14:textId="77777777" w:rsidTr="002A0038">
        <w:tc>
          <w:tcPr>
            <w:tcW w:w="1349" w:type="dxa"/>
            <w:tcBorders>
              <w:bottom w:val="nil"/>
            </w:tcBorders>
          </w:tcPr>
          <w:p w14:paraId="2E498883" w14:textId="77777777" w:rsidR="0086535B" w:rsidRDefault="0086535B" w:rsidP="0086535B">
            <w:pPr>
              <w:jc w:val="left"/>
            </w:pPr>
          </w:p>
        </w:tc>
        <w:tc>
          <w:tcPr>
            <w:tcW w:w="6558" w:type="dxa"/>
          </w:tcPr>
          <w:p w14:paraId="5606E706" w14:textId="77777777" w:rsidR="0086535B" w:rsidRDefault="0086535B" w:rsidP="0086535B">
            <w:pPr>
              <w:jc w:val="left"/>
            </w:pPr>
            <w:r>
              <w:rPr>
                <w:b/>
              </w:rPr>
              <w:t>Total other income</w:t>
            </w:r>
          </w:p>
        </w:tc>
        <w:tc>
          <w:tcPr>
            <w:tcW w:w="866" w:type="dxa"/>
            <w:vAlign w:val="center"/>
          </w:tcPr>
          <w:p w14:paraId="61D9BE6C" w14:textId="601CB347" w:rsidR="0086535B" w:rsidRDefault="0086535B" w:rsidP="0086535B">
            <w:r>
              <w:rPr>
                <w:rFonts w:ascii="Arial" w:hAnsi="Arial" w:cs="Arial"/>
                <w:b/>
                <w:bCs/>
                <w:color w:val="000000"/>
                <w:szCs w:val="16"/>
              </w:rPr>
              <w:t>3</w:t>
            </w:r>
            <w:r w:rsidR="003E3065">
              <w:rPr>
                <w:rFonts w:ascii="Arial" w:hAnsi="Arial" w:cs="Arial" w:hint="eastAsia"/>
                <w:b/>
                <w:bCs/>
                <w:color w:val="000000"/>
                <w:szCs w:val="16"/>
                <w:lang w:eastAsia="zh-CN"/>
              </w:rPr>
              <w:t xml:space="preserve"> </w:t>
            </w:r>
            <w:r>
              <w:rPr>
                <w:rFonts w:ascii="Arial" w:hAnsi="Arial" w:cs="Arial"/>
                <w:b/>
                <w:bCs/>
                <w:color w:val="000000"/>
                <w:szCs w:val="16"/>
              </w:rPr>
              <w:t>213</w:t>
            </w:r>
          </w:p>
        </w:tc>
        <w:tc>
          <w:tcPr>
            <w:tcW w:w="866" w:type="dxa"/>
            <w:vAlign w:val="center"/>
          </w:tcPr>
          <w:p w14:paraId="796B2EFD" w14:textId="481688FA" w:rsidR="0086535B" w:rsidRDefault="0086535B" w:rsidP="0086535B">
            <w:r>
              <w:rPr>
                <w:rFonts w:ascii="Arial" w:hAnsi="Arial" w:cs="Arial"/>
                <w:b/>
                <w:bCs/>
                <w:color w:val="000000"/>
                <w:szCs w:val="16"/>
              </w:rPr>
              <w:t>3</w:t>
            </w:r>
            <w:r w:rsidR="003E3065">
              <w:rPr>
                <w:rFonts w:ascii="Arial" w:hAnsi="Arial" w:cs="Arial" w:hint="eastAsia"/>
                <w:b/>
                <w:bCs/>
                <w:color w:val="000000"/>
                <w:szCs w:val="16"/>
                <w:lang w:eastAsia="zh-CN"/>
              </w:rPr>
              <w:t xml:space="preserve"> </w:t>
            </w:r>
            <w:r>
              <w:rPr>
                <w:rFonts w:ascii="Arial" w:hAnsi="Arial" w:cs="Arial"/>
                <w:b/>
                <w:bCs/>
                <w:color w:val="000000"/>
                <w:szCs w:val="16"/>
              </w:rPr>
              <w:t>826</w:t>
            </w:r>
          </w:p>
        </w:tc>
      </w:tr>
    </w:tbl>
    <w:p w14:paraId="08D34E81" w14:textId="77777777" w:rsidR="000A2AE5" w:rsidRDefault="003719CD">
      <w:bookmarkStart w:id="638" w:name="_Hlk63930580"/>
      <w:r w:rsidRPr="00680F2E">
        <w:rPr>
          <w:b/>
        </w:rPr>
        <w:t xml:space="preserve">Fines and regulatory fees </w:t>
      </w:r>
      <w:r w:rsidRPr="00680F2E">
        <w:t xml:space="preserve">are recognised when an invoice is issued, which establishes the entitlement to </w:t>
      </w:r>
      <w:r w:rsidR="0038221F">
        <w:t xml:space="preserve">the </w:t>
      </w:r>
      <w:r w:rsidRPr="00680F2E">
        <w:t>payment.</w:t>
      </w:r>
    </w:p>
    <w:p w14:paraId="743974B3" w14:textId="3C07D9A8" w:rsidR="003719CD" w:rsidRDefault="003719CD" w:rsidP="007D536F">
      <w:pPr>
        <w:pStyle w:val="GuidanceBlockHeading"/>
      </w:pPr>
      <w:bookmarkStart w:id="639" w:name="_Toc179811398"/>
      <w:bookmarkStart w:id="640" w:name="_Toc179817098"/>
      <w:bookmarkStart w:id="641" w:name="_Toc179822798"/>
      <w:bookmarkEnd w:id="638"/>
      <w:r>
        <w:t>Guidance – Income from transactions</w:t>
      </w:r>
      <w:bookmarkEnd w:id="639"/>
      <w:bookmarkEnd w:id="640"/>
      <w:bookmarkEnd w:id="641"/>
    </w:p>
    <w:p w14:paraId="62774F22" w14:textId="04BA3D7A" w:rsidR="00E207D2" w:rsidRPr="00741878" w:rsidRDefault="00E207D2" w:rsidP="002A0038">
      <w:pPr>
        <w:pStyle w:val="GuidanceHeading"/>
        <w:spacing w:before="120" w:after="0"/>
        <w:rPr>
          <w:rStyle w:val="Guidance"/>
        </w:rPr>
      </w:pPr>
      <w:r>
        <w:rPr>
          <w:rStyle w:val="Guidance"/>
        </w:rPr>
        <w:t xml:space="preserve">General disclosure of </w:t>
      </w:r>
      <w:r w:rsidR="0038221F">
        <w:rPr>
          <w:rStyle w:val="Guidance"/>
        </w:rPr>
        <w:t>revenue</w:t>
      </w:r>
    </w:p>
    <w:p w14:paraId="2085722F" w14:textId="25B885BC" w:rsidR="00743586" w:rsidRPr="00743586" w:rsidRDefault="00743586" w:rsidP="002A0038">
      <w:pPr>
        <w:spacing w:before="120" w:after="0"/>
        <w:rPr>
          <w:color w:val="4472C4" w:themeColor="accent1"/>
        </w:rPr>
      </w:pPr>
      <w:r w:rsidRPr="00743586">
        <w:rPr>
          <w:color w:val="4472C4" w:themeColor="accent1"/>
        </w:rPr>
        <w:t>An entity shall disclose:</w:t>
      </w:r>
    </w:p>
    <w:p w14:paraId="3DB02B2F" w14:textId="118CD969" w:rsidR="00743586" w:rsidRPr="003D483D" w:rsidRDefault="00743586" w:rsidP="002A0038">
      <w:pPr>
        <w:pStyle w:val="ListParagraph"/>
        <w:numPr>
          <w:ilvl w:val="0"/>
          <w:numId w:val="324"/>
        </w:numPr>
        <w:spacing w:before="40" w:line="264" w:lineRule="auto"/>
        <w:ind w:left="357" w:hanging="357"/>
        <w:rPr>
          <w:color w:val="4472C4" w:themeColor="accent1"/>
        </w:rPr>
      </w:pPr>
      <w:r w:rsidRPr="003D483D">
        <w:rPr>
          <w:color w:val="4472C4" w:themeColor="accent1"/>
        </w:rPr>
        <w:t>information about its performance obligations in contracts with customers, including a description of when the entity typically satisfies its performance obligations, the significant payment terms, the nature of the goods or services that the entity has promised to transfer, obligations for returns, refunds and other similar obligations and types of warranties and related obligations; and</w:t>
      </w:r>
    </w:p>
    <w:p w14:paraId="55596889" w14:textId="7E04F4C4" w:rsidR="00743586" w:rsidRPr="00741878" w:rsidRDefault="00743586" w:rsidP="002A0038">
      <w:pPr>
        <w:pStyle w:val="ListParagraph"/>
        <w:numPr>
          <w:ilvl w:val="0"/>
          <w:numId w:val="324"/>
        </w:numPr>
        <w:spacing w:before="40" w:line="264" w:lineRule="auto"/>
        <w:ind w:left="357" w:hanging="357"/>
        <w:rPr>
          <w:rStyle w:val="Guidance"/>
        </w:rPr>
      </w:pPr>
      <w:r w:rsidRPr="003D483D">
        <w:rPr>
          <w:color w:val="4472C4" w:themeColor="accent1"/>
        </w:rPr>
        <w:t xml:space="preserve">the amount of each category of revenue recognised during the period, disaggregated into categories that depict how the nature, amount, timing and uncertainty of revenue and cash flows are affected by economic factors. An entity applies the guidance in </w:t>
      </w:r>
      <w:r w:rsidR="0007383E">
        <w:rPr>
          <w:color w:val="4472C4" w:themeColor="accent1"/>
        </w:rPr>
        <w:t>AASB </w:t>
      </w:r>
      <w:r w:rsidRPr="003D483D">
        <w:rPr>
          <w:color w:val="4472C4" w:themeColor="accent1"/>
        </w:rPr>
        <w:t xml:space="preserve">15 </w:t>
      </w:r>
      <w:r w:rsidRPr="003D483D">
        <w:rPr>
          <w:i/>
          <w:color w:val="4472C4" w:themeColor="accent1"/>
        </w:rPr>
        <w:t>Revenue from Contracts with</w:t>
      </w:r>
      <w:r w:rsidRPr="003D483D">
        <w:rPr>
          <w:color w:val="4472C4" w:themeColor="accent1"/>
        </w:rPr>
        <w:t xml:space="preserve"> </w:t>
      </w:r>
      <w:r w:rsidRPr="003D483D">
        <w:rPr>
          <w:i/>
          <w:color w:val="4472C4" w:themeColor="accent1"/>
        </w:rPr>
        <w:t xml:space="preserve">Customers </w:t>
      </w:r>
      <w:r w:rsidRPr="003D483D">
        <w:rPr>
          <w:color w:val="4472C4" w:themeColor="accent1"/>
        </w:rPr>
        <w:t>paragraphs B87–B89 when selecting the categories to use to disaggregate revenue.</w:t>
      </w:r>
      <w:r w:rsidR="001643E8">
        <w:rPr>
          <w:rFonts w:hint="eastAsia"/>
          <w:color w:val="4472C4" w:themeColor="accent1"/>
        </w:rPr>
        <w:t xml:space="preserve"> </w:t>
      </w:r>
      <w:r w:rsidR="001643E8" w:rsidRPr="00AA3FAE">
        <w:rPr>
          <w:rStyle w:val="Reference"/>
        </w:rPr>
        <w:t>[</w:t>
      </w:r>
      <w:r w:rsidR="0007383E">
        <w:rPr>
          <w:rStyle w:val="Reference"/>
        </w:rPr>
        <w:t>AASB </w:t>
      </w:r>
      <w:r w:rsidR="001643E8" w:rsidRPr="00AA3FAE">
        <w:rPr>
          <w:rStyle w:val="Reference"/>
        </w:rPr>
        <w:t>1</w:t>
      </w:r>
      <w:r w:rsidR="001643E8">
        <w:rPr>
          <w:rStyle w:val="Reference"/>
        </w:rPr>
        <w:t>060.157</w:t>
      </w:r>
      <w:r w:rsidR="001643E8" w:rsidRPr="00AA3FAE">
        <w:rPr>
          <w:rStyle w:val="Reference"/>
        </w:rPr>
        <w:t>]</w:t>
      </w:r>
    </w:p>
    <w:p w14:paraId="1C941911" w14:textId="49A5EE54" w:rsidR="00B620C9" w:rsidRPr="00B620C9" w:rsidRDefault="00282CAD" w:rsidP="002A0038">
      <w:pPr>
        <w:pStyle w:val="GuidanceHeading"/>
        <w:spacing w:before="120" w:after="0"/>
        <w:rPr>
          <w:rStyle w:val="Guidance"/>
        </w:rPr>
      </w:pPr>
      <w:r w:rsidRPr="00B620C9">
        <w:rPr>
          <w:rStyle w:val="Guidance"/>
        </w:rPr>
        <w:t>Disclosures relating to performance obligations satisfied over time</w:t>
      </w:r>
    </w:p>
    <w:p w14:paraId="7950F850" w14:textId="687A6BC6" w:rsidR="006C4F60" w:rsidRDefault="009134BB" w:rsidP="006C4F60">
      <w:pPr>
        <w:pStyle w:val="ListBullet"/>
        <w:numPr>
          <w:ilvl w:val="0"/>
          <w:numId w:val="0"/>
        </w:numPr>
        <w:spacing w:before="120" w:after="0"/>
        <w:rPr>
          <w:rStyle w:val="Reference"/>
        </w:rPr>
      </w:pPr>
      <w:r w:rsidRPr="009134BB">
        <w:rPr>
          <w:color w:val="4472C4" w:themeColor="accent1"/>
        </w:rPr>
        <w:t>For performance obligations that an entity satisfies over time, an entity shall disclose the methods used to</w:t>
      </w:r>
      <w:r>
        <w:rPr>
          <w:color w:val="4472C4" w:themeColor="accent1"/>
        </w:rPr>
        <w:t xml:space="preserve"> </w:t>
      </w:r>
      <w:r w:rsidRPr="009134BB">
        <w:rPr>
          <w:color w:val="4472C4" w:themeColor="accent1"/>
        </w:rPr>
        <w:t>recognise revenue (for example, a description of the output methods or input methods used and how those</w:t>
      </w:r>
      <w:r>
        <w:rPr>
          <w:color w:val="4472C4" w:themeColor="accent1"/>
        </w:rPr>
        <w:t xml:space="preserve"> </w:t>
      </w:r>
      <w:r w:rsidRPr="009134BB">
        <w:rPr>
          <w:color w:val="4472C4" w:themeColor="accent1"/>
        </w:rPr>
        <w:t>methods are applied).</w:t>
      </w:r>
      <w:r w:rsidR="004A4F65">
        <w:rPr>
          <w:rFonts w:hint="eastAsia"/>
          <w:color w:val="4472C4" w:themeColor="accent1"/>
          <w:lang w:eastAsia="zh-CN"/>
        </w:rPr>
        <w:t xml:space="preserve"> </w:t>
      </w:r>
      <w:r w:rsidRPr="00AA3FAE">
        <w:rPr>
          <w:rStyle w:val="Reference"/>
        </w:rPr>
        <w:t>[</w:t>
      </w:r>
      <w:r w:rsidR="0007383E">
        <w:rPr>
          <w:rStyle w:val="Reference"/>
        </w:rPr>
        <w:t>AASB </w:t>
      </w:r>
      <w:r w:rsidRPr="00AA3FAE">
        <w:rPr>
          <w:rStyle w:val="Reference"/>
        </w:rPr>
        <w:t>1</w:t>
      </w:r>
      <w:r>
        <w:rPr>
          <w:rStyle w:val="Reference"/>
        </w:rPr>
        <w:t>060.158</w:t>
      </w:r>
      <w:r w:rsidRPr="00AA3FAE">
        <w:rPr>
          <w:rStyle w:val="Reference"/>
        </w:rPr>
        <w:t>]</w:t>
      </w:r>
    </w:p>
    <w:p w14:paraId="4D635B52" w14:textId="07C547C0" w:rsidR="00282CAD" w:rsidRPr="00741878" w:rsidRDefault="009134BB" w:rsidP="002A0038">
      <w:pPr>
        <w:pStyle w:val="ListBullet"/>
        <w:numPr>
          <w:ilvl w:val="0"/>
          <w:numId w:val="0"/>
        </w:numPr>
        <w:spacing w:before="120" w:after="0"/>
        <w:rPr>
          <w:rStyle w:val="Guidance"/>
        </w:rPr>
      </w:pPr>
      <w:r w:rsidRPr="002A0038">
        <w:rPr>
          <w:rStyle w:val="Guidance"/>
        </w:rPr>
        <w:t>An entity shall disclose the closing balances of contract assets and contract liabilities from contracts with</w:t>
      </w:r>
      <w:r>
        <w:rPr>
          <w:rStyle w:val="Guidance"/>
        </w:rPr>
        <w:t xml:space="preserve"> </w:t>
      </w:r>
      <w:r w:rsidRPr="002A0038">
        <w:rPr>
          <w:rStyle w:val="Guidance"/>
        </w:rPr>
        <w:t>customers, if not otherwise separately presented or disclosed.</w:t>
      </w:r>
      <w:r w:rsidR="004A4F65">
        <w:rPr>
          <w:rStyle w:val="Guidance"/>
          <w:rFonts w:hint="eastAsia"/>
          <w:lang w:eastAsia="zh-CN"/>
        </w:rPr>
        <w:t xml:space="preserve"> </w:t>
      </w:r>
      <w:r w:rsidRPr="00AA3FAE">
        <w:rPr>
          <w:rStyle w:val="Reference"/>
        </w:rPr>
        <w:t>[</w:t>
      </w:r>
      <w:r w:rsidR="0007383E">
        <w:rPr>
          <w:rStyle w:val="Reference"/>
        </w:rPr>
        <w:t>AASB </w:t>
      </w:r>
      <w:r w:rsidRPr="00AA3FAE">
        <w:rPr>
          <w:rStyle w:val="Reference"/>
        </w:rPr>
        <w:t>1</w:t>
      </w:r>
      <w:r>
        <w:rPr>
          <w:rStyle w:val="Reference"/>
        </w:rPr>
        <w:t>060.159</w:t>
      </w:r>
      <w:r w:rsidRPr="00AA3FAE">
        <w:rPr>
          <w:rStyle w:val="Reference"/>
        </w:rPr>
        <w:t>]</w:t>
      </w:r>
      <w:r>
        <w:rPr>
          <w:rStyle w:val="Reference"/>
        </w:rPr>
        <w:t xml:space="preserve">  </w:t>
      </w:r>
    </w:p>
    <w:p w14:paraId="7B501A65" w14:textId="29748E67" w:rsidR="00330A68" w:rsidRDefault="00330A68" w:rsidP="002A0038">
      <w:pPr>
        <w:pStyle w:val="GuidanceHeading"/>
        <w:spacing w:before="120" w:after="0"/>
        <w:rPr>
          <w:rStyle w:val="Guidance"/>
        </w:rPr>
      </w:pPr>
      <w:r>
        <w:rPr>
          <w:rStyle w:val="Guidance"/>
        </w:rPr>
        <w:t>Income of no</w:t>
      </w:r>
      <w:r w:rsidR="00076DDD">
        <w:rPr>
          <w:rStyle w:val="Guidance"/>
        </w:rPr>
        <w:t>t</w:t>
      </w:r>
      <w:r>
        <w:rPr>
          <w:rStyle w:val="Guidance"/>
        </w:rPr>
        <w:t>-for-profit entities</w:t>
      </w:r>
    </w:p>
    <w:p w14:paraId="6DB3887B" w14:textId="59ED90EC" w:rsidR="00330A68" w:rsidRPr="00741878" w:rsidRDefault="005C699B" w:rsidP="002A0038">
      <w:pPr>
        <w:spacing w:before="120" w:after="0"/>
        <w:rPr>
          <w:rStyle w:val="Guidance"/>
        </w:rPr>
      </w:pPr>
      <w:r w:rsidRPr="005C699B">
        <w:rPr>
          <w:color w:val="4472C4" w:themeColor="accent1"/>
        </w:rPr>
        <w:t>The objective of the disclosure requirements is for an entity to disclose sufficient information to enable users</w:t>
      </w:r>
      <w:r>
        <w:rPr>
          <w:color w:val="4472C4" w:themeColor="accent1"/>
        </w:rPr>
        <w:t xml:space="preserve"> </w:t>
      </w:r>
      <w:r w:rsidRPr="005C699B">
        <w:rPr>
          <w:color w:val="4472C4" w:themeColor="accent1"/>
        </w:rPr>
        <w:t>of financial statements to understand the effects of volunteer services and other transactions where an entity</w:t>
      </w:r>
      <w:r>
        <w:rPr>
          <w:color w:val="4472C4" w:themeColor="accent1"/>
        </w:rPr>
        <w:t xml:space="preserve"> </w:t>
      </w:r>
      <w:r w:rsidRPr="005C699B">
        <w:rPr>
          <w:color w:val="4472C4" w:themeColor="accent1"/>
        </w:rPr>
        <w:t>acquires an asset for consideration that is significantly less than fair value principally to enable the entity to</w:t>
      </w:r>
      <w:r>
        <w:rPr>
          <w:color w:val="4472C4" w:themeColor="accent1"/>
        </w:rPr>
        <w:t xml:space="preserve"> </w:t>
      </w:r>
      <w:r w:rsidRPr="005C699B">
        <w:rPr>
          <w:color w:val="4472C4" w:themeColor="accent1"/>
        </w:rPr>
        <w:t>further its objectives on the financial position, financial performance and cash flows of the entity.</w:t>
      </w:r>
      <w:r w:rsidRPr="005C699B">
        <w:rPr>
          <w:rStyle w:val="Reference"/>
        </w:rPr>
        <w:t xml:space="preserve"> </w:t>
      </w:r>
      <w:r w:rsidRPr="00AA3FAE">
        <w:rPr>
          <w:rStyle w:val="Reference"/>
        </w:rPr>
        <w:t>[</w:t>
      </w:r>
      <w:r w:rsidR="0007383E">
        <w:rPr>
          <w:rStyle w:val="Reference"/>
        </w:rPr>
        <w:t>AASB </w:t>
      </w:r>
      <w:r w:rsidRPr="00AA3FAE">
        <w:rPr>
          <w:rStyle w:val="Reference"/>
        </w:rPr>
        <w:t>1</w:t>
      </w:r>
      <w:r>
        <w:rPr>
          <w:rStyle w:val="Reference"/>
        </w:rPr>
        <w:t>060.226</w:t>
      </w:r>
      <w:r w:rsidRPr="00AA3FAE">
        <w:rPr>
          <w:rStyle w:val="Reference"/>
        </w:rPr>
        <w:t>]</w:t>
      </w:r>
      <w:r>
        <w:rPr>
          <w:rStyle w:val="Reference"/>
        </w:rPr>
        <w:t xml:space="preserve">  </w:t>
      </w:r>
    </w:p>
    <w:p w14:paraId="6CC709D9" w14:textId="1389F9DC" w:rsidR="00D35451" w:rsidRDefault="008116F9" w:rsidP="002A0038">
      <w:pPr>
        <w:pStyle w:val="ListBullet"/>
        <w:numPr>
          <w:ilvl w:val="0"/>
          <w:numId w:val="0"/>
        </w:numPr>
        <w:spacing w:before="120" w:after="0"/>
        <w:rPr>
          <w:rStyle w:val="Reference"/>
        </w:rPr>
      </w:pPr>
      <w:r w:rsidRPr="008116F9">
        <w:rPr>
          <w:color w:val="4472C4" w:themeColor="accent1"/>
        </w:rPr>
        <w:t>An entity shall consider the level of detail necessary to satisfy the disclosure objective and how much</w:t>
      </w:r>
      <w:r>
        <w:rPr>
          <w:color w:val="4472C4" w:themeColor="accent1"/>
        </w:rPr>
        <w:t xml:space="preserve"> </w:t>
      </w:r>
      <w:r w:rsidRPr="008116F9">
        <w:rPr>
          <w:color w:val="4472C4" w:themeColor="accent1"/>
        </w:rPr>
        <w:t>emphasis to place on each of the various requirements. An entity shall aggregate or disaggregate disclosures</w:t>
      </w:r>
      <w:r>
        <w:rPr>
          <w:color w:val="4472C4" w:themeColor="accent1"/>
        </w:rPr>
        <w:t xml:space="preserve"> </w:t>
      </w:r>
      <w:r w:rsidRPr="008116F9">
        <w:rPr>
          <w:color w:val="4472C4" w:themeColor="accent1"/>
        </w:rPr>
        <w:t>so that useful information is not obscured by either the inclusion of a large amount of insignificant detail or</w:t>
      </w:r>
      <w:r>
        <w:rPr>
          <w:color w:val="4472C4" w:themeColor="accent1"/>
        </w:rPr>
        <w:t xml:space="preserve"> </w:t>
      </w:r>
      <w:r w:rsidRPr="008116F9">
        <w:rPr>
          <w:color w:val="4472C4" w:themeColor="accent1"/>
        </w:rPr>
        <w:t>the aggregation of items that have substantially different characteristics.</w:t>
      </w:r>
      <w:r w:rsidRPr="008116F9">
        <w:rPr>
          <w:rStyle w:val="Reference"/>
        </w:rPr>
        <w:t xml:space="preserve"> </w:t>
      </w:r>
      <w:r w:rsidRPr="00AA3FAE">
        <w:rPr>
          <w:rStyle w:val="Reference"/>
        </w:rPr>
        <w:t>[</w:t>
      </w:r>
      <w:r w:rsidR="0007383E">
        <w:rPr>
          <w:rStyle w:val="Reference"/>
        </w:rPr>
        <w:t>AASB </w:t>
      </w:r>
      <w:r w:rsidRPr="00AA3FAE">
        <w:rPr>
          <w:rStyle w:val="Reference"/>
        </w:rPr>
        <w:t>1</w:t>
      </w:r>
      <w:r>
        <w:rPr>
          <w:rStyle w:val="Reference"/>
        </w:rPr>
        <w:t>060.227</w:t>
      </w:r>
      <w:r w:rsidRPr="00AA3FAE">
        <w:rPr>
          <w:rStyle w:val="Reference"/>
        </w:rPr>
        <w:t>]</w:t>
      </w:r>
      <w:r>
        <w:rPr>
          <w:rStyle w:val="Reference"/>
        </w:rPr>
        <w:t xml:space="preserve">  </w:t>
      </w:r>
    </w:p>
    <w:p w14:paraId="262FB1F7" w14:textId="6517B2F9" w:rsidR="00D35451" w:rsidRPr="00D35451" w:rsidRDefault="00D35451" w:rsidP="00D37D38">
      <w:pPr>
        <w:pStyle w:val="ListBullet"/>
        <w:keepNext/>
        <w:numPr>
          <w:ilvl w:val="0"/>
          <w:numId w:val="0"/>
        </w:numPr>
        <w:spacing w:before="120" w:after="0"/>
        <w:rPr>
          <w:color w:val="4472C4" w:themeColor="accent1"/>
        </w:rPr>
      </w:pPr>
      <w:r w:rsidRPr="00D35451">
        <w:rPr>
          <w:color w:val="4472C4" w:themeColor="accent1"/>
        </w:rPr>
        <w:t>An entity shall disclose income recognised during the period, disaggregated into categories that reflect how</w:t>
      </w:r>
      <w:r>
        <w:rPr>
          <w:color w:val="4472C4" w:themeColor="accent1"/>
        </w:rPr>
        <w:t xml:space="preserve"> </w:t>
      </w:r>
      <w:r w:rsidRPr="00D35451">
        <w:rPr>
          <w:color w:val="4472C4" w:themeColor="accent1"/>
        </w:rPr>
        <w:t>the nature and amount of income (and the resultant cash flows) are affected by economic factors. An entity</w:t>
      </w:r>
      <w:r>
        <w:rPr>
          <w:color w:val="4472C4" w:themeColor="accent1"/>
        </w:rPr>
        <w:t xml:space="preserve"> </w:t>
      </w:r>
      <w:r w:rsidRPr="00D35451">
        <w:rPr>
          <w:color w:val="4472C4" w:themeColor="accent1"/>
        </w:rPr>
        <w:t>considers disclosing separately the following categories of income:</w:t>
      </w:r>
    </w:p>
    <w:p w14:paraId="4A075B6D" w14:textId="7787C0D5" w:rsidR="00D35451" w:rsidRPr="002A0038" w:rsidRDefault="00C969A9" w:rsidP="00D37D38">
      <w:pPr>
        <w:pStyle w:val="ListBullet"/>
        <w:keepNext/>
        <w:numPr>
          <w:ilvl w:val="0"/>
          <w:numId w:val="325"/>
        </w:numPr>
        <w:spacing w:after="0"/>
        <w:ind w:left="357" w:hanging="357"/>
        <w:rPr>
          <w:rStyle w:val="Guidance"/>
        </w:rPr>
      </w:pPr>
      <w:r>
        <w:rPr>
          <w:rStyle w:val="Guidance"/>
        </w:rPr>
        <w:t>G</w:t>
      </w:r>
      <w:r w:rsidR="00D35451" w:rsidRPr="002A0038">
        <w:rPr>
          <w:rStyle w:val="Guidance"/>
        </w:rPr>
        <w:t>rants, bequests and donations of cash, other financial assets and goods</w:t>
      </w:r>
    </w:p>
    <w:p w14:paraId="6EA2CA6E" w14:textId="2DFDAD28" w:rsidR="00B90099" w:rsidRPr="002A0038" w:rsidRDefault="00C969A9" w:rsidP="00D37D38">
      <w:pPr>
        <w:pStyle w:val="ListBullet"/>
        <w:keepNext/>
        <w:numPr>
          <w:ilvl w:val="0"/>
          <w:numId w:val="325"/>
        </w:numPr>
        <w:spacing w:after="0"/>
        <w:ind w:left="357" w:hanging="357"/>
        <w:rPr>
          <w:rStyle w:val="Guidance"/>
        </w:rPr>
      </w:pPr>
      <w:r>
        <w:rPr>
          <w:rStyle w:val="Guidance"/>
        </w:rPr>
        <w:t>R</w:t>
      </w:r>
      <w:r w:rsidR="00B90099" w:rsidRPr="002A0038">
        <w:rPr>
          <w:rStyle w:val="Guidance"/>
        </w:rPr>
        <w:t>ecognised volunteer services</w:t>
      </w:r>
    </w:p>
    <w:p w14:paraId="3D82BD6E" w14:textId="77E8A215" w:rsidR="00D35451" w:rsidRPr="00B90099" w:rsidRDefault="00C969A9" w:rsidP="002A0038">
      <w:pPr>
        <w:pStyle w:val="ListBullet"/>
        <w:numPr>
          <w:ilvl w:val="0"/>
          <w:numId w:val="325"/>
        </w:numPr>
        <w:spacing w:after="0"/>
        <w:ind w:left="357" w:hanging="357"/>
        <w:rPr>
          <w:rStyle w:val="Guidance"/>
        </w:rPr>
      </w:pPr>
      <w:r>
        <w:rPr>
          <w:rStyle w:val="Guidance"/>
        </w:rPr>
        <w:t>F</w:t>
      </w:r>
      <w:r w:rsidR="00B90099" w:rsidRPr="002A0038">
        <w:rPr>
          <w:rStyle w:val="Guidance"/>
        </w:rPr>
        <w:t>or government departments and other public sector entities, appropriation amounts recognised as income, by class of appropriation.</w:t>
      </w:r>
      <w:r w:rsidR="00206238">
        <w:rPr>
          <w:rStyle w:val="Guidance"/>
          <w:rFonts w:hint="eastAsia"/>
          <w:lang w:eastAsia="zh-CN"/>
        </w:rPr>
        <w:t xml:space="preserve"> </w:t>
      </w:r>
      <w:r w:rsidR="00206238" w:rsidRPr="00AA3FAE">
        <w:rPr>
          <w:rStyle w:val="Reference"/>
        </w:rPr>
        <w:t>[</w:t>
      </w:r>
      <w:r w:rsidR="0007383E">
        <w:rPr>
          <w:rStyle w:val="Reference"/>
        </w:rPr>
        <w:t>AASB </w:t>
      </w:r>
      <w:r w:rsidR="00206238" w:rsidRPr="00AA3FAE">
        <w:rPr>
          <w:rStyle w:val="Reference"/>
        </w:rPr>
        <w:t>1</w:t>
      </w:r>
      <w:r w:rsidR="00206238">
        <w:rPr>
          <w:rStyle w:val="Reference"/>
        </w:rPr>
        <w:t>060.229</w:t>
      </w:r>
      <w:r w:rsidR="00206238" w:rsidRPr="00AA3FAE">
        <w:rPr>
          <w:rStyle w:val="Reference"/>
        </w:rPr>
        <w:t>]</w:t>
      </w:r>
    </w:p>
    <w:p w14:paraId="2F16367E" w14:textId="70BB17A8" w:rsidR="00406F1D" w:rsidRPr="00E51206" w:rsidRDefault="00406F1D" w:rsidP="00E51206">
      <w:pPr>
        <w:pStyle w:val="GuidanceHeading"/>
        <w:spacing w:before="120" w:after="0"/>
        <w:rPr>
          <w:rStyle w:val="Guidance"/>
        </w:rPr>
      </w:pPr>
      <w:r w:rsidRPr="002A0038">
        <w:rPr>
          <w:rStyle w:val="Guidance"/>
        </w:rPr>
        <w:t>Non-contractual income arising from statutory requirements</w:t>
      </w:r>
    </w:p>
    <w:p w14:paraId="1124A4E6" w14:textId="7F7B11B3" w:rsidR="00406F1D" w:rsidRDefault="00406F1D" w:rsidP="002A0038">
      <w:pPr>
        <w:pStyle w:val="ListBullet"/>
        <w:numPr>
          <w:ilvl w:val="0"/>
          <w:numId w:val="0"/>
        </w:numPr>
        <w:spacing w:before="120" w:after="0"/>
        <w:rPr>
          <w:rStyle w:val="Guidance"/>
        </w:rPr>
      </w:pPr>
      <w:r w:rsidRPr="00406F1D">
        <w:rPr>
          <w:color w:val="4472C4" w:themeColor="accent1"/>
        </w:rPr>
        <w:t>An entity shall disclose income arising from statutory requirements (such as taxes, rates and fines) recognised</w:t>
      </w:r>
      <w:r>
        <w:rPr>
          <w:color w:val="4472C4" w:themeColor="accent1"/>
        </w:rPr>
        <w:t xml:space="preserve"> </w:t>
      </w:r>
      <w:r w:rsidRPr="00406F1D">
        <w:rPr>
          <w:color w:val="4472C4" w:themeColor="accent1"/>
        </w:rPr>
        <w:t>during the period, disaggregated into categories that reflect how the nature and amount of income (and the</w:t>
      </w:r>
      <w:r>
        <w:rPr>
          <w:color w:val="4472C4" w:themeColor="accent1"/>
        </w:rPr>
        <w:t xml:space="preserve"> </w:t>
      </w:r>
      <w:r w:rsidRPr="00406F1D">
        <w:rPr>
          <w:color w:val="4472C4" w:themeColor="accent1"/>
        </w:rPr>
        <w:t>resultant cash flows) are affected by economic factors.</w:t>
      </w:r>
      <w:r>
        <w:rPr>
          <w:color w:val="4472C4" w:themeColor="accent1"/>
        </w:rPr>
        <w:t xml:space="preserve"> </w:t>
      </w:r>
      <w:r w:rsidRPr="00AA3FAE">
        <w:rPr>
          <w:rStyle w:val="Reference"/>
        </w:rPr>
        <w:t>[</w:t>
      </w:r>
      <w:r w:rsidR="0007383E">
        <w:rPr>
          <w:rStyle w:val="Reference"/>
        </w:rPr>
        <w:t>AASB </w:t>
      </w:r>
      <w:r w:rsidRPr="00AA3FAE">
        <w:rPr>
          <w:rStyle w:val="Reference"/>
        </w:rPr>
        <w:t>1</w:t>
      </w:r>
      <w:r>
        <w:rPr>
          <w:rStyle w:val="Reference"/>
        </w:rPr>
        <w:t>060.230</w:t>
      </w:r>
      <w:r w:rsidRPr="00AA3FAE">
        <w:rPr>
          <w:rStyle w:val="Reference"/>
        </w:rPr>
        <w:t>]</w:t>
      </w:r>
    </w:p>
    <w:p w14:paraId="6AE36978" w14:textId="04490665" w:rsidR="00AF71DF" w:rsidRPr="00AF71DF" w:rsidRDefault="00AF71DF" w:rsidP="002A0038">
      <w:pPr>
        <w:pStyle w:val="ListBullet"/>
        <w:numPr>
          <w:ilvl w:val="0"/>
          <w:numId w:val="0"/>
        </w:numPr>
        <w:spacing w:before="120" w:after="0"/>
        <w:rPr>
          <w:color w:val="4472C4" w:themeColor="accent1"/>
        </w:rPr>
      </w:pPr>
      <w:r>
        <w:rPr>
          <w:color w:val="4472C4" w:themeColor="accent1"/>
        </w:rPr>
        <w:t>A</w:t>
      </w:r>
      <w:r w:rsidRPr="00AF71DF">
        <w:rPr>
          <w:color w:val="4472C4" w:themeColor="accent1"/>
        </w:rPr>
        <w:t>n entity shall consider disclosing information about assets and</w:t>
      </w:r>
      <w:r>
        <w:rPr>
          <w:color w:val="4472C4" w:themeColor="accent1"/>
        </w:rPr>
        <w:t xml:space="preserve"> </w:t>
      </w:r>
      <w:r w:rsidRPr="00AF71DF">
        <w:rPr>
          <w:color w:val="4472C4" w:themeColor="accent1"/>
        </w:rPr>
        <w:t xml:space="preserve">liabilities recognised at the reporting date in accordance with </w:t>
      </w:r>
      <w:r w:rsidR="0007383E">
        <w:rPr>
          <w:color w:val="4472C4" w:themeColor="accent1"/>
        </w:rPr>
        <w:t>AASB </w:t>
      </w:r>
      <w:r w:rsidRPr="00AF71DF">
        <w:rPr>
          <w:color w:val="4472C4" w:themeColor="accent1"/>
        </w:rPr>
        <w:t xml:space="preserve">1058 </w:t>
      </w:r>
      <w:r w:rsidRPr="00AF71DF">
        <w:rPr>
          <w:i/>
          <w:iCs/>
          <w:color w:val="4472C4" w:themeColor="accent1"/>
        </w:rPr>
        <w:t>Income of Not-for-Profit Entities</w:t>
      </w:r>
      <w:r w:rsidRPr="00AF71DF">
        <w:rPr>
          <w:color w:val="4472C4" w:themeColor="accent1"/>
        </w:rPr>
        <w:t>,</w:t>
      </w:r>
      <w:r>
        <w:rPr>
          <w:color w:val="4472C4" w:themeColor="accent1"/>
        </w:rPr>
        <w:t xml:space="preserve"> </w:t>
      </w:r>
      <w:r w:rsidRPr="00AF71DF">
        <w:rPr>
          <w:color w:val="4472C4" w:themeColor="accent1"/>
        </w:rPr>
        <w:t>including the amounts of:</w:t>
      </w:r>
    </w:p>
    <w:p w14:paraId="3628AAC9" w14:textId="552DE902" w:rsidR="00AF71DF" w:rsidRPr="00AF71DF" w:rsidRDefault="00AF71DF" w:rsidP="002A0038">
      <w:pPr>
        <w:pStyle w:val="ListBullet"/>
        <w:numPr>
          <w:ilvl w:val="0"/>
          <w:numId w:val="326"/>
        </w:numPr>
        <w:spacing w:after="0"/>
        <w:ind w:left="357" w:hanging="357"/>
        <w:rPr>
          <w:color w:val="4472C4" w:themeColor="accent1"/>
        </w:rPr>
      </w:pPr>
      <w:r w:rsidRPr="00AF71DF">
        <w:rPr>
          <w:color w:val="4472C4" w:themeColor="accent1"/>
        </w:rPr>
        <w:t xml:space="preserve">receivables that are not a financial asset as defined in </w:t>
      </w:r>
      <w:r w:rsidR="0007383E">
        <w:rPr>
          <w:color w:val="4472C4" w:themeColor="accent1"/>
        </w:rPr>
        <w:t>AASB </w:t>
      </w:r>
      <w:r w:rsidRPr="00AF71DF">
        <w:rPr>
          <w:color w:val="4472C4" w:themeColor="accent1"/>
        </w:rPr>
        <w:t>132</w:t>
      </w:r>
      <w:r w:rsidR="006C4F60">
        <w:rPr>
          <w:color w:val="4472C4" w:themeColor="accent1"/>
        </w:rPr>
        <w:t xml:space="preserve"> </w:t>
      </w:r>
      <w:r w:rsidR="006C4F60" w:rsidRPr="002A0038">
        <w:rPr>
          <w:i/>
          <w:iCs/>
          <w:color w:val="4472C4" w:themeColor="accent1"/>
        </w:rPr>
        <w:t>Financial Instrument: Presentation</w:t>
      </w:r>
      <w:r w:rsidRPr="00AF71DF">
        <w:rPr>
          <w:color w:val="4472C4" w:themeColor="accent1"/>
        </w:rPr>
        <w:t xml:space="preserve"> (</w:t>
      </w:r>
      <w:r w:rsidR="00206238" w:rsidRPr="00AF71DF">
        <w:rPr>
          <w:color w:val="4472C4" w:themeColor="accent1"/>
        </w:rPr>
        <w:t>e.g.</w:t>
      </w:r>
      <w:r w:rsidRPr="00AF71DF">
        <w:rPr>
          <w:color w:val="4472C4" w:themeColor="accent1"/>
        </w:rPr>
        <w:t xml:space="preserve"> income tax receivable from a</w:t>
      </w:r>
      <w:r>
        <w:rPr>
          <w:color w:val="4472C4" w:themeColor="accent1"/>
        </w:rPr>
        <w:t xml:space="preserve"> </w:t>
      </w:r>
      <w:r w:rsidRPr="00AF71DF">
        <w:rPr>
          <w:color w:val="4472C4" w:themeColor="accent1"/>
        </w:rPr>
        <w:t>taxpayer), and:</w:t>
      </w:r>
    </w:p>
    <w:p w14:paraId="512CBC95" w14:textId="2105A4F8" w:rsidR="00AF71DF" w:rsidRPr="00AF71DF" w:rsidRDefault="00AF71DF" w:rsidP="002A0038">
      <w:pPr>
        <w:pStyle w:val="ListBullet"/>
        <w:numPr>
          <w:ilvl w:val="0"/>
          <w:numId w:val="327"/>
        </w:numPr>
        <w:spacing w:after="0"/>
        <w:ind w:left="697" w:hanging="357"/>
        <w:rPr>
          <w:color w:val="4472C4" w:themeColor="accent1"/>
        </w:rPr>
      </w:pPr>
      <w:r w:rsidRPr="00AF71DF">
        <w:rPr>
          <w:color w:val="4472C4" w:themeColor="accent1"/>
        </w:rPr>
        <w:t>interest income recognised in relation to such receivables during the period; and</w:t>
      </w:r>
    </w:p>
    <w:p w14:paraId="3C4B789F" w14:textId="709679F5" w:rsidR="00AF71DF" w:rsidRPr="00AF71DF" w:rsidRDefault="00AF71DF" w:rsidP="002A0038">
      <w:pPr>
        <w:pStyle w:val="ListBullet"/>
        <w:numPr>
          <w:ilvl w:val="0"/>
          <w:numId w:val="327"/>
        </w:numPr>
        <w:spacing w:after="0"/>
        <w:ind w:left="697" w:hanging="357"/>
        <w:rPr>
          <w:color w:val="4472C4" w:themeColor="accent1"/>
        </w:rPr>
      </w:pPr>
      <w:r w:rsidRPr="00AF71DF">
        <w:rPr>
          <w:color w:val="4472C4" w:themeColor="accent1"/>
        </w:rPr>
        <w:t>impairment losses recognised in relation to such receivables during the period; and</w:t>
      </w:r>
    </w:p>
    <w:p w14:paraId="2DCF6E0B" w14:textId="03AC0821" w:rsidR="00B90099" w:rsidRPr="00E10CD7" w:rsidRDefault="00AF71DF" w:rsidP="002A0038">
      <w:pPr>
        <w:pStyle w:val="ListBullet"/>
        <w:numPr>
          <w:ilvl w:val="0"/>
          <w:numId w:val="326"/>
        </w:numPr>
        <w:spacing w:after="0"/>
        <w:ind w:left="357" w:hanging="357"/>
        <w:rPr>
          <w:rStyle w:val="Reference"/>
          <w:color w:val="4472C4" w:themeColor="accent1"/>
          <w:sz w:val="18"/>
        </w:rPr>
      </w:pPr>
      <w:r w:rsidRPr="00AF71DF">
        <w:rPr>
          <w:color w:val="4472C4" w:themeColor="accent1"/>
        </w:rPr>
        <w:t>financial liabilities relating to prepaid taxes or rates for which the taxable event has yet to occur,</w:t>
      </w:r>
      <w:r w:rsidR="006D17C8">
        <w:rPr>
          <w:color w:val="4472C4" w:themeColor="accent1"/>
        </w:rPr>
        <w:t xml:space="preserve"> </w:t>
      </w:r>
      <w:r w:rsidRPr="006D17C8">
        <w:rPr>
          <w:color w:val="4472C4" w:themeColor="accent1"/>
        </w:rPr>
        <w:t>and the future period(s) to which those taxes or rates relate.</w:t>
      </w:r>
      <w:r w:rsidR="00206238">
        <w:rPr>
          <w:rFonts w:hint="eastAsia"/>
          <w:color w:val="4472C4" w:themeColor="accent1"/>
          <w:lang w:eastAsia="zh-CN"/>
        </w:rPr>
        <w:t xml:space="preserve"> </w:t>
      </w:r>
      <w:r w:rsidR="00206238" w:rsidRPr="00AA3FAE">
        <w:rPr>
          <w:rStyle w:val="Reference"/>
        </w:rPr>
        <w:t>[</w:t>
      </w:r>
      <w:r w:rsidR="0007383E">
        <w:rPr>
          <w:rStyle w:val="Reference"/>
        </w:rPr>
        <w:t>AASB </w:t>
      </w:r>
      <w:r w:rsidR="00206238" w:rsidRPr="00AA3FAE">
        <w:rPr>
          <w:rStyle w:val="Reference"/>
        </w:rPr>
        <w:t>1</w:t>
      </w:r>
      <w:r w:rsidR="00206238">
        <w:rPr>
          <w:rStyle w:val="Reference"/>
        </w:rPr>
        <w:t>060.231</w:t>
      </w:r>
      <w:r w:rsidR="00206238" w:rsidRPr="00AA3FAE">
        <w:rPr>
          <w:rStyle w:val="Reference"/>
        </w:rPr>
        <w:t>]</w:t>
      </w:r>
    </w:p>
    <w:p w14:paraId="5E3FA70A" w14:textId="38A2E589" w:rsidR="00096291" w:rsidRDefault="00312237" w:rsidP="00312237">
      <w:pPr>
        <w:pStyle w:val="GuidanceHeading"/>
        <w:spacing w:before="120" w:after="0"/>
        <w:rPr>
          <w:rStyle w:val="Guidance"/>
        </w:rPr>
      </w:pPr>
      <w:r w:rsidRPr="00312237">
        <w:rPr>
          <w:rStyle w:val="Guidance"/>
        </w:rPr>
        <w:t>Transfers to enable an entity to acquire or construct a recognisable non</w:t>
      </w:r>
      <w:r w:rsidR="00CC6AB2">
        <w:rPr>
          <w:rStyle w:val="Guidance"/>
        </w:rPr>
        <w:t>-</w:t>
      </w:r>
      <w:r w:rsidRPr="00312237">
        <w:rPr>
          <w:rStyle w:val="Guidance"/>
        </w:rPr>
        <w:t>financial</w:t>
      </w:r>
      <w:r>
        <w:rPr>
          <w:rStyle w:val="Guidance"/>
        </w:rPr>
        <w:t xml:space="preserve"> </w:t>
      </w:r>
      <w:r w:rsidRPr="00312237">
        <w:rPr>
          <w:rStyle w:val="Guidance"/>
        </w:rPr>
        <w:t>asset to be controlled by the entity</w:t>
      </w:r>
    </w:p>
    <w:p w14:paraId="4F9EC5FD" w14:textId="6AFFDFE6" w:rsidR="00312237" w:rsidRDefault="00312237" w:rsidP="00E10CD7">
      <w:pPr>
        <w:spacing w:before="120" w:after="0"/>
        <w:rPr>
          <w:rStyle w:val="Reference"/>
          <w:b/>
        </w:rPr>
      </w:pPr>
      <w:r w:rsidRPr="00E10CD7">
        <w:rPr>
          <w:color w:val="4472C4" w:themeColor="accent1"/>
        </w:rPr>
        <w:t>An entity shall disclose the opening and closing balances of financial assets arising from transfers to enable an entity to acquire or construct recognisable non-financial assets to be controlled by the entity and the associated liabilities arising from such transfers, if not otherwise separately presented or disclosed. An entity shall also disclose income recognised in the reporting period arising from the reduction of an associated liability.</w:t>
      </w:r>
      <w:r>
        <w:rPr>
          <w:color w:val="4472C4" w:themeColor="accent1"/>
        </w:rPr>
        <w:t xml:space="preserve"> </w:t>
      </w:r>
      <w:r w:rsidRPr="00AA3FAE">
        <w:rPr>
          <w:rStyle w:val="Reference"/>
        </w:rPr>
        <w:t>[</w:t>
      </w:r>
      <w:r w:rsidR="0007383E">
        <w:rPr>
          <w:rStyle w:val="Reference"/>
        </w:rPr>
        <w:t>AASB </w:t>
      </w:r>
      <w:r w:rsidRPr="00AA3FAE">
        <w:rPr>
          <w:rStyle w:val="Reference"/>
        </w:rPr>
        <w:t>1</w:t>
      </w:r>
      <w:r>
        <w:rPr>
          <w:rStyle w:val="Reference"/>
        </w:rPr>
        <w:t>060.233</w:t>
      </w:r>
      <w:r w:rsidRPr="00AA3FAE">
        <w:rPr>
          <w:rStyle w:val="Reference"/>
        </w:rPr>
        <w:t>]</w:t>
      </w:r>
    </w:p>
    <w:p w14:paraId="6E73148D" w14:textId="528FB6BD" w:rsidR="00312237" w:rsidRDefault="00A61E26" w:rsidP="00A61E26">
      <w:pPr>
        <w:spacing w:before="120" w:after="0"/>
        <w:rPr>
          <w:rStyle w:val="Reference"/>
        </w:rPr>
      </w:pPr>
      <w:r w:rsidRPr="00A61E26">
        <w:rPr>
          <w:color w:val="4472C4" w:themeColor="accent1"/>
        </w:rPr>
        <w:t>An entity shall disclose information about its obligations under such transfers, including a description of when</w:t>
      </w:r>
      <w:r>
        <w:rPr>
          <w:color w:val="4472C4" w:themeColor="accent1"/>
        </w:rPr>
        <w:t xml:space="preserve"> </w:t>
      </w:r>
      <w:r w:rsidRPr="00A61E26">
        <w:rPr>
          <w:color w:val="4472C4" w:themeColor="accent1"/>
        </w:rPr>
        <w:t>the entity typically satisfies its obligations (for example, as the asset is constructed, upon completion of</w:t>
      </w:r>
      <w:r>
        <w:rPr>
          <w:color w:val="4472C4" w:themeColor="accent1"/>
        </w:rPr>
        <w:t xml:space="preserve"> </w:t>
      </w:r>
      <w:r w:rsidRPr="00A61E26">
        <w:rPr>
          <w:color w:val="4472C4" w:themeColor="accent1"/>
        </w:rPr>
        <w:t>construction or when the asset is acquired).</w:t>
      </w:r>
      <w:r>
        <w:rPr>
          <w:color w:val="4472C4" w:themeColor="accent1"/>
        </w:rPr>
        <w:t xml:space="preserve"> </w:t>
      </w:r>
      <w:r w:rsidRPr="00AA3FAE">
        <w:rPr>
          <w:rStyle w:val="Reference"/>
        </w:rPr>
        <w:t>[</w:t>
      </w:r>
      <w:r w:rsidR="0007383E">
        <w:rPr>
          <w:rStyle w:val="Reference"/>
        </w:rPr>
        <w:t>AASB </w:t>
      </w:r>
      <w:r w:rsidRPr="00AA3FAE">
        <w:rPr>
          <w:rStyle w:val="Reference"/>
        </w:rPr>
        <w:t>1</w:t>
      </w:r>
      <w:r>
        <w:rPr>
          <w:rStyle w:val="Reference"/>
        </w:rPr>
        <w:t>060.234</w:t>
      </w:r>
      <w:r w:rsidRPr="00AA3FAE">
        <w:rPr>
          <w:rStyle w:val="Reference"/>
        </w:rPr>
        <w:t>]</w:t>
      </w:r>
    </w:p>
    <w:p w14:paraId="17F6B21E" w14:textId="7CCDC0D4" w:rsidR="00A61E26" w:rsidRDefault="003A47DB" w:rsidP="003A47DB">
      <w:pPr>
        <w:spacing w:before="120" w:after="0"/>
        <w:rPr>
          <w:rStyle w:val="Reference"/>
        </w:rPr>
      </w:pPr>
      <w:r w:rsidRPr="003A47DB">
        <w:rPr>
          <w:color w:val="4472C4" w:themeColor="accent1"/>
        </w:rPr>
        <w:t xml:space="preserve">An entity shall disclose the judgements, and changes in the judgements, made in applying </w:t>
      </w:r>
      <w:r w:rsidR="0007383E">
        <w:rPr>
          <w:color w:val="4472C4" w:themeColor="accent1"/>
        </w:rPr>
        <w:t>AASB </w:t>
      </w:r>
      <w:r w:rsidRPr="003A47DB">
        <w:rPr>
          <w:color w:val="4472C4" w:themeColor="accent1"/>
        </w:rPr>
        <w:t>1058 that</w:t>
      </w:r>
      <w:r>
        <w:rPr>
          <w:color w:val="4472C4" w:themeColor="accent1"/>
        </w:rPr>
        <w:t xml:space="preserve"> </w:t>
      </w:r>
      <w:r w:rsidRPr="003A47DB">
        <w:rPr>
          <w:color w:val="4472C4" w:themeColor="accent1"/>
        </w:rPr>
        <w:t>significantly affect the determination of the amount and timing of income arising from transfers to enable an</w:t>
      </w:r>
      <w:r>
        <w:rPr>
          <w:color w:val="4472C4" w:themeColor="accent1"/>
        </w:rPr>
        <w:t xml:space="preserve"> </w:t>
      </w:r>
      <w:r w:rsidRPr="003A47DB">
        <w:rPr>
          <w:color w:val="4472C4" w:themeColor="accent1"/>
        </w:rPr>
        <w:t xml:space="preserve">entity to acquire or construct a recognisable non-financial asset to be controlled by the entity. </w:t>
      </w:r>
      <w:r w:rsidR="00EE16DF" w:rsidRPr="003A47DB">
        <w:rPr>
          <w:color w:val="4472C4" w:themeColor="accent1"/>
        </w:rPr>
        <w:t>An</w:t>
      </w:r>
      <w:r w:rsidRPr="003A47DB">
        <w:rPr>
          <w:color w:val="4472C4" w:themeColor="accent1"/>
        </w:rPr>
        <w:t xml:space="preserve"> entity shall explain the judgements, and changes in the judgements, made in determining the timing of</w:t>
      </w:r>
      <w:r>
        <w:rPr>
          <w:color w:val="4472C4" w:themeColor="accent1"/>
        </w:rPr>
        <w:t xml:space="preserve"> </w:t>
      </w:r>
      <w:r w:rsidRPr="003A47DB">
        <w:rPr>
          <w:color w:val="4472C4" w:themeColor="accent1"/>
        </w:rPr>
        <w:t>satisfaction of obligations.</w:t>
      </w:r>
      <w:r>
        <w:rPr>
          <w:color w:val="4472C4" w:themeColor="accent1"/>
        </w:rPr>
        <w:t xml:space="preserve"> </w:t>
      </w:r>
      <w:r w:rsidRPr="00AA3FAE">
        <w:rPr>
          <w:rStyle w:val="Reference"/>
        </w:rPr>
        <w:t>[</w:t>
      </w:r>
      <w:r w:rsidR="0007383E">
        <w:rPr>
          <w:rStyle w:val="Reference"/>
        </w:rPr>
        <w:t>AASB </w:t>
      </w:r>
      <w:r w:rsidRPr="00AA3FAE">
        <w:rPr>
          <w:rStyle w:val="Reference"/>
        </w:rPr>
        <w:t>1</w:t>
      </w:r>
      <w:r>
        <w:rPr>
          <w:rStyle w:val="Reference"/>
        </w:rPr>
        <w:t>060.235</w:t>
      </w:r>
      <w:r w:rsidRPr="00AA3FAE">
        <w:rPr>
          <w:rStyle w:val="Reference"/>
        </w:rPr>
        <w:t>]</w:t>
      </w:r>
    </w:p>
    <w:p w14:paraId="17D2DC1B" w14:textId="01B20D19" w:rsidR="009E27ED" w:rsidRDefault="009E27ED" w:rsidP="009E27ED">
      <w:pPr>
        <w:spacing w:before="120" w:after="0"/>
        <w:rPr>
          <w:rStyle w:val="Reference"/>
        </w:rPr>
      </w:pPr>
      <w:r w:rsidRPr="009E27ED">
        <w:rPr>
          <w:color w:val="4472C4" w:themeColor="accent1"/>
        </w:rPr>
        <w:t>For obligations that an entity satisfies over time, an entity shall disclose the methods used to recognise income</w:t>
      </w:r>
      <w:r>
        <w:rPr>
          <w:color w:val="4472C4" w:themeColor="accent1"/>
        </w:rPr>
        <w:t xml:space="preserve"> </w:t>
      </w:r>
      <w:r w:rsidRPr="009E27ED">
        <w:rPr>
          <w:color w:val="4472C4" w:themeColor="accent1"/>
        </w:rPr>
        <w:t>(for example, a description of the output methods or input methods used and how those methods are applied).</w:t>
      </w:r>
      <w:r>
        <w:rPr>
          <w:color w:val="4472C4" w:themeColor="accent1"/>
        </w:rPr>
        <w:t xml:space="preserve"> </w:t>
      </w:r>
      <w:r w:rsidRPr="00AA3FAE">
        <w:rPr>
          <w:rStyle w:val="Reference"/>
        </w:rPr>
        <w:t>[</w:t>
      </w:r>
      <w:r w:rsidR="0007383E">
        <w:rPr>
          <w:rStyle w:val="Reference"/>
        </w:rPr>
        <w:t>AASB </w:t>
      </w:r>
      <w:r w:rsidRPr="00AA3FAE">
        <w:rPr>
          <w:rStyle w:val="Reference"/>
        </w:rPr>
        <w:t>1</w:t>
      </w:r>
      <w:r>
        <w:rPr>
          <w:rStyle w:val="Reference"/>
        </w:rPr>
        <w:t>060.236</w:t>
      </w:r>
      <w:r w:rsidRPr="00AA3FAE">
        <w:rPr>
          <w:rStyle w:val="Reference"/>
        </w:rPr>
        <w:t>]</w:t>
      </w:r>
    </w:p>
    <w:p w14:paraId="4D701E27" w14:textId="5CA65C09" w:rsidR="003A47DB" w:rsidRPr="00E10CD7" w:rsidRDefault="009E27ED" w:rsidP="00E10CD7">
      <w:pPr>
        <w:spacing w:before="120" w:after="0"/>
      </w:pPr>
      <w:r w:rsidRPr="009E27ED">
        <w:rPr>
          <w:color w:val="4472C4" w:themeColor="accent1"/>
        </w:rPr>
        <w:t>For obligations satisfied at a point in time, an entity shall disclose the significant judgements made in</w:t>
      </w:r>
      <w:r>
        <w:rPr>
          <w:color w:val="4472C4" w:themeColor="accent1"/>
        </w:rPr>
        <w:t xml:space="preserve"> </w:t>
      </w:r>
      <w:r w:rsidRPr="009E27ED">
        <w:rPr>
          <w:color w:val="4472C4" w:themeColor="accent1"/>
        </w:rPr>
        <w:t>evaluating when it has satisfied its obligations.</w:t>
      </w:r>
      <w:r>
        <w:rPr>
          <w:color w:val="4472C4" w:themeColor="accent1"/>
        </w:rPr>
        <w:t xml:space="preserve"> </w:t>
      </w:r>
      <w:r w:rsidRPr="00AA3FAE">
        <w:rPr>
          <w:rStyle w:val="Reference"/>
        </w:rPr>
        <w:t>[</w:t>
      </w:r>
      <w:r w:rsidR="0007383E">
        <w:rPr>
          <w:rStyle w:val="Reference"/>
        </w:rPr>
        <w:t>AASB </w:t>
      </w:r>
      <w:r w:rsidRPr="00AA3FAE">
        <w:rPr>
          <w:rStyle w:val="Reference"/>
        </w:rPr>
        <w:t>1</w:t>
      </w:r>
      <w:r>
        <w:rPr>
          <w:rStyle w:val="Reference"/>
        </w:rPr>
        <w:t>060.237</w:t>
      </w:r>
      <w:r w:rsidRPr="00AA3FAE">
        <w:rPr>
          <w:rStyle w:val="Reference"/>
        </w:rPr>
        <w:t>]</w:t>
      </w:r>
    </w:p>
    <w:p w14:paraId="4608B8A4" w14:textId="746D6A53" w:rsidR="003719CD" w:rsidRPr="00AA3FAE" w:rsidRDefault="003719CD" w:rsidP="009528FB">
      <w:pPr>
        <w:pBdr>
          <w:top w:val="single" w:sz="6" w:space="1" w:color="4472C4" w:themeColor="accent1"/>
          <w:left w:val="single" w:sz="6" w:space="4" w:color="4472C4" w:themeColor="accent1"/>
          <w:bottom w:val="single" w:sz="6" w:space="1" w:color="4472C4" w:themeColor="accent1"/>
          <w:right w:val="single" w:sz="6" w:space="4" w:color="4472C4" w:themeColor="accent1"/>
        </w:pBdr>
        <w:spacing w:before="120" w:after="0"/>
        <w:rPr>
          <w:rStyle w:val="Guidance"/>
        </w:rPr>
      </w:pPr>
      <w:r w:rsidRPr="00D37D38">
        <w:rPr>
          <w:rStyle w:val="Guidance"/>
        </w:rPr>
        <w:t>Entities</w:t>
      </w:r>
      <w:r w:rsidRPr="00AA3FAE">
        <w:rPr>
          <w:rStyle w:val="Guidance"/>
        </w:rPr>
        <w:t xml:space="preserve"> </w:t>
      </w:r>
      <w:r w:rsidRPr="00D37D38">
        <w:rPr>
          <w:rStyle w:val="Guidance"/>
        </w:rPr>
        <w:t>should</w:t>
      </w:r>
      <w:r w:rsidRPr="00AA3FAE">
        <w:rPr>
          <w:rStyle w:val="Guidance"/>
        </w:rPr>
        <w:t xml:space="preserve"> advise DTF (Consolidated Reporting &amp; Analysis team)</w:t>
      </w:r>
      <w:r w:rsidR="00D444D8">
        <w:rPr>
          <w:rStyle w:val="Guidance"/>
        </w:rPr>
        <w:t>,</w:t>
      </w:r>
      <w:r w:rsidRPr="00AA3FAE">
        <w:rPr>
          <w:rStyle w:val="Guidance"/>
        </w:rPr>
        <w:t xml:space="preserve"> </w:t>
      </w:r>
      <w:r w:rsidR="00C52141">
        <w:rPr>
          <w:rStyle w:val="Guidance"/>
          <w:rFonts w:hint="eastAsia"/>
          <w:lang w:eastAsia="zh-CN"/>
        </w:rPr>
        <w:t xml:space="preserve">via </w:t>
      </w:r>
      <w:r w:rsidR="0045329F">
        <w:rPr>
          <w:rStyle w:val="Guidance"/>
          <w:rFonts w:hint="eastAsia"/>
          <w:lang w:eastAsia="zh-CN"/>
        </w:rPr>
        <w:t xml:space="preserve">the respective portfolio </w:t>
      </w:r>
      <w:r w:rsidR="00890212">
        <w:rPr>
          <w:rStyle w:val="Guidance"/>
          <w:rFonts w:hint="eastAsia"/>
          <w:lang w:eastAsia="zh-CN"/>
        </w:rPr>
        <w:t>d</w:t>
      </w:r>
      <w:r w:rsidR="0045329F">
        <w:rPr>
          <w:rStyle w:val="Guidance"/>
          <w:rFonts w:hint="eastAsia"/>
          <w:lang w:eastAsia="zh-CN"/>
        </w:rPr>
        <w:t>epartment</w:t>
      </w:r>
      <w:r w:rsidR="00D444D8">
        <w:rPr>
          <w:rStyle w:val="Guidance"/>
          <w:lang w:eastAsia="zh-CN"/>
        </w:rPr>
        <w:t xml:space="preserve">, </w:t>
      </w:r>
      <w:r w:rsidRPr="00AA3FAE">
        <w:rPr>
          <w:rStyle w:val="Guidance"/>
        </w:rPr>
        <w:t xml:space="preserve">if volunteer services are being recognised so they can be captured in the whole of State consolidated report. </w:t>
      </w:r>
    </w:p>
    <w:bookmarkEnd w:id="234"/>
    <w:p w14:paraId="223F6D08" w14:textId="77777777" w:rsidR="003719CD" w:rsidRDefault="003719CD" w:rsidP="007D536F">
      <w:pPr>
        <w:pStyle w:val="GuidanceEnd"/>
      </w:pPr>
    </w:p>
    <w:p w14:paraId="799CBDBD" w14:textId="77777777" w:rsidR="008D7702" w:rsidRDefault="008D7702" w:rsidP="007D536F">
      <w:pPr>
        <w:sectPr w:rsidR="008D7702" w:rsidSect="000A2AE5">
          <w:headerReference w:type="even" r:id="rId62"/>
          <w:headerReference w:type="default" r:id="rId63"/>
          <w:footerReference w:type="even" r:id="rId64"/>
          <w:footerReference w:type="default" r:id="rId65"/>
          <w:headerReference w:type="first" r:id="rId66"/>
          <w:footerReference w:type="first" r:id="rId67"/>
          <w:type w:val="continuous"/>
          <w:pgSz w:w="11906" w:h="16838" w:code="9"/>
          <w:pgMar w:top="1134" w:right="1134" w:bottom="1134" w:left="1134" w:header="624" w:footer="567" w:gutter="0"/>
          <w:cols w:space="708"/>
          <w:docGrid w:linePitch="360"/>
        </w:sectPr>
      </w:pPr>
    </w:p>
    <w:p w14:paraId="659B657F" w14:textId="77777777" w:rsidR="003719CD" w:rsidRDefault="003719CD" w:rsidP="001B5265">
      <w:pPr>
        <w:pStyle w:val="Heading1numbered"/>
      </w:pPr>
      <w:bookmarkStart w:id="642" w:name="_Toc179811399"/>
      <w:bookmarkStart w:id="643" w:name="_Toc179817099"/>
      <w:bookmarkStart w:id="644" w:name="_Toc179822799"/>
      <w:bookmarkStart w:id="645" w:name="_Toc179828483"/>
      <w:bookmarkStart w:id="646" w:name="_Toc179860013"/>
      <w:bookmarkStart w:id="647" w:name="_Toc179867346"/>
      <w:bookmarkStart w:id="648" w:name="_Toc179871739"/>
      <w:bookmarkStart w:id="649" w:name="_Toc179876132"/>
      <w:bookmarkStart w:id="650" w:name="_Toc179880275"/>
      <w:bookmarkStart w:id="651" w:name="_Toc179880308"/>
      <w:bookmarkStart w:id="652" w:name="Section_3"/>
      <w:r>
        <w:t>THE COST OF DELIVERING SERVICES</w:t>
      </w:r>
      <w:bookmarkEnd w:id="642"/>
      <w:bookmarkEnd w:id="643"/>
      <w:bookmarkEnd w:id="644"/>
      <w:bookmarkEnd w:id="645"/>
      <w:bookmarkEnd w:id="646"/>
      <w:bookmarkEnd w:id="647"/>
      <w:bookmarkEnd w:id="648"/>
      <w:bookmarkEnd w:id="649"/>
      <w:bookmarkEnd w:id="650"/>
      <w:bookmarkEnd w:id="651"/>
      <w:r>
        <w:t xml:space="preserve"> </w:t>
      </w:r>
    </w:p>
    <w:p w14:paraId="79CEC89C" w14:textId="3538C4C5" w:rsidR="006177A0" w:rsidRPr="006177A0" w:rsidRDefault="006177A0" w:rsidP="006177A0">
      <w:pPr>
        <w:sectPr w:rsidR="006177A0" w:rsidRPr="006177A0" w:rsidSect="000E2F05">
          <w:headerReference w:type="even" r:id="rId68"/>
          <w:headerReference w:type="default" r:id="rId69"/>
          <w:footerReference w:type="even" r:id="rId70"/>
          <w:footerReference w:type="default" r:id="rId71"/>
          <w:headerReference w:type="first" r:id="rId72"/>
          <w:footerReference w:type="first" r:id="rId73"/>
          <w:pgSz w:w="11906" w:h="16838" w:code="9"/>
          <w:pgMar w:top="1134" w:right="1134" w:bottom="1134" w:left="1134" w:header="624" w:footer="567" w:gutter="0"/>
          <w:cols w:space="708"/>
          <w:titlePg/>
          <w:docGrid w:linePitch="360"/>
        </w:sectPr>
      </w:pPr>
    </w:p>
    <w:p w14:paraId="0CF2EFA0" w14:textId="77777777" w:rsidR="003719CD" w:rsidRDefault="003719CD" w:rsidP="007D536F">
      <w:pPr>
        <w:pStyle w:val="Heading3"/>
      </w:pPr>
      <w:bookmarkStart w:id="653" w:name="_Toc179811400"/>
      <w:bookmarkStart w:id="654" w:name="_Toc179817100"/>
      <w:bookmarkStart w:id="655" w:name="_Toc179822800"/>
      <w:bookmarkStart w:id="656" w:name="_Toc179828484"/>
      <w:bookmarkStart w:id="657" w:name="_Toc179860014"/>
      <w:r>
        <w:t>Introduction</w:t>
      </w:r>
      <w:bookmarkEnd w:id="653"/>
      <w:bookmarkEnd w:id="654"/>
      <w:bookmarkEnd w:id="655"/>
      <w:bookmarkEnd w:id="656"/>
      <w:bookmarkEnd w:id="657"/>
    </w:p>
    <w:p w14:paraId="5EDF96C7" w14:textId="5CCB43DB" w:rsidR="003719CD" w:rsidRDefault="003719CD" w:rsidP="00DC39DE">
      <w:r>
        <w:t xml:space="preserve">This section provides an account of the expenses incurred by </w:t>
      </w:r>
      <w:r w:rsidR="00B932DB">
        <w:t>TV</w:t>
      </w:r>
      <w:r>
        <w:t xml:space="preserve"> in delivering services. In Section 2, the funds that enable the provision of services were disclosed and in this note the cost</w:t>
      </w:r>
      <w:r w:rsidR="007C3EDB">
        <w:t>s</w:t>
      </w:r>
      <w:r>
        <w:t xml:space="preserve"> associated with </w:t>
      </w:r>
      <w:r w:rsidR="007C3EDB">
        <w:t xml:space="preserve">the </w:t>
      </w:r>
      <w:r>
        <w:t xml:space="preserve">provision of services are </w:t>
      </w:r>
      <w:r w:rsidR="00AE4151">
        <w:t>disclosed</w:t>
      </w:r>
      <w:r>
        <w:t xml:space="preserve">. </w:t>
      </w:r>
    </w:p>
    <w:p w14:paraId="5C07E002" w14:textId="47AAA408" w:rsidR="003719CD" w:rsidRPr="00324A25" w:rsidRDefault="003719CD" w:rsidP="00324A25">
      <w:pPr>
        <w:pStyle w:val="Heading3"/>
        <w:rPr>
          <w:rFonts w:eastAsia="SimHei"/>
          <w:lang w:eastAsia="zh-CN"/>
        </w:rPr>
      </w:pPr>
      <w:r>
        <w:br w:type="column"/>
      </w:r>
      <w:bookmarkStart w:id="658" w:name="_Toc179811401"/>
      <w:bookmarkStart w:id="659" w:name="_Toc179817101"/>
      <w:bookmarkStart w:id="660" w:name="_Toc179822801"/>
      <w:bookmarkStart w:id="661" w:name="_Toc179828485"/>
      <w:bookmarkStart w:id="662" w:name="_Toc179860015"/>
      <w:r>
        <w:t>Structure</w:t>
      </w:r>
      <w:bookmarkEnd w:id="658"/>
      <w:bookmarkEnd w:id="659"/>
      <w:bookmarkEnd w:id="660"/>
      <w:bookmarkEnd w:id="661"/>
      <w:bookmarkEnd w:id="662"/>
    </w:p>
    <w:p w14:paraId="2595FCA7" w14:textId="48E8D77B" w:rsidR="00D37D38" w:rsidRDefault="00D37D38" w:rsidP="00307AA5">
      <w:pPr>
        <w:pStyle w:val="TOC9"/>
        <w:rPr>
          <w:noProof/>
          <w:kern w:val="2"/>
          <w:sz w:val="24"/>
          <w:szCs w:val="24"/>
          <w14:ligatures w14:val="standardContextual"/>
        </w:rPr>
      </w:pPr>
      <w:r w:rsidRPr="00940E38">
        <w:fldChar w:fldCharType="begin"/>
      </w:r>
      <w:r w:rsidRPr="00940E38">
        <w:instrText xml:space="preserve"> TOC \h \z \t "Heading 2 </w:instrText>
      </w:r>
      <w:r>
        <w:instrText>numbered</w:instrText>
      </w:r>
      <w:r w:rsidRPr="00940E38">
        <w:instrText>,9" \b Section</w:instrText>
      </w:r>
      <w:r>
        <w:instrText>_3</w:instrText>
      </w:r>
      <w:r w:rsidRPr="00940E38">
        <w:instrText xml:space="preserve"> \* MERGEFORMAT </w:instrText>
      </w:r>
      <w:r w:rsidRPr="00940E38">
        <w:fldChar w:fldCharType="separate"/>
      </w:r>
      <w:hyperlink w:anchor="_Toc190340383" w:history="1">
        <w:r w:rsidRPr="009F3865">
          <w:rPr>
            <w:rStyle w:val="Hyperlink"/>
            <w:noProof/>
          </w:rPr>
          <w:t>3.1</w:t>
        </w:r>
        <w:r>
          <w:rPr>
            <w:noProof/>
            <w:kern w:val="2"/>
            <w:sz w:val="24"/>
            <w:szCs w:val="24"/>
            <w14:ligatures w14:val="standardContextual"/>
          </w:rPr>
          <w:tab/>
        </w:r>
        <w:r w:rsidRPr="009F3865">
          <w:rPr>
            <w:rStyle w:val="Hyperlink"/>
            <w:noProof/>
          </w:rPr>
          <w:t>Expenses incurred in delivery of services</w:t>
        </w:r>
        <w:r>
          <w:rPr>
            <w:noProof/>
            <w:webHidden/>
          </w:rPr>
          <w:tab/>
        </w:r>
        <w:r>
          <w:rPr>
            <w:noProof/>
            <w:webHidden/>
          </w:rPr>
          <w:fldChar w:fldCharType="begin"/>
        </w:r>
        <w:r>
          <w:rPr>
            <w:noProof/>
            <w:webHidden/>
          </w:rPr>
          <w:instrText xml:space="preserve"> PAGEREF _Toc190340383 \h </w:instrText>
        </w:r>
        <w:r>
          <w:rPr>
            <w:noProof/>
            <w:webHidden/>
          </w:rPr>
        </w:r>
        <w:r>
          <w:rPr>
            <w:noProof/>
            <w:webHidden/>
          </w:rPr>
          <w:fldChar w:fldCharType="separate"/>
        </w:r>
        <w:r w:rsidR="0054242A">
          <w:rPr>
            <w:noProof/>
            <w:webHidden/>
          </w:rPr>
          <w:t>27</w:t>
        </w:r>
        <w:r>
          <w:rPr>
            <w:noProof/>
            <w:webHidden/>
          </w:rPr>
          <w:fldChar w:fldCharType="end"/>
        </w:r>
      </w:hyperlink>
    </w:p>
    <w:p w14:paraId="060A4985" w14:textId="2818E498" w:rsidR="00D37D38" w:rsidRDefault="00D37D38" w:rsidP="00307AA5">
      <w:pPr>
        <w:pStyle w:val="TOC9"/>
        <w:rPr>
          <w:noProof/>
          <w:kern w:val="2"/>
          <w:sz w:val="24"/>
          <w:szCs w:val="24"/>
          <w14:ligatures w14:val="standardContextual"/>
        </w:rPr>
      </w:pPr>
      <w:hyperlink w:anchor="_Toc190340384" w:history="1">
        <w:r w:rsidRPr="009F3865">
          <w:rPr>
            <w:rStyle w:val="Hyperlink"/>
            <w:noProof/>
          </w:rPr>
          <w:t>3.2</w:t>
        </w:r>
        <w:r>
          <w:rPr>
            <w:noProof/>
            <w:kern w:val="2"/>
            <w:sz w:val="24"/>
            <w:szCs w:val="24"/>
            <w14:ligatures w14:val="standardContextual"/>
          </w:rPr>
          <w:tab/>
        </w:r>
        <w:r w:rsidRPr="009F3865">
          <w:rPr>
            <w:rStyle w:val="Hyperlink"/>
            <w:noProof/>
          </w:rPr>
          <w:t>Grant expenses</w:t>
        </w:r>
        <w:r>
          <w:rPr>
            <w:noProof/>
            <w:webHidden/>
          </w:rPr>
          <w:tab/>
        </w:r>
        <w:r>
          <w:rPr>
            <w:noProof/>
            <w:webHidden/>
          </w:rPr>
          <w:fldChar w:fldCharType="begin"/>
        </w:r>
        <w:r>
          <w:rPr>
            <w:noProof/>
            <w:webHidden/>
          </w:rPr>
          <w:instrText xml:space="preserve"> PAGEREF _Toc190340384 \h </w:instrText>
        </w:r>
        <w:r>
          <w:rPr>
            <w:noProof/>
            <w:webHidden/>
          </w:rPr>
        </w:r>
        <w:r>
          <w:rPr>
            <w:noProof/>
            <w:webHidden/>
          </w:rPr>
          <w:fldChar w:fldCharType="separate"/>
        </w:r>
        <w:r w:rsidR="0054242A">
          <w:rPr>
            <w:noProof/>
            <w:webHidden/>
          </w:rPr>
          <w:t>29</w:t>
        </w:r>
        <w:r>
          <w:rPr>
            <w:noProof/>
            <w:webHidden/>
          </w:rPr>
          <w:fldChar w:fldCharType="end"/>
        </w:r>
      </w:hyperlink>
    </w:p>
    <w:p w14:paraId="53B3254B" w14:textId="38CB51DD" w:rsidR="00D37D38" w:rsidRDefault="00D37D38" w:rsidP="00307AA5">
      <w:pPr>
        <w:pStyle w:val="TOC9"/>
        <w:rPr>
          <w:noProof/>
          <w:kern w:val="2"/>
          <w:sz w:val="24"/>
          <w:szCs w:val="24"/>
          <w14:ligatures w14:val="standardContextual"/>
        </w:rPr>
      </w:pPr>
      <w:hyperlink w:anchor="_Toc190340385" w:history="1">
        <w:r w:rsidRPr="009F3865">
          <w:rPr>
            <w:rStyle w:val="Hyperlink"/>
            <w:noProof/>
          </w:rPr>
          <w:t>3.3</w:t>
        </w:r>
        <w:r>
          <w:rPr>
            <w:noProof/>
            <w:kern w:val="2"/>
            <w:sz w:val="24"/>
            <w:szCs w:val="24"/>
            <w14:ligatures w14:val="standardContextual"/>
          </w:rPr>
          <w:tab/>
        </w:r>
        <w:r w:rsidRPr="009F3865">
          <w:rPr>
            <w:rStyle w:val="Hyperlink"/>
            <w:noProof/>
          </w:rPr>
          <w:t>Other operating expenses</w:t>
        </w:r>
        <w:r>
          <w:rPr>
            <w:noProof/>
            <w:webHidden/>
          </w:rPr>
          <w:tab/>
        </w:r>
        <w:r>
          <w:rPr>
            <w:noProof/>
            <w:webHidden/>
          </w:rPr>
          <w:fldChar w:fldCharType="begin"/>
        </w:r>
        <w:r>
          <w:rPr>
            <w:noProof/>
            <w:webHidden/>
          </w:rPr>
          <w:instrText xml:space="preserve"> PAGEREF _Toc190340385 \h </w:instrText>
        </w:r>
        <w:r>
          <w:rPr>
            <w:noProof/>
            <w:webHidden/>
          </w:rPr>
        </w:r>
        <w:r>
          <w:rPr>
            <w:noProof/>
            <w:webHidden/>
          </w:rPr>
          <w:fldChar w:fldCharType="separate"/>
        </w:r>
        <w:r w:rsidR="0054242A">
          <w:rPr>
            <w:noProof/>
            <w:webHidden/>
          </w:rPr>
          <w:t>29</w:t>
        </w:r>
        <w:r>
          <w:rPr>
            <w:noProof/>
            <w:webHidden/>
          </w:rPr>
          <w:fldChar w:fldCharType="end"/>
        </w:r>
      </w:hyperlink>
    </w:p>
    <w:p w14:paraId="0BD6A1E7" w14:textId="1AAA8E02" w:rsidR="00D37D38" w:rsidRDefault="00D37D38" w:rsidP="00307AA5">
      <w:pPr>
        <w:pStyle w:val="TOC9"/>
      </w:pPr>
      <w:r w:rsidRPr="00940E38">
        <w:fldChar w:fldCharType="end"/>
      </w:r>
    </w:p>
    <w:p w14:paraId="2B54D1A4" w14:textId="77777777" w:rsidR="00D37D38" w:rsidRPr="00D37D38" w:rsidRDefault="00D37D38" w:rsidP="00D37D38"/>
    <w:p w14:paraId="5C1AF104" w14:textId="77777777" w:rsidR="00324A25" w:rsidRDefault="00324A25" w:rsidP="00DC39DE">
      <w:pPr>
        <w:sectPr w:rsidR="00324A25" w:rsidSect="000E2F05">
          <w:type w:val="continuous"/>
          <w:pgSz w:w="11906" w:h="16838" w:code="9"/>
          <w:pgMar w:top="1134" w:right="1134" w:bottom="1134" w:left="1134" w:header="624" w:footer="567" w:gutter="0"/>
          <w:cols w:num="2" w:space="708"/>
          <w:titlePg/>
          <w:docGrid w:linePitch="360"/>
        </w:sectPr>
      </w:pPr>
    </w:p>
    <w:p w14:paraId="76769CFF" w14:textId="77777777" w:rsidR="003719CD" w:rsidRDefault="003719CD" w:rsidP="001B5265">
      <w:pPr>
        <w:pStyle w:val="Heading2numbered"/>
      </w:pPr>
      <w:bookmarkStart w:id="663" w:name="_Toc130225935"/>
      <w:bookmarkStart w:id="664" w:name="_Toc130288859"/>
      <w:bookmarkStart w:id="665" w:name="_Toc66190572"/>
      <w:bookmarkStart w:id="666" w:name="_Toc179811402"/>
      <w:bookmarkStart w:id="667" w:name="_Toc179817102"/>
      <w:bookmarkStart w:id="668" w:name="_Toc179822802"/>
      <w:bookmarkStart w:id="669" w:name="_Toc179828486"/>
      <w:bookmarkStart w:id="670" w:name="_Toc179860016"/>
      <w:bookmarkStart w:id="671" w:name="_Toc179867347"/>
      <w:bookmarkStart w:id="672" w:name="_Toc179871740"/>
      <w:bookmarkStart w:id="673" w:name="_Toc179876133"/>
      <w:bookmarkStart w:id="674" w:name="_Toc179880309"/>
      <w:bookmarkStart w:id="675" w:name="_Toc190339858"/>
      <w:bookmarkStart w:id="676" w:name="_Toc190340383"/>
      <w:r>
        <w:t>Expenses incurred in delivery of services</w:t>
      </w:r>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3F71D08F" w14:textId="77777777" w:rsidR="003719CD" w:rsidRDefault="003719CD" w:rsidP="007D536F">
      <w:pPr>
        <w:pStyle w:val="TableUnits"/>
      </w:pPr>
      <w:r>
        <w:t>($ thousand)</w:t>
      </w:r>
    </w:p>
    <w:tbl>
      <w:tblPr>
        <w:tblStyle w:val="DTFTable"/>
        <w:tblW w:w="9639" w:type="dxa"/>
        <w:tblLayout w:type="fixed"/>
        <w:tblLook w:val="0620" w:firstRow="1" w:lastRow="0" w:firstColumn="0" w:lastColumn="0" w:noHBand="1" w:noVBand="1"/>
      </w:tblPr>
      <w:tblGrid>
        <w:gridCol w:w="1349"/>
        <w:gridCol w:w="5739"/>
        <w:gridCol w:w="821"/>
        <w:gridCol w:w="865"/>
        <w:gridCol w:w="865"/>
      </w:tblGrid>
      <w:tr w:rsidR="00182709" w14:paraId="7A5A228A" w14:textId="77777777" w:rsidTr="60A6DAF9">
        <w:trPr>
          <w:cnfStyle w:val="100000000000" w:firstRow="1" w:lastRow="0" w:firstColumn="0" w:lastColumn="0" w:oddVBand="0" w:evenVBand="0" w:oddHBand="0" w:evenHBand="0" w:firstRowFirstColumn="0" w:firstRowLastColumn="0" w:lastRowFirstColumn="0" w:lastRowLastColumn="0"/>
          <w:tblHeader/>
        </w:trPr>
        <w:tc>
          <w:tcPr>
            <w:tcW w:w="1349" w:type="dxa"/>
            <w:tcBorders>
              <w:top w:val="nil"/>
              <w:bottom w:val="nil"/>
            </w:tcBorders>
            <w:shd w:val="clear" w:color="auto" w:fill="FFFFFF" w:themeFill="background1"/>
          </w:tcPr>
          <w:p w14:paraId="242E7065" w14:textId="77777777" w:rsidR="00182709" w:rsidRDefault="0044097C">
            <w:pPr>
              <w:keepNext/>
              <w:jc w:val="left"/>
            </w:pPr>
            <w:r>
              <w:rPr>
                <w:color w:val="4472C4"/>
                <w:sz w:val="13"/>
              </w:rPr>
              <w:t>Source reference</w:t>
            </w:r>
          </w:p>
        </w:tc>
        <w:tc>
          <w:tcPr>
            <w:tcW w:w="5739" w:type="dxa"/>
          </w:tcPr>
          <w:p w14:paraId="249AA8A3" w14:textId="77777777" w:rsidR="00182709" w:rsidRDefault="00182709">
            <w:pPr>
              <w:keepNext/>
              <w:jc w:val="left"/>
            </w:pPr>
          </w:p>
        </w:tc>
        <w:tc>
          <w:tcPr>
            <w:tcW w:w="821" w:type="dxa"/>
          </w:tcPr>
          <w:p w14:paraId="5C4435CD" w14:textId="77777777" w:rsidR="00182709" w:rsidRDefault="0044097C">
            <w:pPr>
              <w:keepNext/>
              <w:jc w:val="center"/>
            </w:pPr>
            <w:r>
              <w:t>Notes</w:t>
            </w:r>
          </w:p>
        </w:tc>
        <w:tc>
          <w:tcPr>
            <w:tcW w:w="865" w:type="dxa"/>
          </w:tcPr>
          <w:p w14:paraId="3FD0E957" w14:textId="77777777" w:rsidR="00182709" w:rsidRDefault="0044097C">
            <w:pPr>
              <w:keepNext/>
            </w:pPr>
            <w:r>
              <w:t>20X2</w:t>
            </w:r>
          </w:p>
        </w:tc>
        <w:tc>
          <w:tcPr>
            <w:tcW w:w="865" w:type="dxa"/>
          </w:tcPr>
          <w:p w14:paraId="4C948FB6" w14:textId="77777777" w:rsidR="00182709" w:rsidRDefault="0044097C">
            <w:pPr>
              <w:keepNext/>
            </w:pPr>
            <w:r>
              <w:t>20X1</w:t>
            </w:r>
          </w:p>
        </w:tc>
      </w:tr>
      <w:tr w:rsidR="00B14509" w14:paraId="62FF7B21" w14:textId="77777777" w:rsidTr="002A0038">
        <w:tc>
          <w:tcPr>
            <w:tcW w:w="0" w:type="dxa"/>
          </w:tcPr>
          <w:p w14:paraId="6EEBF7C6" w14:textId="1531C1EF" w:rsidR="00B14509" w:rsidRDefault="0007383E" w:rsidP="002A0038">
            <w:pPr>
              <w:spacing w:before="0" w:after="0" w:line="264" w:lineRule="auto"/>
              <w:jc w:val="left"/>
              <w:rPr>
                <w:color w:val="4472C4" w:themeColor="accent1"/>
                <w:sz w:val="13"/>
                <w:szCs w:val="13"/>
              </w:rPr>
            </w:pPr>
            <w:r>
              <w:rPr>
                <w:color w:val="4472C4" w:themeColor="accent1"/>
                <w:sz w:val="13"/>
                <w:szCs w:val="13"/>
              </w:rPr>
              <w:t>AASB </w:t>
            </w:r>
            <w:r w:rsidR="00B14509" w:rsidRPr="784691EA">
              <w:rPr>
                <w:color w:val="4472C4" w:themeColor="accent1"/>
                <w:sz w:val="13"/>
                <w:szCs w:val="13"/>
              </w:rPr>
              <w:t>1060.58(a)</w:t>
            </w:r>
          </w:p>
        </w:tc>
        <w:tc>
          <w:tcPr>
            <w:tcW w:w="0" w:type="dxa"/>
          </w:tcPr>
          <w:p w14:paraId="6D8D59A4" w14:textId="77777777" w:rsidR="00B14509" w:rsidRDefault="00B14509" w:rsidP="00B14509">
            <w:pPr>
              <w:jc w:val="left"/>
            </w:pPr>
            <w:r>
              <w:t>Employee benefit expenses</w:t>
            </w:r>
          </w:p>
        </w:tc>
        <w:tc>
          <w:tcPr>
            <w:tcW w:w="0" w:type="dxa"/>
          </w:tcPr>
          <w:p w14:paraId="62B4EC60" w14:textId="77777777" w:rsidR="00B14509" w:rsidRDefault="00B14509" w:rsidP="00B14509">
            <w:pPr>
              <w:jc w:val="center"/>
            </w:pPr>
            <w:r>
              <w:t>3.1.1</w:t>
            </w:r>
          </w:p>
        </w:tc>
        <w:tc>
          <w:tcPr>
            <w:tcW w:w="0" w:type="dxa"/>
          </w:tcPr>
          <w:p w14:paraId="51DD0C32" w14:textId="03E4B857" w:rsidR="00B14509" w:rsidRDefault="00B14509" w:rsidP="00B14509">
            <w:r w:rsidRPr="00A14D23">
              <w:t>13</w:t>
            </w:r>
            <w:r w:rsidR="003E3065">
              <w:rPr>
                <w:rFonts w:hint="eastAsia"/>
                <w:lang w:eastAsia="zh-CN"/>
              </w:rPr>
              <w:t xml:space="preserve"> </w:t>
            </w:r>
            <w:r w:rsidRPr="00A14D23">
              <w:t>767</w:t>
            </w:r>
          </w:p>
        </w:tc>
        <w:tc>
          <w:tcPr>
            <w:tcW w:w="0" w:type="dxa"/>
          </w:tcPr>
          <w:p w14:paraId="2829B488" w14:textId="7880820C" w:rsidR="00B14509" w:rsidRDefault="00B14509" w:rsidP="00B14509">
            <w:r w:rsidRPr="00A14D23">
              <w:t>10</w:t>
            </w:r>
            <w:r w:rsidR="003E3065">
              <w:rPr>
                <w:rFonts w:hint="eastAsia"/>
                <w:lang w:eastAsia="zh-CN"/>
              </w:rPr>
              <w:t xml:space="preserve"> </w:t>
            </w:r>
            <w:r w:rsidRPr="00A14D23">
              <w:t>970</w:t>
            </w:r>
          </w:p>
        </w:tc>
      </w:tr>
      <w:tr w:rsidR="00B14509" w14:paraId="3E280AE5" w14:textId="77777777" w:rsidTr="002A0038">
        <w:tc>
          <w:tcPr>
            <w:tcW w:w="0" w:type="dxa"/>
          </w:tcPr>
          <w:p w14:paraId="7E2383E4" w14:textId="10283E44" w:rsidR="00B14509" w:rsidRDefault="0007383E" w:rsidP="00B14509">
            <w:pPr>
              <w:jc w:val="left"/>
            </w:pPr>
            <w:r>
              <w:rPr>
                <w:color w:val="4472C4" w:themeColor="accent1"/>
                <w:sz w:val="13"/>
                <w:szCs w:val="13"/>
              </w:rPr>
              <w:t>AASB </w:t>
            </w:r>
            <w:r w:rsidR="00B14509" w:rsidRPr="784691EA">
              <w:rPr>
                <w:color w:val="4472C4" w:themeColor="accent1"/>
                <w:sz w:val="13"/>
                <w:szCs w:val="13"/>
              </w:rPr>
              <w:t>1060.58(a)</w:t>
            </w:r>
          </w:p>
        </w:tc>
        <w:tc>
          <w:tcPr>
            <w:tcW w:w="0" w:type="dxa"/>
          </w:tcPr>
          <w:p w14:paraId="3387B90A" w14:textId="46E1625F" w:rsidR="00B14509" w:rsidRDefault="00B14509" w:rsidP="00B14509">
            <w:pPr>
              <w:jc w:val="left"/>
            </w:pPr>
            <w:r>
              <w:t>Grant expenses</w:t>
            </w:r>
          </w:p>
        </w:tc>
        <w:tc>
          <w:tcPr>
            <w:tcW w:w="0" w:type="dxa"/>
          </w:tcPr>
          <w:p w14:paraId="78D28E2B" w14:textId="77777777" w:rsidR="00B14509" w:rsidRDefault="00B14509" w:rsidP="00B14509">
            <w:pPr>
              <w:jc w:val="center"/>
            </w:pPr>
            <w:r>
              <w:t>3.2</w:t>
            </w:r>
          </w:p>
        </w:tc>
        <w:tc>
          <w:tcPr>
            <w:tcW w:w="0" w:type="dxa"/>
          </w:tcPr>
          <w:p w14:paraId="40A50A25" w14:textId="1AA80B23" w:rsidR="00B14509" w:rsidRDefault="00B14509" w:rsidP="00B14509">
            <w:r w:rsidRPr="00A14D23">
              <w:t>43</w:t>
            </w:r>
            <w:r w:rsidR="003E3065">
              <w:rPr>
                <w:rFonts w:hint="eastAsia"/>
                <w:lang w:eastAsia="zh-CN"/>
              </w:rPr>
              <w:t xml:space="preserve"> </w:t>
            </w:r>
            <w:r w:rsidRPr="00A14D23">
              <w:t>934</w:t>
            </w:r>
          </w:p>
        </w:tc>
        <w:tc>
          <w:tcPr>
            <w:tcW w:w="0" w:type="dxa"/>
          </w:tcPr>
          <w:p w14:paraId="16831778" w14:textId="3BBFF995" w:rsidR="00B14509" w:rsidRDefault="00B14509" w:rsidP="00B14509">
            <w:r w:rsidRPr="00A14D23">
              <w:t>43</w:t>
            </w:r>
            <w:r w:rsidR="003E3065">
              <w:rPr>
                <w:rFonts w:hint="eastAsia"/>
                <w:lang w:eastAsia="zh-CN"/>
              </w:rPr>
              <w:t xml:space="preserve"> </w:t>
            </w:r>
            <w:r w:rsidRPr="00A14D23">
              <w:t>040</w:t>
            </w:r>
          </w:p>
        </w:tc>
      </w:tr>
      <w:tr w:rsidR="00B14509" w14:paraId="4FC1BD03" w14:textId="77777777" w:rsidTr="002A0038">
        <w:tc>
          <w:tcPr>
            <w:tcW w:w="0" w:type="dxa"/>
          </w:tcPr>
          <w:p w14:paraId="7300FD09" w14:textId="00087379" w:rsidR="00B14509" w:rsidRDefault="0007383E" w:rsidP="00B14509">
            <w:pPr>
              <w:jc w:val="left"/>
            </w:pPr>
            <w:r>
              <w:rPr>
                <w:color w:val="4472C4" w:themeColor="accent1"/>
                <w:sz w:val="13"/>
                <w:szCs w:val="13"/>
              </w:rPr>
              <w:t>AASB </w:t>
            </w:r>
            <w:r w:rsidR="00B14509" w:rsidRPr="784691EA">
              <w:rPr>
                <w:color w:val="4472C4" w:themeColor="accent1"/>
                <w:sz w:val="13"/>
                <w:szCs w:val="13"/>
              </w:rPr>
              <w:t>1060.58(a)</w:t>
            </w:r>
          </w:p>
        </w:tc>
        <w:tc>
          <w:tcPr>
            <w:tcW w:w="0" w:type="dxa"/>
            <w:tcBorders>
              <w:bottom w:val="single" w:sz="12" w:space="0" w:color="auto"/>
            </w:tcBorders>
          </w:tcPr>
          <w:p w14:paraId="07F82986" w14:textId="77777777" w:rsidR="00B14509" w:rsidRDefault="00B14509" w:rsidP="00B14509">
            <w:pPr>
              <w:jc w:val="left"/>
            </w:pPr>
            <w:r>
              <w:t>Other operating expenses</w:t>
            </w:r>
          </w:p>
        </w:tc>
        <w:tc>
          <w:tcPr>
            <w:tcW w:w="0" w:type="dxa"/>
            <w:tcBorders>
              <w:bottom w:val="single" w:sz="12" w:space="0" w:color="auto"/>
            </w:tcBorders>
          </w:tcPr>
          <w:p w14:paraId="565DB8D8" w14:textId="037E8ABA" w:rsidR="00B14509" w:rsidRDefault="00B14509" w:rsidP="00B14509">
            <w:pPr>
              <w:jc w:val="center"/>
            </w:pPr>
            <w:r>
              <w:t>3.3</w:t>
            </w:r>
          </w:p>
        </w:tc>
        <w:tc>
          <w:tcPr>
            <w:tcW w:w="0" w:type="dxa"/>
            <w:tcBorders>
              <w:bottom w:val="single" w:sz="12" w:space="0" w:color="auto"/>
            </w:tcBorders>
          </w:tcPr>
          <w:p w14:paraId="64891507" w14:textId="1BF76D1A" w:rsidR="00B14509" w:rsidRDefault="00B14509" w:rsidP="00B14509">
            <w:r w:rsidRPr="00A14D23">
              <w:t>16</w:t>
            </w:r>
            <w:r w:rsidR="003E3065">
              <w:rPr>
                <w:rFonts w:hint="eastAsia"/>
                <w:lang w:eastAsia="zh-CN"/>
              </w:rPr>
              <w:t xml:space="preserve"> </w:t>
            </w:r>
            <w:r w:rsidRPr="00A14D23">
              <w:t>328</w:t>
            </w:r>
          </w:p>
        </w:tc>
        <w:tc>
          <w:tcPr>
            <w:tcW w:w="0" w:type="dxa"/>
            <w:tcBorders>
              <w:bottom w:val="single" w:sz="12" w:space="0" w:color="auto"/>
            </w:tcBorders>
          </w:tcPr>
          <w:p w14:paraId="79F89038" w14:textId="7E215043" w:rsidR="00B14509" w:rsidRDefault="00B14509" w:rsidP="00B14509">
            <w:r w:rsidRPr="00A14D23">
              <w:t>8</w:t>
            </w:r>
            <w:r w:rsidR="003E3065">
              <w:rPr>
                <w:rFonts w:hint="eastAsia"/>
                <w:lang w:eastAsia="zh-CN"/>
              </w:rPr>
              <w:t xml:space="preserve"> </w:t>
            </w:r>
            <w:r w:rsidRPr="00A14D23">
              <w:t>822</w:t>
            </w:r>
          </w:p>
        </w:tc>
      </w:tr>
      <w:tr w:rsidR="00B61983" w14:paraId="2A88C4B8" w14:textId="77777777" w:rsidTr="60A6DAF9">
        <w:tc>
          <w:tcPr>
            <w:tcW w:w="1349" w:type="dxa"/>
            <w:tcBorders>
              <w:bottom w:val="nil"/>
            </w:tcBorders>
          </w:tcPr>
          <w:p w14:paraId="567D01EB" w14:textId="18EE2635" w:rsidR="00B61983" w:rsidRDefault="0007383E" w:rsidP="00B61983">
            <w:pPr>
              <w:jc w:val="left"/>
            </w:pPr>
            <w:r>
              <w:rPr>
                <w:color w:val="4472C4" w:themeColor="accent1"/>
                <w:sz w:val="13"/>
                <w:szCs w:val="13"/>
              </w:rPr>
              <w:t>AASB </w:t>
            </w:r>
            <w:r w:rsidR="00B61983" w:rsidRPr="60A6DAF9">
              <w:rPr>
                <w:color w:val="4472C4" w:themeColor="accent1"/>
                <w:sz w:val="13"/>
                <w:szCs w:val="13"/>
              </w:rPr>
              <w:t>1060.56</w:t>
            </w:r>
          </w:p>
        </w:tc>
        <w:tc>
          <w:tcPr>
            <w:tcW w:w="5739" w:type="dxa"/>
          </w:tcPr>
          <w:p w14:paraId="14BF6872" w14:textId="77777777" w:rsidR="00B61983" w:rsidRDefault="00B61983" w:rsidP="00B61983">
            <w:pPr>
              <w:jc w:val="left"/>
            </w:pPr>
            <w:r>
              <w:rPr>
                <w:b/>
              </w:rPr>
              <w:t>Total expenses incurred in delivery of services</w:t>
            </w:r>
          </w:p>
        </w:tc>
        <w:tc>
          <w:tcPr>
            <w:tcW w:w="821" w:type="dxa"/>
          </w:tcPr>
          <w:p w14:paraId="0E168940" w14:textId="77777777" w:rsidR="00B61983" w:rsidRDefault="00B61983" w:rsidP="00B61983">
            <w:pPr>
              <w:jc w:val="center"/>
            </w:pPr>
          </w:p>
        </w:tc>
        <w:tc>
          <w:tcPr>
            <w:tcW w:w="865" w:type="dxa"/>
          </w:tcPr>
          <w:p w14:paraId="119C19B2" w14:textId="303980F7" w:rsidR="00B61983" w:rsidRPr="002A0038" w:rsidRDefault="00B61983" w:rsidP="00B61983">
            <w:pPr>
              <w:rPr>
                <w:b/>
                <w:bCs/>
              </w:rPr>
            </w:pPr>
            <w:r w:rsidRPr="002A0038">
              <w:rPr>
                <w:b/>
                <w:bCs/>
              </w:rPr>
              <w:t>74</w:t>
            </w:r>
            <w:r w:rsidR="003E3065">
              <w:rPr>
                <w:rFonts w:hint="eastAsia"/>
                <w:b/>
                <w:bCs/>
                <w:lang w:eastAsia="zh-CN"/>
              </w:rPr>
              <w:t xml:space="preserve"> </w:t>
            </w:r>
            <w:r w:rsidRPr="002A0038">
              <w:rPr>
                <w:b/>
                <w:bCs/>
              </w:rPr>
              <w:t>029</w:t>
            </w:r>
          </w:p>
        </w:tc>
        <w:tc>
          <w:tcPr>
            <w:tcW w:w="865" w:type="dxa"/>
          </w:tcPr>
          <w:p w14:paraId="2C92730B" w14:textId="29155734" w:rsidR="00B61983" w:rsidRPr="002A0038" w:rsidRDefault="00B61983" w:rsidP="00B61983">
            <w:pPr>
              <w:rPr>
                <w:b/>
                <w:bCs/>
              </w:rPr>
            </w:pPr>
            <w:r w:rsidRPr="002A0038">
              <w:rPr>
                <w:b/>
                <w:bCs/>
              </w:rPr>
              <w:t>62</w:t>
            </w:r>
            <w:r w:rsidR="003E3065">
              <w:rPr>
                <w:rFonts w:hint="eastAsia"/>
                <w:b/>
                <w:bCs/>
                <w:lang w:eastAsia="zh-CN"/>
              </w:rPr>
              <w:t xml:space="preserve"> </w:t>
            </w:r>
            <w:r w:rsidRPr="002A0038">
              <w:rPr>
                <w:b/>
                <w:bCs/>
              </w:rPr>
              <w:t>832</w:t>
            </w:r>
          </w:p>
        </w:tc>
      </w:tr>
    </w:tbl>
    <w:p w14:paraId="3B209E0F" w14:textId="77777777" w:rsidR="003719CD" w:rsidRDefault="003719CD" w:rsidP="00DC39DE"/>
    <w:p w14:paraId="6D5C8103" w14:textId="77777777" w:rsidR="003719CD" w:rsidRDefault="003719CD" w:rsidP="007D536F">
      <w:pPr>
        <w:pStyle w:val="GuidanceBlockHeading"/>
      </w:pPr>
      <w:bookmarkStart w:id="677" w:name="_Toc179811403"/>
      <w:bookmarkStart w:id="678" w:name="_Toc179817103"/>
      <w:bookmarkStart w:id="679" w:name="_Toc179822803"/>
      <w:r>
        <w:t>Guidance – Expenses presentation</w:t>
      </w:r>
      <w:bookmarkEnd w:id="677"/>
      <w:bookmarkEnd w:id="678"/>
      <w:bookmarkEnd w:id="679"/>
    </w:p>
    <w:p w14:paraId="35C7B661" w14:textId="43EA2080" w:rsidR="00DA64D8" w:rsidRDefault="00881E02" w:rsidP="002A0038">
      <w:pPr>
        <w:spacing w:before="120" w:after="0"/>
        <w:rPr>
          <w:rStyle w:val="Reference"/>
          <w:rFonts w:asciiTheme="majorHAnsi" w:eastAsiaTheme="majorEastAsia" w:hAnsiTheme="majorHAnsi" w:cstheme="majorBidi"/>
          <w:b/>
          <w:bCs/>
          <w:iCs/>
          <w:szCs w:val="24"/>
        </w:rPr>
      </w:pPr>
      <w:r>
        <w:rPr>
          <w:rStyle w:val="Guidance"/>
        </w:rPr>
        <w:t>An entity shall</w:t>
      </w:r>
      <w:r w:rsidR="00C77AB0">
        <w:rPr>
          <w:rStyle w:val="Guidance"/>
        </w:rPr>
        <w:t xml:space="preserve"> present separately each material class of similar items</w:t>
      </w:r>
      <w:r w:rsidR="0009F535" w:rsidRPr="60A6DAF9">
        <w:rPr>
          <w:rStyle w:val="Guidance"/>
        </w:rPr>
        <w:t>.</w:t>
      </w:r>
      <w:r w:rsidR="00C77AB0">
        <w:rPr>
          <w:rStyle w:val="Guidance"/>
        </w:rPr>
        <w:t xml:space="preserve"> An entity shall present separately items of a dissimilar nature or function unless they are </w:t>
      </w:r>
      <w:r w:rsidR="006C4F60">
        <w:rPr>
          <w:rStyle w:val="Guidance"/>
        </w:rPr>
        <w:t>immaterial</w:t>
      </w:r>
      <w:r w:rsidR="00C77AB0">
        <w:rPr>
          <w:rStyle w:val="Guidance"/>
        </w:rPr>
        <w:t>.</w:t>
      </w:r>
      <w:r w:rsidR="0009F535" w:rsidRPr="60A6DAF9">
        <w:rPr>
          <w:rStyle w:val="Guidance"/>
        </w:rPr>
        <w:t xml:space="preserve"> </w:t>
      </w:r>
      <w:r w:rsidR="00104900" w:rsidRPr="003E3494">
        <w:rPr>
          <w:rStyle w:val="Reference"/>
        </w:rPr>
        <w:t>[</w:t>
      </w:r>
      <w:r w:rsidR="0007383E">
        <w:rPr>
          <w:rStyle w:val="Reference"/>
        </w:rPr>
        <w:t>AASB </w:t>
      </w:r>
      <w:r w:rsidR="00104900" w:rsidRPr="003E3494">
        <w:rPr>
          <w:rStyle w:val="Reference"/>
        </w:rPr>
        <w:t>1060.</w:t>
      </w:r>
      <w:r w:rsidR="00E974F6">
        <w:rPr>
          <w:rStyle w:val="Reference"/>
        </w:rPr>
        <w:t>21</w:t>
      </w:r>
      <w:r w:rsidR="00104900" w:rsidRPr="003E3494">
        <w:rPr>
          <w:rStyle w:val="Reference"/>
        </w:rPr>
        <w:t>]</w:t>
      </w:r>
      <w:r w:rsidR="00104900">
        <w:rPr>
          <w:rStyle w:val="Reference"/>
        </w:rPr>
        <w:t xml:space="preserve"> </w:t>
      </w:r>
    </w:p>
    <w:p w14:paraId="10CE3F96" w14:textId="406EDC2A" w:rsidR="003719CD" w:rsidRPr="002A0038" w:rsidRDefault="00881E02" w:rsidP="002A0038">
      <w:pPr>
        <w:spacing w:before="120" w:after="0"/>
        <w:rPr>
          <w:rStyle w:val="Guidance"/>
        </w:rPr>
      </w:pPr>
      <w:r w:rsidRPr="00881E02">
        <w:rPr>
          <w:color w:val="4472C4" w:themeColor="accent1"/>
        </w:rPr>
        <w:t>An entity shall present in the statement of profit or loss and other comprehensive income or in the notes an</w:t>
      </w:r>
      <w:r>
        <w:rPr>
          <w:color w:val="4472C4" w:themeColor="accent1"/>
        </w:rPr>
        <w:t xml:space="preserve"> </w:t>
      </w:r>
      <w:r w:rsidRPr="00881E02">
        <w:rPr>
          <w:color w:val="4472C4" w:themeColor="accent1"/>
        </w:rPr>
        <w:t>analysis of expenses using a classification based on either the nature of expenses or the function of expenses</w:t>
      </w:r>
      <w:r>
        <w:rPr>
          <w:color w:val="4472C4" w:themeColor="accent1"/>
        </w:rPr>
        <w:t xml:space="preserve"> </w:t>
      </w:r>
      <w:r w:rsidRPr="00881E02">
        <w:rPr>
          <w:color w:val="4472C4" w:themeColor="accent1"/>
        </w:rPr>
        <w:t>within the entity, whichever provides information that is reliable and more relevant.</w:t>
      </w:r>
      <w:r>
        <w:rPr>
          <w:color w:val="4472C4" w:themeColor="accent1"/>
        </w:rPr>
        <w:t xml:space="preserve"> </w:t>
      </w:r>
      <w:r w:rsidRPr="00F8321C">
        <w:rPr>
          <w:rStyle w:val="Reference"/>
        </w:rPr>
        <w:t>[</w:t>
      </w:r>
      <w:r w:rsidR="0007383E">
        <w:rPr>
          <w:rStyle w:val="Reference"/>
        </w:rPr>
        <w:t>AASB </w:t>
      </w:r>
      <w:r w:rsidRPr="00F8321C">
        <w:rPr>
          <w:rStyle w:val="Reference"/>
        </w:rPr>
        <w:t>1060.58]</w:t>
      </w:r>
      <w:r>
        <w:rPr>
          <w:rStyle w:val="Reference"/>
        </w:rPr>
        <w:t xml:space="preserve"> </w:t>
      </w:r>
      <w:r w:rsidR="0009F535" w:rsidRPr="60A6DAF9">
        <w:rPr>
          <w:rStyle w:val="Guidance"/>
        </w:rPr>
        <w:t xml:space="preserve">In the illustrative disclosures, </w:t>
      </w:r>
      <w:r w:rsidR="00E222A0">
        <w:rPr>
          <w:rStyle w:val="Guidance"/>
        </w:rPr>
        <w:t>TV</w:t>
      </w:r>
      <w:r w:rsidR="0009F535" w:rsidRPr="60A6DAF9">
        <w:rPr>
          <w:rStyle w:val="Guidance"/>
        </w:rPr>
        <w:t xml:space="preserve"> classifies its expenses by nature. Expenses are </w:t>
      </w:r>
      <w:r w:rsidR="00AE4151">
        <w:rPr>
          <w:rStyle w:val="Guidance"/>
        </w:rPr>
        <w:t>presented</w:t>
      </w:r>
      <w:r w:rsidR="0009F535" w:rsidRPr="60A6DAF9">
        <w:rPr>
          <w:rStyle w:val="Guidance"/>
        </w:rPr>
        <w:t xml:space="preserve"> on the face of the comprehensive operating statements and further disaggregated in the notes.</w:t>
      </w:r>
    </w:p>
    <w:p w14:paraId="536A1BC2" w14:textId="77777777" w:rsidR="003719CD" w:rsidRDefault="003719CD" w:rsidP="007D536F">
      <w:pPr>
        <w:pStyle w:val="GuidanceEnd"/>
      </w:pPr>
    </w:p>
    <w:p w14:paraId="28B7B925" w14:textId="6F3761BF" w:rsidR="003719CD" w:rsidRDefault="003719CD" w:rsidP="001B5265">
      <w:pPr>
        <w:pStyle w:val="Heading3numbered"/>
      </w:pPr>
      <w:bookmarkStart w:id="680" w:name="_Toc179811404"/>
      <w:bookmarkStart w:id="681" w:name="_Toc179817104"/>
      <w:bookmarkStart w:id="682" w:name="_Toc179822804"/>
      <w:bookmarkStart w:id="683" w:name="_Toc179828487"/>
      <w:bookmarkStart w:id="684" w:name="_Toc179860017"/>
      <w:r>
        <w:t xml:space="preserve">Employee </w:t>
      </w:r>
      <w:r w:rsidR="001234FA">
        <w:rPr>
          <w:rFonts w:eastAsia="SimHei" w:hint="eastAsia"/>
          <w:lang w:eastAsia="zh-CN"/>
        </w:rPr>
        <w:t>expense</w:t>
      </w:r>
      <w:r>
        <w:t>s in the comprehensive operating statement</w:t>
      </w:r>
      <w:bookmarkEnd w:id="680"/>
      <w:bookmarkEnd w:id="681"/>
      <w:bookmarkEnd w:id="682"/>
      <w:bookmarkEnd w:id="683"/>
      <w:bookmarkEnd w:id="684"/>
    </w:p>
    <w:p w14:paraId="2B4687DA" w14:textId="77777777" w:rsidR="003719CD" w:rsidRDefault="003719CD" w:rsidP="007D536F">
      <w:pPr>
        <w:pStyle w:val="TableUnits"/>
      </w:pPr>
      <w:r>
        <w:t>($ thousand)</w:t>
      </w:r>
    </w:p>
    <w:tbl>
      <w:tblPr>
        <w:tblStyle w:val="DTFTable"/>
        <w:tblW w:w="9639" w:type="dxa"/>
        <w:tblLayout w:type="fixed"/>
        <w:tblLook w:val="0620" w:firstRow="1" w:lastRow="0" w:firstColumn="0" w:lastColumn="0" w:noHBand="1" w:noVBand="1"/>
      </w:tblPr>
      <w:tblGrid>
        <w:gridCol w:w="1701"/>
        <w:gridCol w:w="6206"/>
        <w:gridCol w:w="866"/>
        <w:gridCol w:w="866"/>
      </w:tblGrid>
      <w:tr w:rsidR="00182709" w14:paraId="1ABCBFE7" w14:textId="77777777" w:rsidTr="784691EA">
        <w:trPr>
          <w:cnfStyle w:val="100000000000" w:firstRow="1" w:lastRow="0" w:firstColumn="0" w:lastColumn="0" w:oddVBand="0" w:evenVBand="0" w:oddHBand="0" w:evenHBand="0" w:firstRowFirstColumn="0" w:firstRowLastColumn="0" w:lastRowFirstColumn="0" w:lastRowLastColumn="0"/>
          <w:tblHeader/>
        </w:trPr>
        <w:tc>
          <w:tcPr>
            <w:tcW w:w="1701" w:type="dxa"/>
            <w:tcBorders>
              <w:top w:val="nil"/>
              <w:bottom w:val="nil"/>
            </w:tcBorders>
            <w:shd w:val="clear" w:color="auto" w:fill="FFFFFF" w:themeFill="background1"/>
          </w:tcPr>
          <w:p w14:paraId="7F768533" w14:textId="77777777" w:rsidR="00182709" w:rsidRDefault="0044097C">
            <w:pPr>
              <w:keepNext/>
              <w:jc w:val="left"/>
            </w:pPr>
            <w:r>
              <w:rPr>
                <w:color w:val="4472C4"/>
                <w:sz w:val="13"/>
              </w:rPr>
              <w:t>Source reference</w:t>
            </w:r>
          </w:p>
        </w:tc>
        <w:tc>
          <w:tcPr>
            <w:tcW w:w="6206" w:type="dxa"/>
          </w:tcPr>
          <w:p w14:paraId="00E0DFA1" w14:textId="77777777" w:rsidR="00182709" w:rsidRDefault="00182709">
            <w:pPr>
              <w:keepNext/>
              <w:jc w:val="left"/>
            </w:pPr>
          </w:p>
        </w:tc>
        <w:tc>
          <w:tcPr>
            <w:tcW w:w="866" w:type="dxa"/>
          </w:tcPr>
          <w:p w14:paraId="4DEFDEC2" w14:textId="77777777" w:rsidR="00182709" w:rsidRDefault="0044097C">
            <w:pPr>
              <w:keepNext/>
            </w:pPr>
            <w:r>
              <w:t>20X2</w:t>
            </w:r>
          </w:p>
        </w:tc>
        <w:tc>
          <w:tcPr>
            <w:tcW w:w="866" w:type="dxa"/>
          </w:tcPr>
          <w:p w14:paraId="064185F5" w14:textId="77777777" w:rsidR="00182709" w:rsidRDefault="0044097C">
            <w:pPr>
              <w:keepNext/>
            </w:pPr>
            <w:r>
              <w:t>20X1</w:t>
            </w:r>
          </w:p>
        </w:tc>
      </w:tr>
      <w:tr w:rsidR="00416450" w14:paraId="0FEF455C" w14:textId="77777777" w:rsidTr="002A0038">
        <w:tc>
          <w:tcPr>
            <w:tcW w:w="0" w:type="dxa"/>
          </w:tcPr>
          <w:p w14:paraId="561AC7B9" w14:textId="5B61649B" w:rsidR="00416450" w:rsidRDefault="0007383E" w:rsidP="00416450">
            <w:pPr>
              <w:jc w:val="left"/>
            </w:pPr>
            <w:r>
              <w:rPr>
                <w:color w:val="4472C4" w:themeColor="accent1"/>
                <w:sz w:val="13"/>
                <w:szCs w:val="13"/>
              </w:rPr>
              <w:t>AASB </w:t>
            </w:r>
            <w:r w:rsidR="00416450" w:rsidRPr="784691EA">
              <w:rPr>
                <w:color w:val="4472C4" w:themeColor="accent1"/>
                <w:sz w:val="13"/>
                <w:szCs w:val="13"/>
              </w:rPr>
              <w:t>1060.172, FRD 112</w:t>
            </w:r>
          </w:p>
        </w:tc>
        <w:tc>
          <w:tcPr>
            <w:tcW w:w="0" w:type="dxa"/>
          </w:tcPr>
          <w:p w14:paraId="5C6CF6FF" w14:textId="77777777" w:rsidR="00416450" w:rsidRDefault="00416450" w:rsidP="00416450">
            <w:pPr>
              <w:jc w:val="left"/>
            </w:pPr>
            <w:r>
              <w:t>Defined contribution superannuation expense</w:t>
            </w:r>
          </w:p>
        </w:tc>
        <w:tc>
          <w:tcPr>
            <w:tcW w:w="0" w:type="dxa"/>
            <w:vAlign w:val="center"/>
          </w:tcPr>
          <w:p w14:paraId="5B4C78F7" w14:textId="159CCF7D" w:rsidR="00416450" w:rsidRDefault="00416450" w:rsidP="00416450">
            <w:r>
              <w:rPr>
                <w:rFonts w:ascii="Arial" w:hAnsi="Arial" w:cs="Arial"/>
                <w:color w:val="000000"/>
                <w:szCs w:val="16"/>
              </w:rPr>
              <w:t>451</w:t>
            </w:r>
          </w:p>
        </w:tc>
        <w:tc>
          <w:tcPr>
            <w:tcW w:w="0" w:type="dxa"/>
            <w:vAlign w:val="center"/>
          </w:tcPr>
          <w:p w14:paraId="1FC97DE4" w14:textId="3BD0A269" w:rsidR="00416450" w:rsidRDefault="00416450" w:rsidP="00416450">
            <w:r>
              <w:rPr>
                <w:rFonts w:ascii="Arial" w:hAnsi="Arial" w:cs="Arial"/>
                <w:color w:val="000000"/>
                <w:szCs w:val="16"/>
              </w:rPr>
              <w:t>325</w:t>
            </w:r>
          </w:p>
        </w:tc>
      </w:tr>
      <w:tr w:rsidR="00416450" w14:paraId="40DF74A6" w14:textId="77777777" w:rsidTr="002A0038">
        <w:tc>
          <w:tcPr>
            <w:tcW w:w="0" w:type="dxa"/>
          </w:tcPr>
          <w:p w14:paraId="6944905E" w14:textId="185F5E37" w:rsidR="00416450" w:rsidRDefault="0007383E" w:rsidP="00416450">
            <w:pPr>
              <w:jc w:val="left"/>
            </w:pPr>
            <w:r>
              <w:rPr>
                <w:color w:val="4472C4" w:themeColor="accent1"/>
                <w:sz w:val="13"/>
                <w:szCs w:val="13"/>
              </w:rPr>
              <w:t>AASB </w:t>
            </w:r>
            <w:r w:rsidR="00416450" w:rsidRPr="784691EA">
              <w:rPr>
                <w:color w:val="4472C4" w:themeColor="accent1"/>
                <w:sz w:val="13"/>
                <w:szCs w:val="13"/>
              </w:rPr>
              <w:t>1060.173</w:t>
            </w:r>
            <w:r w:rsidR="00416450">
              <w:rPr>
                <w:color w:val="4472C4" w:themeColor="accent1"/>
                <w:sz w:val="13"/>
                <w:szCs w:val="13"/>
              </w:rPr>
              <w:t xml:space="preserve"> (d)</w:t>
            </w:r>
            <w:r w:rsidR="00416450" w:rsidRPr="784691EA">
              <w:rPr>
                <w:color w:val="4472C4" w:themeColor="accent1"/>
                <w:sz w:val="13"/>
                <w:szCs w:val="13"/>
              </w:rPr>
              <w:t>, FRD 112</w:t>
            </w:r>
          </w:p>
        </w:tc>
        <w:tc>
          <w:tcPr>
            <w:tcW w:w="0" w:type="dxa"/>
          </w:tcPr>
          <w:p w14:paraId="06635DF6" w14:textId="77777777" w:rsidR="00416450" w:rsidRDefault="00416450" w:rsidP="00416450">
            <w:pPr>
              <w:jc w:val="left"/>
            </w:pPr>
            <w:r>
              <w:t>Defined benefit superannuation expense</w:t>
            </w:r>
          </w:p>
        </w:tc>
        <w:tc>
          <w:tcPr>
            <w:tcW w:w="0" w:type="dxa"/>
            <w:vAlign w:val="center"/>
          </w:tcPr>
          <w:p w14:paraId="2D186ADA" w14:textId="0F722458" w:rsidR="00416450" w:rsidRDefault="00416450" w:rsidP="00416450">
            <w:r>
              <w:rPr>
                <w:rFonts w:ascii="Arial" w:hAnsi="Arial" w:cs="Arial"/>
                <w:color w:val="000000"/>
                <w:szCs w:val="16"/>
              </w:rPr>
              <w:t>235</w:t>
            </w:r>
          </w:p>
        </w:tc>
        <w:tc>
          <w:tcPr>
            <w:tcW w:w="0" w:type="dxa"/>
            <w:vAlign w:val="center"/>
          </w:tcPr>
          <w:p w14:paraId="1CC807C9" w14:textId="28E8EE74" w:rsidR="00416450" w:rsidRDefault="00416450" w:rsidP="00416450">
            <w:r>
              <w:rPr>
                <w:rFonts w:ascii="Arial" w:hAnsi="Arial" w:cs="Arial"/>
                <w:color w:val="000000"/>
                <w:szCs w:val="16"/>
              </w:rPr>
              <w:t>155</w:t>
            </w:r>
          </w:p>
        </w:tc>
      </w:tr>
      <w:tr w:rsidR="00416450" w14:paraId="238F89AC" w14:textId="77777777" w:rsidTr="002A0038">
        <w:tc>
          <w:tcPr>
            <w:tcW w:w="0" w:type="dxa"/>
          </w:tcPr>
          <w:p w14:paraId="578ADAD9" w14:textId="3D059B50" w:rsidR="00416450" w:rsidRDefault="0007383E" w:rsidP="002A0038">
            <w:pPr>
              <w:spacing w:before="0" w:after="0" w:line="264" w:lineRule="auto"/>
              <w:jc w:val="left"/>
              <w:rPr>
                <w:color w:val="4472C4" w:themeColor="accent1"/>
                <w:sz w:val="13"/>
                <w:szCs w:val="13"/>
              </w:rPr>
            </w:pPr>
            <w:r>
              <w:rPr>
                <w:color w:val="4472C4" w:themeColor="accent1"/>
                <w:sz w:val="13"/>
                <w:szCs w:val="13"/>
              </w:rPr>
              <w:t>AASB </w:t>
            </w:r>
            <w:r w:rsidR="00416450" w:rsidRPr="784691EA">
              <w:rPr>
                <w:color w:val="4472C4" w:themeColor="accent1"/>
                <w:sz w:val="13"/>
                <w:szCs w:val="13"/>
              </w:rPr>
              <w:t>1060.174</w:t>
            </w:r>
          </w:p>
        </w:tc>
        <w:tc>
          <w:tcPr>
            <w:tcW w:w="0" w:type="dxa"/>
          </w:tcPr>
          <w:p w14:paraId="04FA88CF" w14:textId="77777777" w:rsidR="00416450" w:rsidRDefault="00416450" w:rsidP="00416450">
            <w:pPr>
              <w:jc w:val="left"/>
            </w:pPr>
            <w:r>
              <w:t>Termination benefits</w:t>
            </w:r>
          </w:p>
        </w:tc>
        <w:tc>
          <w:tcPr>
            <w:tcW w:w="0" w:type="dxa"/>
            <w:vAlign w:val="center"/>
          </w:tcPr>
          <w:p w14:paraId="1A5F15BD" w14:textId="1A7A5C81" w:rsidR="00416450" w:rsidRDefault="00416450" w:rsidP="00416450">
            <w:r>
              <w:rPr>
                <w:rFonts w:ascii="Arial" w:hAnsi="Arial" w:cs="Arial"/>
                <w:color w:val="000000"/>
                <w:szCs w:val="16"/>
              </w:rPr>
              <w:t>1</w:t>
            </w:r>
            <w:r w:rsidR="003E3065">
              <w:rPr>
                <w:rFonts w:ascii="Arial" w:hAnsi="Arial" w:cs="Arial" w:hint="eastAsia"/>
                <w:color w:val="000000"/>
                <w:szCs w:val="16"/>
                <w:lang w:eastAsia="zh-CN"/>
              </w:rPr>
              <w:t xml:space="preserve"> </w:t>
            </w:r>
            <w:r>
              <w:rPr>
                <w:rFonts w:ascii="Arial" w:hAnsi="Arial" w:cs="Arial"/>
                <w:color w:val="000000"/>
                <w:szCs w:val="16"/>
              </w:rPr>
              <w:t>810</w:t>
            </w:r>
          </w:p>
        </w:tc>
        <w:tc>
          <w:tcPr>
            <w:tcW w:w="0" w:type="dxa"/>
            <w:vAlign w:val="center"/>
          </w:tcPr>
          <w:p w14:paraId="4CD1B167" w14:textId="633B887E" w:rsidR="00416450" w:rsidRDefault="00416450" w:rsidP="00416450">
            <w:r>
              <w:rPr>
                <w:rFonts w:ascii="Arial" w:hAnsi="Arial" w:cs="Arial"/>
                <w:color w:val="000000"/>
                <w:szCs w:val="16"/>
              </w:rPr>
              <w:t>120</w:t>
            </w:r>
          </w:p>
        </w:tc>
      </w:tr>
      <w:tr w:rsidR="00416450" w14:paraId="1B629FE7" w14:textId="77777777" w:rsidTr="002A0038">
        <w:tc>
          <w:tcPr>
            <w:tcW w:w="0" w:type="dxa"/>
          </w:tcPr>
          <w:p w14:paraId="54A14960" w14:textId="77777777" w:rsidR="00416450" w:rsidRDefault="00416450" w:rsidP="00416450">
            <w:pPr>
              <w:jc w:val="left"/>
            </w:pPr>
          </w:p>
        </w:tc>
        <w:tc>
          <w:tcPr>
            <w:tcW w:w="0" w:type="dxa"/>
            <w:tcBorders>
              <w:bottom w:val="single" w:sz="12" w:space="0" w:color="auto"/>
            </w:tcBorders>
          </w:tcPr>
          <w:p w14:paraId="4A88C310" w14:textId="77777777" w:rsidR="00416450" w:rsidRDefault="00416450" w:rsidP="00416450">
            <w:pPr>
              <w:jc w:val="left"/>
            </w:pPr>
            <w:r>
              <w:t>Salaries and wages, annual leave and long service leave</w:t>
            </w:r>
          </w:p>
        </w:tc>
        <w:tc>
          <w:tcPr>
            <w:tcW w:w="0" w:type="dxa"/>
            <w:tcBorders>
              <w:bottom w:val="single" w:sz="12" w:space="0" w:color="auto"/>
            </w:tcBorders>
            <w:vAlign w:val="center"/>
          </w:tcPr>
          <w:p w14:paraId="7BB018D2" w14:textId="7DF03C7C" w:rsidR="00416450" w:rsidRDefault="00416450" w:rsidP="00416450">
            <w:r>
              <w:rPr>
                <w:rFonts w:ascii="Arial" w:hAnsi="Arial" w:cs="Arial"/>
                <w:color w:val="000000"/>
                <w:szCs w:val="16"/>
              </w:rPr>
              <w:t>11</w:t>
            </w:r>
            <w:r w:rsidR="003E3065">
              <w:rPr>
                <w:rFonts w:ascii="Arial" w:hAnsi="Arial" w:cs="Arial" w:hint="eastAsia"/>
                <w:color w:val="000000"/>
                <w:szCs w:val="16"/>
                <w:lang w:eastAsia="zh-CN"/>
              </w:rPr>
              <w:t xml:space="preserve"> </w:t>
            </w:r>
            <w:r>
              <w:rPr>
                <w:rFonts w:ascii="Arial" w:hAnsi="Arial" w:cs="Arial"/>
                <w:color w:val="000000"/>
                <w:szCs w:val="16"/>
              </w:rPr>
              <w:t>271</w:t>
            </w:r>
          </w:p>
        </w:tc>
        <w:tc>
          <w:tcPr>
            <w:tcW w:w="0" w:type="dxa"/>
            <w:tcBorders>
              <w:bottom w:val="single" w:sz="12" w:space="0" w:color="auto"/>
            </w:tcBorders>
            <w:vAlign w:val="center"/>
          </w:tcPr>
          <w:p w14:paraId="2DB53297" w14:textId="044D64C6" w:rsidR="00416450" w:rsidRDefault="00416450" w:rsidP="00416450">
            <w:r>
              <w:rPr>
                <w:rFonts w:ascii="Arial" w:hAnsi="Arial" w:cs="Arial"/>
                <w:color w:val="000000"/>
                <w:szCs w:val="16"/>
              </w:rPr>
              <w:t>10</w:t>
            </w:r>
            <w:r w:rsidR="003E3065">
              <w:rPr>
                <w:rFonts w:ascii="Arial" w:hAnsi="Arial" w:cs="Arial" w:hint="eastAsia"/>
                <w:color w:val="000000"/>
                <w:szCs w:val="16"/>
                <w:lang w:eastAsia="zh-CN"/>
              </w:rPr>
              <w:t xml:space="preserve"> </w:t>
            </w:r>
            <w:r>
              <w:rPr>
                <w:rFonts w:ascii="Arial" w:hAnsi="Arial" w:cs="Arial"/>
                <w:color w:val="000000"/>
                <w:szCs w:val="16"/>
              </w:rPr>
              <w:t>370</w:t>
            </w:r>
          </w:p>
        </w:tc>
      </w:tr>
      <w:tr w:rsidR="00D70438" w14:paraId="0E931DB0" w14:textId="77777777" w:rsidTr="002A0038">
        <w:tc>
          <w:tcPr>
            <w:tcW w:w="0" w:type="dxa"/>
            <w:tcBorders>
              <w:bottom w:val="nil"/>
            </w:tcBorders>
          </w:tcPr>
          <w:p w14:paraId="319D1A9D" w14:textId="77777777" w:rsidR="00D70438" w:rsidRDefault="00D70438" w:rsidP="00D70438">
            <w:pPr>
              <w:jc w:val="left"/>
            </w:pPr>
          </w:p>
        </w:tc>
        <w:tc>
          <w:tcPr>
            <w:tcW w:w="0" w:type="dxa"/>
          </w:tcPr>
          <w:p w14:paraId="7312CDA0" w14:textId="77777777" w:rsidR="00D70438" w:rsidRDefault="00D70438" w:rsidP="00D70438">
            <w:pPr>
              <w:jc w:val="left"/>
            </w:pPr>
            <w:r>
              <w:rPr>
                <w:b/>
              </w:rPr>
              <w:t>Total employee expenses</w:t>
            </w:r>
          </w:p>
        </w:tc>
        <w:tc>
          <w:tcPr>
            <w:tcW w:w="0" w:type="dxa"/>
            <w:vAlign w:val="center"/>
          </w:tcPr>
          <w:p w14:paraId="3367761A" w14:textId="281FBFFF" w:rsidR="00D70438" w:rsidRDefault="00D70438" w:rsidP="00D70438">
            <w:r>
              <w:rPr>
                <w:rFonts w:ascii="Arial" w:hAnsi="Arial" w:cs="Arial"/>
                <w:b/>
                <w:bCs/>
                <w:color w:val="000000"/>
                <w:szCs w:val="16"/>
              </w:rPr>
              <w:t>13</w:t>
            </w:r>
            <w:r w:rsidR="003E3065">
              <w:rPr>
                <w:rFonts w:ascii="Arial" w:hAnsi="Arial" w:cs="Arial" w:hint="eastAsia"/>
                <w:b/>
                <w:bCs/>
                <w:color w:val="000000"/>
                <w:szCs w:val="16"/>
                <w:lang w:eastAsia="zh-CN"/>
              </w:rPr>
              <w:t xml:space="preserve"> </w:t>
            </w:r>
            <w:r>
              <w:rPr>
                <w:rFonts w:ascii="Arial" w:hAnsi="Arial" w:cs="Arial"/>
                <w:b/>
                <w:bCs/>
                <w:color w:val="000000"/>
                <w:szCs w:val="16"/>
              </w:rPr>
              <w:t>767</w:t>
            </w:r>
          </w:p>
        </w:tc>
        <w:tc>
          <w:tcPr>
            <w:tcW w:w="0" w:type="dxa"/>
            <w:vAlign w:val="center"/>
          </w:tcPr>
          <w:p w14:paraId="232A8A68" w14:textId="651558B9" w:rsidR="00D70438" w:rsidRDefault="00D70438" w:rsidP="00D70438">
            <w:r>
              <w:rPr>
                <w:rFonts w:ascii="Arial" w:hAnsi="Arial" w:cs="Arial"/>
                <w:b/>
                <w:bCs/>
                <w:color w:val="000000"/>
                <w:szCs w:val="16"/>
              </w:rPr>
              <w:t>10</w:t>
            </w:r>
            <w:r w:rsidR="003E3065">
              <w:rPr>
                <w:rFonts w:ascii="Arial" w:hAnsi="Arial" w:cs="Arial" w:hint="eastAsia"/>
                <w:b/>
                <w:bCs/>
                <w:color w:val="000000"/>
                <w:szCs w:val="16"/>
                <w:lang w:eastAsia="zh-CN"/>
              </w:rPr>
              <w:t xml:space="preserve"> </w:t>
            </w:r>
            <w:r>
              <w:rPr>
                <w:rFonts w:ascii="Arial" w:hAnsi="Arial" w:cs="Arial"/>
                <w:b/>
                <w:bCs/>
                <w:color w:val="000000"/>
                <w:szCs w:val="16"/>
              </w:rPr>
              <w:t>970</w:t>
            </w:r>
          </w:p>
        </w:tc>
      </w:tr>
    </w:tbl>
    <w:p w14:paraId="6FFA4CC7" w14:textId="51F4C170" w:rsidR="003719CD" w:rsidRDefault="003719CD" w:rsidP="00DC39DE">
      <w:r>
        <w:t xml:space="preserve">Employee expenses include all costs related to employment including wages and salaries, fringe benefits tax, leave entitlements, termination payments and </w:t>
      </w:r>
      <w:proofErr w:type="spellStart"/>
      <w:r>
        <w:t>WorkCover</w:t>
      </w:r>
      <w:proofErr w:type="spellEnd"/>
      <w:r>
        <w:t xml:space="preserve"> premiums. </w:t>
      </w:r>
      <w:r w:rsidRPr="00AA7379">
        <w:rPr>
          <w:rStyle w:val="Reference"/>
        </w:rPr>
        <w:t>[</w:t>
      </w:r>
      <w:r w:rsidR="0007383E">
        <w:rPr>
          <w:rStyle w:val="Reference"/>
        </w:rPr>
        <w:t>AASB </w:t>
      </w:r>
      <w:r w:rsidRPr="00AA7379">
        <w:rPr>
          <w:rStyle w:val="Reference"/>
        </w:rPr>
        <w:t>119.8]</w:t>
      </w:r>
    </w:p>
    <w:p w14:paraId="455BF359" w14:textId="77777777" w:rsidR="001070AE" w:rsidRDefault="003719CD" w:rsidP="00DC39DE">
      <w:r>
        <w:t xml:space="preserve">The amount recognised in the comprehensive operating statement in relation to superannuation is employer contributions for members of both defined benefit and defined contribution superannuation plans that are paid or payable during the reporting period. </w:t>
      </w:r>
    </w:p>
    <w:p w14:paraId="70605072" w14:textId="4F87A6C2" w:rsidR="003719CD" w:rsidRPr="00E10CD7" w:rsidRDefault="001070AE" w:rsidP="00DC39DE">
      <w:pPr>
        <w:rPr>
          <w:color w:val="4472C4" w:themeColor="accent1"/>
          <w:lang w:eastAsia="zh-CN"/>
        </w:rPr>
      </w:pPr>
      <w:r>
        <w:t>The defined benefit plan(s) provides benefits based on years of service and final average salary</w:t>
      </w:r>
      <w:r>
        <w:rPr>
          <w:rFonts w:hint="eastAsia"/>
          <w:lang w:eastAsia="zh-CN"/>
        </w:rPr>
        <w:t xml:space="preserve">. </w:t>
      </w:r>
      <w:r w:rsidRPr="00F12B0D">
        <w:rPr>
          <w:lang w:eastAsia="zh-CN"/>
        </w:rPr>
        <w:t>The basis for determining the level of contributions is determined by the various actuaries of the defined benefit superannuation plans.</w:t>
      </w:r>
      <w:r>
        <w:rPr>
          <w:rFonts w:hint="eastAsia"/>
          <w:lang w:eastAsia="zh-CN"/>
        </w:rPr>
        <w:t xml:space="preserve"> </w:t>
      </w:r>
      <w:r w:rsidRPr="784691EA">
        <w:rPr>
          <w:rStyle w:val="Reference"/>
        </w:rPr>
        <w:t>[</w:t>
      </w:r>
      <w:r w:rsidR="0007383E">
        <w:rPr>
          <w:rStyle w:val="Reference"/>
        </w:rPr>
        <w:t>AASB </w:t>
      </w:r>
      <w:r w:rsidRPr="784691EA">
        <w:rPr>
          <w:rStyle w:val="Reference"/>
        </w:rPr>
        <w:t>1</w:t>
      </w:r>
      <w:r>
        <w:rPr>
          <w:rStyle w:val="Reference"/>
          <w:rFonts w:hint="eastAsia"/>
          <w:lang w:eastAsia="zh-CN"/>
        </w:rPr>
        <w:t>060</w:t>
      </w:r>
      <w:r w:rsidRPr="784691EA">
        <w:rPr>
          <w:rStyle w:val="Reference"/>
        </w:rPr>
        <w:t>.</w:t>
      </w:r>
      <w:r>
        <w:rPr>
          <w:rStyle w:val="Reference"/>
        </w:rPr>
        <w:t>1</w:t>
      </w:r>
      <w:r>
        <w:rPr>
          <w:rStyle w:val="Reference"/>
          <w:rFonts w:hint="eastAsia"/>
          <w:lang w:eastAsia="zh-CN"/>
        </w:rPr>
        <w:t>73 (a)</w:t>
      </w:r>
      <w:r w:rsidRPr="784691EA">
        <w:rPr>
          <w:rStyle w:val="Reference"/>
        </w:rPr>
        <w:t>]</w:t>
      </w:r>
      <w:r>
        <w:rPr>
          <w:rStyle w:val="Reference"/>
        </w:rPr>
        <w:t xml:space="preserve"> </w:t>
      </w:r>
      <w:r w:rsidR="00E222A0" w:rsidRPr="006D759E">
        <w:t>TV</w:t>
      </w:r>
      <w:r w:rsidR="003719CD" w:rsidRPr="006D759E">
        <w:t xml:space="preserve"> does not recognise any defined benefit liabilities because it has no legal or constructive obligation to pay future benefits relating to its employees. Instead, </w:t>
      </w:r>
      <w:r w:rsidR="005937B4" w:rsidRPr="002A0038">
        <w:rPr>
          <w:rStyle w:val="Guidance"/>
          <w:color w:val="auto"/>
          <w:lang w:eastAsia="zh-CN"/>
        </w:rPr>
        <w:t>TV account</w:t>
      </w:r>
      <w:r w:rsidR="005937B4">
        <w:rPr>
          <w:rStyle w:val="Guidance"/>
          <w:color w:val="auto"/>
          <w:lang w:eastAsia="zh-CN"/>
        </w:rPr>
        <w:t>s</w:t>
      </w:r>
      <w:r w:rsidR="005937B4" w:rsidRPr="002A0038">
        <w:rPr>
          <w:rStyle w:val="Guidance"/>
          <w:color w:val="auto"/>
          <w:lang w:eastAsia="zh-CN"/>
        </w:rPr>
        <w:t xml:space="preserve"> for contributions to these plans as if they were defined contribution plans under </w:t>
      </w:r>
      <w:r w:rsidR="0007383E">
        <w:rPr>
          <w:rStyle w:val="Guidance"/>
          <w:color w:val="auto"/>
          <w:lang w:eastAsia="zh-CN"/>
        </w:rPr>
        <w:t>AASB </w:t>
      </w:r>
      <w:r w:rsidR="005937B4" w:rsidRPr="002A0038">
        <w:rPr>
          <w:rStyle w:val="Guidance"/>
          <w:color w:val="auto"/>
          <w:lang w:eastAsia="zh-CN"/>
        </w:rPr>
        <w:t>119</w:t>
      </w:r>
      <w:r w:rsidR="005937B4" w:rsidRPr="002A0038">
        <w:rPr>
          <w:rStyle w:val="Guidance"/>
          <w:i/>
          <w:iCs/>
          <w:color w:val="auto"/>
          <w:lang w:eastAsia="zh-CN"/>
        </w:rPr>
        <w:t xml:space="preserve"> Employee Benefits</w:t>
      </w:r>
      <w:r w:rsidR="005937B4" w:rsidRPr="002A0038">
        <w:rPr>
          <w:rStyle w:val="Guidance"/>
          <w:color w:val="auto"/>
          <w:lang w:eastAsia="zh-CN"/>
        </w:rPr>
        <w:t>.</w:t>
      </w:r>
      <w:r w:rsidR="003719CD" w:rsidRPr="002A0038">
        <w:rPr>
          <w:rStyle w:val="Guidance"/>
          <w:color w:val="auto"/>
          <w:lang w:eastAsia="zh-CN"/>
        </w:rPr>
        <w:t xml:space="preserve"> </w:t>
      </w:r>
      <w:r w:rsidR="00885865">
        <w:t>T</w:t>
      </w:r>
      <w:r w:rsidR="003719CD" w:rsidRPr="006D759E">
        <w:t>he Department of Treasury and Finance (DTF) discloses in its annual financial statements the net defined benefit cost related to the members of these plans as an administered liability (on behalf of the State as the sponsoring employer).</w:t>
      </w:r>
      <w:r w:rsidR="003719CD">
        <w:t xml:space="preserve"> </w:t>
      </w:r>
      <w:r w:rsidR="003719CD" w:rsidRPr="00AA7379">
        <w:rPr>
          <w:rStyle w:val="Reference"/>
        </w:rPr>
        <w:t>[FRD 112]</w:t>
      </w:r>
    </w:p>
    <w:p w14:paraId="39FB23D2" w14:textId="4E5E1DB7" w:rsidR="003719CD" w:rsidRDefault="003719CD" w:rsidP="00DC39DE">
      <w:r>
        <w:t>Termination benefits are payable when employment is terminated before</w:t>
      </w:r>
      <w:r w:rsidR="00250EEC">
        <w:t xml:space="preserve"> the</w:t>
      </w:r>
      <w:r>
        <w:t xml:space="preserve"> normal retirement date, or when an employee accepts an offer of benefits in exchange for the termination of employment. Termination benefits are recognised when </w:t>
      </w:r>
      <w:r w:rsidR="00E222A0">
        <w:t>TV</w:t>
      </w:r>
      <w:r>
        <w:t xml:space="preserve"> is demonstrably committed to terminating the employment of current employees according to a detailed formal plan without possibility of withdrawal or providing termination benefits </w:t>
      </w:r>
      <w:proofErr w:type="gramStart"/>
      <w:r>
        <w:t>as a result of</w:t>
      </w:r>
      <w:proofErr w:type="gramEnd"/>
      <w:r>
        <w:t xml:space="preserve"> an offer made to encourage voluntary redundancy. </w:t>
      </w:r>
      <w:r w:rsidRPr="00AA7379">
        <w:rPr>
          <w:rStyle w:val="Reference"/>
        </w:rPr>
        <w:t>[</w:t>
      </w:r>
      <w:r w:rsidR="0007383E">
        <w:rPr>
          <w:rStyle w:val="Reference"/>
        </w:rPr>
        <w:t>AASB </w:t>
      </w:r>
      <w:r w:rsidRPr="00AA7379">
        <w:rPr>
          <w:rStyle w:val="Reference"/>
        </w:rPr>
        <w:t>119.128, 133</w:t>
      </w:r>
      <w:r w:rsidR="009A5252">
        <w:rPr>
          <w:rStyle w:val="Reference"/>
        </w:rPr>
        <w:t>,</w:t>
      </w:r>
      <w:r w:rsidRPr="00AA7379">
        <w:rPr>
          <w:rStyle w:val="Reference"/>
        </w:rPr>
        <w:t>134</w:t>
      </w:r>
      <w:r w:rsidR="0065573B">
        <w:rPr>
          <w:rStyle w:val="Reference"/>
        </w:rPr>
        <w:t xml:space="preserve">, </w:t>
      </w:r>
      <w:r w:rsidR="0007383E">
        <w:rPr>
          <w:rStyle w:val="Reference"/>
        </w:rPr>
        <w:t>AASB </w:t>
      </w:r>
      <w:r w:rsidR="0065573B">
        <w:rPr>
          <w:rStyle w:val="Reference"/>
        </w:rPr>
        <w:t>1060.</w:t>
      </w:r>
      <w:r w:rsidR="00513EDC">
        <w:rPr>
          <w:rStyle w:val="Reference"/>
        </w:rPr>
        <w:t>174</w:t>
      </w:r>
      <w:r w:rsidRPr="00AA7379">
        <w:rPr>
          <w:rStyle w:val="Reference"/>
        </w:rPr>
        <w:t>]</w:t>
      </w:r>
    </w:p>
    <w:p w14:paraId="7299F33F" w14:textId="59E7EEB8" w:rsidR="003719CD" w:rsidRDefault="003719CD" w:rsidP="001B5265">
      <w:pPr>
        <w:pStyle w:val="Heading3numbered"/>
      </w:pPr>
      <w:bookmarkStart w:id="685" w:name="_Toc179811405"/>
      <w:bookmarkStart w:id="686" w:name="_Toc179817105"/>
      <w:bookmarkStart w:id="687" w:name="_Toc179822805"/>
      <w:bookmarkStart w:id="688" w:name="_Toc179828488"/>
      <w:bookmarkStart w:id="689" w:name="_Toc179860018"/>
      <w:r>
        <w:t>Employee</w:t>
      </w:r>
      <w:r w:rsidR="00FD374A">
        <w:rPr>
          <w:rFonts w:eastAsia="SimHei" w:hint="eastAsia"/>
          <w:lang w:eastAsia="zh-CN"/>
        </w:rPr>
        <w:t>-related Provisions</w:t>
      </w:r>
      <w:bookmarkEnd w:id="685"/>
      <w:bookmarkEnd w:id="686"/>
      <w:bookmarkEnd w:id="687"/>
      <w:bookmarkEnd w:id="688"/>
      <w:bookmarkEnd w:id="689"/>
      <w:r w:rsidR="00817435">
        <w:rPr>
          <w:rFonts w:eastAsia="SimHei"/>
          <w:lang w:eastAsia="zh-CN"/>
        </w:rPr>
        <w:t xml:space="preserve"> </w:t>
      </w:r>
      <w:r w:rsidR="00817435" w:rsidRPr="00E51206">
        <w:rPr>
          <w:rFonts w:eastAsia="SimHei"/>
          <w:color w:val="C00000"/>
          <w:sz w:val="20"/>
          <w:szCs w:val="22"/>
          <w:lang w:eastAsia="zh-CN"/>
        </w:rPr>
        <w:t>[REVISED]</w:t>
      </w:r>
    </w:p>
    <w:p w14:paraId="1715AE6D" w14:textId="18EDD427" w:rsidR="003719CD" w:rsidRDefault="003719CD" w:rsidP="00DC39DE">
      <w:r>
        <w:t xml:space="preserve">Provision is made for benefits accruing to employees in respect of wages and salaries, annual leave and long service leave (LSL) for services rendered to the reporting date and recorded as an expense during the period the services are delivered. </w:t>
      </w:r>
      <w:r w:rsidRPr="00AA7379">
        <w:rPr>
          <w:rStyle w:val="Reference"/>
        </w:rPr>
        <w:t>[</w:t>
      </w:r>
      <w:r w:rsidR="0007383E">
        <w:rPr>
          <w:rStyle w:val="Reference"/>
        </w:rPr>
        <w:t>AASB </w:t>
      </w:r>
      <w:r w:rsidRPr="00AA7379">
        <w:rPr>
          <w:rStyle w:val="Reference"/>
        </w:rPr>
        <w:t>119.11, 153]</w:t>
      </w:r>
    </w:p>
    <w:p w14:paraId="35D14CDC" w14:textId="77777777" w:rsidR="003719CD" w:rsidRDefault="003719CD" w:rsidP="007D536F">
      <w:pPr>
        <w:pStyle w:val="TableUnits"/>
      </w:pPr>
      <w:r>
        <w:t>($ thousand)</w:t>
      </w:r>
    </w:p>
    <w:tbl>
      <w:tblPr>
        <w:tblStyle w:val="DTFTable"/>
        <w:tblW w:w="9639" w:type="dxa"/>
        <w:tblLayout w:type="fixed"/>
        <w:tblLook w:val="0620" w:firstRow="1" w:lastRow="0" w:firstColumn="0" w:lastColumn="0" w:noHBand="1" w:noVBand="1"/>
      </w:tblPr>
      <w:tblGrid>
        <w:gridCol w:w="1349"/>
        <w:gridCol w:w="6558"/>
        <w:gridCol w:w="866"/>
        <w:gridCol w:w="866"/>
      </w:tblGrid>
      <w:tr w:rsidR="00182709" w14:paraId="75478D73" w14:textId="77777777" w:rsidTr="002A0038">
        <w:trPr>
          <w:cnfStyle w:val="100000000000" w:firstRow="1" w:lastRow="0" w:firstColumn="0" w:lastColumn="0" w:oddVBand="0" w:evenVBand="0" w:oddHBand="0" w:evenHBand="0" w:firstRowFirstColumn="0" w:firstRowLastColumn="0" w:lastRowFirstColumn="0" w:lastRowLastColumn="0"/>
          <w:tblHeader/>
        </w:trPr>
        <w:tc>
          <w:tcPr>
            <w:tcW w:w="1349" w:type="dxa"/>
            <w:tcBorders>
              <w:top w:val="nil"/>
              <w:bottom w:val="nil"/>
            </w:tcBorders>
            <w:shd w:val="clear" w:color="auto" w:fill="FFFFFF" w:themeFill="background1"/>
          </w:tcPr>
          <w:p w14:paraId="218FB3BF" w14:textId="77777777" w:rsidR="00182709" w:rsidRDefault="0044097C">
            <w:pPr>
              <w:keepNext/>
              <w:jc w:val="left"/>
            </w:pPr>
            <w:r>
              <w:rPr>
                <w:color w:val="4472C4"/>
                <w:sz w:val="13"/>
              </w:rPr>
              <w:t>Source reference</w:t>
            </w:r>
          </w:p>
        </w:tc>
        <w:tc>
          <w:tcPr>
            <w:tcW w:w="6558" w:type="dxa"/>
          </w:tcPr>
          <w:p w14:paraId="20EF62EE" w14:textId="77777777" w:rsidR="00182709" w:rsidRDefault="00182709">
            <w:pPr>
              <w:keepNext/>
              <w:jc w:val="left"/>
            </w:pPr>
          </w:p>
        </w:tc>
        <w:tc>
          <w:tcPr>
            <w:tcW w:w="866" w:type="dxa"/>
          </w:tcPr>
          <w:p w14:paraId="1AB31550" w14:textId="77777777" w:rsidR="00182709" w:rsidRDefault="0044097C">
            <w:pPr>
              <w:keepNext/>
            </w:pPr>
            <w:r>
              <w:t>20X2</w:t>
            </w:r>
          </w:p>
        </w:tc>
        <w:tc>
          <w:tcPr>
            <w:tcW w:w="866" w:type="dxa"/>
          </w:tcPr>
          <w:p w14:paraId="63455129" w14:textId="77777777" w:rsidR="00182709" w:rsidRDefault="0044097C">
            <w:pPr>
              <w:keepNext/>
            </w:pPr>
            <w:r>
              <w:t>20X1</w:t>
            </w:r>
          </w:p>
        </w:tc>
      </w:tr>
      <w:tr w:rsidR="00182709" w14:paraId="1D225DF4" w14:textId="77777777" w:rsidTr="002A0038">
        <w:tc>
          <w:tcPr>
            <w:tcW w:w="1349" w:type="dxa"/>
          </w:tcPr>
          <w:p w14:paraId="550A62C5" w14:textId="77777777" w:rsidR="00182709" w:rsidRDefault="00182709">
            <w:pPr>
              <w:jc w:val="left"/>
            </w:pPr>
          </w:p>
        </w:tc>
        <w:tc>
          <w:tcPr>
            <w:tcW w:w="6558" w:type="dxa"/>
          </w:tcPr>
          <w:p w14:paraId="0A7C1249" w14:textId="77777777" w:rsidR="00182709" w:rsidRDefault="0044097C">
            <w:pPr>
              <w:jc w:val="left"/>
            </w:pPr>
            <w:r>
              <w:rPr>
                <w:b/>
              </w:rPr>
              <w:t>Current provisions:</w:t>
            </w:r>
          </w:p>
        </w:tc>
        <w:tc>
          <w:tcPr>
            <w:tcW w:w="866" w:type="dxa"/>
          </w:tcPr>
          <w:p w14:paraId="54D63184" w14:textId="77777777" w:rsidR="00182709" w:rsidRDefault="00182709"/>
        </w:tc>
        <w:tc>
          <w:tcPr>
            <w:tcW w:w="866" w:type="dxa"/>
          </w:tcPr>
          <w:p w14:paraId="38367B3B" w14:textId="77777777" w:rsidR="00182709" w:rsidRDefault="00182709"/>
        </w:tc>
      </w:tr>
      <w:tr w:rsidR="00B729D8" w14:paraId="061743A9" w14:textId="77777777" w:rsidTr="002A0038">
        <w:tc>
          <w:tcPr>
            <w:tcW w:w="1349" w:type="dxa"/>
          </w:tcPr>
          <w:p w14:paraId="4A7B131C" w14:textId="09DF8F49" w:rsidR="00B729D8" w:rsidRDefault="0007383E" w:rsidP="00B729D8">
            <w:pPr>
              <w:jc w:val="left"/>
            </w:pPr>
            <w:r>
              <w:rPr>
                <w:color w:val="4472C4" w:themeColor="accent1"/>
                <w:sz w:val="13"/>
                <w:szCs w:val="13"/>
              </w:rPr>
              <w:t>AASB </w:t>
            </w:r>
            <w:r w:rsidR="00B729D8" w:rsidRPr="3B6CD9D1">
              <w:rPr>
                <w:color w:val="4472C4" w:themeColor="accent1"/>
                <w:sz w:val="13"/>
                <w:szCs w:val="13"/>
              </w:rPr>
              <w:t>1060.44(e)</w:t>
            </w:r>
          </w:p>
        </w:tc>
        <w:tc>
          <w:tcPr>
            <w:tcW w:w="6558" w:type="dxa"/>
          </w:tcPr>
          <w:p w14:paraId="6E98FF39" w14:textId="77777777" w:rsidR="00B729D8" w:rsidRDefault="00B729D8" w:rsidP="00B729D8">
            <w:pPr>
              <w:jc w:val="left"/>
            </w:pPr>
            <w:r w:rsidRPr="002A0038">
              <w:t>Annual leave</w:t>
            </w:r>
          </w:p>
        </w:tc>
        <w:tc>
          <w:tcPr>
            <w:tcW w:w="866" w:type="dxa"/>
          </w:tcPr>
          <w:p w14:paraId="7E8416AE" w14:textId="0B307806" w:rsidR="00B729D8" w:rsidRDefault="00B729D8" w:rsidP="00B729D8">
            <w:r w:rsidRPr="00B40806">
              <w:t>2</w:t>
            </w:r>
            <w:r w:rsidR="003E3065">
              <w:rPr>
                <w:rFonts w:hint="eastAsia"/>
                <w:lang w:eastAsia="zh-CN"/>
              </w:rPr>
              <w:t xml:space="preserve"> </w:t>
            </w:r>
            <w:r w:rsidRPr="00B40806">
              <w:t>352</w:t>
            </w:r>
          </w:p>
        </w:tc>
        <w:tc>
          <w:tcPr>
            <w:tcW w:w="866" w:type="dxa"/>
          </w:tcPr>
          <w:p w14:paraId="2C66FD7C" w14:textId="5D7926DD" w:rsidR="00B729D8" w:rsidRDefault="00B729D8" w:rsidP="00B729D8">
            <w:r w:rsidRPr="00B40806">
              <w:t>2</w:t>
            </w:r>
            <w:r w:rsidR="003E3065">
              <w:rPr>
                <w:rFonts w:hint="eastAsia"/>
                <w:lang w:eastAsia="zh-CN"/>
              </w:rPr>
              <w:t xml:space="preserve"> </w:t>
            </w:r>
            <w:r w:rsidRPr="00B40806">
              <w:t>234</w:t>
            </w:r>
          </w:p>
        </w:tc>
      </w:tr>
      <w:tr w:rsidR="00487E20" w14:paraId="66B49609" w14:textId="77777777" w:rsidTr="002A0038">
        <w:tc>
          <w:tcPr>
            <w:tcW w:w="1349" w:type="dxa"/>
          </w:tcPr>
          <w:p w14:paraId="49A18CFA" w14:textId="71329C08" w:rsidR="00487E20" w:rsidRDefault="0007383E" w:rsidP="00487E20">
            <w:pPr>
              <w:jc w:val="left"/>
            </w:pPr>
            <w:r>
              <w:rPr>
                <w:color w:val="4472C4" w:themeColor="accent1"/>
                <w:sz w:val="13"/>
                <w:szCs w:val="13"/>
              </w:rPr>
              <w:t>AASB </w:t>
            </w:r>
            <w:r w:rsidR="00487E20" w:rsidRPr="3B6CD9D1">
              <w:rPr>
                <w:color w:val="4472C4" w:themeColor="accent1"/>
                <w:sz w:val="13"/>
                <w:szCs w:val="13"/>
              </w:rPr>
              <w:t>1060.44(e)</w:t>
            </w:r>
          </w:p>
        </w:tc>
        <w:tc>
          <w:tcPr>
            <w:tcW w:w="6558" w:type="dxa"/>
          </w:tcPr>
          <w:p w14:paraId="55AA33B4" w14:textId="77777777" w:rsidR="00487E20" w:rsidRDefault="00487E20" w:rsidP="00487E20">
            <w:pPr>
              <w:jc w:val="left"/>
            </w:pPr>
            <w:r w:rsidRPr="002A0038">
              <w:t>Long service leave</w:t>
            </w:r>
          </w:p>
        </w:tc>
        <w:tc>
          <w:tcPr>
            <w:tcW w:w="866" w:type="dxa"/>
            <w:vAlign w:val="center"/>
          </w:tcPr>
          <w:p w14:paraId="7D8E54E8" w14:textId="00620187" w:rsidR="00487E20" w:rsidRDefault="00487E20" w:rsidP="00487E20">
            <w:r>
              <w:rPr>
                <w:rFonts w:ascii="Arial" w:hAnsi="Arial" w:cs="Arial"/>
                <w:color w:val="000000"/>
                <w:szCs w:val="16"/>
              </w:rPr>
              <w:t>3</w:t>
            </w:r>
            <w:r w:rsidR="003E3065">
              <w:rPr>
                <w:rFonts w:ascii="Arial" w:hAnsi="Arial" w:cs="Arial" w:hint="eastAsia"/>
                <w:color w:val="000000"/>
                <w:szCs w:val="16"/>
                <w:lang w:eastAsia="zh-CN"/>
              </w:rPr>
              <w:t xml:space="preserve"> </w:t>
            </w:r>
            <w:r>
              <w:rPr>
                <w:rFonts w:ascii="Arial" w:hAnsi="Arial" w:cs="Arial"/>
                <w:color w:val="000000"/>
                <w:szCs w:val="16"/>
              </w:rPr>
              <w:t>139</w:t>
            </w:r>
          </w:p>
        </w:tc>
        <w:tc>
          <w:tcPr>
            <w:tcW w:w="866" w:type="dxa"/>
            <w:vAlign w:val="center"/>
          </w:tcPr>
          <w:p w14:paraId="585C4449" w14:textId="4AE156AF" w:rsidR="00487E20" w:rsidRDefault="00487E20" w:rsidP="00487E20">
            <w:r>
              <w:rPr>
                <w:rFonts w:ascii="Arial" w:hAnsi="Arial" w:cs="Arial"/>
                <w:color w:val="000000"/>
                <w:szCs w:val="16"/>
              </w:rPr>
              <w:t>9</w:t>
            </w:r>
            <w:r w:rsidR="003E3065">
              <w:rPr>
                <w:rFonts w:ascii="Arial" w:hAnsi="Arial" w:cs="Arial" w:hint="eastAsia"/>
                <w:color w:val="000000"/>
                <w:szCs w:val="16"/>
                <w:lang w:eastAsia="zh-CN"/>
              </w:rPr>
              <w:t xml:space="preserve"> </w:t>
            </w:r>
            <w:r>
              <w:rPr>
                <w:rFonts w:ascii="Arial" w:hAnsi="Arial" w:cs="Arial"/>
                <w:color w:val="000000"/>
                <w:szCs w:val="16"/>
              </w:rPr>
              <w:t>320</w:t>
            </w:r>
          </w:p>
        </w:tc>
      </w:tr>
      <w:tr w:rsidR="00487E20" w14:paraId="13E62F4F" w14:textId="77777777" w:rsidTr="002A0038">
        <w:tc>
          <w:tcPr>
            <w:tcW w:w="1349" w:type="dxa"/>
          </w:tcPr>
          <w:p w14:paraId="1A894AB9" w14:textId="2CE7C498" w:rsidR="00487E20" w:rsidRDefault="0007383E" w:rsidP="00487E20">
            <w:pPr>
              <w:jc w:val="left"/>
            </w:pPr>
            <w:r>
              <w:rPr>
                <w:color w:val="4472C4" w:themeColor="accent1"/>
                <w:sz w:val="13"/>
                <w:szCs w:val="13"/>
              </w:rPr>
              <w:t>AASB </w:t>
            </w:r>
            <w:r w:rsidR="00487E20" w:rsidRPr="3B6CD9D1">
              <w:rPr>
                <w:color w:val="4472C4" w:themeColor="accent1"/>
                <w:sz w:val="13"/>
                <w:szCs w:val="13"/>
              </w:rPr>
              <w:t>1060.44(e)</w:t>
            </w:r>
          </w:p>
        </w:tc>
        <w:tc>
          <w:tcPr>
            <w:tcW w:w="6558" w:type="dxa"/>
          </w:tcPr>
          <w:p w14:paraId="20046144" w14:textId="77777777" w:rsidR="00487E20" w:rsidRDefault="00487E20" w:rsidP="00487E20">
            <w:pPr>
              <w:jc w:val="left"/>
            </w:pPr>
            <w:r w:rsidRPr="002A0038">
              <w:t>Provisions for on</w:t>
            </w:r>
            <w:r w:rsidRPr="002A0038">
              <w:rPr>
                <w:rFonts w:ascii="Cambria Math" w:hAnsi="Cambria Math" w:cs="Cambria Math"/>
              </w:rPr>
              <w:t>‑</w:t>
            </w:r>
            <w:r w:rsidRPr="002A0038">
              <w:t>costs</w:t>
            </w:r>
          </w:p>
        </w:tc>
        <w:tc>
          <w:tcPr>
            <w:tcW w:w="866" w:type="dxa"/>
            <w:vAlign w:val="center"/>
          </w:tcPr>
          <w:p w14:paraId="6314412C" w14:textId="23323E45" w:rsidR="00487E20" w:rsidRDefault="00487E20" w:rsidP="00487E20">
            <w:r>
              <w:rPr>
                <w:rFonts w:ascii="Arial" w:hAnsi="Arial" w:cs="Arial"/>
                <w:color w:val="000000"/>
                <w:szCs w:val="16"/>
              </w:rPr>
              <w:t>649</w:t>
            </w:r>
          </w:p>
        </w:tc>
        <w:tc>
          <w:tcPr>
            <w:tcW w:w="866" w:type="dxa"/>
            <w:vAlign w:val="center"/>
          </w:tcPr>
          <w:p w14:paraId="1B151C2A" w14:textId="598BA320" w:rsidR="00487E20" w:rsidRDefault="00487E20" w:rsidP="00487E20">
            <w:r>
              <w:rPr>
                <w:rFonts w:ascii="Arial" w:hAnsi="Arial" w:cs="Arial"/>
                <w:color w:val="000000"/>
                <w:szCs w:val="16"/>
              </w:rPr>
              <w:t>1</w:t>
            </w:r>
            <w:r w:rsidR="003E3065">
              <w:rPr>
                <w:rFonts w:ascii="Arial" w:hAnsi="Arial" w:cs="Arial" w:hint="eastAsia"/>
                <w:color w:val="000000"/>
                <w:szCs w:val="16"/>
                <w:lang w:eastAsia="zh-CN"/>
              </w:rPr>
              <w:t xml:space="preserve"> </w:t>
            </w:r>
            <w:r>
              <w:rPr>
                <w:rFonts w:ascii="Arial" w:hAnsi="Arial" w:cs="Arial"/>
                <w:color w:val="000000"/>
                <w:szCs w:val="16"/>
              </w:rPr>
              <w:t>154</w:t>
            </w:r>
          </w:p>
        </w:tc>
      </w:tr>
      <w:tr w:rsidR="00487E20" w14:paraId="470621C1" w14:textId="77777777" w:rsidTr="002A0038">
        <w:tc>
          <w:tcPr>
            <w:tcW w:w="1349" w:type="dxa"/>
          </w:tcPr>
          <w:p w14:paraId="2E212E1D" w14:textId="562F84B0" w:rsidR="00487E20" w:rsidRDefault="0007383E" w:rsidP="00487E20">
            <w:pPr>
              <w:jc w:val="left"/>
            </w:pPr>
            <w:r>
              <w:rPr>
                <w:color w:val="4472C4" w:themeColor="accent1"/>
                <w:sz w:val="13"/>
                <w:szCs w:val="13"/>
              </w:rPr>
              <w:t>AASB </w:t>
            </w:r>
            <w:r w:rsidR="00487E20" w:rsidRPr="3B6CD9D1">
              <w:rPr>
                <w:color w:val="4472C4" w:themeColor="accent1"/>
                <w:sz w:val="13"/>
                <w:szCs w:val="13"/>
              </w:rPr>
              <w:t>1060.44(e)</w:t>
            </w:r>
          </w:p>
        </w:tc>
        <w:tc>
          <w:tcPr>
            <w:tcW w:w="6558" w:type="dxa"/>
          </w:tcPr>
          <w:p w14:paraId="49F2CF59" w14:textId="77777777" w:rsidR="00487E20" w:rsidRDefault="00487E20" w:rsidP="00487E20">
            <w:pPr>
              <w:jc w:val="left"/>
            </w:pPr>
            <w:r>
              <w:rPr>
                <w:b/>
              </w:rPr>
              <w:t>Total current provisions for employee benefits</w:t>
            </w:r>
          </w:p>
        </w:tc>
        <w:tc>
          <w:tcPr>
            <w:tcW w:w="866" w:type="dxa"/>
            <w:vAlign w:val="center"/>
          </w:tcPr>
          <w:p w14:paraId="030967BF" w14:textId="77525899" w:rsidR="00487E20" w:rsidRDefault="00487E20" w:rsidP="00487E20">
            <w:r>
              <w:rPr>
                <w:rFonts w:ascii="Arial" w:hAnsi="Arial" w:cs="Arial"/>
                <w:b/>
                <w:bCs/>
                <w:color w:val="000000"/>
                <w:szCs w:val="16"/>
              </w:rPr>
              <w:t>6</w:t>
            </w:r>
            <w:r w:rsidR="003E3065">
              <w:rPr>
                <w:rFonts w:ascii="Arial" w:hAnsi="Arial" w:cs="Arial" w:hint="eastAsia"/>
                <w:b/>
                <w:bCs/>
                <w:color w:val="000000"/>
                <w:szCs w:val="16"/>
                <w:lang w:eastAsia="zh-CN"/>
              </w:rPr>
              <w:t xml:space="preserve"> </w:t>
            </w:r>
            <w:r>
              <w:rPr>
                <w:rFonts w:ascii="Arial" w:hAnsi="Arial" w:cs="Arial"/>
                <w:b/>
                <w:bCs/>
                <w:color w:val="000000"/>
                <w:szCs w:val="16"/>
              </w:rPr>
              <w:t>140</w:t>
            </w:r>
          </w:p>
        </w:tc>
        <w:tc>
          <w:tcPr>
            <w:tcW w:w="866" w:type="dxa"/>
            <w:vAlign w:val="center"/>
          </w:tcPr>
          <w:p w14:paraId="1ADDB8C5" w14:textId="2D1DE0B1" w:rsidR="00487E20" w:rsidRDefault="00487E20" w:rsidP="00487E20">
            <w:r>
              <w:rPr>
                <w:rFonts w:ascii="Arial" w:hAnsi="Arial" w:cs="Arial"/>
                <w:b/>
                <w:bCs/>
                <w:color w:val="000000"/>
                <w:szCs w:val="16"/>
              </w:rPr>
              <w:t>12</w:t>
            </w:r>
            <w:r w:rsidR="003E3065">
              <w:rPr>
                <w:rFonts w:ascii="Arial" w:hAnsi="Arial" w:cs="Arial" w:hint="eastAsia"/>
                <w:b/>
                <w:bCs/>
                <w:color w:val="000000"/>
                <w:szCs w:val="16"/>
                <w:lang w:eastAsia="zh-CN"/>
              </w:rPr>
              <w:t xml:space="preserve"> </w:t>
            </w:r>
            <w:r>
              <w:rPr>
                <w:rFonts w:ascii="Arial" w:hAnsi="Arial" w:cs="Arial"/>
                <w:b/>
                <w:bCs/>
                <w:color w:val="000000"/>
                <w:szCs w:val="16"/>
              </w:rPr>
              <w:t>708</w:t>
            </w:r>
          </w:p>
        </w:tc>
      </w:tr>
      <w:tr w:rsidR="00182709" w14:paraId="76EE5E9A" w14:textId="77777777" w:rsidTr="002A0038">
        <w:tc>
          <w:tcPr>
            <w:tcW w:w="1349" w:type="dxa"/>
          </w:tcPr>
          <w:p w14:paraId="5149BED5" w14:textId="77777777" w:rsidR="00182709" w:rsidRDefault="00182709">
            <w:pPr>
              <w:jc w:val="left"/>
            </w:pPr>
          </w:p>
        </w:tc>
        <w:tc>
          <w:tcPr>
            <w:tcW w:w="6558" w:type="dxa"/>
          </w:tcPr>
          <w:p w14:paraId="152AC36E" w14:textId="77777777" w:rsidR="00182709" w:rsidRDefault="0044097C">
            <w:pPr>
              <w:jc w:val="left"/>
            </w:pPr>
            <w:r>
              <w:rPr>
                <w:b/>
              </w:rPr>
              <w:t>Non‑current provisions:</w:t>
            </w:r>
          </w:p>
        </w:tc>
        <w:tc>
          <w:tcPr>
            <w:tcW w:w="866" w:type="dxa"/>
          </w:tcPr>
          <w:p w14:paraId="24980278" w14:textId="77777777" w:rsidR="00182709" w:rsidRDefault="00182709"/>
        </w:tc>
        <w:tc>
          <w:tcPr>
            <w:tcW w:w="866" w:type="dxa"/>
          </w:tcPr>
          <w:p w14:paraId="76A36F36" w14:textId="77777777" w:rsidR="00182709" w:rsidRDefault="00182709"/>
        </w:tc>
      </w:tr>
      <w:tr w:rsidR="00A42EB1" w14:paraId="6572C7DF" w14:textId="77777777" w:rsidTr="002A0038">
        <w:tc>
          <w:tcPr>
            <w:tcW w:w="1349" w:type="dxa"/>
          </w:tcPr>
          <w:p w14:paraId="31B0410B" w14:textId="77777777" w:rsidR="00A42EB1" w:rsidRDefault="00A42EB1" w:rsidP="00A42EB1">
            <w:pPr>
              <w:jc w:val="left"/>
            </w:pPr>
          </w:p>
        </w:tc>
        <w:tc>
          <w:tcPr>
            <w:tcW w:w="6558" w:type="dxa"/>
          </w:tcPr>
          <w:p w14:paraId="51BC09A7" w14:textId="77777777" w:rsidR="00A42EB1" w:rsidRDefault="00A42EB1" w:rsidP="00A42EB1">
            <w:pPr>
              <w:jc w:val="left"/>
            </w:pPr>
            <w:r>
              <w:t>Employee benefits</w:t>
            </w:r>
          </w:p>
        </w:tc>
        <w:tc>
          <w:tcPr>
            <w:tcW w:w="866" w:type="dxa"/>
          </w:tcPr>
          <w:p w14:paraId="35CB3086" w14:textId="6E41AA8F" w:rsidR="00A42EB1" w:rsidRDefault="00A42EB1" w:rsidP="00A42EB1">
            <w:r w:rsidRPr="008D47C2">
              <w:t>3</w:t>
            </w:r>
            <w:r w:rsidR="003E3065">
              <w:rPr>
                <w:rFonts w:hint="eastAsia"/>
                <w:lang w:eastAsia="zh-CN"/>
              </w:rPr>
              <w:t xml:space="preserve"> </w:t>
            </w:r>
            <w:r w:rsidRPr="008D47C2">
              <w:t>743</w:t>
            </w:r>
          </w:p>
        </w:tc>
        <w:tc>
          <w:tcPr>
            <w:tcW w:w="866" w:type="dxa"/>
          </w:tcPr>
          <w:p w14:paraId="4F114AE3" w14:textId="68391BFE" w:rsidR="00A42EB1" w:rsidRDefault="00A42EB1" w:rsidP="00A42EB1">
            <w:r w:rsidRPr="008D47C2">
              <w:t>3</w:t>
            </w:r>
            <w:r w:rsidR="003E3065">
              <w:rPr>
                <w:rFonts w:hint="eastAsia"/>
                <w:lang w:eastAsia="zh-CN"/>
              </w:rPr>
              <w:t xml:space="preserve"> </w:t>
            </w:r>
            <w:r w:rsidRPr="008D47C2">
              <w:t>528</w:t>
            </w:r>
          </w:p>
        </w:tc>
      </w:tr>
      <w:tr w:rsidR="00A42EB1" w14:paraId="7DBA7EB2" w14:textId="77777777" w:rsidTr="002A0038">
        <w:tc>
          <w:tcPr>
            <w:tcW w:w="1349" w:type="dxa"/>
          </w:tcPr>
          <w:p w14:paraId="7F6A94F1" w14:textId="77777777" w:rsidR="00A42EB1" w:rsidRDefault="00A42EB1" w:rsidP="00A42EB1">
            <w:pPr>
              <w:jc w:val="left"/>
            </w:pPr>
          </w:p>
        </w:tc>
        <w:tc>
          <w:tcPr>
            <w:tcW w:w="6558" w:type="dxa"/>
            <w:tcBorders>
              <w:bottom w:val="single" w:sz="12" w:space="0" w:color="auto"/>
            </w:tcBorders>
          </w:tcPr>
          <w:p w14:paraId="36E0E713" w14:textId="77777777" w:rsidR="00A42EB1" w:rsidRDefault="00A42EB1" w:rsidP="00A42EB1">
            <w:pPr>
              <w:jc w:val="left"/>
            </w:pPr>
            <w:r>
              <w:t>On</w:t>
            </w:r>
            <w:r>
              <w:rPr>
                <w:rFonts w:ascii="Cambria Math" w:hAnsi="Cambria Math" w:cs="Cambria Math"/>
              </w:rPr>
              <w:t>‑</w:t>
            </w:r>
            <w:r>
              <w:t>costs</w:t>
            </w:r>
          </w:p>
        </w:tc>
        <w:tc>
          <w:tcPr>
            <w:tcW w:w="866" w:type="dxa"/>
            <w:tcBorders>
              <w:bottom w:val="single" w:sz="12" w:space="0" w:color="auto"/>
            </w:tcBorders>
          </w:tcPr>
          <w:p w14:paraId="6D0D91C0" w14:textId="71F3DCC7" w:rsidR="00A42EB1" w:rsidRDefault="00A42EB1" w:rsidP="00A42EB1">
            <w:r w:rsidRPr="008D47C2">
              <w:t>871</w:t>
            </w:r>
          </w:p>
        </w:tc>
        <w:tc>
          <w:tcPr>
            <w:tcW w:w="866" w:type="dxa"/>
            <w:tcBorders>
              <w:bottom w:val="single" w:sz="12" w:space="0" w:color="auto"/>
            </w:tcBorders>
          </w:tcPr>
          <w:p w14:paraId="3C9D6863" w14:textId="3369A1A6" w:rsidR="00A42EB1" w:rsidRDefault="00A42EB1" w:rsidP="00A42EB1">
            <w:r w:rsidRPr="008D47C2">
              <w:t>837</w:t>
            </w:r>
          </w:p>
        </w:tc>
      </w:tr>
      <w:tr w:rsidR="00922BEE" w14:paraId="755EE7F0" w14:textId="77777777" w:rsidTr="002A0038">
        <w:tc>
          <w:tcPr>
            <w:tcW w:w="1349" w:type="dxa"/>
          </w:tcPr>
          <w:p w14:paraId="769B5F9B" w14:textId="77777777" w:rsidR="00922BEE" w:rsidRDefault="00922BEE" w:rsidP="00922BEE">
            <w:pPr>
              <w:jc w:val="left"/>
            </w:pPr>
          </w:p>
        </w:tc>
        <w:tc>
          <w:tcPr>
            <w:tcW w:w="6558" w:type="dxa"/>
          </w:tcPr>
          <w:p w14:paraId="41AFC1B5" w14:textId="77777777" w:rsidR="00922BEE" w:rsidRDefault="00922BEE" w:rsidP="00922BEE">
            <w:pPr>
              <w:jc w:val="left"/>
            </w:pPr>
            <w:r>
              <w:rPr>
                <w:b/>
              </w:rPr>
              <w:t>Total non</w:t>
            </w:r>
            <w:r>
              <w:rPr>
                <w:rFonts w:ascii="Cambria Math" w:hAnsi="Cambria Math" w:cs="Cambria Math"/>
                <w:b/>
              </w:rPr>
              <w:t>‑</w:t>
            </w:r>
            <w:r>
              <w:rPr>
                <w:b/>
              </w:rPr>
              <w:t>current provisions for employee benefits</w:t>
            </w:r>
          </w:p>
        </w:tc>
        <w:tc>
          <w:tcPr>
            <w:tcW w:w="866" w:type="dxa"/>
            <w:vAlign w:val="center"/>
          </w:tcPr>
          <w:p w14:paraId="0EA71519" w14:textId="766B31BF" w:rsidR="00922BEE" w:rsidRDefault="00922BEE" w:rsidP="00922BEE">
            <w:r>
              <w:rPr>
                <w:rFonts w:ascii="Arial" w:hAnsi="Arial" w:cs="Arial"/>
                <w:b/>
                <w:bCs/>
                <w:color w:val="000000"/>
                <w:szCs w:val="16"/>
              </w:rPr>
              <w:t>4</w:t>
            </w:r>
            <w:r w:rsidR="003E3065">
              <w:rPr>
                <w:rFonts w:ascii="Arial" w:hAnsi="Arial" w:cs="Arial" w:hint="eastAsia"/>
                <w:b/>
                <w:bCs/>
                <w:color w:val="000000"/>
                <w:szCs w:val="16"/>
                <w:lang w:eastAsia="zh-CN"/>
              </w:rPr>
              <w:t xml:space="preserve"> </w:t>
            </w:r>
            <w:r>
              <w:rPr>
                <w:rFonts w:ascii="Arial" w:hAnsi="Arial" w:cs="Arial"/>
                <w:b/>
                <w:bCs/>
                <w:color w:val="000000"/>
                <w:szCs w:val="16"/>
              </w:rPr>
              <w:t>614</w:t>
            </w:r>
          </w:p>
        </w:tc>
        <w:tc>
          <w:tcPr>
            <w:tcW w:w="866" w:type="dxa"/>
            <w:vAlign w:val="center"/>
          </w:tcPr>
          <w:p w14:paraId="3AE1197A" w14:textId="0960616E" w:rsidR="00922BEE" w:rsidRDefault="00922BEE" w:rsidP="00922BEE">
            <w:r>
              <w:rPr>
                <w:rFonts w:ascii="Arial" w:hAnsi="Arial" w:cs="Arial"/>
                <w:b/>
                <w:bCs/>
                <w:color w:val="000000"/>
                <w:szCs w:val="16"/>
              </w:rPr>
              <w:t>4</w:t>
            </w:r>
            <w:r w:rsidR="003E3065">
              <w:rPr>
                <w:rFonts w:ascii="Arial" w:hAnsi="Arial" w:cs="Arial" w:hint="eastAsia"/>
                <w:b/>
                <w:bCs/>
                <w:color w:val="000000"/>
                <w:szCs w:val="16"/>
                <w:lang w:eastAsia="zh-CN"/>
              </w:rPr>
              <w:t xml:space="preserve"> </w:t>
            </w:r>
            <w:r>
              <w:rPr>
                <w:rFonts w:ascii="Arial" w:hAnsi="Arial" w:cs="Arial"/>
                <w:b/>
                <w:bCs/>
                <w:color w:val="000000"/>
                <w:szCs w:val="16"/>
              </w:rPr>
              <w:t>365</w:t>
            </w:r>
          </w:p>
        </w:tc>
      </w:tr>
      <w:tr w:rsidR="00922BEE" w14:paraId="64646D7C" w14:textId="77777777" w:rsidTr="002A0038">
        <w:tc>
          <w:tcPr>
            <w:tcW w:w="1349" w:type="dxa"/>
            <w:tcBorders>
              <w:bottom w:val="nil"/>
            </w:tcBorders>
          </w:tcPr>
          <w:p w14:paraId="26692884" w14:textId="77777777" w:rsidR="00922BEE" w:rsidRDefault="00922BEE" w:rsidP="00922BEE">
            <w:pPr>
              <w:jc w:val="left"/>
            </w:pPr>
          </w:p>
        </w:tc>
        <w:tc>
          <w:tcPr>
            <w:tcW w:w="6558" w:type="dxa"/>
            <w:tcBorders>
              <w:bottom w:val="single" w:sz="12" w:space="0" w:color="auto"/>
            </w:tcBorders>
          </w:tcPr>
          <w:p w14:paraId="2B44156A" w14:textId="77777777" w:rsidR="00922BEE" w:rsidRDefault="00922BEE" w:rsidP="00922BEE">
            <w:pPr>
              <w:jc w:val="left"/>
            </w:pPr>
            <w:r>
              <w:rPr>
                <w:b/>
              </w:rPr>
              <w:t>Total provisions for employee benefits</w:t>
            </w:r>
          </w:p>
        </w:tc>
        <w:tc>
          <w:tcPr>
            <w:tcW w:w="866" w:type="dxa"/>
            <w:tcBorders>
              <w:bottom w:val="single" w:sz="12" w:space="0" w:color="auto"/>
            </w:tcBorders>
            <w:vAlign w:val="center"/>
          </w:tcPr>
          <w:p w14:paraId="6DF64598" w14:textId="518661F2" w:rsidR="00922BEE" w:rsidRDefault="00922BEE" w:rsidP="00922BEE">
            <w:r>
              <w:rPr>
                <w:rFonts w:ascii="Arial" w:hAnsi="Arial" w:cs="Arial"/>
                <w:b/>
                <w:bCs/>
                <w:color w:val="000000"/>
                <w:szCs w:val="16"/>
              </w:rPr>
              <w:t>10</w:t>
            </w:r>
            <w:r w:rsidR="003E3065">
              <w:rPr>
                <w:rFonts w:ascii="Arial" w:hAnsi="Arial" w:cs="Arial" w:hint="eastAsia"/>
                <w:b/>
                <w:bCs/>
                <w:color w:val="000000"/>
                <w:szCs w:val="16"/>
                <w:lang w:eastAsia="zh-CN"/>
              </w:rPr>
              <w:t xml:space="preserve"> </w:t>
            </w:r>
            <w:r>
              <w:rPr>
                <w:rFonts w:ascii="Arial" w:hAnsi="Arial" w:cs="Arial"/>
                <w:b/>
                <w:bCs/>
                <w:color w:val="000000"/>
                <w:szCs w:val="16"/>
              </w:rPr>
              <w:t>754</w:t>
            </w:r>
          </w:p>
        </w:tc>
        <w:tc>
          <w:tcPr>
            <w:tcW w:w="866" w:type="dxa"/>
            <w:tcBorders>
              <w:bottom w:val="single" w:sz="12" w:space="0" w:color="auto"/>
            </w:tcBorders>
            <w:vAlign w:val="center"/>
          </w:tcPr>
          <w:p w14:paraId="1BD8BA01" w14:textId="2B686877" w:rsidR="00922BEE" w:rsidRDefault="00922BEE" w:rsidP="00922BEE">
            <w:r>
              <w:rPr>
                <w:rFonts w:ascii="Arial" w:hAnsi="Arial" w:cs="Arial"/>
                <w:b/>
                <w:bCs/>
                <w:color w:val="000000"/>
                <w:szCs w:val="16"/>
              </w:rPr>
              <w:t>17</w:t>
            </w:r>
            <w:r w:rsidR="003E3065">
              <w:rPr>
                <w:rFonts w:ascii="Arial" w:hAnsi="Arial" w:cs="Arial" w:hint="eastAsia"/>
                <w:b/>
                <w:bCs/>
                <w:color w:val="000000"/>
                <w:szCs w:val="16"/>
                <w:lang w:eastAsia="zh-CN"/>
              </w:rPr>
              <w:t xml:space="preserve"> </w:t>
            </w:r>
            <w:r>
              <w:rPr>
                <w:rFonts w:ascii="Arial" w:hAnsi="Arial" w:cs="Arial"/>
                <w:b/>
                <w:bCs/>
                <w:color w:val="000000"/>
                <w:szCs w:val="16"/>
              </w:rPr>
              <w:t>073</w:t>
            </w:r>
          </w:p>
        </w:tc>
      </w:tr>
    </w:tbl>
    <w:p w14:paraId="01230A16" w14:textId="519FE367" w:rsidR="003719CD" w:rsidRDefault="3B6C23F8" w:rsidP="00DC39DE">
      <w:r w:rsidRPr="784691EA">
        <w:rPr>
          <w:b/>
          <w:bCs/>
        </w:rPr>
        <w:t>Wages and salaries, annual leave and sick leave</w:t>
      </w:r>
      <w:r>
        <w:t xml:space="preserve">: Liabilities for wages and salaries (including non-monetary benefits, annual leave and </w:t>
      </w:r>
      <w:proofErr w:type="gramStart"/>
      <w:r>
        <w:t>on-costs</w:t>
      </w:r>
      <w:proofErr w:type="gramEnd"/>
      <w:r>
        <w:t xml:space="preserve">) are recognised as current liabilities, because </w:t>
      </w:r>
      <w:r w:rsidR="00CB345B">
        <w:t>TV</w:t>
      </w:r>
      <w:r>
        <w:t xml:space="preserve"> does not have an unconditional right to defer settlements of these liabilities. </w:t>
      </w:r>
      <w:r w:rsidRPr="784691EA">
        <w:rPr>
          <w:rStyle w:val="Reference"/>
        </w:rPr>
        <w:t>[</w:t>
      </w:r>
      <w:r w:rsidR="0007383E">
        <w:rPr>
          <w:rStyle w:val="Reference"/>
        </w:rPr>
        <w:t>AASB </w:t>
      </w:r>
      <w:r w:rsidR="5954CDFB" w:rsidRPr="784691EA">
        <w:rPr>
          <w:rStyle w:val="Reference"/>
        </w:rPr>
        <w:t>1060.40</w:t>
      </w:r>
      <w:r w:rsidRPr="784691EA">
        <w:rPr>
          <w:rStyle w:val="Reference"/>
        </w:rPr>
        <w:t xml:space="preserve"> and 119.8]</w:t>
      </w:r>
    </w:p>
    <w:p w14:paraId="3846AB6F" w14:textId="7DE3CEF1" w:rsidR="003719CD" w:rsidRDefault="3B6C23F8" w:rsidP="00DC39DE">
      <w:r>
        <w:t xml:space="preserve">The liability for salaries and wages </w:t>
      </w:r>
      <w:r w:rsidR="002A1B3D">
        <w:t>is</w:t>
      </w:r>
      <w:r>
        <w:t xml:space="preserve"> recognised in the balance sheet at remuneration rates which are current at the reporting date. As </w:t>
      </w:r>
      <w:r w:rsidR="00CB345B">
        <w:t>TV</w:t>
      </w:r>
      <w:r>
        <w:t xml:space="preserve"> expects the liabilities to be wholly settled within 12 months of reporting date, they are measured at undiscounted amounts. </w:t>
      </w:r>
      <w:r w:rsidRPr="784691EA">
        <w:rPr>
          <w:rStyle w:val="Reference"/>
        </w:rPr>
        <w:t>[</w:t>
      </w:r>
      <w:r w:rsidR="0007383E">
        <w:rPr>
          <w:rStyle w:val="Reference"/>
        </w:rPr>
        <w:t>AASB </w:t>
      </w:r>
      <w:r w:rsidR="4BAB3656" w:rsidRPr="784691EA">
        <w:rPr>
          <w:rStyle w:val="Reference"/>
        </w:rPr>
        <w:t>1060.40</w:t>
      </w:r>
      <w:r w:rsidRPr="784691EA">
        <w:rPr>
          <w:rStyle w:val="Reference"/>
        </w:rPr>
        <w:t xml:space="preserve"> and 119.8]</w:t>
      </w:r>
    </w:p>
    <w:p w14:paraId="0A2B9912" w14:textId="4E8D7BE8" w:rsidR="003719CD" w:rsidRDefault="3B6C23F8" w:rsidP="00DC39DE">
      <w:r>
        <w:t xml:space="preserve">The annual leave liability is classified as a current liability and measured at the undiscounted amount expected to be paid, as </w:t>
      </w:r>
      <w:r w:rsidR="00E222A0">
        <w:t>TV</w:t>
      </w:r>
      <w:r>
        <w:t xml:space="preserve"> does not have an unconditional right to defer settlement of the liability for at least 12 months after the end of the reporting period. </w:t>
      </w:r>
      <w:r w:rsidRPr="784691EA">
        <w:rPr>
          <w:rStyle w:val="Reference"/>
        </w:rPr>
        <w:t>[</w:t>
      </w:r>
      <w:r w:rsidR="0007383E">
        <w:rPr>
          <w:rStyle w:val="Reference"/>
        </w:rPr>
        <w:t>AASB </w:t>
      </w:r>
      <w:r w:rsidR="2B252CBD" w:rsidRPr="784691EA">
        <w:rPr>
          <w:rStyle w:val="Reference"/>
        </w:rPr>
        <w:t>1060.40(d)</w:t>
      </w:r>
      <w:r w:rsidRPr="784691EA">
        <w:rPr>
          <w:rStyle w:val="Reference"/>
        </w:rPr>
        <w:t>]</w:t>
      </w:r>
    </w:p>
    <w:p w14:paraId="459BFB04" w14:textId="4C7F3165" w:rsidR="003719CD" w:rsidRDefault="003719CD" w:rsidP="00DC39DE">
      <w:r>
        <w:t xml:space="preserve">No provision has been made for sick leave as all sick leave is non-vesting and it is not considered probable that the average sick leave taken in the future will be greater than the benefits accrued in the future. As sick leave is non-vesting, an expense is recognised in the Comprehensive </w:t>
      </w:r>
      <w:r w:rsidR="000E5EA9">
        <w:t xml:space="preserve">Operating Statement </w:t>
      </w:r>
      <w:r>
        <w:t>as it is taken.</w:t>
      </w:r>
    </w:p>
    <w:p w14:paraId="0BF99A21" w14:textId="4EACB45F" w:rsidR="003719CD" w:rsidRDefault="3B6C23F8" w:rsidP="00DC39DE">
      <w:r>
        <w:t xml:space="preserve">Employment </w:t>
      </w:r>
      <w:proofErr w:type="gramStart"/>
      <w:r>
        <w:t>on-costs</w:t>
      </w:r>
      <w:proofErr w:type="gramEnd"/>
      <w:r>
        <w:t xml:space="preserve"> such as payroll tax, workers compensation and superannuation are not employee benefits. They are disclosed separately as a component of the provision for employee benefits when the employment to which they relate has occurred. </w:t>
      </w:r>
      <w:r w:rsidRPr="784691EA">
        <w:rPr>
          <w:rStyle w:val="Reference"/>
        </w:rPr>
        <w:t>[</w:t>
      </w:r>
      <w:r w:rsidR="0007383E">
        <w:rPr>
          <w:rStyle w:val="Reference"/>
        </w:rPr>
        <w:t>AASB </w:t>
      </w:r>
      <w:r w:rsidR="51C7BB56" w:rsidRPr="784691EA">
        <w:rPr>
          <w:rStyle w:val="Reference"/>
        </w:rPr>
        <w:t>1060.44(e)</w:t>
      </w:r>
      <w:r w:rsidRPr="784691EA">
        <w:rPr>
          <w:rStyle w:val="Reference"/>
        </w:rPr>
        <w:t>]</w:t>
      </w:r>
      <w:r w:rsidR="00404C6A">
        <w:rPr>
          <w:rStyle w:val="Reference"/>
        </w:rPr>
        <w:t xml:space="preserve"> </w:t>
      </w:r>
      <w:r w:rsidR="00404C6A">
        <w:t xml:space="preserve">The on-costs provision is immaterial in 20X2. </w:t>
      </w:r>
      <w:r w:rsidR="005409D5">
        <w:rPr>
          <w:rStyle w:val="Guidance"/>
        </w:rPr>
        <w:t>[</w:t>
      </w:r>
      <w:r w:rsidR="006E4D88" w:rsidRPr="00180A39">
        <w:rPr>
          <w:rStyle w:val="Guidance"/>
        </w:rPr>
        <w:t xml:space="preserve">In instances where the on-costs provision is considered material, a reconciliation of </w:t>
      </w:r>
      <w:r w:rsidR="006E4D88">
        <w:rPr>
          <w:rStyle w:val="Guidance"/>
          <w:rFonts w:hint="eastAsia"/>
          <w:lang w:eastAsia="zh-CN"/>
        </w:rPr>
        <w:t>movement in</w:t>
      </w:r>
      <w:r w:rsidR="006E4D88" w:rsidRPr="00180A39">
        <w:rPr>
          <w:rStyle w:val="Guidance"/>
        </w:rPr>
        <w:t xml:space="preserve"> on-costs provision and other relevant information should be disclosed in accordance with AASB 1060.153</w:t>
      </w:r>
      <w:r w:rsidR="005409D5">
        <w:rPr>
          <w:rStyle w:val="Guidance"/>
        </w:rPr>
        <w:t>]</w:t>
      </w:r>
      <w:r w:rsidR="009F18B2">
        <w:rPr>
          <w:rStyle w:val="Guidance"/>
        </w:rPr>
        <w:t>.</w:t>
      </w:r>
    </w:p>
    <w:p w14:paraId="019A9705" w14:textId="45EE8577" w:rsidR="003719CD" w:rsidRDefault="3B6C23F8" w:rsidP="00DC39DE">
      <w:r>
        <w:t>Unconditional LSL is disclosed as a current liability</w:t>
      </w:r>
      <w:r w:rsidR="43519A84">
        <w:t>,</w:t>
      </w:r>
      <w:r>
        <w:t xml:space="preserve"> even where </w:t>
      </w:r>
      <w:r w:rsidR="00B76FF0">
        <w:t>TV</w:t>
      </w:r>
      <w:r>
        <w:t xml:space="preserve"> does not expect to settle the liability within 12 months because it will not have the unconditional right to defer the settlement of the entitlement should an employee take leave within 12 months. </w:t>
      </w:r>
      <w:r w:rsidRPr="784691EA">
        <w:rPr>
          <w:rStyle w:val="Reference"/>
        </w:rPr>
        <w:t>[</w:t>
      </w:r>
      <w:r w:rsidR="0007383E">
        <w:rPr>
          <w:rStyle w:val="Reference"/>
        </w:rPr>
        <w:t>AASB </w:t>
      </w:r>
      <w:r w:rsidR="655A174A" w:rsidRPr="784691EA">
        <w:rPr>
          <w:rStyle w:val="Reference"/>
        </w:rPr>
        <w:t>1060.40(d)</w:t>
      </w:r>
      <w:r w:rsidRPr="784691EA">
        <w:rPr>
          <w:rStyle w:val="Reference"/>
        </w:rPr>
        <w:t>]</w:t>
      </w:r>
    </w:p>
    <w:p w14:paraId="22A042AE" w14:textId="3F3BA604" w:rsidR="003719CD" w:rsidRDefault="003719CD" w:rsidP="00DC39DE">
      <w:r>
        <w:t>The components of this current LSL liability are measured at</w:t>
      </w:r>
      <w:r w:rsidR="00E7334F">
        <w:t xml:space="preserve"> either</w:t>
      </w:r>
      <w:r>
        <w:t>:</w:t>
      </w:r>
    </w:p>
    <w:p w14:paraId="792AD8F6" w14:textId="18CB7D11" w:rsidR="003719CD" w:rsidRDefault="003719CD" w:rsidP="002A0038">
      <w:pPr>
        <w:pStyle w:val="ListBullet"/>
        <w:numPr>
          <w:ilvl w:val="0"/>
          <w:numId w:val="370"/>
        </w:numPr>
      </w:pPr>
      <w:r>
        <w:t xml:space="preserve">undiscounted value – if </w:t>
      </w:r>
      <w:r w:rsidR="00E222A0">
        <w:t>TV</w:t>
      </w:r>
      <w:r>
        <w:t xml:space="preserve"> expects to wholly settle within 12 months</w:t>
      </w:r>
    </w:p>
    <w:p w14:paraId="7BD25335" w14:textId="5189AB0C" w:rsidR="003719CD" w:rsidRDefault="003719CD" w:rsidP="002A0038">
      <w:pPr>
        <w:pStyle w:val="ListBullet"/>
        <w:numPr>
          <w:ilvl w:val="0"/>
          <w:numId w:val="370"/>
        </w:numPr>
      </w:pPr>
      <w:r>
        <w:t xml:space="preserve">present value – if </w:t>
      </w:r>
      <w:r w:rsidR="00E222A0">
        <w:t>TV</w:t>
      </w:r>
      <w:r>
        <w:t xml:space="preserve"> does not expect to wholly settle within 12 months.</w:t>
      </w:r>
    </w:p>
    <w:p w14:paraId="4ECF07D2" w14:textId="77777777" w:rsidR="003719CD" w:rsidRDefault="003719CD" w:rsidP="00DC39DE">
      <w:r w:rsidRPr="00AA7379">
        <w:rPr>
          <w:b/>
          <w:bCs/>
        </w:rPr>
        <w:t>Conditional LSL</w:t>
      </w:r>
      <w:r>
        <w:t xml:space="preserve"> is disclosed as a non-current liability. There is a conditional right to defer the settlement of the entitlement until the employee has completed the requisite years of service. This non-current LSL is measured at present value.</w:t>
      </w:r>
    </w:p>
    <w:p w14:paraId="776BEEF5" w14:textId="77777777" w:rsidR="003719CD" w:rsidRDefault="003719CD" w:rsidP="00DC39DE">
      <w:r>
        <w:t>Any gain or loss following revaluation of the present value of non-current LSL liability is recognised as a transaction, except to the extent that a gain or loss arises due to changes in bond interest rates for which it is then recognised as an ‘other economic flow’ in the net result.</w:t>
      </w:r>
    </w:p>
    <w:p w14:paraId="650727F2" w14:textId="77777777" w:rsidR="006C4F60" w:rsidRPr="005D781A" w:rsidRDefault="006C4F60" w:rsidP="006C4F60">
      <w:pPr>
        <w:rPr>
          <w:color w:val="C00000"/>
          <w:sz w:val="16"/>
        </w:rPr>
      </w:pPr>
    </w:p>
    <w:p w14:paraId="02BB2DE2" w14:textId="15C74B36" w:rsidR="003719CD" w:rsidRDefault="003719CD" w:rsidP="007D536F">
      <w:pPr>
        <w:pStyle w:val="GuidanceBlockHeading"/>
      </w:pPr>
      <w:bookmarkStart w:id="690" w:name="_Toc179811406"/>
      <w:bookmarkStart w:id="691" w:name="_Toc179817106"/>
      <w:bookmarkStart w:id="692" w:name="_Toc179822806"/>
      <w:r>
        <w:t>Guidance – Employee benefits</w:t>
      </w:r>
      <w:bookmarkEnd w:id="690"/>
      <w:bookmarkEnd w:id="691"/>
      <w:bookmarkEnd w:id="692"/>
      <w:r w:rsidR="00434A8A">
        <w:t xml:space="preserve"> [REVISED]</w:t>
      </w:r>
    </w:p>
    <w:p w14:paraId="05A051EF" w14:textId="77777777" w:rsidR="003719CD" w:rsidRPr="002A0038" w:rsidRDefault="003719CD" w:rsidP="002A0038">
      <w:pPr>
        <w:rPr>
          <w:rStyle w:val="Guidance"/>
          <w:b/>
          <w:bCs/>
          <w:iCs/>
        </w:rPr>
      </w:pPr>
      <w:r w:rsidRPr="002A0038">
        <w:rPr>
          <w:rStyle w:val="Guidance"/>
          <w:b/>
          <w:bCs/>
        </w:rPr>
        <w:t>Unit of account</w:t>
      </w:r>
    </w:p>
    <w:p w14:paraId="7274023B" w14:textId="77777777" w:rsidR="003719CD" w:rsidRPr="00AA7379" w:rsidRDefault="0009F535" w:rsidP="002A0038">
      <w:pPr>
        <w:spacing w:before="120" w:after="0"/>
        <w:rPr>
          <w:rStyle w:val="Guidance"/>
          <w:rFonts w:asciiTheme="majorHAnsi" w:eastAsiaTheme="majorEastAsia" w:hAnsiTheme="majorHAnsi" w:cstheme="majorBidi"/>
          <w:b/>
          <w:iCs/>
          <w:szCs w:val="24"/>
        </w:rPr>
      </w:pPr>
      <w:r w:rsidRPr="60A6DAF9">
        <w:rPr>
          <w:rStyle w:val="Guidance"/>
        </w:rPr>
        <w:t xml:space="preserve">The definition of short-term employee benefits introduces the notion of ‘wholly’. The expectation of the timing of settlement is based on the entity level, not at the individual employee level. </w:t>
      </w:r>
    </w:p>
    <w:p w14:paraId="2F9F569F" w14:textId="30B9E77C" w:rsidR="003719CD" w:rsidRPr="00AA7379" w:rsidRDefault="003719CD" w:rsidP="002A0038">
      <w:pPr>
        <w:spacing w:before="120" w:after="0"/>
        <w:rPr>
          <w:rStyle w:val="Guidance"/>
        </w:rPr>
      </w:pPr>
      <w:r w:rsidRPr="00AA7379">
        <w:rPr>
          <w:rStyle w:val="Guidance"/>
        </w:rPr>
        <w:t xml:space="preserve">It is unnecessary for </w:t>
      </w:r>
      <w:r w:rsidR="00E222A0">
        <w:rPr>
          <w:rStyle w:val="Guidance"/>
        </w:rPr>
        <w:t>entitie</w:t>
      </w:r>
      <w:r w:rsidRPr="00AA7379">
        <w:rPr>
          <w:rStyle w:val="Guidance"/>
        </w:rPr>
        <w:t xml:space="preserve">s to obtain detailed information of each employee’s anticipated timing for their leave settlement. </w:t>
      </w:r>
      <w:r w:rsidR="0009F535" w:rsidRPr="60A6DAF9">
        <w:rPr>
          <w:rStyle w:val="Guidance"/>
        </w:rPr>
        <w:t xml:space="preserve">Entities should form their own reasonable expectations of the timing of employee benefit settlement </w:t>
      </w:r>
      <w:proofErr w:type="gramStart"/>
      <w:r w:rsidR="0009F535" w:rsidRPr="60A6DAF9">
        <w:rPr>
          <w:rStyle w:val="Guidance"/>
        </w:rPr>
        <w:t>as long as</w:t>
      </w:r>
      <w:proofErr w:type="gramEnd"/>
      <w:r w:rsidR="0009F535" w:rsidRPr="60A6DAF9">
        <w:rPr>
          <w:rStyle w:val="Guidance"/>
        </w:rPr>
        <w:t xml:space="preserve"> it is not temporary in their own context. Where employee benefits are expected to be settled wholly within 12 months, they should be classified as ‘short-term employee benefits’ and measured at nominal values without discounting.</w:t>
      </w:r>
    </w:p>
    <w:p w14:paraId="0ECAE7EF" w14:textId="197AF68D" w:rsidR="003719CD" w:rsidRDefault="003719CD" w:rsidP="002A0038">
      <w:pPr>
        <w:spacing w:before="120" w:after="0"/>
        <w:rPr>
          <w:rStyle w:val="Guidance"/>
        </w:rPr>
      </w:pPr>
      <w:r w:rsidRPr="00AA7379">
        <w:rPr>
          <w:rStyle w:val="Guidance"/>
        </w:rPr>
        <w:t xml:space="preserve">Please refer to </w:t>
      </w:r>
      <w:hyperlink r:id="rId74" w:history="1">
        <w:r w:rsidRPr="00CD06B1">
          <w:rPr>
            <w:rStyle w:val="Hyperlink"/>
            <w:i/>
            <w:iCs/>
          </w:rPr>
          <w:t xml:space="preserve">Annual leave </w:t>
        </w:r>
        <w:r w:rsidR="008A3C1C">
          <w:rPr>
            <w:rStyle w:val="Hyperlink"/>
            <w:rFonts w:hint="eastAsia"/>
            <w:i/>
            <w:iCs/>
            <w:lang w:eastAsia="zh-CN"/>
          </w:rPr>
          <w:t xml:space="preserve">and long service leave arrangements </w:t>
        </w:r>
        <w:r w:rsidRPr="00CD06B1">
          <w:rPr>
            <w:rStyle w:val="Hyperlink"/>
          </w:rPr>
          <w:t>on the DTF website</w:t>
        </w:r>
      </w:hyperlink>
      <w:r w:rsidRPr="00AA7379">
        <w:rPr>
          <w:rStyle w:val="Guidance"/>
        </w:rPr>
        <w:t xml:space="preserve"> for further guidance on estimating annual leave </w:t>
      </w:r>
      <w:r w:rsidR="00AE1E04">
        <w:rPr>
          <w:rStyle w:val="Guidance"/>
          <w:rFonts w:hint="eastAsia"/>
          <w:lang w:eastAsia="zh-CN"/>
        </w:rPr>
        <w:t xml:space="preserve">and long service leave </w:t>
      </w:r>
      <w:r w:rsidRPr="00AA7379">
        <w:rPr>
          <w:rStyle w:val="Guidance"/>
        </w:rPr>
        <w:t xml:space="preserve">provisions under </w:t>
      </w:r>
      <w:r w:rsidR="0007383E">
        <w:rPr>
          <w:rStyle w:val="Guidance"/>
        </w:rPr>
        <w:t>AASB </w:t>
      </w:r>
      <w:r w:rsidRPr="00AA7379">
        <w:rPr>
          <w:rStyle w:val="Guidance"/>
        </w:rPr>
        <w:t>119</w:t>
      </w:r>
      <w:r w:rsidR="006C4F60">
        <w:rPr>
          <w:rStyle w:val="Guidance"/>
        </w:rPr>
        <w:t xml:space="preserve"> </w:t>
      </w:r>
      <w:r w:rsidR="006C4F60" w:rsidRPr="002A0038">
        <w:rPr>
          <w:rStyle w:val="Guidance"/>
          <w:i/>
          <w:iCs/>
        </w:rPr>
        <w:t>Employee Benefits</w:t>
      </w:r>
      <w:r w:rsidRPr="00AA7379">
        <w:rPr>
          <w:rStyle w:val="Guidance"/>
        </w:rPr>
        <w:t>.</w:t>
      </w:r>
    </w:p>
    <w:p w14:paraId="5C554407" w14:textId="70E704D1" w:rsidR="00830E01" w:rsidRDefault="00830E01" w:rsidP="002A0038">
      <w:pPr>
        <w:spacing w:before="120" w:after="0"/>
        <w:rPr>
          <w:rStyle w:val="Guidance"/>
        </w:rPr>
      </w:pPr>
      <w:r w:rsidRPr="00830E01">
        <w:rPr>
          <w:rStyle w:val="Guidance"/>
        </w:rPr>
        <w:t xml:space="preserve">When calculating employee provision balances, entities shall consider the relevant salary </w:t>
      </w:r>
      <w:proofErr w:type="gramStart"/>
      <w:r w:rsidRPr="00830E01">
        <w:rPr>
          <w:rStyle w:val="Guidance"/>
        </w:rPr>
        <w:t>on-costs</w:t>
      </w:r>
      <w:proofErr w:type="gramEnd"/>
      <w:r w:rsidRPr="00830E01">
        <w:rPr>
          <w:rStyle w:val="Guidance"/>
        </w:rPr>
        <w:t>. This includes assessing if there ha</w:t>
      </w:r>
      <w:r w:rsidR="008D43CC">
        <w:rPr>
          <w:rStyle w:val="Guidance"/>
        </w:rPr>
        <w:t>ve</w:t>
      </w:r>
      <w:r w:rsidRPr="00830E01">
        <w:rPr>
          <w:rStyle w:val="Guidance"/>
        </w:rPr>
        <w:t xml:space="preserve"> been any changes to these </w:t>
      </w:r>
      <w:proofErr w:type="gramStart"/>
      <w:r w:rsidRPr="00830E01">
        <w:rPr>
          <w:rStyle w:val="Guidance"/>
        </w:rPr>
        <w:t>on-costs</w:t>
      </w:r>
      <w:proofErr w:type="gramEnd"/>
      <w:r w:rsidRPr="00830E01">
        <w:rPr>
          <w:rStyle w:val="Guidance"/>
        </w:rPr>
        <w:t xml:space="preserve"> for the reporting period.</w:t>
      </w:r>
    </w:p>
    <w:p w14:paraId="03801CAA" w14:textId="77777777" w:rsidR="00434A8A" w:rsidRPr="00A9133E" w:rsidRDefault="00434A8A" w:rsidP="00434A8A">
      <w:pPr>
        <w:spacing w:before="120" w:after="0"/>
        <w:rPr>
          <w:color w:val="4472C4" w:themeColor="accent1"/>
        </w:rPr>
      </w:pPr>
      <w:r w:rsidRPr="00A9133E">
        <w:rPr>
          <w:b/>
          <w:bCs/>
          <w:color w:val="4472C4" w:themeColor="accent1"/>
        </w:rPr>
        <w:t>Current/non-current classification of employee benefits</w:t>
      </w:r>
      <w:r w:rsidRPr="00A9133E">
        <w:rPr>
          <w:color w:val="4472C4" w:themeColor="accent1"/>
        </w:rPr>
        <w:t xml:space="preserve">: All annual leave and unconditional vested LSL are disclosed as current liabilities. </w:t>
      </w:r>
      <w:r w:rsidRPr="004F3AB8">
        <w:rPr>
          <w:color w:val="C00000"/>
          <w:sz w:val="16"/>
          <w:szCs w:val="16"/>
        </w:rPr>
        <w:t>[AASB 101.69(d)]</w:t>
      </w:r>
    </w:p>
    <w:p w14:paraId="64D85E7A" w14:textId="77777777" w:rsidR="00434A8A" w:rsidRPr="00A9133E" w:rsidRDefault="00434A8A" w:rsidP="00434A8A">
      <w:pPr>
        <w:spacing w:before="120" w:after="0"/>
        <w:rPr>
          <w:color w:val="4472C4" w:themeColor="accent1"/>
        </w:rPr>
      </w:pPr>
      <w:r w:rsidRPr="00A9133E">
        <w:rPr>
          <w:color w:val="4472C4" w:themeColor="accent1"/>
        </w:rPr>
        <w:t>Conditional LSL (less than six years of continuous service) is disclosed as a non-current liability and measured at present value.</w:t>
      </w:r>
    </w:p>
    <w:p w14:paraId="664F77EE" w14:textId="43FB7D5A" w:rsidR="009A2F83" w:rsidRPr="009A2F83" w:rsidRDefault="00854B44" w:rsidP="00854B44">
      <w:pPr>
        <w:spacing w:before="120" w:after="0"/>
        <w:rPr>
          <w:b/>
          <w:bCs/>
          <w:sz w:val="20"/>
          <w:szCs w:val="20"/>
        </w:rPr>
      </w:pPr>
      <w:r w:rsidRPr="00E51206">
        <w:rPr>
          <w:rStyle w:val="Guidance"/>
          <w:b/>
          <w:bCs/>
        </w:rPr>
        <w:t>Disclosures about defined contribution plans</w:t>
      </w:r>
    </w:p>
    <w:p w14:paraId="0436FF00" w14:textId="1DBDB7D5" w:rsidR="00854B44" w:rsidRPr="00307AA5" w:rsidRDefault="00854B44" w:rsidP="00E51206">
      <w:pPr>
        <w:spacing w:before="120" w:after="0"/>
        <w:rPr>
          <w:rStyle w:val="Guidance"/>
        </w:rPr>
      </w:pPr>
      <w:r w:rsidRPr="00E51206">
        <w:rPr>
          <w:rStyle w:val="Guidance"/>
        </w:rPr>
        <w:t xml:space="preserve">An entity shall disclose the amount recognised in Comprehensive Operating Statement as an expense for defined contribution plans. If an entity treats a defined benefit multi-employer plan as a defined contribution plan because sufficient information is not available to use defined benefit accounting (see paragraph 34 of </w:t>
      </w:r>
      <w:r w:rsidR="0007383E" w:rsidRPr="00E51206">
        <w:rPr>
          <w:rStyle w:val="Guidance"/>
        </w:rPr>
        <w:t>AASB </w:t>
      </w:r>
      <w:r w:rsidRPr="00E51206">
        <w:rPr>
          <w:rStyle w:val="Guidance"/>
        </w:rPr>
        <w:t>119), it shall disclose the fact that it is a defined benefit plan and the reason why it is being accounted for as a defined contribution plan, along with any available information about the plan’s surplus or deficit and the implications, if any, for the entity.</w:t>
      </w:r>
      <w:r>
        <w:rPr>
          <w:rFonts w:hint="eastAsia"/>
          <w:lang w:eastAsia="zh-CN"/>
        </w:rPr>
        <w:t xml:space="preserve"> </w:t>
      </w:r>
      <w:r w:rsidRPr="3B6CD9D1">
        <w:rPr>
          <w:rStyle w:val="Reference"/>
        </w:rPr>
        <w:t>[</w:t>
      </w:r>
      <w:r w:rsidR="0007383E">
        <w:rPr>
          <w:rStyle w:val="Reference"/>
        </w:rPr>
        <w:t>AASB </w:t>
      </w:r>
      <w:r w:rsidRPr="3B6CD9D1">
        <w:rPr>
          <w:rStyle w:val="Reference"/>
        </w:rPr>
        <w:t>1060.172]</w:t>
      </w:r>
    </w:p>
    <w:p w14:paraId="75593C1A" w14:textId="77777777" w:rsidR="003719CD" w:rsidRDefault="003719CD" w:rsidP="007D536F">
      <w:pPr>
        <w:pStyle w:val="GuidanceEnd"/>
      </w:pPr>
    </w:p>
    <w:p w14:paraId="2E7B9877" w14:textId="77777777" w:rsidR="003719CD" w:rsidRDefault="003719CD" w:rsidP="007D536F">
      <w:pPr>
        <w:pStyle w:val="GuidanceEnd"/>
      </w:pPr>
      <w:bookmarkStart w:id="693" w:name="INDEX_DBPObligation"/>
      <w:bookmarkEnd w:id="693"/>
    </w:p>
    <w:p w14:paraId="5694CE58" w14:textId="3D451B8E" w:rsidR="003719CD" w:rsidRDefault="003719CD" w:rsidP="001B5265">
      <w:pPr>
        <w:pStyle w:val="Heading2numbered"/>
      </w:pPr>
      <w:bookmarkStart w:id="694" w:name="_Toc130225936"/>
      <w:bookmarkStart w:id="695" w:name="_Toc130288860"/>
      <w:bookmarkStart w:id="696" w:name="_Toc66190573"/>
      <w:bookmarkStart w:id="697" w:name="_Toc179811409"/>
      <w:bookmarkStart w:id="698" w:name="_Toc179817109"/>
      <w:bookmarkStart w:id="699" w:name="_Toc179822809"/>
      <w:bookmarkStart w:id="700" w:name="_Toc179828490"/>
      <w:bookmarkStart w:id="701" w:name="_Toc179860020"/>
      <w:bookmarkStart w:id="702" w:name="_Toc179867348"/>
      <w:bookmarkStart w:id="703" w:name="_Toc179871741"/>
      <w:bookmarkStart w:id="704" w:name="_Toc179876134"/>
      <w:bookmarkStart w:id="705" w:name="_Toc179880310"/>
      <w:bookmarkStart w:id="706" w:name="_Toc190339859"/>
      <w:bookmarkStart w:id="707" w:name="_Toc190340384"/>
      <w:r>
        <w:t>Grant expenses</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r w:rsidR="009C2AEA">
        <w:t xml:space="preserve"> </w:t>
      </w:r>
      <w:r w:rsidR="009C2AEA" w:rsidRPr="00E51206">
        <w:rPr>
          <w:color w:val="C00000"/>
          <w:sz w:val="20"/>
          <w:szCs w:val="20"/>
        </w:rPr>
        <w:t>[REVISED]</w:t>
      </w:r>
    </w:p>
    <w:p w14:paraId="25BCD9E4" w14:textId="77777777" w:rsidR="003719CD" w:rsidRDefault="003719CD" w:rsidP="007D536F">
      <w:pPr>
        <w:pStyle w:val="TableUnits"/>
      </w:pPr>
      <w:r>
        <w:t>($ thousand)</w:t>
      </w:r>
    </w:p>
    <w:tbl>
      <w:tblPr>
        <w:tblStyle w:val="DTFTable"/>
        <w:tblW w:w="9639" w:type="dxa"/>
        <w:tblLayout w:type="fixed"/>
        <w:tblLook w:val="06A0" w:firstRow="1" w:lastRow="0" w:firstColumn="1" w:lastColumn="0" w:noHBand="1" w:noVBand="1"/>
      </w:tblPr>
      <w:tblGrid>
        <w:gridCol w:w="7825"/>
        <w:gridCol w:w="907"/>
        <w:gridCol w:w="907"/>
      </w:tblGrid>
      <w:tr w:rsidR="008E5233" w14:paraId="6D02CEA4" w14:textId="77777777" w:rsidTr="0018270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7825" w:type="dxa"/>
          </w:tcPr>
          <w:p w14:paraId="2E7ECB40" w14:textId="77777777" w:rsidR="008E5233" w:rsidRDefault="008E5233">
            <w:pPr>
              <w:keepNext/>
            </w:pPr>
          </w:p>
        </w:tc>
        <w:tc>
          <w:tcPr>
            <w:tcW w:w="907" w:type="dxa"/>
          </w:tcPr>
          <w:p w14:paraId="51481F28" w14:textId="77777777" w:rsidR="008E5233" w:rsidRDefault="005648A9">
            <w:pPr>
              <w:keepNext/>
              <w:cnfStyle w:val="100000000000" w:firstRow="1" w:lastRow="0" w:firstColumn="0" w:lastColumn="0" w:oddVBand="0" w:evenVBand="0" w:oddHBand="0" w:evenHBand="0" w:firstRowFirstColumn="0" w:firstRowLastColumn="0" w:lastRowFirstColumn="0" w:lastRowLastColumn="0"/>
            </w:pPr>
            <w:r>
              <w:t>20X2</w:t>
            </w:r>
          </w:p>
        </w:tc>
        <w:tc>
          <w:tcPr>
            <w:tcW w:w="907" w:type="dxa"/>
          </w:tcPr>
          <w:p w14:paraId="56E01141" w14:textId="77777777" w:rsidR="008E5233" w:rsidRDefault="005648A9">
            <w:pPr>
              <w:keepNext/>
              <w:cnfStyle w:val="100000000000" w:firstRow="1" w:lastRow="0" w:firstColumn="0" w:lastColumn="0" w:oddVBand="0" w:evenVBand="0" w:oddHBand="0" w:evenHBand="0" w:firstRowFirstColumn="0" w:firstRowLastColumn="0" w:lastRowFirstColumn="0" w:lastRowLastColumn="0"/>
            </w:pPr>
            <w:r>
              <w:t>20X1</w:t>
            </w:r>
          </w:p>
        </w:tc>
      </w:tr>
      <w:tr w:rsidR="00A705FB" w14:paraId="47209B5E" w14:textId="77777777" w:rsidTr="002A0038">
        <w:tc>
          <w:tcPr>
            <w:cnfStyle w:val="001000000000" w:firstRow="0" w:lastRow="0" w:firstColumn="1" w:lastColumn="0" w:oddVBand="0" w:evenVBand="0" w:oddHBand="0" w:evenHBand="0" w:firstRowFirstColumn="0" w:firstRowLastColumn="0" w:lastRowFirstColumn="0" w:lastRowLastColumn="0"/>
            <w:tcW w:w="0" w:type="dxa"/>
          </w:tcPr>
          <w:p w14:paraId="1FBE563A" w14:textId="77777777" w:rsidR="00A705FB" w:rsidRDefault="00A705FB" w:rsidP="00A705FB">
            <w:r>
              <w:t>General purpose grants</w:t>
            </w:r>
          </w:p>
        </w:tc>
        <w:tc>
          <w:tcPr>
            <w:tcW w:w="0" w:type="dxa"/>
            <w:vAlign w:val="center"/>
          </w:tcPr>
          <w:p w14:paraId="63FEB13B" w14:textId="567F8D97" w:rsidR="00A705FB" w:rsidRDefault="00A705FB" w:rsidP="00A705FB">
            <w:pP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16"/>
              </w:rPr>
              <w:t>29</w:t>
            </w:r>
            <w:r w:rsidR="003E3065">
              <w:rPr>
                <w:rFonts w:ascii="Arial" w:hAnsi="Arial" w:cs="Arial" w:hint="eastAsia"/>
                <w:color w:val="000000"/>
                <w:szCs w:val="16"/>
                <w:lang w:eastAsia="zh-CN"/>
              </w:rPr>
              <w:t xml:space="preserve"> </w:t>
            </w:r>
            <w:r>
              <w:rPr>
                <w:rFonts w:ascii="Arial" w:hAnsi="Arial" w:cs="Arial"/>
                <w:color w:val="000000"/>
                <w:szCs w:val="16"/>
              </w:rPr>
              <w:t>052</w:t>
            </w:r>
          </w:p>
        </w:tc>
        <w:tc>
          <w:tcPr>
            <w:tcW w:w="0" w:type="dxa"/>
            <w:vAlign w:val="center"/>
          </w:tcPr>
          <w:p w14:paraId="3CE20D2F" w14:textId="7667CFDD" w:rsidR="00A705FB" w:rsidRDefault="00A705FB" w:rsidP="00A705FB">
            <w:pP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16"/>
              </w:rPr>
              <w:t>29</w:t>
            </w:r>
            <w:r w:rsidR="003E3065">
              <w:rPr>
                <w:rFonts w:ascii="Arial" w:hAnsi="Arial" w:cs="Arial" w:hint="eastAsia"/>
                <w:color w:val="000000"/>
                <w:szCs w:val="16"/>
                <w:lang w:eastAsia="zh-CN"/>
              </w:rPr>
              <w:t xml:space="preserve"> </w:t>
            </w:r>
            <w:r>
              <w:rPr>
                <w:rFonts w:ascii="Arial" w:hAnsi="Arial" w:cs="Arial"/>
                <w:color w:val="000000"/>
                <w:szCs w:val="16"/>
              </w:rPr>
              <w:t>445</w:t>
            </w:r>
          </w:p>
        </w:tc>
      </w:tr>
      <w:tr w:rsidR="00A705FB" w14:paraId="276AEE7D" w14:textId="77777777" w:rsidTr="002A0038">
        <w:tc>
          <w:tcPr>
            <w:cnfStyle w:val="001000000000" w:firstRow="0" w:lastRow="0" w:firstColumn="1" w:lastColumn="0" w:oddVBand="0" w:evenVBand="0" w:oddHBand="0" w:evenHBand="0" w:firstRowFirstColumn="0" w:firstRowLastColumn="0" w:lastRowFirstColumn="0" w:lastRowLastColumn="0"/>
            <w:tcW w:w="0" w:type="dxa"/>
            <w:tcBorders>
              <w:bottom w:val="single" w:sz="12" w:space="0" w:color="auto"/>
            </w:tcBorders>
          </w:tcPr>
          <w:p w14:paraId="4BFD2748" w14:textId="77777777" w:rsidR="00A705FB" w:rsidRDefault="00A705FB" w:rsidP="00A705FB">
            <w:r>
              <w:t>Payments for specific purposes</w:t>
            </w:r>
          </w:p>
        </w:tc>
        <w:tc>
          <w:tcPr>
            <w:tcW w:w="0" w:type="dxa"/>
            <w:tcBorders>
              <w:bottom w:val="single" w:sz="12" w:space="0" w:color="auto"/>
            </w:tcBorders>
            <w:vAlign w:val="center"/>
          </w:tcPr>
          <w:p w14:paraId="49D8DB0F" w14:textId="079E54B7" w:rsidR="00A705FB" w:rsidRDefault="004E2C70" w:rsidP="00A705FB">
            <w:pPr>
              <w:cnfStyle w:val="000000000000" w:firstRow="0" w:lastRow="0" w:firstColumn="0" w:lastColumn="0" w:oddVBand="0" w:evenVBand="0" w:oddHBand="0" w:evenHBand="0" w:firstRowFirstColumn="0" w:firstRowLastColumn="0" w:lastRowFirstColumn="0" w:lastRowLastColumn="0"/>
            </w:pPr>
            <w:r>
              <w:rPr>
                <w:rFonts w:ascii="Arial" w:hAnsi="Arial" w:cs="Arial" w:hint="eastAsia"/>
                <w:color w:val="000000"/>
                <w:szCs w:val="16"/>
                <w:lang w:eastAsia="zh-CN"/>
              </w:rPr>
              <w:t>14</w:t>
            </w:r>
            <w:r w:rsidR="003E3065">
              <w:rPr>
                <w:rFonts w:ascii="Arial" w:hAnsi="Arial" w:cs="Arial" w:hint="eastAsia"/>
                <w:color w:val="000000"/>
                <w:szCs w:val="16"/>
                <w:lang w:eastAsia="zh-CN"/>
              </w:rPr>
              <w:t xml:space="preserve"> </w:t>
            </w:r>
            <w:r>
              <w:rPr>
                <w:rFonts w:ascii="Arial" w:hAnsi="Arial" w:cs="Arial" w:hint="eastAsia"/>
                <w:color w:val="000000"/>
                <w:szCs w:val="16"/>
                <w:lang w:eastAsia="zh-CN"/>
              </w:rPr>
              <w:t>882</w:t>
            </w:r>
          </w:p>
        </w:tc>
        <w:tc>
          <w:tcPr>
            <w:tcW w:w="0" w:type="dxa"/>
            <w:tcBorders>
              <w:bottom w:val="single" w:sz="12" w:space="0" w:color="auto"/>
            </w:tcBorders>
            <w:vAlign w:val="center"/>
          </w:tcPr>
          <w:p w14:paraId="1F58A97D" w14:textId="602494AB" w:rsidR="00A705FB" w:rsidRDefault="00A705FB" w:rsidP="00A705FB">
            <w:pP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16"/>
              </w:rPr>
              <w:t>1</w:t>
            </w:r>
            <w:r w:rsidR="004E2C70">
              <w:rPr>
                <w:rFonts w:ascii="Arial" w:hAnsi="Arial" w:cs="Arial" w:hint="eastAsia"/>
                <w:color w:val="000000"/>
                <w:szCs w:val="16"/>
                <w:lang w:eastAsia="zh-CN"/>
              </w:rPr>
              <w:t>3</w:t>
            </w:r>
            <w:r w:rsidR="003E3065">
              <w:rPr>
                <w:rFonts w:ascii="Arial" w:hAnsi="Arial" w:cs="Arial" w:hint="eastAsia"/>
                <w:color w:val="000000"/>
                <w:szCs w:val="16"/>
                <w:lang w:eastAsia="zh-CN"/>
              </w:rPr>
              <w:t xml:space="preserve"> </w:t>
            </w:r>
            <w:r w:rsidR="004E2C70">
              <w:rPr>
                <w:rFonts w:ascii="Arial" w:hAnsi="Arial" w:cs="Arial" w:hint="eastAsia"/>
                <w:color w:val="000000"/>
                <w:szCs w:val="16"/>
                <w:lang w:eastAsia="zh-CN"/>
              </w:rPr>
              <w:t>595</w:t>
            </w:r>
          </w:p>
        </w:tc>
      </w:tr>
      <w:tr w:rsidR="00A705FB" w14:paraId="0D367811" w14:textId="77777777" w:rsidTr="002A0038">
        <w:tc>
          <w:tcPr>
            <w:cnfStyle w:val="001000000000" w:firstRow="0" w:lastRow="0" w:firstColumn="1" w:lastColumn="0" w:oddVBand="0" w:evenVBand="0" w:oddHBand="0" w:evenHBand="0" w:firstRowFirstColumn="0" w:firstRowLastColumn="0" w:lastRowFirstColumn="0" w:lastRowLastColumn="0"/>
            <w:tcW w:w="0" w:type="dxa"/>
          </w:tcPr>
          <w:p w14:paraId="4C4BEF3A" w14:textId="77777777" w:rsidR="00A705FB" w:rsidRDefault="00A705FB" w:rsidP="00A705FB">
            <w:r>
              <w:rPr>
                <w:b/>
              </w:rPr>
              <w:t>Total grant expenses</w:t>
            </w:r>
          </w:p>
        </w:tc>
        <w:tc>
          <w:tcPr>
            <w:tcW w:w="0" w:type="dxa"/>
            <w:vAlign w:val="center"/>
          </w:tcPr>
          <w:p w14:paraId="1825584B" w14:textId="76685A0E" w:rsidR="00A705FB" w:rsidRDefault="00A705FB" w:rsidP="00A705FB">
            <w:pPr>
              <w:cnfStyle w:val="000000000000" w:firstRow="0" w:lastRow="0" w:firstColumn="0" w:lastColumn="0" w:oddVBand="0" w:evenVBand="0" w:oddHBand="0" w:evenHBand="0" w:firstRowFirstColumn="0" w:firstRowLastColumn="0" w:lastRowFirstColumn="0" w:lastRowLastColumn="0"/>
            </w:pPr>
            <w:r>
              <w:rPr>
                <w:rFonts w:ascii="Arial" w:hAnsi="Arial" w:cs="Arial"/>
                <w:b/>
                <w:bCs/>
                <w:color w:val="000000"/>
                <w:szCs w:val="16"/>
              </w:rPr>
              <w:t>43</w:t>
            </w:r>
            <w:r w:rsidR="003E3065">
              <w:rPr>
                <w:rFonts w:ascii="Arial" w:hAnsi="Arial" w:cs="Arial" w:hint="eastAsia"/>
                <w:b/>
                <w:bCs/>
                <w:color w:val="000000"/>
                <w:szCs w:val="16"/>
                <w:lang w:eastAsia="zh-CN"/>
              </w:rPr>
              <w:t xml:space="preserve"> </w:t>
            </w:r>
            <w:r>
              <w:rPr>
                <w:rFonts w:ascii="Arial" w:hAnsi="Arial" w:cs="Arial"/>
                <w:b/>
                <w:bCs/>
                <w:color w:val="000000"/>
                <w:szCs w:val="16"/>
              </w:rPr>
              <w:t>934</w:t>
            </w:r>
          </w:p>
        </w:tc>
        <w:tc>
          <w:tcPr>
            <w:tcW w:w="0" w:type="dxa"/>
            <w:vAlign w:val="center"/>
          </w:tcPr>
          <w:p w14:paraId="6BB8EF03" w14:textId="1C53C78B" w:rsidR="00A705FB" w:rsidRDefault="00A705FB" w:rsidP="00A705FB">
            <w:pPr>
              <w:cnfStyle w:val="000000000000" w:firstRow="0" w:lastRow="0" w:firstColumn="0" w:lastColumn="0" w:oddVBand="0" w:evenVBand="0" w:oddHBand="0" w:evenHBand="0" w:firstRowFirstColumn="0" w:firstRowLastColumn="0" w:lastRowFirstColumn="0" w:lastRowLastColumn="0"/>
            </w:pPr>
            <w:r>
              <w:rPr>
                <w:rFonts w:ascii="Arial" w:hAnsi="Arial" w:cs="Arial"/>
                <w:b/>
                <w:bCs/>
                <w:color w:val="000000"/>
                <w:szCs w:val="16"/>
              </w:rPr>
              <w:t>43</w:t>
            </w:r>
            <w:r w:rsidR="003E3065">
              <w:rPr>
                <w:rFonts w:ascii="Arial" w:hAnsi="Arial" w:cs="Arial" w:hint="eastAsia"/>
                <w:b/>
                <w:bCs/>
                <w:color w:val="000000"/>
                <w:szCs w:val="16"/>
                <w:lang w:eastAsia="zh-CN"/>
              </w:rPr>
              <w:t xml:space="preserve"> </w:t>
            </w:r>
            <w:r>
              <w:rPr>
                <w:rFonts w:ascii="Arial" w:hAnsi="Arial" w:cs="Arial"/>
                <w:b/>
                <w:bCs/>
                <w:color w:val="000000"/>
                <w:szCs w:val="16"/>
              </w:rPr>
              <w:t>040</w:t>
            </w:r>
          </w:p>
        </w:tc>
      </w:tr>
    </w:tbl>
    <w:p w14:paraId="3BB6736F" w14:textId="052CFD51" w:rsidR="003719CD" w:rsidRDefault="003719CD" w:rsidP="00DC39DE">
      <w:r>
        <w:t xml:space="preserve">Grant expenses are contributions of </w:t>
      </w:r>
      <w:r w:rsidR="00B16E6A">
        <w:t>TV</w:t>
      </w:r>
      <w:r>
        <w:t xml:space="preserve">’s resources to another party for specific or general purposes where there is no expectation that the amount will be repaid in equal value (either by money, goods or services). </w:t>
      </w:r>
    </w:p>
    <w:p w14:paraId="61773EF7" w14:textId="77777777" w:rsidR="003719CD" w:rsidRDefault="003719CD" w:rsidP="00DC39DE">
      <w:r>
        <w:t>Grants can either be operating or capital in nature. Grants can be paid as general-purpose grants, which refer to grants that are not subject to conditions regarding their use. Alternatively, they may be paid as specific purpose grants which are paid for a particular purpose and/or have conditions attached regarding their use.</w:t>
      </w:r>
    </w:p>
    <w:p w14:paraId="36B77B2C" w14:textId="4E0497DF" w:rsidR="003719CD" w:rsidRDefault="003719CD" w:rsidP="00DC39DE">
      <w:r>
        <w:t xml:space="preserve">Grant expenses are recognised in the reporting period in which they are paid or payable. Grants can take the form of money, assets, goods, services or forgiveness of liabilities. </w:t>
      </w:r>
    </w:p>
    <w:p w14:paraId="06F14D5F" w14:textId="300B8A4A" w:rsidR="003719CD" w:rsidRDefault="003719CD" w:rsidP="001B5265">
      <w:pPr>
        <w:pStyle w:val="Heading2numbered"/>
      </w:pPr>
      <w:bookmarkStart w:id="708" w:name="_Toc66190575"/>
      <w:bookmarkStart w:id="709" w:name="_Toc130225937"/>
      <w:bookmarkStart w:id="710" w:name="_Toc130288861"/>
      <w:bookmarkStart w:id="711" w:name="_Toc179811410"/>
      <w:bookmarkStart w:id="712" w:name="_Toc179817110"/>
      <w:bookmarkStart w:id="713" w:name="_Toc179822810"/>
      <w:bookmarkStart w:id="714" w:name="_Toc179828491"/>
      <w:bookmarkStart w:id="715" w:name="_Toc179860021"/>
      <w:bookmarkStart w:id="716" w:name="_Toc179867349"/>
      <w:bookmarkStart w:id="717" w:name="_Toc179871742"/>
      <w:bookmarkStart w:id="718" w:name="_Toc179876135"/>
      <w:bookmarkStart w:id="719" w:name="_Toc179880311"/>
      <w:bookmarkStart w:id="720" w:name="_Toc190339860"/>
      <w:bookmarkStart w:id="721" w:name="_Toc190340385"/>
      <w:r>
        <w:t>Other operating expenses</w:t>
      </w:r>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p>
    <w:p w14:paraId="7231E371" w14:textId="77777777" w:rsidR="003719CD" w:rsidRDefault="003719CD" w:rsidP="007D536F">
      <w:pPr>
        <w:pStyle w:val="TableUnits"/>
      </w:pPr>
      <w:r>
        <w:t>($ thousand)</w:t>
      </w:r>
    </w:p>
    <w:tbl>
      <w:tblPr>
        <w:tblStyle w:val="DTFTable"/>
        <w:tblW w:w="9639" w:type="dxa"/>
        <w:tblLayout w:type="fixed"/>
        <w:tblLook w:val="0620" w:firstRow="1" w:lastRow="0" w:firstColumn="0" w:lastColumn="0" w:noHBand="1" w:noVBand="1"/>
      </w:tblPr>
      <w:tblGrid>
        <w:gridCol w:w="1560"/>
        <w:gridCol w:w="6347"/>
        <w:gridCol w:w="866"/>
        <w:gridCol w:w="866"/>
      </w:tblGrid>
      <w:tr w:rsidR="00182709" w14:paraId="39453B5E" w14:textId="77777777" w:rsidTr="3B6CD9D1">
        <w:trPr>
          <w:cnfStyle w:val="100000000000" w:firstRow="1" w:lastRow="0" w:firstColumn="0" w:lastColumn="0" w:oddVBand="0" w:evenVBand="0" w:oddHBand="0" w:evenHBand="0" w:firstRowFirstColumn="0" w:firstRowLastColumn="0" w:lastRowFirstColumn="0" w:lastRowLastColumn="0"/>
          <w:tblHeader/>
        </w:trPr>
        <w:tc>
          <w:tcPr>
            <w:tcW w:w="1560" w:type="dxa"/>
            <w:tcBorders>
              <w:top w:val="nil"/>
              <w:bottom w:val="nil"/>
            </w:tcBorders>
            <w:shd w:val="clear" w:color="auto" w:fill="FFFFFF" w:themeFill="background1"/>
          </w:tcPr>
          <w:p w14:paraId="4E70B450" w14:textId="77777777" w:rsidR="00182709" w:rsidRDefault="0044097C">
            <w:pPr>
              <w:keepNext/>
              <w:jc w:val="left"/>
            </w:pPr>
            <w:r>
              <w:rPr>
                <w:color w:val="4472C4"/>
                <w:sz w:val="13"/>
              </w:rPr>
              <w:t>Source reference</w:t>
            </w:r>
          </w:p>
        </w:tc>
        <w:tc>
          <w:tcPr>
            <w:tcW w:w="6347" w:type="dxa"/>
          </w:tcPr>
          <w:p w14:paraId="54C24730" w14:textId="77777777" w:rsidR="00182709" w:rsidRDefault="00182709">
            <w:pPr>
              <w:keepNext/>
              <w:jc w:val="left"/>
            </w:pPr>
          </w:p>
        </w:tc>
        <w:tc>
          <w:tcPr>
            <w:tcW w:w="866" w:type="dxa"/>
          </w:tcPr>
          <w:p w14:paraId="3C31EC62" w14:textId="77777777" w:rsidR="00182709" w:rsidRDefault="0044097C">
            <w:pPr>
              <w:keepNext/>
            </w:pPr>
            <w:r>
              <w:t>20X2</w:t>
            </w:r>
          </w:p>
        </w:tc>
        <w:tc>
          <w:tcPr>
            <w:tcW w:w="866" w:type="dxa"/>
          </w:tcPr>
          <w:p w14:paraId="62462D50" w14:textId="77777777" w:rsidR="00182709" w:rsidRDefault="0044097C">
            <w:pPr>
              <w:keepNext/>
            </w:pPr>
            <w:r>
              <w:t>20X1</w:t>
            </w:r>
          </w:p>
        </w:tc>
      </w:tr>
      <w:tr w:rsidR="006039F0" w14:paraId="080DA3AD" w14:textId="77777777" w:rsidTr="002A0038">
        <w:tc>
          <w:tcPr>
            <w:tcW w:w="0" w:type="dxa"/>
          </w:tcPr>
          <w:p w14:paraId="00EA3D71" w14:textId="77777777" w:rsidR="006039F0" w:rsidRDefault="006039F0" w:rsidP="006039F0">
            <w:pPr>
              <w:jc w:val="left"/>
            </w:pPr>
          </w:p>
        </w:tc>
        <w:tc>
          <w:tcPr>
            <w:tcW w:w="0" w:type="dxa"/>
          </w:tcPr>
          <w:p w14:paraId="3543BD97" w14:textId="77777777" w:rsidR="006039F0" w:rsidRPr="00511A83" w:rsidRDefault="006039F0" w:rsidP="006039F0">
            <w:pPr>
              <w:jc w:val="left"/>
            </w:pPr>
            <w:r w:rsidRPr="00511A83">
              <w:t>Purchase of inventories</w:t>
            </w:r>
          </w:p>
        </w:tc>
        <w:tc>
          <w:tcPr>
            <w:tcW w:w="0" w:type="dxa"/>
            <w:vAlign w:val="center"/>
          </w:tcPr>
          <w:p w14:paraId="02CD23C6" w14:textId="29FEC3CD" w:rsidR="006039F0" w:rsidRDefault="006039F0" w:rsidP="006039F0">
            <w:r>
              <w:rPr>
                <w:rFonts w:ascii="Arial" w:hAnsi="Arial" w:cs="Arial"/>
                <w:color w:val="000000"/>
                <w:szCs w:val="16"/>
              </w:rPr>
              <w:t>1</w:t>
            </w:r>
            <w:r w:rsidR="003E3065">
              <w:rPr>
                <w:rFonts w:ascii="Arial" w:hAnsi="Arial" w:cs="Arial" w:hint="eastAsia"/>
                <w:color w:val="000000"/>
                <w:szCs w:val="16"/>
                <w:lang w:eastAsia="zh-CN"/>
              </w:rPr>
              <w:t xml:space="preserve"> </w:t>
            </w:r>
            <w:r>
              <w:rPr>
                <w:rFonts w:ascii="Arial" w:hAnsi="Arial" w:cs="Arial"/>
                <w:color w:val="000000"/>
                <w:szCs w:val="16"/>
              </w:rPr>
              <w:t>477</w:t>
            </w:r>
          </w:p>
        </w:tc>
        <w:tc>
          <w:tcPr>
            <w:tcW w:w="0" w:type="dxa"/>
            <w:vAlign w:val="center"/>
          </w:tcPr>
          <w:p w14:paraId="12E220B6" w14:textId="2DAA4BDE" w:rsidR="006039F0" w:rsidRDefault="006039F0" w:rsidP="006039F0">
            <w:r>
              <w:rPr>
                <w:rFonts w:ascii="Arial" w:hAnsi="Arial" w:cs="Arial"/>
                <w:color w:val="000000"/>
                <w:szCs w:val="16"/>
              </w:rPr>
              <w:t>1</w:t>
            </w:r>
            <w:r w:rsidR="003E3065">
              <w:rPr>
                <w:rFonts w:ascii="Arial" w:hAnsi="Arial" w:cs="Arial" w:hint="eastAsia"/>
                <w:color w:val="000000"/>
                <w:szCs w:val="16"/>
                <w:lang w:eastAsia="zh-CN"/>
              </w:rPr>
              <w:t xml:space="preserve"> </w:t>
            </w:r>
            <w:r>
              <w:rPr>
                <w:rFonts w:ascii="Arial" w:hAnsi="Arial" w:cs="Arial"/>
                <w:color w:val="000000"/>
                <w:szCs w:val="16"/>
              </w:rPr>
              <w:t>057</w:t>
            </w:r>
          </w:p>
        </w:tc>
      </w:tr>
      <w:tr w:rsidR="006039F0" w14:paraId="48A9C3FC" w14:textId="77777777" w:rsidTr="002A0038">
        <w:tc>
          <w:tcPr>
            <w:tcW w:w="0" w:type="dxa"/>
          </w:tcPr>
          <w:p w14:paraId="0E4CE381" w14:textId="77777777" w:rsidR="006039F0" w:rsidRDefault="006039F0" w:rsidP="006039F0">
            <w:pPr>
              <w:jc w:val="left"/>
            </w:pPr>
          </w:p>
        </w:tc>
        <w:tc>
          <w:tcPr>
            <w:tcW w:w="0" w:type="dxa"/>
          </w:tcPr>
          <w:p w14:paraId="36C077CF" w14:textId="792D468E" w:rsidR="006039F0" w:rsidRPr="00511A83" w:rsidRDefault="006039F0" w:rsidP="006039F0">
            <w:pPr>
              <w:jc w:val="left"/>
            </w:pPr>
            <w:r w:rsidRPr="00511A83">
              <w:t>Purchase of services (including remuneration of auditors)</w:t>
            </w:r>
            <w:r w:rsidRPr="00511A83">
              <w:rPr>
                <w:vertAlign w:val="superscript"/>
              </w:rPr>
              <w:t xml:space="preserve"> </w:t>
            </w:r>
          </w:p>
        </w:tc>
        <w:tc>
          <w:tcPr>
            <w:tcW w:w="0" w:type="dxa"/>
            <w:vAlign w:val="center"/>
          </w:tcPr>
          <w:p w14:paraId="10C11B47" w14:textId="58F8BDA8" w:rsidR="006039F0" w:rsidRDefault="006039F0" w:rsidP="006039F0">
            <w:r>
              <w:rPr>
                <w:rFonts w:ascii="Arial" w:hAnsi="Arial" w:cs="Arial"/>
                <w:color w:val="000000"/>
                <w:szCs w:val="16"/>
              </w:rPr>
              <w:t>4</w:t>
            </w:r>
            <w:r w:rsidR="003E3065">
              <w:rPr>
                <w:rFonts w:ascii="Arial" w:hAnsi="Arial" w:cs="Arial" w:hint="eastAsia"/>
                <w:color w:val="000000"/>
                <w:szCs w:val="16"/>
                <w:lang w:eastAsia="zh-CN"/>
              </w:rPr>
              <w:t xml:space="preserve"> </w:t>
            </w:r>
            <w:r>
              <w:rPr>
                <w:rFonts w:ascii="Arial" w:hAnsi="Arial" w:cs="Arial"/>
                <w:color w:val="000000"/>
                <w:szCs w:val="16"/>
              </w:rPr>
              <w:t>135</w:t>
            </w:r>
          </w:p>
        </w:tc>
        <w:tc>
          <w:tcPr>
            <w:tcW w:w="0" w:type="dxa"/>
            <w:vAlign w:val="center"/>
          </w:tcPr>
          <w:p w14:paraId="5B403122" w14:textId="5990AA79" w:rsidR="006039F0" w:rsidRDefault="006039F0" w:rsidP="006039F0">
            <w:r>
              <w:rPr>
                <w:rFonts w:ascii="Arial" w:hAnsi="Arial" w:cs="Arial"/>
                <w:color w:val="000000"/>
                <w:szCs w:val="16"/>
              </w:rPr>
              <w:t>2</w:t>
            </w:r>
            <w:r w:rsidR="003E3065">
              <w:rPr>
                <w:rFonts w:ascii="Arial" w:hAnsi="Arial" w:cs="Arial" w:hint="eastAsia"/>
                <w:color w:val="000000"/>
                <w:szCs w:val="16"/>
                <w:lang w:eastAsia="zh-CN"/>
              </w:rPr>
              <w:t xml:space="preserve"> </w:t>
            </w:r>
            <w:r>
              <w:rPr>
                <w:rFonts w:ascii="Arial" w:hAnsi="Arial" w:cs="Arial"/>
                <w:color w:val="000000"/>
                <w:szCs w:val="16"/>
              </w:rPr>
              <w:t>622</w:t>
            </w:r>
          </w:p>
        </w:tc>
      </w:tr>
      <w:tr w:rsidR="006039F0" w14:paraId="48C8AB61" w14:textId="77777777" w:rsidTr="002A0038">
        <w:tc>
          <w:tcPr>
            <w:tcW w:w="0" w:type="dxa"/>
          </w:tcPr>
          <w:p w14:paraId="33D08432" w14:textId="77777777" w:rsidR="006039F0" w:rsidRDefault="006039F0" w:rsidP="006039F0">
            <w:pPr>
              <w:jc w:val="left"/>
            </w:pPr>
          </w:p>
        </w:tc>
        <w:tc>
          <w:tcPr>
            <w:tcW w:w="0" w:type="dxa"/>
          </w:tcPr>
          <w:p w14:paraId="616C5059" w14:textId="2AB90698" w:rsidR="006039F0" w:rsidRDefault="006039F0" w:rsidP="006039F0">
            <w:pPr>
              <w:jc w:val="left"/>
            </w:pPr>
            <w:r>
              <w:t>Maintenance</w:t>
            </w:r>
            <w:r>
              <w:rPr>
                <w:vertAlign w:val="superscript"/>
              </w:rPr>
              <w:t xml:space="preserve"> </w:t>
            </w:r>
          </w:p>
        </w:tc>
        <w:tc>
          <w:tcPr>
            <w:tcW w:w="0" w:type="dxa"/>
            <w:vAlign w:val="center"/>
          </w:tcPr>
          <w:p w14:paraId="13534C8A" w14:textId="173EB6A2" w:rsidR="006039F0" w:rsidRDefault="006039F0" w:rsidP="006039F0">
            <w:r>
              <w:rPr>
                <w:rFonts w:ascii="Arial" w:hAnsi="Arial" w:cs="Arial"/>
                <w:color w:val="000000"/>
                <w:szCs w:val="16"/>
              </w:rPr>
              <w:t>22</w:t>
            </w:r>
            <w:r w:rsidR="00DD6FEB">
              <w:rPr>
                <w:rFonts w:ascii="Arial" w:hAnsi="Arial" w:cs="Arial"/>
                <w:color w:val="000000"/>
                <w:szCs w:val="16"/>
              </w:rPr>
              <w:t>6</w:t>
            </w:r>
          </w:p>
        </w:tc>
        <w:tc>
          <w:tcPr>
            <w:tcW w:w="0" w:type="dxa"/>
            <w:vAlign w:val="center"/>
          </w:tcPr>
          <w:p w14:paraId="7DABF450" w14:textId="5BF12E48" w:rsidR="006039F0" w:rsidRDefault="00DD6FEB" w:rsidP="006039F0">
            <w:r>
              <w:rPr>
                <w:rFonts w:ascii="Arial" w:hAnsi="Arial" w:cs="Arial"/>
                <w:color w:val="000000"/>
                <w:szCs w:val="16"/>
              </w:rPr>
              <w:t>101</w:t>
            </w:r>
          </w:p>
        </w:tc>
      </w:tr>
      <w:tr w:rsidR="006039F0" w14:paraId="30EE2811" w14:textId="77777777" w:rsidTr="002A0038">
        <w:tc>
          <w:tcPr>
            <w:tcW w:w="0" w:type="dxa"/>
          </w:tcPr>
          <w:p w14:paraId="55638E11" w14:textId="77777777" w:rsidR="006039F0" w:rsidRDefault="006039F0" w:rsidP="006039F0">
            <w:pPr>
              <w:jc w:val="left"/>
            </w:pPr>
          </w:p>
        </w:tc>
        <w:tc>
          <w:tcPr>
            <w:tcW w:w="0" w:type="dxa"/>
          </w:tcPr>
          <w:p w14:paraId="674DF63E" w14:textId="77777777" w:rsidR="006039F0" w:rsidRDefault="006039F0" w:rsidP="006039F0">
            <w:pPr>
              <w:jc w:val="left"/>
            </w:pPr>
            <w:r>
              <w:t>Other borrowing cost (other than interest)</w:t>
            </w:r>
          </w:p>
        </w:tc>
        <w:tc>
          <w:tcPr>
            <w:tcW w:w="0" w:type="dxa"/>
            <w:vAlign w:val="center"/>
          </w:tcPr>
          <w:p w14:paraId="34ECA116" w14:textId="6C5A0A30" w:rsidR="006039F0" w:rsidRDefault="006039F0" w:rsidP="006039F0">
            <w:r>
              <w:rPr>
                <w:rFonts w:ascii="Arial" w:hAnsi="Arial" w:cs="Arial"/>
                <w:color w:val="000000"/>
                <w:szCs w:val="16"/>
              </w:rPr>
              <w:t>307</w:t>
            </w:r>
          </w:p>
        </w:tc>
        <w:tc>
          <w:tcPr>
            <w:tcW w:w="0" w:type="dxa"/>
            <w:vAlign w:val="center"/>
          </w:tcPr>
          <w:p w14:paraId="74EC866E" w14:textId="5545B930" w:rsidR="006039F0" w:rsidRDefault="006039F0" w:rsidP="006039F0">
            <w:r>
              <w:rPr>
                <w:rFonts w:ascii="Arial" w:hAnsi="Arial" w:cs="Arial"/>
                <w:color w:val="000000"/>
                <w:szCs w:val="16"/>
              </w:rPr>
              <w:t>144</w:t>
            </w:r>
          </w:p>
        </w:tc>
      </w:tr>
      <w:tr w:rsidR="002410FB" w:rsidRPr="001921E0" w14:paraId="7ECD5BDF" w14:textId="77777777" w:rsidTr="002A0038">
        <w:tc>
          <w:tcPr>
            <w:tcW w:w="0" w:type="dxa"/>
          </w:tcPr>
          <w:p w14:paraId="3B83E2A0" w14:textId="77777777" w:rsidR="002410FB" w:rsidRDefault="002410FB" w:rsidP="002410FB">
            <w:pPr>
              <w:jc w:val="left"/>
            </w:pPr>
          </w:p>
        </w:tc>
        <w:tc>
          <w:tcPr>
            <w:tcW w:w="0" w:type="dxa"/>
          </w:tcPr>
          <w:p w14:paraId="4D99F4C8" w14:textId="73BE3596" w:rsidR="002410FB" w:rsidRPr="0087428A" w:rsidRDefault="002410FB" w:rsidP="002410FB">
            <w:pPr>
              <w:jc w:val="left"/>
            </w:pPr>
            <w:r w:rsidRPr="0087428A">
              <w:t xml:space="preserve">Fair value </w:t>
            </w:r>
            <w:r>
              <w:t xml:space="preserve">of </w:t>
            </w:r>
            <w:r w:rsidRPr="0087428A">
              <w:t>assets and services provided free of charge or for nominal consideration</w:t>
            </w:r>
          </w:p>
        </w:tc>
        <w:tc>
          <w:tcPr>
            <w:tcW w:w="0" w:type="dxa"/>
            <w:vAlign w:val="center"/>
          </w:tcPr>
          <w:p w14:paraId="265082A3" w14:textId="6EDE5A0D" w:rsidR="002410FB" w:rsidRPr="0087428A" w:rsidRDefault="002410FB" w:rsidP="002410FB">
            <w:r>
              <w:rPr>
                <w:rFonts w:ascii="Arial" w:hAnsi="Arial" w:cs="Arial"/>
                <w:color w:val="000000"/>
                <w:szCs w:val="16"/>
              </w:rPr>
              <w:t>709</w:t>
            </w:r>
          </w:p>
        </w:tc>
        <w:tc>
          <w:tcPr>
            <w:tcW w:w="0" w:type="dxa"/>
            <w:vAlign w:val="center"/>
          </w:tcPr>
          <w:p w14:paraId="79B062DB" w14:textId="633188FA" w:rsidR="002410FB" w:rsidRPr="0087428A" w:rsidRDefault="002410FB" w:rsidP="002410FB">
            <w:r>
              <w:rPr>
                <w:rFonts w:ascii="Arial" w:hAnsi="Arial" w:cs="Arial"/>
                <w:color w:val="000000"/>
                <w:szCs w:val="16"/>
              </w:rPr>
              <w:t>852</w:t>
            </w:r>
          </w:p>
        </w:tc>
      </w:tr>
      <w:tr w:rsidR="00971412" w14:paraId="24584240" w14:textId="77777777" w:rsidTr="002A0038">
        <w:tc>
          <w:tcPr>
            <w:tcW w:w="0" w:type="dxa"/>
          </w:tcPr>
          <w:p w14:paraId="1D0FE553" w14:textId="12B20B2D" w:rsidR="00971412" w:rsidRDefault="0007383E" w:rsidP="00971412">
            <w:pPr>
              <w:jc w:val="left"/>
            </w:pPr>
            <w:r>
              <w:rPr>
                <w:color w:val="4472C4" w:themeColor="accent1"/>
                <w:sz w:val="13"/>
                <w:szCs w:val="13"/>
              </w:rPr>
              <w:t>AASB </w:t>
            </w:r>
            <w:r w:rsidR="00971412" w:rsidRPr="7761C2A3">
              <w:rPr>
                <w:color w:val="4472C4" w:themeColor="accent1"/>
                <w:sz w:val="13"/>
                <w:szCs w:val="13"/>
              </w:rPr>
              <w:t>1060.146(</w:t>
            </w:r>
            <w:r w:rsidR="0025353D">
              <w:rPr>
                <w:rFonts w:hint="eastAsia"/>
                <w:color w:val="4472C4" w:themeColor="accent1"/>
                <w:sz w:val="13"/>
                <w:szCs w:val="13"/>
                <w:lang w:eastAsia="zh-CN"/>
              </w:rPr>
              <w:t>b</w:t>
            </w:r>
            <w:r w:rsidR="00971412" w:rsidRPr="7761C2A3">
              <w:rPr>
                <w:color w:val="4472C4" w:themeColor="accent1"/>
                <w:sz w:val="13"/>
                <w:szCs w:val="13"/>
              </w:rPr>
              <w:t>)</w:t>
            </w:r>
          </w:p>
        </w:tc>
        <w:tc>
          <w:tcPr>
            <w:tcW w:w="0" w:type="dxa"/>
            <w:tcBorders>
              <w:bottom w:val="nil"/>
            </w:tcBorders>
          </w:tcPr>
          <w:p w14:paraId="05DD5768" w14:textId="5FD27A7A" w:rsidR="00971412" w:rsidRDefault="00971412" w:rsidP="00971412">
            <w:pPr>
              <w:jc w:val="left"/>
            </w:pPr>
            <w:r>
              <w:rPr>
                <w:rFonts w:hint="eastAsia"/>
                <w:lang w:eastAsia="zh-CN"/>
              </w:rPr>
              <w:t>Short-term lease expenses</w:t>
            </w:r>
          </w:p>
        </w:tc>
        <w:tc>
          <w:tcPr>
            <w:tcW w:w="0" w:type="dxa"/>
            <w:tcBorders>
              <w:bottom w:val="nil"/>
            </w:tcBorders>
            <w:vAlign w:val="center"/>
          </w:tcPr>
          <w:p w14:paraId="176ED161" w14:textId="3B868080" w:rsidR="00971412" w:rsidRDefault="00971412" w:rsidP="00971412">
            <w:r>
              <w:rPr>
                <w:rFonts w:ascii="Arial" w:hAnsi="Arial" w:cs="Arial"/>
                <w:color w:val="000000"/>
                <w:szCs w:val="16"/>
              </w:rPr>
              <w:t>1</w:t>
            </w:r>
            <w:r w:rsidR="003E3065">
              <w:rPr>
                <w:rFonts w:ascii="Arial" w:hAnsi="Arial" w:cs="Arial" w:hint="eastAsia"/>
                <w:color w:val="000000"/>
                <w:szCs w:val="16"/>
                <w:lang w:eastAsia="zh-CN"/>
              </w:rPr>
              <w:t xml:space="preserve"> </w:t>
            </w:r>
            <w:r>
              <w:rPr>
                <w:rFonts w:ascii="Arial" w:hAnsi="Arial" w:cs="Arial"/>
                <w:color w:val="000000"/>
                <w:szCs w:val="16"/>
              </w:rPr>
              <w:t>036</w:t>
            </w:r>
          </w:p>
        </w:tc>
        <w:tc>
          <w:tcPr>
            <w:tcW w:w="0" w:type="dxa"/>
            <w:tcBorders>
              <w:bottom w:val="nil"/>
            </w:tcBorders>
            <w:vAlign w:val="center"/>
          </w:tcPr>
          <w:p w14:paraId="11632A3E" w14:textId="57DD124F" w:rsidR="00971412" w:rsidRDefault="00971412" w:rsidP="00971412">
            <w:r>
              <w:rPr>
                <w:rFonts w:ascii="Arial" w:hAnsi="Arial" w:cs="Arial"/>
                <w:color w:val="000000"/>
                <w:szCs w:val="16"/>
              </w:rPr>
              <w:t>854</w:t>
            </w:r>
          </w:p>
        </w:tc>
      </w:tr>
      <w:tr w:rsidR="00971412" w14:paraId="382C3CA5" w14:textId="77777777" w:rsidTr="002A0038">
        <w:tc>
          <w:tcPr>
            <w:tcW w:w="0" w:type="dxa"/>
          </w:tcPr>
          <w:p w14:paraId="39BAE1E7" w14:textId="28C3E223" w:rsidR="00971412" w:rsidRDefault="0007383E" w:rsidP="002A0038">
            <w:pPr>
              <w:jc w:val="left"/>
            </w:pPr>
            <w:r>
              <w:rPr>
                <w:color w:val="4472C4" w:themeColor="accent1"/>
                <w:sz w:val="13"/>
                <w:szCs w:val="13"/>
              </w:rPr>
              <w:t>AASB </w:t>
            </w:r>
            <w:r w:rsidR="00971412" w:rsidRPr="7761C2A3">
              <w:rPr>
                <w:color w:val="4472C4" w:themeColor="accent1"/>
                <w:sz w:val="13"/>
                <w:szCs w:val="13"/>
              </w:rPr>
              <w:t>1060.146(b)</w:t>
            </w:r>
          </w:p>
        </w:tc>
        <w:tc>
          <w:tcPr>
            <w:tcW w:w="0" w:type="dxa"/>
            <w:tcBorders>
              <w:bottom w:val="nil"/>
            </w:tcBorders>
          </w:tcPr>
          <w:p w14:paraId="51792087" w14:textId="0659DCCC" w:rsidR="00971412" w:rsidDel="002A029A" w:rsidRDefault="00971412" w:rsidP="002A0038">
            <w:pPr>
              <w:jc w:val="left"/>
              <w:rPr>
                <w:lang w:eastAsia="zh-CN"/>
              </w:rPr>
            </w:pPr>
            <w:r>
              <w:t>Low</w:t>
            </w:r>
            <w:r>
              <w:noBreakHyphen/>
              <w:t xml:space="preserve">Value </w:t>
            </w:r>
            <w:r w:rsidR="009D46BB">
              <w:t>lease expenses</w:t>
            </w:r>
          </w:p>
        </w:tc>
        <w:tc>
          <w:tcPr>
            <w:tcW w:w="0" w:type="dxa"/>
            <w:tcBorders>
              <w:bottom w:val="nil"/>
            </w:tcBorders>
            <w:vAlign w:val="center"/>
          </w:tcPr>
          <w:p w14:paraId="2EE1AB11" w14:textId="411EAEE3" w:rsidR="00971412" w:rsidRDefault="00971412" w:rsidP="00971412">
            <w:r>
              <w:rPr>
                <w:rFonts w:ascii="Arial" w:hAnsi="Arial" w:cs="Arial"/>
                <w:color w:val="000000"/>
                <w:szCs w:val="16"/>
              </w:rPr>
              <w:t>820</w:t>
            </w:r>
          </w:p>
        </w:tc>
        <w:tc>
          <w:tcPr>
            <w:tcW w:w="0" w:type="dxa"/>
            <w:tcBorders>
              <w:bottom w:val="nil"/>
            </w:tcBorders>
            <w:vAlign w:val="center"/>
          </w:tcPr>
          <w:p w14:paraId="226C84B8" w14:textId="0988C70C" w:rsidR="00971412" w:rsidRDefault="00971412" w:rsidP="00971412">
            <w:r>
              <w:rPr>
                <w:rFonts w:ascii="Arial" w:hAnsi="Arial" w:cs="Arial"/>
                <w:color w:val="000000"/>
                <w:szCs w:val="16"/>
              </w:rPr>
              <w:t>98</w:t>
            </w:r>
          </w:p>
        </w:tc>
      </w:tr>
      <w:tr w:rsidR="00A82B61" w14:paraId="1D11FF14" w14:textId="77777777" w:rsidTr="002A0038">
        <w:tc>
          <w:tcPr>
            <w:tcW w:w="0" w:type="dxa"/>
          </w:tcPr>
          <w:p w14:paraId="2AF31ADF" w14:textId="77777777" w:rsidR="00A82B61" w:rsidRDefault="00A82B61" w:rsidP="00A82B61">
            <w:pPr>
              <w:jc w:val="left"/>
            </w:pPr>
          </w:p>
        </w:tc>
        <w:tc>
          <w:tcPr>
            <w:tcW w:w="0" w:type="dxa"/>
            <w:tcBorders>
              <w:top w:val="nil"/>
              <w:bottom w:val="nil"/>
            </w:tcBorders>
          </w:tcPr>
          <w:p w14:paraId="4B5A9F9F" w14:textId="7C8695B4" w:rsidR="00A82B61" w:rsidRDefault="00B13746" w:rsidP="00A82B61">
            <w:pPr>
              <w:jc w:val="left"/>
            </w:pPr>
            <w:r>
              <w:t xml:space="preserve">Impairment of receivables </w:t>
            </w:r>
          </w:p>
        </w:tc>
        <w:tc>
          <w:tcPr>
            <w:tcW w:w="0" w:type="dxa"/>
            <w:tcBorders>
              <w:top w:val="nil"/>
              <w:bottom w:val="nil"/>
            </w:tcBorders>
            <w:vAlign w:val="center"/>
          </w:tcPr>
          <w:p w14:paraId="6EAA82F5" w14:textId="522A02C4" w:rsidR="00A82B61" w:rsidRDefault="00A82B61" w:rsidP="00A82B61">
            <w:r>
              <w:rPr>
                <w:rFonts w:ascii="Arial" w:hAnsi="Arial" w:cs="Arial"/>
                <w:color w:val="000000"/>
                <w:szCs w:val="16"/>
              </w:rPr>
              <w:t>60</w:t>
            </w:r>
            <w:r w:rsidR="00DD6FEB">
              <w:rPr>
                <w:rFonts w:ascii="Arial" w:hAnsi="Arial" w:cs="Arial"/>
                <w:color w:val="000000"/>
                <w:szCs w:val="16"/>
              </w:rPr>
              <w:t>0</w:t>
            </w:r>
          </w:p>
        </w:tc>
        <w:tc>
          <w:tcPr>
            <w:tcW w:w="0" w:type="dxa"/>
            <w:tcBorders>
              <w:top w:val="nil"/>
              <w:bottom w:val="nil"/>
            </w:tcBorders>
            <w:vAlign w:val="center"/>
          </w:tcPr>
          <w:p w14:paraId="1E6ED5EF" w14:textId="30B8F418" w:rsidR="00A82B61" w:rsidRDefault="00A82B61" w:rsidP="00A82B61">
            <w:r>
              <w:rPr>
                <w:rFonts w:ascii="Arial" w:hAnsi="Arial" w:cs="Arial"/>
                <w:color w:val="000000"/>
                <w:szCs w:val="16"/>
              </w:rPr>
              <w:t>32</w:t>
            </w:r>
            <w:r w:rsidR="00DD6FEB">
              <w:rPr>
                <w:rFonts w:ascii="Arial" w:hAnsi="Arial" w:cs="Arial"/>
                <w:color w:val="000000"/>
                <w:szCs w:val="16"/>
              </w:rPr>
              <w:t>0</w:t>
            </w:r>
          </w:p>
        </w:tc>
      </w:tr>
      <w:tr w:rsidR="00A82B61" w14:paraId="1C11B12F" w14:textId="77777777" w:rsidTr="002A0038">
        <w:tc>
          <w:tcPr>
            <w:tcW w:w="0" w:type="dxa"/>
          </w:tcPr>
          <w:p w14:paraId="56736028" w14:textId="5AFFE4E2" w:rsidR="00A82B61" w:rsidRDefault="0007383E" w:rsidP="00A82B61">
            <w:pPr>
              <w:jc w:val="left"/>
            </w:pPr>
            <w:r>
              <w:rPr>
                <w:color w:val="4472C4" w:themeColor="accent1"/>
                <w:sz w:val="13"/>
                <w:szCs w:val="13"/>
              </w:rPr>
              <w:t>AASB </w:t>
            </w:r>
            <w:r w:rsidR="00A82B61" w:rsidRPr="504704F9">
              <w:rPr>
                <w:color w:val="4472C4" w:themeColor="accent1"/>
                <w:sz w:val="13"/>
                <w:szCs w:val="13"/>
              </w:rPr>
              <w:t>1060.123(c)</w:t>
            </w:r>
          </w:p>
        </w:tc>
        <w:tc>
          <w:tcPr>
            <w:tcW w:w="0" w:type="dxa"/>
            <w:tcBorders>
              <w:top w:val="nil"/>
            </w:tcBorders>
          </w:tcPr>
          <w:p w14:paraId="233CB9B9" w14:textId="77777777" w:rsidR="00A82B61" w:rsidRDefault="00A82B61" w:rsidP="00A82B61">
            <w:pPr>
              <w:jc w:val="left"/>
            </w:pPr>
            <w:r>
              <w:t>Cost of goods sold/distributed</w:t>
            </w:r>
          </w:p>
        </w:tc>
        <w:tc>
          <w:tcPr>
            <w:tcW w:w="0" w:type="dxa"/>
            <w:tcBorders>
              <w:top w:val="nil"/>
            </w:tcBorders>
            <w:vAlign w:val="center"/>
          </w:tcPr>
          <w:p w14:paraId="6BADA3DA" w14:textId="7EF6DFFE" w:rsidR="00A82B61" w:rsidRDefault="00A82B61" w:rsidP="00A82B61">
            <w:r>
              <w:rPr>
                <w:rFonts w:ascii="Arial" w:hAnsi="Arial" w:cs="Arial"/>
                <w:color w:val="000000"/>
                <w:szCs w:val="16"/>
              </w:rPr>
              <w:t>6</w:t>
            </w:r>
            <w:r w:rsidR="003E3065">
              <w:rPr>
                <w:rFonts w:ascii="Arial" w:hAnsi="Arial" w:cs="Arial" w:hint="eastAsia"/>
                <w:color w:val="000000"/>
                <w:szCs w:val="16"/>
                <w:lang w:eastAsia="zh-CN"/>
              </w:rPr>
              <w:t xml:space="preserve"> </w:t>
            </w:r>
            <w:r>
              <w:rPr>
                <w:rFonts w:ascii="Arial" w:hAnsi="Arial" w:cs="Arial"/>
                <w:color w:val="000000"/>
                <w:szCs w:val="16"/>
              </w:rPr>
              <w:t>210</w:t>
            </w:r>
          </w:p>
        </w:tc>
        <w:tc>
          <w:tcPr>
            <w:tcW w:w="0" w:type="dxa"/>
            <w:tcBorders>
              <w:top w:val="nil"/>
            </w:tcBorders>
            <w:vAlign w:val="center"/>
          </w:tcPr>
          <w:p w14:paraId="7F73E47E" w14:textId="5FFC1293" w:rsidR="00A82B61" w:rsidRDefault="00A82B61" w:rsidP="00A82B61">
            <w:r>
              <w:rPr>
                <w:rFonts w:ascii="Arial" w:hAnsi="Arial" w:cs="Arial"/>
                <w:color w:val="000000"/>
                <w:szCs w:val="16"/>
              </w:rPr>
              <w:t>2</w:t>
            </w:r>
            <w:r w:rsidR="003E3065">
              <w:rPr>
                <w:rFonts w:ascii="Arial" w:hAnsi="Arial" w:cs="Arial" w:hint="eastAsia"/>
                <w:color w:val="000000"/>
                <w:szCs w:val="16"/>
                <w:lang w:eastAsia="zh-CN"/>
              </w:rPr>
              <w:t xml:space="preserve"> </w:t>
            </w:r>
            <w:r>
              <w:rPr>
                <w:rFonts w:ascii="Arial" w:hAnsi="Arial" w:cs="Arial"/>
                <w:color w:val="000000"/>
                <w:szCs w:val="16"/>
              </w:rPr>
              <w:t>463</w:t>
            </w:r>
          </w:p>
        </w:tc>
      </w:tr>
      <w:tr w:rsidR="00462262" w14:paraId="2B286BD9" w14:textId="77777777" w:rsidTr="002A0038">
        <w:tc>
          <w:tcPr>
            <w:tcW w:w="0" w:type="dxa"/>
          </w:tcPr>
          <w:p w14:paraId="5107D33E" w14:textId="641E7365" w:rsidR="00462262" w:rsidRPr="504704F9" w:rsidRDefault="0007383E" w:rsidP="002A0038">
            <w:pPr>
              <w:jc w:val="left"/>
              <w:rPr>
                <w:color w:val="4472C4" w:themeColor="accent1"/>
                <w:sz w:val="13"/>
                <w:szCs w:val="13"/>
              </w:rPr>
            </w:pPr>
            <w:r>
              <w:rPr>
                <w:color w:val="4472C4" w:themeColor="accent1"/>
                <w:sz w:val="13"/>
                <w:szCs w:val="13"/>
              </w:rPr>
              <w:t>AASB </w:t>
            </w:r>
            <w:r w:rsidR="00462262" w:rsidRPr="6CDD8526">
              <w:rPr>
                <w:color w:val="4472C4" w:themeColor="accent1"/>
                <w:sz w:val="13"/>
                <w:szCs w:val="13"/>
              </w:rPr>
              <w:t>1060</w:t>
            </w:r>
            <w:r w:rsidR="00462262">
              <w:rPr>
                <w:rFonts w:hint="eastAsia"/>
                <w:color w:val="4472C4" w:themeColor="accent1"/>
                <w:sz w:val="13"/>
                <w:szCs w:val="13"/>
                <w:lang w:eastAsia="zh-CN"/>
              </w:rPr>
              <w:t>.</w:t>
            </w:r>
            <w:r w:rsidR="00462262" w:rsidRPr="6CDD8526">
              <w:rPr>
                <w:color w:val="4472C4" w:themeColor="accent1"/>
                <w:sz w:val="13"/>
                <w:szCs w:val="13"/>
              </w:rPr>
              <w:t>139</w:t>
            </w:r>
          </w:p>
        </w:tc>
        <w:tc>
          <w:tcPr>
            <w:tcW w:w="0" w:type="dxa"/>
            <w:tcBorders>
              <w:top w:val="nil"/>
            </w:tcBorders>
          </w:tcPr>
          <w:p w14:paraId="343FD6FA" w14:textId="7F27582C" w:rsidR="00462262" w:rsidRDefault="00462262" w:rsidP="002A0038">
            <w:pPr>
              <w:jc w:val="left"/>
            </w:pPr>
            <w:r>
              <w:t>Research and development costs immediately expensed</w:t>
            </w:r>
          </w:p>
        </w:tc>
        <w:tc>
          <w:tcPr>
            <w:tcW w:w="0" w:type="dxa"/>
            <w:tcBorders>
              <w:top w:val="nil"/>
            </w:tcBorders>
            <w:vAlign w:val="center"/>
          </w:tcPr>
          <w:p w14:paraId="10270C6A" w14:textId="2D4E0C6E" w:rsidR="00462262" w:rsidRDefault="00462262" w:rsidP="00462262">
            <w:r>
              <w:rPr>
                <w:rFonts w:ascii="Arial" w:hAnsi="Arial" w:cs="Arial"/>
                <w:color w:val="000000"/>
                <w:szCs w:val="16"/>
              </w:rPr>
              <w:t>652</w:t>
            </w:r>
          </w:p>
        </w:tc>
        <w:tc>
          <w:tcPr>
            <w:tcW w:w="0" w:type="dxa"/>
            <w:tcBorders>
              <w:top w:val="nil"/>
            </w:tcBorders>
            <w:vAlign w:val="center"/>
          </w:tcPr>
          <w:p w14:paraId="4513FEF2" w14:textId="263F915C" w:rsidR="00462262" w:rsidRDefault="00462262" w:rsidP="00462262">
            <w:r>
              <w:rPr>
                <w:rFonts w:ascii="Arial" w:hAnsi="Arial" w:cs="Arial"/>
                <w:color w:val="000000"/>
                <w:szCs w:val="16"/>
              </w:rPr>
              <w:t>295</w:t>
            </w:r>
          </w:p>
        </w:tc>
      </w:tr>
      <w:tr w:rsidR="00462262" w14:paraId="368AB172" w14:textId="77777777" w:rsidTr="002A0038">
        <w:tc>
          <w:tcPr>
            <w:tcW w:w="0" w:type="dxa"/>
          </w:tcPr>
          <w:p w14:paraId="03A68FDB" w14:textId="1664FAF3" w:rsidR="00462262" w:rsidRDefault="00462262" w:rsidP="00462262">
            <w:pPr>
              <w:jc w:val="left"/>
            </w:pPr>
            <w:r>
              <w:rPr>
                <w:color w:val="4472C4"/>
                <w:sz w:val="13"/>
              </w:rPr>
              <w:t>FRD 11.5.1</w:t>
            </w:r>
          </w:p>
        </w:tc>
        <w:tc>
          <w:tcPr>
            <w:tcW w:w="0" w:type="dxa"/>
            <w:tcBorders>
              <w:bottom w:val="single" w:sz="12" w:space="0" w:color="auto"/>
            </w:tcBorders>
          </w:tcPr>
          <w:p w14:paraId="27E97604" w14:textId="77777777" w:rsidR="00462262" w:rsidRDefault="00462262" w:rsidP="00462262">
            <w:pPr>
              <w:jc w:val="left"/>
            </w:pPr>
            <w:r>
              <w:t>Ex gratia expense</w:t>
            </w:r>
          </w:p>
        </w:tc>
        <w:tc>
          <w:tcPr>
            <w:tcW w:w="0" w:type="dxa"/>
            <w:tcBorders>
              <w:bottom w:val="single" w:sz="12" w:space="0" w:color="auto"/>
            </w:tcBorders>
            <w:vAlign w:val="center"/>
          </w:tcPr>
          <w:p w14:paraId="42613D6D" w14:textId="6461829E" w:rsidR="00462262" w:rsidRDefault="00462262" w:rsidP="00462262">
            <w:r>
              <w:rPr>
                <w:rFonts w:ascii="Arial" w:hAnsi="Arial" w:cs="Arial"/>
                <w:color w:val="000000"/>
                <w:szCs w:val="16"/>
              </w:rPr>
              <w:t>156</w:t>
            </w:r>
          </w:p>
        </w:tc>
        <w:tc>
          <w:tcPr>
            <w:tcW w:w="0" w:type="dxa"/>
            <w:tcBorders>
              <w:bottom w:val="single" w:sz="12" w:space="0" w:color="auto"/>
            </w:tcBorders>
            <w:vAlign w:val="center"/>
          </w:tcPr>
          <w:p w14:paraId="277E6237" w14:textId="0BDCD2D9" w:rsidR="00462262" w:rsidRDefault="00462262" w:rsidP="00462262">
            <w:r>
              <w:rPr>
                <w:rFonts w:ascii="Arial" w:hAnsi="Arial" w:cs="Arial"/>
                <w:color w:val="000000"/>
                <w:szCs w:val="16"/>
              </w:rPr>
              <w:t>16</w:t>
            </w:r>
          </w:p>
        </w:tc>
      </w:tr>
      <w:tr w:rsidR="00020929" w14:paraId="52C7836F" w14:textId="77777777" w:rsidTr="002A0038">
        <w:tc>
          <w:tcPr>
            <w:tcW w:w="0" w:type="dxa"/>
            <w:tcBorders>
              <w:bottom w:val="nil"/>
            </w:tcBorders>
          </w:tcPr>
          <w:p w14:paraId="01C6379D" w14:textId="77777777" w:rsidR="00020929" w:rsidRDefault="00020929" w:rsidP="00020929">
            <w:pPr>
              <w:jc w:val="left"/>
            </w:pPr>
          </w:p>
        </w:tc>
        <w:tc>
          <w:tcPr>
            <w:tcW w:w="0" w:type="dxa"/>
          </w:tcPr>
          <w:p w14:paraId="2C50234E" w14:textId="77777777" w:rsidR="00020929" w:rsidRDefault="00020929" w:rsidP="00020929">
            <w:pPr>
              <w:jc w:val="left"/>
            </w:pPr>
            <w:r>
              <w:rPr>
                <w:b/>
              </w:rPr>
              <w:t>Total other operating expenses</w:t>
            </w:r>
          </w:p>
        </w:tc>
        <w:tc>
          <w:tcPr>
            <w:tcW w:w="0" w:type="dxa"/>
            <w:vAlign w:val="center"/>
          </w:tcPr>
          <w:p w14:paraId="196733B1" w14:textId="31919471" w:rsidR="00020929" w:rsidRDefault="00020929" w:rsidP="00020929">
            <w:r>
              <w:rPr>
                <w:rFonts w:ascii="Arial" w:hAnsi="Arial" w:cs="Arial"/>
                <w:b/>
                <w:bCs/>
                <w:color w:val="000000"/>
                <w:szCs w:val="16"/>
              </w:rPr>
              <w:t>16</w:t>
            </w:r>
            <w:r w:rsidR="003E3065">
              <w:rPr>
                <w:rFonts w:ascii="Arial" w:hAnsi="Arial" w:cs="Arial" w:hint="eastAsia"/>
                <w:b/>
                <w:bCs/>
                <w:color w:val="000000"/>
                <w:szCs w:val="16"/>
                <w:lang w:eastAsia="zh-CN"/>
              </w:rPr>
              <w:t xml:space="preserve"> </w:t>
            </w:r>
            <w:r>
              <w:rPr>
                <w:rFonts w:ascii="Arial" w:hAnsi="Arial" w:cs="Arial"/>
                <w:b/>
                <w:bCs/>
                <w:color w:val="000000"/>
                <w:szCs w:val="16"/>
              </w:rPr>
              <w:t>328</w:t>
            </w:r>
          </w:p>
        </w:tc>
        <w:tc>
          <w:tcPr>
            <w:tcW w:w="0" w:type="dxa"/>
            <w:vAlign w:val="center"/>
          </w:tcPr>
          <w:p w14:paraId="2736DB4E" w14:textId="38F88313" w:rsidR="00020929" w:rsidRDefault="00020929" w:rsidP="00020929">
            <w:r>
              <w:rPr>
                <w:rFonts w:ascii="Arial" w:hAnsi="Arial" w:cs="Arial"/>
                <w:b/>
                <w:bCs/>
                <w:color w:val="000000"/>
                <w:szCs w:val="16"/>
              </w:rPr>
              <w:t>8</w:t>
            </w:r>
            <w:r w:rsidR="003E3065">
              <w:rPr>
                <w:rFonts w:ascii="Arial" w:hAnsi="Arial" w:cs="Arial" w:hint="eastAsia"/>
                <w:b/>
                <w:bCs/>
                <w:color w:val="000000"/>
                <w:szCs w:val="16"/>
                <w:lang w:eastAsia="zh-CN"/>
              </w:rPr>
              <w:t xml:space="preserve"> </w:t>
            </w:r>
            <w:r>
              <w:rPr>
                <w:rFonts w:ascii="Arial" w:hAnsi="Arial" w:cs="Arial"/>
                <w:b/>
                <w:bCs/>
                <w:color w:val="000000"/>
                <w:szCs w:val="16"/>
              </w:rPr>
              <w:t>822</w:t>
            </w:r>
          </w:p>
        </w:tc>
      </w:tr>
    </w:tbl>
    <w:p w14:paraId="43CE98A4" w14:textId="50139DCE" w:rsidR="003719CD" w:rsidRDefault="003719CD" w:rsidP="00DC39DE"/>
    <w:p w14:paraId="67C2ACE8" w14:textId="77777777" w:rsidR="003719CD" w:rsidRDefault="003719CD" w:rsidP="00DC39DE">
      <w:r>
        <w:t>Other operating expenses generally represent the day-to-day running costs incurred in normal operations. It also includes bad debts expense from transactions that are mutually agreed.</w:t>
      </w:r>
    </w:p>
    <w:p w14:paraId="32703E9D" w14:textId="77777777" w:rsidR="003719CD" w:rsidRDefault="003719CD" w:rsidP="00DC39DE">
      <w:r w:rsidRPr="00052843">
        <w:rPr>
          <w:b/>
          <w:bCs/>
        </w:rPr>
        <w:t>Supplies and services</w:t>
      </w:r>
      <w:r>
        <w:t xml:space="preserve"> are recognised as an expense in the reporting period in which they are incurred. The carrying amounts of any inventories held for distribution are expensed when the inventories are distributed.</w:t>
      </w:r>
    </w:p>
    <w:p w14:paraId="133662F8" w14:textId="5220B73B" w:rsidR="003719CD" w:rsidRPr="005B7168" w:rsidRDefault="003719CD" w:rsidP="00DC39DE">
      <w:r w:rsidRPr="005B7168">
        <w:t>The following lease payments are recognised on a straight-line basis:</w:t>
      </w:r>
    </w:p>
    <w:p w14:paraId="287F88F4" w14:textId="0126B733" w:rsidR="003719CD" w:rsidRPr="005B7168" w:rsidRDefault="003719CD" w:rsidP="002A0038">
      <w:pPr>
        <w:pStyle w:val="ListBullet"/>
        <w:numPr>
          <w:ilvl w:val="0"/>
          <w:numId w:val="370"/>
        </w:numPr>
      </w:pPr>
      <w:r w:rsidRPr="005B7168">
        <w:t>Short-term leases – leases with a term 12 months</w:t>
      </w:r>
      <w:r w:rsidR="00612D9A" w:rsidRPr="005B7168">
        <w:t xml:space="preserve"> or less</w:t>
      </w:r>
      <w:r w:rsidR="00B223B0" w:rsidRPr="005B7168">
        <w:t xml:space="preserve"> </w:t>
      </w:r>
      <w:r w:rsidR="00B223B0" w:rsidRPr="005B7168">
        <w:rPr>
          <w:rStyle w:val="Reference"/>
        </w:rPr>
        <w:t>[</w:t>
      </w:r>
      <w:r w:rsidR="0007383E">
        <w:rPr>
          <w:rStyle w:val="Reference"/>
        </w:rPr>
        <w:t>AASB </w:t>
      </w:r>
      <w:r w:rsidR="00B223B0" w:rsidRPr="005B7168">
        <w:rPr>
          <w:rStyle w:val="Reference"/>
        </w:rPr>
        <w:t>16.5(a)]</w:t>
      </w:r>
    </w:p>
    <w:p w14:paraId="3FB5CFB5" w14:textId="2143228D" w:rsidR="003719CD" w:rsidRPr="005B7168" w:rsidRDefault="003719CD" w:rsidP="002A0038">
      <w:pPr>
        <w:pStyle w:val="ListBullet"/>
        <w:numPr>
          <w:ilvl w:val="0"/>
          <w:numId w:val="370"/>
        </w:numPr>
      </w:pPr>
      <w:r w:rsidRPr="005B7168">
        <w:t>Low</w:t>
      </w:r>
      <w:r w:rsidR="0028792C">
        <w:t>-</w:t>
      </w:r>
      <w:r w:rsidRPr="005B7168">
        <w:t xml:space="preserve">value leases – leases with the underlying asset’s fair value (when new, regardless of the age of the asset being leased) is no more than $10 000. </w:t>
      </w:r>
      <w:r w:rsidRPr="005B7168">
        <w:rPr>
          <w:rStyle w:val="Reference"/>
        </w:rPr>
        <w:t>[</w:t>
      </w:r>
      <w:r w:rsidR="0007383E">
        <w:rPr>
          <w:rStyle w:val="Reference"/>
        </w:rPr>
        <w:t>AASB </w:t>
      </w:r>
      <w:r w:rsidRPr="005B7168">
        <w:rPr>
          <w:rStyle w:val="Reference"/>
        </w:rPr>
        <w:t>16.5</w:t>
      </w:r>
      <w:r w:rsidR="00B223B0" w:rsidRPr="005B7168">
        <w:rPr>
          <w:rStyle w:val="Reference"/>
        </w:rPr>
        <w:t>(b)</w:t>
      </w:r>
      <w:r w:rsidRPr="005B7168">
        <w:rPr>
          <w:rStyle w:val="Reference"/>
        </w:rPr>
        <w:t xml:space="preserve">, FRD </w:t>
      </w:r>
      <w:r w:rsidR="00DE643D" w:rsidRPr="005B7168">
        <w:rPr>
          <w:rStyle w:val="Reference"/>
        </w:rPr>
        <w:t>104</w:t>
      </w:r>
      <w:r w:rsidR="00340F13">
        <w:rPr>
          <w:rStyle w:val="Reference"/>
        </w:rPr>
        <w:t>]</w:t>
      </w:r>
      <w:r w:rsidR="00E035F5" w:rsidRPr="005B7168">
        <w:rPr>
          <w:rStyle w:val="Reference"/>
        </w:rPr>
        <w:t xml:space="preserve"> </w:t>
      </w:r>
    </w:p>
    <w:p w14:paraId="3CEE2F24" w14:textId="09719125" w:rsidR="003719CD" w:rsidRPr="00345906" w:rsidRDefault="003719CD" w:rsidP="00DC39DE">
      <w:r w:rsidRPr="00345906">
        <w:t>Variable lease payments that are not included in the measurement of the lease liability</w:t>
      </w:r>
      <w:r w:rsidR="00EE283D">
        <w:t xml:space="preserve">, </w:t>
      </w:r>
      <w:r w:rsidRPr="00345906">
        <w:t xml:space="preserve">i.e. variable lease payments that do not depend on an index or a rate such as those based on performance or usage of the underlying asset, are recognised in the </w:t>
      </w:r>
      <w:r w:rsidR="001D078F" w:rsidRPr="00345906">
        <w:t>C</w:t>
      </w:r>
      <w:r w:rsidRPr="00345906">
        <w:t xml:space="preserve">omprehensive </w:t>
      </w:r>
      <w:r w:rsidR="001D078F" w:rsidRPr="00345906">
        <w:t>O</w:t>
      </w:r>
      <w:r w:rsidRPr="00345906">
        <w:t xml:space="preserve">perating </w:t>
      </w:r>
      <w:r w:rsidR="001D078F" w:rsidRPr="00345906">
        <w:t>S</w:t>
      </w:r>
      <w:r w:rsidRPr="00345906">
        <w:t>tatement (except for payments which ha</w:t>
      </w:r>
      <w:r w:rsidR="001D078F" w:rsidRPr="00345906">
        <w:t>ve</w:t>
      </w:r>
      <w:r w:rsidRPr="00345906">
        <w:t xml:space="preserve"> been included in the carrying amount of another asset) in the period in which the event or condition that triggers those payments occur. </w:t>
      </w:r>
      <w:r w:rsidRPr="00345906">
        <w:rPr>
          <w:rStyle w:val="Reference"/>
        </w:rPr>
        <w:t>[</w:t>
      </w:r>
      <w:r w:rsidR="0007383E">
        <w:rPr>
          <w:rStyle w:val="Reference"/>
        </w:rPr>
        <w:t>AASB </w:t>
      </w:r>
      <w:r w:rsidRPr="00345906">
        <w:rPr>
          <w:rStyle w:val="Reference"/>
        </w:rPr>
        <w:t>16.38</w:t>
      </w:r>
      <w:r w:rsidR="000C023E" w:rsidRPr="00345906">
        <w:rPr>
          <w:rStyle w:val="Reference"/>
        </w:rPr>
        <w:t>(b)</w:t>
      </w:r>
      <w:r w:rsidRPr="00345906">
        <w:rPr>
          <w:rStyle w:val="Reference"/>
        </w:rPr>
        <w:t>]</w:t>
      </w:r>
      <w:r w:rsidR="0008411F">
        <w:rPr>
          <w:rStyle w:val="Reference"/>
        </w:rPr>
        <w:t xml:space="preserve"> </w:t>
      </w:r>
      <w:r w:rsidR="0008411F" w:rsidRPr="00E10CD7">
        <w:t>TV</w:t>
      </w:r>
      <w:r w:rsidR="008065B7" w:rsidRPr="00E10CD7">
        <w:t xml:space="preserve">’s </w:t>
      </w:r>
      <w:r w:rsidR="0008411F" w:rsidRPr="00E10CD7">
        <w:t xml:space="preserve">variable lease payments </w:t>
      </w:r>
      <w:r w:rsidR="00E93EA9">
        <w:t xml:space="preserve">during the year ended 30 June 20X2 was nil. </w:t>
      </w:r>
      <w:r w:rsidR="00E93EA9" w:rsidRPr="005B7168">
        <w:rPr>
          <w:rStyle w:val="Reference"/>
        </w:rPr>
        <w:t>[</w:t>
      </w:r>
      <w:r w:rsidR="0007383E">
        <w:rPr>
          <w:rStyle w:val="Reference"/>
        </w:rPr>
        <w:t>AASB </w:t>
      </w:r>
      <w:r w:rsidR="00E93EA9" w:rsidRPr="005B7168">
        <w:rPr>
          <w:rStyle w:val="Reference"/>
        </w:rPr>
        <w:t>1</w:t>
      </w:r>
      <w:r w:rsidR="00E93EA9">
        <w:rPr>
          <w:rStyle w:val="Reference"/>
        </w:rPr>
        <w:t>0</w:t>
      </w:r>
      <w:r w:rsidR="00E93EA9" w:rsidRPr="005B7168">
        <w:rPr>
          <w:rStyle w:val="Reference"/>
        </w:rPr>
        <w:t>6</w:t>
      </w:r>
      <w:r w:rsidR="00E93EA9">
        <w:rPr>
          <w:rStyle w:val="Reference"/>
        </w:rPr>
        <w:t>0</w:t>
      </w:r>
      <w:r w:rsidR="00E93EA9" w:rsidRPr="005B7168">
        <w:rPr>
          <w:rStyle w:val="Reference"/>
        </w:rPr>
        <w:t>.</w:t>
      </w:r>
      <w:r w:rsidR="00D45E99">
        <w:rPr>
          <w:rStyle w:val="Reference"/>
        </w:rPr>
        <w:t>144</w:t>
      </w:r>
      <w:r w:rsidR="00E93EA9" w:rsidRPr="005B7168">
        <w:rPr>
          <w:rStyle w:val="Reference"/>
        </w:rPr>
        <w:t>(</w:t>
      </w:r>
      <w:r w:rsidR="00D45E99">
        <w:rPr>
          <w:rStyle w:val="Reference"/>
        </w:rPr>
        <w:t>c</w:t>
      </w:r>
      <w:r w:rsidR="00E93EA9" w:rsidRPr="005B7168">
        <w:rPr>
          <w:rStyle w:val="Reference"/>
        </w:rPr>
        <w:t>)]</w:t>
      </w:r>
    </w:p>
    <w:p w14:paraId="1893507F" w14:textId="15F1D6EB" w:rsidR="003719CD" w:rsidRPr="00345906" w:rsidRDefault="003719CD" w:rsidP="00DC39DE">
      <w:r w:rsidRPr="00345906">
        <w:rPr>
          <w:b/>
        </w:rPr>
        <w:t>Research activities</w:t>
      </w:r>
      <w:r w:rsidRPr="00345906">
        <w:t xml:space="preserve">: Expenditure on research activities is recognised as an expense in the period in which it is incurred. </w:t>
      </w:r>
      <w:r w:rsidRPr="00345906">
        <w:rPr>
          <w:rStyle w:val="Reference"/>
        </w:rPr>
        <w:t>[</w:t>
      </w:r>
      <w:r w:rsidR="0007383E">
        <w:rPr>
          <w:rStyle w:val="Reference"/>
        </w:rPr>
        <w:t>AASB </w:t>
      </w:r>
      <w:r w:rsidRPr="00345906">
        <w:rPr>
          <w:rStyle w:val="Reference"/>
        </w:rPr>
        <w:t>138.54]</w:t>
      </w:r>
    </w:p>
    <w:p w14:paraId="6683D880" w14:textId="27913B37" w:rsidR="003719CD" w:rsidRPr="00345906" w:rsidRDefault="003719CD" w:rsidP="00DC39DE">
      <w:r w:rsidRPr="00345906">
        <w:rPr>
          <w:b/>
        </w:rPr>
        <w:t xml:space="preserve">Cost of </w:t>
      </w:r>
      <w:r w:rsidR="0071451C">
        <w:rPr>
          <w:b/>
        </w:rPr>
        <w:t>goods sold</w:t>
      </w:r>
      <w:r w:rsidR="003A4B09">
        <w:rPr>
          <w:b/>
        </w:rPr>
        <w:t>/distributed</w:t>
      </w:r>
      <w:r w:rsidRPr="00345906">
        <w:t xml:space="preserve">: When inventories are sold, the carrying amount of those inventories shall be recognised as an expense in the period in which the related income is recognised. The amount of any write down of inventories to net realisable value and all losses of inventories shall be recognised as an expense </w:t>
      </w:r>
      <w:r w:rsidR="007A2814">
        <w:t xml:space="preserve">in other economic flows </w:t>
      </w:r>
      <w:r w:rsidRPr="00345906">
        <w:t>in the period the write down or loss occurs</w:t>
      </w:r>
      <w:r w:rsidR="009E34CE">
        <w:t xml:space="preserve"> </w:t>
      </w:r>
      <w:r w:rsidR="009E34CE" w:rsidRPr="00706101">
        <w:t xml:space="preserve">(see </w:t>
      </w:r>
      <w:r w:rsidR="00BA03D1">
        <w:t>N</w:t>
      </w:r>
      <w:r w:rsidR="009E34CE" w:rsidRPr="00706101">
        <w:t>ote 8.2)</w:t>
      </w:r>
      <w:r w:rsidR="00493A92">
        <w:t xml:space="preserve">. </w:t>
      </w:r>
    </w:p>
    <w:p w14:paraId="6B158176" w14:textId="0A2767E0" w:rsidR="003719CD" w:rsidRDefault="003719CD" w:rsidP="00DC39DE">
      <w:pPr>
        <w:rPr>
          <w:rStyle w:val="Reference"/>
        </w:rPr>
      </w:pPr>
      <w:r w:rsidRPr="00345906">
        <w:t xml:space="preserve">The amount of any reversal of any write down of inventories, arising from an increase in net realisable value, shall be recognised as a reduction in the </w:t>
      </w:r>
      <w:proofErr w:type="gramStart"/>
      <w:r w:rsidRPr="00345906">
        <w:t>amount</w:t>
      </w:r>
      <w:proofErr w:type="gramEnd"/>
      <w:r w:rsidRPr="00345906">
        <w:t xml:space="preserve"> of inventories recognised as an expense in the period in which the reversal occurs. </w:t>
      </w:r>
      <w:r w:rsidRPr="00345906">
        <w:rPr>
          <w:rStyle w:val="Reference"/>
        </w:rPr>
        <w:t>[</w:t>
      </w:r>
      <w:r w:rsidR="0007383E">
        <w:rPr>
          <w:rStyle w:val="Reference"/>
        </w:rPr>
        <w:t>AASB </w:t>
      </w:r>
      <w:r w:rsidRPr="00345906">
        <w:rPr>
          <w:rStyle w:val="Reference"/>
        </w:rPr>
        <w:t>102.34]</w:t>
      </w:r>
    </w:p>
    <w:p w14:paraId="33147957" w14:textId="187C6EA2" w:rsidR="003719CD" w:rsidRDefault="00DB01AF" w:rsidP="007D536F">
      <w:r w:rsidRPr="00E10CD7">
        <w:rPr>
          <w:b/>
          <w:bCs/>
        </w:rPr>
        <w:t>Impairment of receivables</w:t>
      </w:r>
      <w:r w:rsidR="00443441">
        <w:t xml:space="preserve">: </w:t>
      </w:r>
      <w:r w:rsidR="000B6029">
        <w:t>I</w:t>
      </w:r>
      <w:r w:rsidR="00443441">
        <w:t xml:space="preserve">mpairment of receivables </w:t>
      </w:r>
      <w:proofErr w:type="gramStart"/>
      <w:r w:rsidR="00443441">
        <w:t>as a result of</w:t>
      </w:r>
      <w:proofErr w:type="gramEnd"/>
      <w:r w:rsidR="00443441">
        <w:t xml:space="preserve"> mutual</w:t>
      </w:r>
      <w:r w:rsidR="00CE05AC">
        <w:t xml:space="preserve"> agreement</w:t>
      </w:r>
      <w:r w:rsidR="00443441">
        <w:t xml:space="preserve"> with counterparty</w:t>
      </w:r>
      <w:r w:rsidR="000B6029">
        <w:t xml:space="preserve"> is deemed as </w:t>
      </w:r>
      <w:r w:rsidR="00DD6FEB">
        <w:t xml:space="preserve">expenses from </w:t>
      </w:r>
      <w:r w:rsidR="000B6029">
        <w:t>transactions</w:t>
      </w:r>
      <w:r w:rsidR="00DD6FEB">
        <w:t>. Refer to Note 8.2 for unilateral w</w:t>
      </w:r>
      <w:r w:rsidR="00DD6FEB" w:rsidRPr="00DD6FEB">
        <w:t>ritten off</w:t>
      </w:r>
      <w:r w:rsidR="00DD6FEB">
        <w:t xml:space="preserve"> included in other economic flows.</w:t>
      </w:r>
    </w:p>
    <w:p w14:paraId="337FC09E" w14:textId="77777777" w:rsidR="003719CD" w:rsidRDefault="003719CD" w:rsidP="007D536F">
      <w:pPr>
        <w:pStyle w:val="GuidanceBlockHeading"/>
      </w:pPr>
      <w:bookmarkStart w:id="722" w:name="_Toc179811411"/>
      <w:bookmarkStart w:id="723" w:name="_Toc179817111"/>
      <w:bookmarkStart w:id="724" w:name="_Toc179822811"/>
      <w:r>
        <w:t>Guidance – Other operating expenses</w:t>
      </w:r>
      <w:bookmarkEnd w:id="722"/>
      <w:bookmarkEnd w:id="723"/>
      <w:bookmarkEnd w:id="724"/>
    </w:p>
    <w:p w14:paraId="169B00F4" w14:textId="435FAEBB" w:rsidR="00301BB1" w:rsidRPr="00052843" w:rsidRDefault="00301BB1" w:rsidP="002A0038">
      <w:pPr>
        <w:spacing w:before="120" w:after="0"/>
        <w:rPr>
          <w:rStyle w:val="Guidance"/>
        </w:rPr>
      </w:pPr>
      <w:r w:rsidRPr="00301BB1">
        <w:rPr>
          <w:color w:val="4472C4" w:themeColor="accent1"/>
        </w:rPr>
        <w:t>An entity shall disclose the aggregate amount of research and development expenditure recognised as an</w:t>
      </w:r>
      <w:r>
        <w:rPr>
          <w:rFonts w:hint="eastAsia"/>
          <w:color w:val="4472C4" w:themeColor="accent1"/>
          <w:lang w:eastAsia="zh-CN"/>
        </w:rPr>
        <w:t xml:space="preserve"> </w:t>
      </w:r>
      <w:r w:rsidRPr="00301BB1">
        <w:rPr>
          <w:color w:val="4472C4" w:themeColor="accent1"/>
        </w:rPr>
        <w:t>expense during the period. Research and development expenditure comprises all expenditure that is directly</w:t>
      </w:r>
      <w:r>
        <w:rPr>
          <w:rFonts w:hint="eastAsia"/>
          <w:color w:val="4472C4" w:themeColor="accent1"/>
          <w:lang w:eastAsia="zh-CN"/>
        </w:rPr>
        <w:t xml:space="preserve"> </w:t>
      </w:r>
      <w:r w:rsidRPr="00301BB1">
        <w:rPr>
          <w:color w:val="4472C4" w:themeColor="accent1"/>
        </w:rPr>
        <w:t xml:space="preserve">attributable to research or development activities. (See paragraphs 66 and 67 of </w:t>
      </w:r>
      <w:r w:rsidR="0007383E">
        <w:rPr>
          <w:color w:val="4472C4" w:themeColor="accent1"/>
        </w:rPr>
        <w:t>AASB </w:t>
      </w:r>
      <w:r w:rsidRPr="00301BB1">
        <w:rPr>
          <w:color w:val="4472C4" w:themeColor="accent1"/>
        </w:rPr>
        <w:t>138</w:t>
      </w:r>
      <w:r w:rsidR="006C4F60">
        <w:rPr>
          <w:color w:val="4472C4" w:themeColor="accent1"/>
        </w:rPr>
        <w:t xml:space="preserve"> </w:t>
      </w:r>
      <w:r w:rsidR="006C4F60" w:rsidRPr="002A0038">
        <w:rPr>
          <w:i/>
          <w:iCs/>
          <w:color w:val="4472C4" w:themeColor="accent1"/>
        </w:rPr>
        <w:t>Intangible Assets</w:t>
      </w:r>
      <w:r w:rsidRPr="00301BB1">
        <w:rPr>
          <w:color w:val="4472C4" w:themeColor="accent1"/>
        </w:rPr>
        <w:t xml:space="preserve"> for guidance on</w:t>
      </w:r>
      <w:r>
        <w:rPr>
          <w:rFonts w:hint="eastAsia"/>
          <w:color w:val="4472C4" w:themeColor="accent1"/>
          <w:lang w:eastAsia="zh-CN"/>
        </w:rPr>
        <w:t xml:space="preserve"> </w:t>
      </w:r>
      <w:r w:rsidRPr="00301BB1">
        <w:rPr>
          <w:color w:val="4472C4" w:themeColor="accent1"/>
        </w:rPr>
        <w:t xml:space="preserve">the type of expenditure to be included for the purpose of the disclosure requirement in </w:t>
      </w:r>
      <w:r w:rsidR="006C4F60">
        <w:rPr>
          <w:color w:val="4472C4" w:themeColor="accent1"/>
        </w:rPr>
        <w:t>this paragraph</w:t>
      </w:r>
      <w:r w:rsidRPr="00301BB1">
        <w:rPr>
          <w:color w:val="4472C4" w:themeColor="accent1"/>
        </w:rPr>
        <w:t>.)</w:t>
      </w:r>
      <w:r>
        <w:rPr>
          <w:rFonts w:hint="eastAsia"/>
          <w:color w:val="4472C4" w:themeColor="accent1"/>
          <w:lang w:eastAsia="zh-CN"/>
        </w:rPr>
        <w:t xml:space="preserve"> </w:t>
      </w:r>
      <w:r w:rsidRPr="00F8321C">
        <w:rPr>
          <w:rStyle w:val="Reference"/>
        </w:rPr>
        <w:t>[</w:t>
      </w:r>
      <w:r w:rsidR="0007383E">
        <w:rPr>
          <w:rStyle w:val="Reference"/>
        </w:rPr>
        <w:t>AASB </w:t>
      </w:r>
      <w:r w:rsidRPr="00F8321C">
        <w:rPr>
          <w:rStyle w:val="Reference"/>
        </w:rPr>
        <w:t>1060.1</w:t>
      </w:r>
      <w:r>
        <w:rPr>
          <w:rStyle w:val="Reference"/>
          <w:rFonts w:hint="eastAsia"/>
          <w:lang w:eastAsia="zh-CN"/>
        </w:rPr>
        <w:t>39</w:t>
      </w:r>
      <w:r w:rsidRPr="00F8321C">
        <w:rPr>
          <w:rStyle w:val="Reference"/>
        </w:rPr>
        <w:t>]</w:t>
      </w:r>
    </w:p>
    <w:p w14:paraId="13DAE050" w14:textId="6C97333D" w:rsidR="00F079A2" w:rsidRPr="00F079A2" w:rsidRDefault="00F079A2" w:rsidP="002765AA">
      <w:pPr>
        <w:spacing w:before="120" w:after="0"/>
        <w:rPr>
          <w:color w:val="4472C4" w:themeColor="accent1"/>
        </w:rPr>
      </w:pPr>
      <w:r w:rsidRPr="00F079A2">
        <w:rPr>
          <w:color w:val="4472C4" w:themeColor="accent1"/>
        </w:rPr>
        <w:t>An entity shall disclose the following:</w:t>
      </w:r>
    </w:p>
    <w:p w14:paraId="6C310744" w14:textId="0999651B" w:rsidR="00F079A2" w:rsidRPr="002A0038" w:rsidRDefault="00C969A9" w:rsidP="002A0038">
      <w:pPr>
        <w:pStyle w:val="ListBullet"/>
        <w:numPr>
          <w:ilvl w:val="0"/>
          <w:numId w:val="328"/>
        </w:numPr>
        <w:spacing w:after="0"/>
        <w:ind w:left="357" w:hanging="357"/>
        <w:rPr>
          <w:rStyle w:val="Guidance"/>
        </w:rPr>
      </w:pPr>
      <w:r>
        <w:rPr>
          <w:rStyle w:val="Guidance"/>
        </w:rPr>
        <w:t>M</w:t>
      </w:r>
      <w:r w:rsidR="00F079A2" w:rsidRPr="002A0038">
        <w:rPr>
          <w:rStyle w:val="Guidance"/>
        </w:rPr>
        <w:t>aterial accounting policy information about the measurement of inventories, including the cost</w:t>
      </w:r>
      <w:r w:rsidR="0092669E" w:rsidRPr="002A0038">
        <w:rPr>
          <w:rStyle w:val="Guidance"/>
        </w:rPr>
        <w:t xml:space="preserve"> </w:t>
      </w:r>
      <w:r w:rsidR="00F079A2" w:rsidRPr="002A0038">
        <w:rPr>
          <w:rStyle w:val="Guidance"/>
        </w:rPr>
        <w:t>formula used</w:t>
      </w:r>
    </w:p>
    <w:p w14:paraId="40D00BC1" w14:textId="5CC87228" w:rsidR="00F079A2" w:rsidRPr="002A0038" w:rsidRDefault="00C969A9" w:rsidP="002A0038">
      <w:pPr>
        <w:pStyle w:val="ListBullet"/>
        <w:numPr>
          <w:ilvl w:val="0"/>
          <w:numId w:val="328"/>
        </w:numPr>
        <w:spacing w:after="0"/>
        <w:ind w:left="357" w:hanging="357"/>
        <w:rPr>
          <w:rStyle w:val="Guidance"/>
        </w:rPr>
      </w:pPr>
      <w:r>
        <w:rPr>
          <w:rStyle w:val="Guidance"/>
        </w:rPr>
        <w:t>T</w:t>
      </w:r>
      <w:r w:rsidR="00F079A2" w:rsidRPr="002A0038">
        <w:rPr>
          <w:rStyle w:val="Guidance"/>
        </w:rPr>
        <w:t xml:space="preserve">he total carrying </w:t>
      </w:r>
      <w:proofErr w:type="gramStart"/>
      <w:r w:rsidR="00F079A2" w:rsidRPr="002A0038">
        <w:rPr>
          <w:rStyle w:val="Guidance"/>
        </w:rPr>
        <w:t>amount</w:t>
      </w:r>
      <w:proofErr w:type="gramEnd"/>
      <w:r w:rsidR="00F079A2" w:rsidRPr="002A0038">
        <w:rPr>
          <w:rStyle w:val="Guidance"/>
        </w:rPr>
        <w:t xml:space="preserve"> of inventories and the carrying amount in classifications appropriate to</w:t>
      </w:r>
      <w:r w:rsidR="0092669E" w:rsidRPr="002A0038">
        <w:rPr>
          <w:rStyle w:val="Guidance"/>
        </w:rPr>
        <w:t xml:space="preserve"> </w:t>
      </w:r>
      <w:r w:rsidR="00F079A2" w:rsidRPr="002A0038">
        <w:rPr>
          <w:rStyle w:val="Guidance"/>
        </w:rPr>
        <w:t>the entity</w:t>
      </w:r>
    </w:p>
    <w:p w14:paraId="54A25693" w14:textId="10D04EF6" w:rsidR="0092669E" w:rsidRPr="002A0038" w:rsidRDefault="00C969A9" w:rsidP="002A0038">
      <w:pPr>
        <w:pStyle w:val="ListBullet"/>
        <w:numPr>
          <w:ilvl w:val="0"/>
          <w:numId w:val="328"/>
        </w:numPr>
        <w:spacing w:after="0"/>
        <w:ind w:left="357" w:hanging="357"/>
        <w:rPr>
          <w:rStyle w:val="Guidance"/>
        </w:rPr>
      </w:pPr>
      <w:r>
        <w:rPr>
          <w:rStyle w:val="Guidance"/>
        </w:rPr>
        <w:t>T</w:t>
      </w:r>
      <w:r w:rsidR="00F079A2" w:rsidRPr="002A0038">
        <w:rPr>
          <w:rStyle w:val="Guidance"/>
        </w:rPr>
        <w:t xml:space="preserve">he </w:t>
      </w:r>
      <w:proofErr w:type="gramStart"/>
      <w:r w:rsidR="00F079A2" w:rsidRPr="002A0038">
        <w:rPr>
          <w:rStyle w:val="Guidance"/>
        </w:rPr>
        <w:t>amount</w:t>
      </w:r>
      <w:proofErr w:type="gramEnd"/>
      <w:r w:rsidR="00F079A2" w:rsidRPr="002A0038">
        <w:rPr>
          <w:rStyle w:val="Guidance"/>
        </w:rPr>
        <w:t xml:space="preserve"> of inventories recognised as an expense during the period</w:t>
      </w:r>
    </w:p>
    <w:p w14:paraId="67F9B96A" w14:textId="2271F275" w:rsidR="00F079A2" w:rsidRDefault="00C969A9" w:rsidP="002A0038">
      <w:pPr>
        <w:pStyle w:val="ListBullet"/>
        <w:numPr>
          <w:ilvl w:val="0"/>
          <w:numId w:val="328"/>
        </w:numPr>
        <w:spacing w:after="0"/>
        <w:ind w:left="357" w:hanging="357"/>
        <w:rPr>
          <w:rStyle w:val="Guidance"/>
        </w:rPr>
      </w:pPr>
      <w:r>
        <w:rPr>
          <w:rStyle w:val="Guidance"/>
        </w:rPr>
        <w:t>I</w:t>
      </w:r>
      <w:r w:rsidR="00F079A2" w:rsidRPr="002A0038">
        <w:rPr>
          <w:rStyle w:val="Guidance"/>
        </w:rPr>
        <w:t xml:space="preserve">mpairment losses recognised or reversed in profit or loss in accordance with </w:t>
      </w:r>
      <w:r w:rsidR="0007383E">
        <w:rPr>
          <w:rStyle w:val="Guidance"/>
        </w:rPr>
        <w:t>AASB </w:t>
      </w:r>
      <w:r w:rsidR="00F079A2" w:rsidRPr="002A0038">
        <w:rPr>
          <w:rStyle w:val="Guidance"/>
        </w:rPr>
        <w:t>102</w:t>
      </w:r>
      <w:r w:rsidR="0092669E" w:rsidRPr="002A0038">
        <w:rPr>
          <w:rStyle w:val="Guidance"/>
        </w:rPr>
        <w:t xml:space="preserve"> </w:t>
      </w:r>
      <w:r w:rsidR="00F079A2" w:rsidRPr="002A0038">
        <w:rPr>
          <w:rStyle w:val="Guidance"/>
        </w:rPr>
        <w:t>Inventories</w:t>
      </w:r>
    </w:p>
    <w:p w14:paraId="58EED4D7" w14:textId="086F4A19" w:rsidR="00F079A2" w:rsidRPr="00052843" w:rsidRDefault="00C969A9" w:rsidP="002A0038">
      <w:pPr>
        <w:pStyle w:val="ListBullet"/>
        <w:numPr>
          <w:ilvl w:val="0"/>
          <w:numId w:val="328"/>
        </w:numPr>
        <w:spacing w:after="0"/>
        <w:ind w:left="357" w:hanging="357"/>
        <w:rPr>
          <w:rStyle w:val="Guidance"/>
        </w:rPr>
      </w:pPr>
      <w:r>
        <w:rPr>
          <w:rStyle w:val="Guidance"/>
        </w:rPr>
        <w:t>T</w:t>
      </w:r>
      <w:r w:rsidR="0092669E" w:rsidRPr="002A0038">
        <w:rPr>
          <w:rStyle w:val="Guidance"/>
        </w:rPr>
        <w:t xml:space="preserve">he total carrying </w:t>
      </w:r>
      <w:proofErr w:type="gramStart"/>
      <w:r w:rsidR="0092669E" w:rsidRPr="002A0038">
        <w:rPr>
          <w:rStyle w:val="Guidance"/>
        </w:rPr>
        <w:t>amount</w:t>
      </w:r>
      <w:proofErr w:type="gramEnd"/>
      <w:r w:rsidR="0092669E" w:rsidRPr="002A0038">
        <w:rPr>
          <w:rStyle w:val="Guidance"/>
        </w:rPr>
        <w:t xml:space="preserve"> of inventories pledged as security for liabilities.</w:t>
      </w:r>
      <w:r w:rsidR="002C558C">
        <w:rPr>
          <w:rStyle w:val="Guidance"/>
          <w:rFonts w:hint="eastAsia"/>
          <w:lang w:eastAsia="zh-CN"/>
        </w:rPr>
        <w:t xml:space="preserve"> </w:t>
      </w:r>
      <w:r w:rsidR="002C558C" w:rsidRPr="00F8321C">
        <w:rPr>
          <w:rStyle w:val="Reference"/>
        </w:rPr>
        <w:t>[</w:t>
      </w:r>
      <w:r w:rsidR="0007383E">
        <w:rPr>
          <w:rStyle w:val="Reference"/>
        </w:rPr>
        <w:t>AASB </w:t>
      </w:r>
      <w:r w:rsidR="002C558C" w:rsidRPr="00F8321C">
        <w:rPr>
          <w:rStyle w:val="Reference"/>
        </w:rPr>
        <w:t>1060.1</w:t>
      </w:r>
      <w:r w:rsidR="00315E0E">
        <w:rPr>
          <w:rStyle w:val="Reference"/>
          <w:rFonts w:hint="eastAsia"/>
          <w:lang w:eastAsia="zh-CN"/>
        </w:rPr>
        <w:t>23</w:t>
      </w:r>
      <w:r w:rsidR="002C558C" w:rsidRPr="00F8321C">
        <w:rPr>
          <w:rStyle w:val="Reference"/>
        </w:rPr>
        <w:t>]</w:t>
      </w:r>
    </w:p>
    <w:p w14:paraId="0A9FCC96" w14:textId="58F16CF4" w:rsidR="310AAA8A" w:rsidRDefault="0007383E" w:rsidP="002A0038">
      <w:pPr>
        <w:spacing w:before="120" w:after="0"/>
        <w:rPr>
          <w:rStyle w:val="Guidance"/>
        </w:rPr>
      </w:pPr>
      <w:r>
        <w:rPr>
          <w:rStyle w:val="Guidance"/>
        </w:rPr>
        <w:t>AASB </w:t>
      </w:r>
      <w:r w:rsidR="310AAA8A" w:rsidRPr="60A6DAF9">
        <w:rPr>
          <w:rStyle w:val="Guidance"/>
        </w:rPr>
        <w:t>1060 requires the</w:t>
      </w:r>
      <w:r w:rsidR="30EC91CA" w:rsidRPr="002A0038">
        <w:rPr>
          <w:rStyle w:val="Guidance"/>
        </w:rPr>
        <w:t xml:space="preserve"> following disclosures for short-term leases and leases of low-value assets that are not recognised as right-of-use assets under the exemption in paragraph 6 of </w:t>
      </w:r>
      <w:r>
        <w:rPr>
          <w:rStyle w:val="Guidance"/>
        </w:rPr>
        <w:t>AASB </w:t>
      </w:r>
      <w:r w:rsidR="30EC91CA" w:rsidRPr="002A0038">
        <w:rPr>
          <w:rStyle w:val="Guidance"/>
        </w:rPr>
        <w:t xml:space="preserve">16 </w:t>
      </w:r>
      <w:r w:rsidR="30EC91CA" w:rsidRPr="002A0038">
        <w:rPr>
          <w:rStyle w:val="Guidance"/>
          <w:i/>
        </w:rPr>
        <w:t>Leases</w:t>
      </w:r>
      <w:r w:rsidR="30EC91CA" w:rsidRPr="002A0038">
        <w:rPr>
          <w:rStyle w:val="Guidance"/>
        </w:rPr>
        <w:t xml:space="preserve">: </w:t>
      </w:r>
    </w:p>
    <w:p w14:paraId="3E1D45B9" w14:textId="307A6186" w:rsidR="00293545" w:rsidRDefault="00815545" w:rsidP="002A0038">
      <w:pPr>
        <w:pStyle w:val="ListBullet"/>
        <w:numPr>
          <w:ilvl w:val="0"/>
          <w:numId w:val="329"/>
        </w:numPr>
        <w:spacing w:after="0"/>
        <w:ind w:left="357" w:hanging="357"/>
        <w:rPr>
          <w:rStyle w:val="Guidance"/>
        </w:rPr>
      </w:pPr>
      <w:r>
        <w:rPr>
          <w:rStyle w:val="Guidance"/>
        </w:rPr>
        <w:t>T</w:t>
      </w:r>
      <w:r w:rsidR="30EC91CA" w:rsidRPr="002A0038">
        <w:rPr>
          <w:rStyle w:val="Guidance"/>
        </w:rPr>
        <w:t>he amount of its lease commitments for short-term leases if the portfolio of short-term leases to which it is committed at the end of the reporting period is dissimilar to the portfolio of short-term leases to which the short-term lease expense disclosed applying paragraph (b) below relates</w:t>
      </w:r>
    </w:p>
    <w:p w14:paraId="5DB3FE75" w14:textId="61FC0D3F" w:rsidR="00293545" w:rsidRDefault="00815545" w:rsidP="002A0038">
      <w:pPr>
        <w:pStyle w:val="ListBullet"/>
        <w:numPr>
          <w:ilvl w:val="0"/>
          <w:numId w:val="329"/>
        </w:numPr>
        <w:spacing w:after="0"/>
        <w:ind w:left="357" w:hanging="357"/>
        <w:rPr>
          <w:rStyle w:val="Guidance"/>
        </w:rPr>
      </w:pPr>
      <w:r>
        <w:rPr>
          <w:rStyle w:val="Guidance"/>
        </w:rPr>
        <w:t>L</w:t>
      </w:r>
      <w:r w:rsidR="00293545" w:rsidRPr="00F8321C">
        <w:rPr>
          <w:rStyle w:val="Guidance"/>
        </w:rPr>
        <w:t>ease payments recognised as an expense</w:t>
      </w:r>
      <w:r w:rsidR="00293545" w:rsidRPr="60A6DAF9">
        <w:rPr>
          <w:rStyle w:val="Guidance"/>
        </w:rPr>
        <w:t xml:space="preserve">. </w:t>
      </w:r>
      <w:r w:rsidR="00293545" w:rsidRPr="00F8321C">
        <w:rPr>
          <w:rStyle w:val="Reference"/>
        </w:rPr>
        <w:t>[</w:t>
      </w:r>
      <w:r w:rsidR="0007383E">
        <w:rPr>
          <w:rStyle w:val="Reference"/>
        </w:rPr>
        <w:t>AASB </w:t>
      </w:r>
      <w:r w:rsidR="00293545" w:rsidRPr="00F8321C">
        <w:rPr>
          <w:rStyle w:val="Reference"/>
        </w:rPr>
        <w:t>1060.146]</w:t>
      </w:r>
    </w:p>
    <w:bookmarkEnd w:id="652"/>
    <w:p w14:paraId="026A2F77" w14:textId="77777777" w:rsidR="006C4F60" w:rsidRPr="006C4F60" w:rsidRDefault="006C4F60" w:rsidP="002A0038">
      <w:pPr>
        <w:pStyle w:val="GuidanceEnd"/>
      </w:pPr>
    </w:p>
    <w:p w14:paraId="2CBB1FF5" w14:textId="2CEC5AEE" w:rsidR="008D7702" w:rsidRDefault="008D7702" w:rsidP="002A0038">
      <w:pPr>
        <w:pStyle w:val="ListBullet"/>
        <w:numPr>
          <w:ilvl w:val="0"/>
          <w:numId w:val="0"/>
        </w:numPr>
        <w:sectPr w:rsidR="008D7702" w:rsidSect="000E2F05">
          <w:headerReference w:type="even" r:id="rId75"/>
          <w:headerReference w:type="default" r:id="rId76"/>
          <w:headerReference w:type="first" r:id="rId77"/>
          <w:footerReference w:type="first" r:id="rId78"/>
          <w:type w:val="continuous"/>
          <w:pgSz w:w="11906" w:h="16838" w:code="9"/>
          <w:pgMar w:top="1134" w:right="1134" w:bottom="1134" w:left="1134" w:header="624" w:footer="567" w:gutter="0"/>
          <w:cols w:space="708"/>
          <w:titlePg/>
          <w:docGrid w:linePitch="360"/>
        </w:sectPr>
      </w:pPr>
    </w:p>
    <w:p w14:paraId="4F076ED9" w14:textId="77777777" w:rsidR="003719CD" w:rsidRDefault="003719CD" w:rsidP="001B5265">
      <w:pPr>
        <w:pStyle w:val="Heading1numbered"/>
      </w:pPr>
      <w:bookmarkStart w:id="725" w:name="_Toc179805763"/>
      <w:bookmarkStart w:id="726" w:name="_Toc179811412"/>
      <w:bookmarkStart w:id="727" w:name="_Toc179817112"/>
      <w:bookmarkStart w:id="728" w:name="_Toc179822812"/>
      <w:bookmarkStart w:id="729" w:name="_Toc179828492"/>
      <w:bookmarkStart w:id="730" w:name="_Toc179860022"/>
      <w:bookmarkStart w:id="731" w:name="_Toc179865414"/>
      <w:bookmarkStart w:id="732" w:name="_Toc179867350"/>
      <w:bookmarkStart w:id="733" w:name="_Toc179871743"/>
      <w:bookmarkStart w:id="734" w:name="_Toc179876136"/>
      <w:bookmarkStart w:id="735" w:name="_Toc179805764"/>
      <w:bookmarkStart w:id="736" w:name="_Toc179811413"/>
      <w:bookmarkStart w:id="737" w:name="_Toc179817113"/>
      <w:bookmarkStart w:id="738" w:name="_Toc179822813"/>
      <w:bookmarkStart w:id="739" w:name="_Toc179828493"/>
      <w:bookmarkStart w:id="740" w:name="_Toc179860023"/>
      <w:bookmarkStart w:id="741" w:name="_Toc179865415"/>
      <w:bookmarkStart w:id="742" w:name="_Toc179867351"/>
      <w:bookmarkStart w:id="743" w:name="_Toc179871744"/>
      <w:bookmarkStart w:id="744" w:name="_Toc179876137"/>
      <w:bookmarkStart w:id="745" w:name="_Toc179805765"/>
      <w:bookmarkStart w:id="746" w:name="_Toc179811414"/>
      <w:bookmarkStart w:id="747" w:name="_Toc179817114"/>
      <w:bookmarkStart w:id="748" w:name="_Toc179822814"/>
      <w:bookmarkStart w:id="749" w:name="_Toc179828494"/>
      <w:bookmarkStart w:id="750" w:name="_Toc179860024"/>
      <w:bookmarkStart w:id="751" w:name="_Toc179865416"/>
      <w:bookmarkStart w:id="752" w:name="_Toc179867352"/>
      <w:bookmarkStart w:id="753" w:name="_Toc179871745"/>
      <w:bookmarkStart w:id="754" w:name="_Toc179876138"/>
      <w:bookmarkStart w:id="755" w:name="_Toc179805766"/>
      <w:bookmarkStart w:id="756" w:name="_Toc179811415"/>
      <w:bookmarkStart w:id="757" w:name="_Toc179817115"/>
      <w:bookmarkStart w:id="758" w:name="_Toc179822815"/>
      <w:bookmarkStart w:id="759" w:name="_Toc179828495"/>
      <w:bookmarkStart w:id="760" w:name="_Toc179860025"/>
      <w:bookmarkStart w:id="761" w:name="_Toc179865417"/>
      <w:bookmarkStart w:id="762" w:name="_Toc179867353"/>
      <w:bookmarkStart w:id="763" w:name="_Toc179871746"/>
      <w:bookmarkStart w:id="764" w:name="_Toc179876139"/>
      <w:bookmarkStart w:id="765" w:name="_Toc179805767"/>
      <w:bookmarkStart w:id="766" w:name="_Toc179811416"/>
      <w:bookmarkStart w:id="767" w:name="_Toc179817116"/>
      <w:bookmarkStart w:id="768" w:name="_Toc179822816"/>
      <w:bookmarkStart w:id="769" w:name="_Toc179828496"/>
      <w:bookmarkStart w:id="770" w:name="_Toc179860026"/>
      <w:bookmarkStart w:id="771" w:name="_Toc179865418"/>
      <w:bookmarkStart w:id="772" w:name="_Toc179867354"/>
      <w:bookmarkStart w:id="773" w:name="_Toc179871747"/>
      <w:bookmarkStart w:id="774" w:name="_Toc179876140"/>
      <w:bookmarkStart w:id="775" w:name="_Toc179805771"/>
      <w:bookmarkStart w:id="776" w:name="_Toc179811420"/>
      <w:bookmarkStart w:id="777" w:name="_Toc179817120"/>
      <w:bookmarkStart w:id="778" w:name="_Toc179822820"/>
      <w:bookmarkStart w:id="779" w:name="_Toc179828500"/>
      <w:bookmarkStart w:id="780" w:name="_Toc179860030"/>
      <w:bookmarkStart w:id="781" w:name="_Toc179865422"/>
      <w:bookmarkStart w:id="782" w:name="_Toc179867358"/>
      <w:bookmarkStart w:id="783" w:name="_Toc179871751"/>
      <w:bookmarkStart w:id="784" w:name="_Toc179876144"/>
      <w:bookmarkStart w:id="785" w:name="_Toc179805772"/>
      <w:bookmarkStart w:id="786" w:name="_Toc179811421"/>
      <w:bookmarkStart w:id="787" w:name="_Toc179817121"/>
      <w:bookmarkStart w:id="788" w:name="_Toc179822821"/>
      <w:bookmarkStart w:id="789" w:name="_Toc179828501"/>
      <w:bookmarkStart w:id="790" w:name="_Toc179860031"/>
      <w:bookmarkStart w:id="791" w:name="_Toc179865423"/>
      <w:bookmarkStart w:id="792" w:name="_Toc179867359"/>
      <w:bookmarkStart w:id="793" w:name="_Toc179871752"/>
      <w:bookmarkStart w:id="794" w:name="_Toc179876145"/>
      <w:bookmarkStart w:id="795" w:name="_Toc179805773"/>
      <w:bookmarkStart w:id="796" w:name="_Toc179811422"/>
      <w:bookmarkStart w:id="797" w:name="_Toc179817122"/>
      <w:bookmarkStart w:id="798" w:name="_Toc179822822"/>
      <w:bookmarkStart w:id="799" w:name="_Toc179828502"/>
      <w:bookmarkStart w:id="800" w:name="_Toc179860032"/>
      <w:bookmarkStart w:id="801" w:name="_Toc179865424"/>
      <w:bookmarkStart w:id="802" w:name="_Toc179867360"/>
      <w:bookmarkStart w:id="803" w:name="_Toc179871753"/>
      <w:bookmarkStart w:id="804" w:name="_Toc179876146"/>
      <w:bookmarkStart w:id="805" w:name="_Toc179805774"/>
      <w:bookmarkStart w:id="806" w:name="_Toc179811423"/>
      <w:bookmarkStart w:id="807" w:name="_Toc179817123"/>
      <w:bookmarkStart w:id="808" w:name="_Toc179822823"/>
      <w:bookmarkStart w:id="809" w:name="_Toc179828503"/>
      <w:bookmarkStart w:id="810" w:name="_Toc179860033"/>
      <w:bookmarkStart w:id="811" w:name="_Toc179865425"/>
      <w:bookmarkStart w:id="812" w:name="_Toc179867361"/>
      <w:bookmarkStart w:id="813" w:name="_Toc179871754"/>
      <w:bookmarkStart w:id="814" w:name="_Toc179876147"/>
      <w:bookmarkStart w:id="815" w:name="_Toc179805775"/>
      <w:bookmarkStart w:id="816" w:name="_Toc179811424"/>
      <w:bookmarkStart w:id="817" w:name="_Toc179817124"/>
      <w:bookmarkStart w:id="818" w:name="_Toc179822824"/>
      <w:bookmarkStart w:id="819" w:name="_Toc179828504"/>
      <w:bookmarkStart w:id="820" w:name="_Toc179860034"/>
      <w:bookmarkStart w:id="821" w:name="_Toc179865426"/>
      <w:bookmarkStart w:id="822" w:name="_Toc179867362"/>
      <w:bookmarkStart w:id="823" w:name="_Toc179871755"/>
      <w:bookmarkStart w:id="824" w:name="_Toc179876148"/>
      <w:bookmarkStart w:id="825" w:name="_Toc179805776"/>
      <w:bookmarkStart w:id="826" w:name="_Toc179811425"/>
      <w:bookmarkStart w:id="827" w:name="_Toc179817125"/>
      <w:bookmarkStart w:id="828" w:name="_Toc179822825"/>
      <w:bookmarkStart w:id="829" w:name="_Toc179828505"/>
      <w:bookmarkStart w:id="830" w:name="_Toc179860035"/>
      <w:bookmarkStart w:id="831" w:name="_Toc179865427"/>
      <w:bookmarkStart w:id="832" w:name="_Toc179867363"/>
      <w:bookmarkStart w:id="833" w:name="_Toc179871756"/>
      <w:bookmarkStart w:id="834" w:name="_Toc179876149"/>
      <w:bookmarkStart w:id="835" w:name="_Toc179805777"/>
      <w:bookmarkStart w:id="836" w:name="_Toc179811426"/>
      <w:bookmarkStart w:id="837" w:name="_Toc179817126"/>
      <w:bookmarkStart w:id="838" w:name="_Toc179822826"/>
      <w:bookmarkStart w:id="839" w:name="_Toc179828506"/>
      <w:bookmarkStart w:id="840" w:name="_Toc179860036"/>
      <w:bookmarkStart w:id="841" w:name="_Toc179865428"/>
      <w:bookmarkStart w:id="842" w:name="_Toc179867364"/>
      <w:bookmarkStart w:id="843" w:name="_Toc179871757"/>
      <w:bookmarkStart w:id="844" w:name="_Toc179876150"/>
      <w:bookmarkStart w:id="845" w:name="_Toc179805778"/>
      <w:bookmarkStart w:id="846" w:name="_Toc179811427"/>
      <w:bookmarkStart w:id="847" w:name="_Toc179817127"/>
      <w:bookmarkStart w:id="848" w:name="_Toc179822827"/>
      <w:bookmarkStart w:id="849" w:name="_Toc179828507"/>
      <w:bookmarkStart w:id="850" w:name="_Toc179860037"/>
      <w:bookmarkStart w:id="851" w:name="_Toc179865429"/>
      <w:bookmarkStart w:id="852" w:name="_Toc179867365"/>
      <w:bookmarkStart w:id="853" w:name="_Toc179871758"/>
      <w:bookmarkStart w:id="854" w:name="_Toc179876151"/>
      <w:bookmarkStart w:id="855" w:name="_Toc179805779"/>
      <w:bookmarkStart w:id="856" w:name="_Toc179811428"/>
      <w:bookmarkStart w:id="857" w:name="_Toc179817128"/>
      <w:bookmarkStart w:id="858" w:name="_Toc179822828"/>
      <w:bookmarkStart w:id="859" w:name="_Toc179828508"/>
      <w:bookmarkStart w:id="860" w:name="_Toc179860038"/>
      <w:bookmarkStart w:id="861" w:name="_Toc179865430"/>
      <w:bookmarkStart w:id="862" w:name="_Toc179867366"/>
      <w:bookmarkStart w:id="863" w:name="_Toc179871759"/>
      <w:bookmarkStart w:id="864" w:name="_Toc179876152"/>
      <w:bookmarkStart w:id="865" w:name="_Toc179805780"/>
      <w:bookmarkStart w:id="866" w:name="_Toc179811429"/>
      <w:bookmarkStart w:id="867" w:name="_Toc179817129"/>
      <w:bookmarkStart w:id="868" w:name="_Toc179822829"/>
      <w:bookmarkStart w:id="869" w:name="_Toc179828509"/>
      <w:bookmarkStart w:id="870" w:name="_Toc179860039"/>
      <w:bookmarkStart w:id="871" w:name="_Toc179865431"/>
      <w:bookmarkStart w:id="872" w:name="_Toc179867367"/>
      <w:bookmarkStart w:id="873" w:name="_Toc179871760"/>
      <w:bookmarkStart w:id="874" w:name="_Toc179876153"/>
      <w:bookmarkStart w:id="875" w:name="_Toc179805781"/>
      <w:bookmarkStart w:id="876" w:name="_Toc179811430"/>
      <w:bookmarkStart w:id="877" w:name="_Toc179817130"/>
      <w:bookmarkStart w:id="878" w:name="_Toc179822830"/>
      <w:bookmarkStart w:id="879" w:name="_Toc179828510"/>
      <w:bookmarkStart w:id="880" w:name="_Toc179860040"/>
      <w:bookmarkStart w:id="881" w:name="_Toc179865432"/>
      <w:bookmarkStart w:id="882" w:name="_Toc179867368"/>
      <w:bookmarkStart w:id="883" w:name="_Toc179871761"/>
      <w:bookmarkStart w:id="884" w:name="_Toc179876154"/>
      <w:bookmarkStart w:id="885" w:name="_Toc179805782"/>
      <w:bookmarkStart w:id="886" w:name="_Toc179811431"/>
      <w:bookmarkStart w:id="887" w:name="_Toc179817131"/>
      <w:bookmarkStart w:id="888" w:name="_Toc179822831"/>
      <w:bookmarkStart w:id="889" w:name="_Toc179828511"/>
      <w:bookmarkStart w:id="890" w:name="_Toc179860041"/>
      <w:bookmarkStart w:id="891" w:name="_Toc179865433"/>
      <w:bookmarkStart w:id="892" w:name="_Toc179867369"/>
      <w:bookmarkStart w:id="893" w:name="_Toc179871762"/>
      <w:bookmarkStart w:id="894" w:name="_Toc179876155"/>
      <w:bookmarkStart w:id="895" w:name="_Toc179805783"/>
      <w:bookmarkStart w:id="896" w:name="_Toc179811432"/>
      <w:bookmarkStart w:id="897" w:name="_Toc179817132"/>
      <w:bookmarkStart w:id="898" w:name="_Toc179822832"/>
      <w:bookmarkStart w:id="899" w:name="_Toc179828512"/>
      <w:bookmarkStart w:id="900" w:name="_Toc179860042"/>
      <w:bookmarkStart w:id="901" w:name="_Toc179865434"/>
      <w:bookmarkStart w:id="902" w:name="_Toc179867370"/>
      <w:bookmarkStart w:id="903" w:name="_Toc179871763"/>
      <w:bookmarkStart w:id="904" w:name="_Toc179876156"/>
      <w:bookmarkStart w:id="905" w:name="_Toc179805784"/>
      <w:bookmarkStart w:id="906" w:name="_Toc179811433"/>
      <w:bookmarkStart w:id="907" w:name="_Toc179817133"/>
      <w:bookmarkStart w:id="908" w:name="_Toc179822833"/>
      <w:bookmarkStart w:id="909" w:name="_Toc179828513"/>
      <w:bookmarkStart w:id="910" w:name="_Toc179860043"/>
      <w:bookmarkStart w:id="911" w:name="_Toc179865435"/>
      <w:bookmarkStart w:id="912" w:name="_Toc179867371"/>
      <w:bookmarkStart w:id="913" w:name="_Toc179871764"/>
      <w:bookmarkStart w:id="914" w:name="_Toc179876157"/>
      <w:bookmarkStart w:id="915" w:name="_Toc179805785"/>
      <w:bookmarkStart w:id="916" w:name="_Toc179811434"/>
      <w:bookmarkStart w:id="917" w:name="_Toc179817134"/>
      <w:bookmarkStart w:id="918" w:name="_Toc179822834"/>
      <w:bookmarkStart w:id="919" w:name="_Toc179828514"/>
      <w:bookmarkStart w:id="920" w:name="_Toc179860044"/>
      <w:bookmarkStart w:id="921" w:name="_Toc179865436"/>
      <w:bookmarkStart w:id="922" w:name="_Toc179867372"/>
      <w:bookmarkStart w:id="923" w:name="_Toc179871765"/>
      <w:bookmarkStart w:id="924" w:name="_Toc179876158"/>
      <w:bookmarkStart w:id="925" w:name="_Toc179805786"/>
      <w:bookmarkStart w:id="926" w:name="_Toc179811435"/>
      <w:bookmarkStart w:id="927" w:name="_Toc179817135"/>
      <w:bookmarkStart w:id="928" w:name="_Toc179822835"/>
      <w:bookmarkStart w:id="929" w:name="_Toc179828515"/>
      <w:bookmarkStart w:id="930" w:name="_Toc179860045"/>
      <w:bookmarkStart w:id="931" w:name="_Toc179865437"/>
      <w:bookmarkStart w:id="932" w:name="_Toc179867373"/>
      <w:bookmarkStart w:id="933" w:name="_Toc179871766"/>
      <w:bookmarkStart w:id="934" w:name="_Toc179876159"/>
      <w:bookmarkStart w:id="935" w:name="_Toc179805787"/>
      <w:bookmarkStart w:id="936" w:name="_Toc179811436"/>
      <w:bookmarkStart w:id="937" w:name="_Toc179817136"/>
      <w:bookmarkStart w:id="938" w:name="_Toc179822836"/>
      <w:bookmarkStart w:id="939" w:name="_Toc179828516"/>
      <w:bookmarkStart w:id="940" w:name="_Toc179860046"/>
      <w:bookmarkStart w:id="941" w:name="_Toc179865438"/>
      <w:bookmarkStart w:id="942" w:name="_Toc179867374"/>
      <w:bookmarkStart w:id="943" w:name="_Toc179871767"/>
      <w:bookmarkStart w:id="944" w:name="_Toc179876160"/>
      <w:bookmarkStart w:id="945" w:name="_Toc179805788"/>
      <w:bookmarkStart w:id="946" w:name="_Toc179811437"/>
      <w:bookmarkStart w:id="947" w:name="_Toc179817137"/>
      <w:bookmarkStart w:id="948" w:name="_Toc179822837"/>
      <w:bookmarkStart w:id="949" w:name="_Toc179828517"/>
      <w:bookmarkStart w:id="950" w:name="_Toc179860047"/>
      <w:bookmarkStart w:id="951" w:name="_Toc179865439"/>
      <w:bookmarkStart w:id="952" w:name="_Toc179867375"/>
      <w:bookmarkStart w:id="953" w:name="_Toc179871768"/>
      <w:bookmarkStart w:id="954" w:name="_Toc179876161"/>
      <w:bookmarkStart w:id="955" w:name="_Toc179805789"/>
      <w:bookmarkStart w:id="956" w:name="_Toc179811438"/>
      <w:bookmarkStart w:id="957" w:name="_Toc179817138"/>
      <w:bookmarkStart w:id="958" w:name="_Toc179822838"/>
      <w:bookmarkStart w:id="959" w:name="_Toc179828518"/>
      <w:bookmarkStart w:id="960" w:name="_Toc179860048"/>
      <w:bookmarkStart w:id="961" w:name="_Toc179865440"/>
      <w:bookmarkStart w:id="962" w:name="_Toc179867376"/>
      <w:bookmarkStart w:id="963" w:name="_Toc179871769"/>
      <w:bookmarkStart w:id="964" w:name="_Toc179876162"/>
      <w:bookmarkStart w:id="965" w:name="_Toc179805790"/>
      <w:bookmarkStart w:id="966" w:name="_Toc179811439"/>
      <w:bookmarkStart w:id="967" w:name="_Toc179817139"/>
      <w:bookmarkStart w:id="968" w:name="_Toc179822839"/>
      <w:bookmarkStart w:id="969" w:name="_Toc179828519"/>
      <w:bookmarkStart w:id="970" w:name="_Toc179860049"/>
      <w:bookmarkStart w:id="971" w:name="_Toc179865441"/>
      <w:bookmarkStart w:id="972" w:name="_Toc179867377"/>
      <w:bookmarkStart w:id="973" w:name="_Toc179871770"/>
      <w:bookmarkStart w:id="974" w:name="_Toc179876163"/>
      <w:bookmarkStart w:id="975" w:name="_Toc179805791"/>
      <w:bookmarkStart w:id="976" w:name="_Toc179811440"/>
      <w:bookmarkStart w:id="977" w:name="_Toc179817140"/>
      <w:bookmarkStart w:id="978" w:name="_Toc179822840"/>
      <w:bookmarkStart w:id="979" w:name="_Toc179828520"/>
      <w:bookmarkStart w:id="980" w:name="_Toc179860050"/>
      <w:bookmarkStart w:id="981" w:name="_Toc179865442"/>
      <w:bookmarkStart w:id="982" w:name="_Toc179867378"/>
      <w:bookmarkStart w:id="983" w:name="_Toc179871771"/>
      <w:bookmarkStart w:id="984" w:name="_Toc179876164"/>
      <w:bookmarkStart w:id="985" w:name="_Toc179805792"/>
      <w:bookmarkStart w:id="986" w:name="_Toc179811441"/>
      <w:bookmarkStart w:id="987" w:name="_Toc179817141"/>
      <w:bookmarkStart w:id="988" w:name="_Toc179822841"/>
      <w:bookmarkStart w:id="989" w:name="_Toc179828521"/>
      <w:bookmarkStart w:id="990" w:name="_Toc179860051"/>
      <w:bookmarkStart w:id="991" w:name="_Toc179865443"/>
      <w:bookmarkStart w:id="992" w:name="_Toc179867379"/>
      <w:bookmarkStart w:id="993" w:name="_Toc179871772"/>
      <w:bookmarkStart w:id="994" w:name="_Toc179876165"/>
      <w:bookmarkStart w:id="995" w:name="_Toc179805793"/>
      <w:bookmarkStart w:id="996" w:name="_Toc179811442"/>
      <w:bookmarkStart w:id="997" w:name="_Toc179817142"/>
      <w:bookmarkStart w:id="998" w:name="_Toc179822842"/>
      <w:bookmarkStart w:id="999" w:name="_Toc179828522"/>
      <w:bookmarkStart w:id="1000" w:name="_Toc179860052"/>
      <w:bookmarkStart w:id="1001" w:name="_Toc179865444"/>
      <w:bookmarkStart w:id="1002" w:name="_Toc179867380"/>
      <w:bookmarkStart w:id="1003" w:name="_Toc179871773"/>
      <w:bookmarkStart w:id="1004" w:name="_Toc179876166"/>
      <w:bookmarkStart w:id="1005" w:name="_Toc179805794"/>
      <w:bookmarkStart w:id="1006" w:name="_Toc179811443"/>
      <w:bookmarkStart w:id="1007" w:name="_Toc179817143"/>
      <w:bookmarkStart w:id="1008" w:name="_Toc179822843"/>
      <w:bookmarkStart w:id="1009" w:name="_Toc179828523"/>
      <w:bookmarkStart w:id="1010" w:name="_Toc179860053"/>
      <w:bookmarkStart w:id="1011" w:name="_Toc179865445"/>
      <w:bookmarkStart w:id="1012" w:name="_Toc179867381"/>
      <w:bookmarkStart w:id="1013" w:name="_Toc179871774"/>
      <w:bookmarkStart w:id="1014" w:name="_Toc179876167"/>
      <w:bookmarkStart w:id="1015" w:name="_Toc179805795"/>
      <w:bookmarkStart w:id="1016" w:name="_Toc179811444"/>
      <w:bookmarkStart w:id="1017" w:name="_Toc179817144"/>
      <w:bookmarkStart w:id="1018" w:name="_Toc179822844"/>
      <w:bookmarkStart w:id="1019" w:name="_Toc179828524"/>
      <w:bookmarkStart w:id="1020" w:name="_Toc179860054"/>
      <w:bookmarkStart w:id="1021" w:name="_Toc179865446"/>
      <w:bookmarkStart w:id="1022" w:name="_Toc179867382"/>
      <w:bookmarkStart w:id="1023" w:name="_Toc179871775"/>
      <w:bookmarkStart w:id="1024" w:name="_Toc179876168"/>
      <w:bookmarkStart w:id="1025" w:name="_Toc179805796"/>
      <w:bookmarkStart w:id="1026" w:name="_Toc179811445"/>
      <w:bookmarkStart w:id="1027" w:name="_Toc179817145"/>
      <w:bookmarkStart w:id="1028" w:name="_Toc179822845"/>
      <w:bookmarkStart w:id="1029" w:name="_Toc179828525"/>
      <w:bookmarkStart w:id="1030" w:name="_Toc179860055"/>
      <w:bookmarkStart w:id="1031" w:name="_Toc179865447"/>
      <w:bookmarkStart w:id="1032" w:name="_Toc179867383"/>
      <w:bookmarkStart w:id="1033" w:name="_Toc179871776"/>
      <w:bookmarkStart w:id="1034" w:name="_Toc179876169"/>
      <w:bookmarkStart w:id="1035" w:name="_Toc179805803"/>
      <w:bookmarkStart w:id="1036" w:name="_Toc179811452"/>
      <w:bookmarkStart w:id="1037" w:name="_Toc179817152"/>
      <w:bookmarkStart w:id="1038" w:name="_Toc179822852"/>
      <w:bookmarkStart w:id="1039" w:name="_Toc179828532"/>
      <w:bookmarkStart w:id="1040" w:name="_Toc179860062"/>
      <w:bookmarkStart w:id="1041" w:name="_Toc179865454"/>
      <w:bookmarkStart w:id="1042" w:name="_Toc179867390"/>
      <w:bookmarkStart w:id="1043" w:name="_Toc179871783"/>
      <w:bookmarkStart w:id="1044" w:name="_Toc179876176"/>
      <w:bookmarkStart w:id="1045" w:name="_Toc179806175"/>
      <w:bookmarkStart w:id="1046" w:name="_Toc179811824"/>
      <w:bookmarkStart w:id="1047" w:name="_Toc179817524"/>
      <w:bookmarkStart w:id="1048" w:name="_Toc179823224"/>
      <w:bookmarkStart w:id="1049" w:name="_Toc179828904"/>
      <w:bookmarkStart w:id="1050" w:name="_Toc179860434"/>
      <w:bookmarkStart w:id="1051" w:name="_Toc179865826"/>
      <w:bookmarkStart w:id="1052" w:name="_Toc179867762"/>
      <w:bookmarkStart w:id="1053" w:name="_Toc179872155"/>
      <w:bookmarkStart w:id="1054" w:name="_Toc179876548"/>
      <w:bookmarkStart w:id="1055" w:name="_Toc179806187"/>
      <w:bookmarkStart w:id="1056" w:name="_Toc179811836"/>
      <w:bookmarkStart w:id="1057" w:name="_Toc179817536"/>
      <w:bookmarkStart w:id="1058" w:name="_Toc179823236"/>
      <w:bookmarkStart w:id="1059" w:name="_Toc179828916"/>
      <w:bookmarkStart w:id="1060" w:name="_Toc179860446"/>
      <w:bookmarkStart w:id="1061" w:name="_Toc179865838"/>
      <w:bookmarkStart w:id="1062" w:name="_Toc179867774"/>
      <w:bookmarkStart w:id="1063" w:name="_Toc179872167"/>
      <w:bookmarkStart w:id="1064" w:name="_Toc179876560"/>
      <w:bookmarkStart w:id="1065" w:name="_Toc179806188"/>
      <w:bookmarkStart w:id="1066" w:name="_Toc179811837"/>
      <w:bookmarkStart w:id="1067" w:name="_Toc179817537"/>
      <w:bookmarkStart w:id="1068" w:name="_Toc179823237"/>
      <w:bookmarkStart w:id="1069" w:name="_Toc179828917"/>
      <w:bookmarkStart w:id="1070" w:name="_Toc179860447"/>
      <w:bookmarkStart w:id="1071" w:name="_Toc179865839"/>
      <w:bookmarkStart w:id="1072" w:name="_Toc179867775"/>
      <w:bookmarkStart w:id="1073" w:name="_Toc179872168"/>
      <w:bookmarkStart w:id="1074" w:name="_Toc179876561"/>
      <w:bookmarkStart w:id="1075" w:name="_Toc179806189"/>
      <w:bookmarkStart w:id="1076" w:name="_Toc179811838"/>
      <w:bookmarkStart w:id="1077" w:name="_Toc179817538"/>
      <w:bookmarkStart w:id="1078" w:name="_Toc179823238"/>
      <w:bookmarkStart w:id="1079" w:name="_Toc179828918"/>
      <w:bookmarkStart w:id="1080" w:name="_Toc179860448"/>
      <w:bookmarkStart w:id="1081" w:name="_Toc179865840"/>
      <w:bookmarkStart w:id="1082" w:name="_Toc179867776"/>
      <w:bookmarkStart w:id="1083" w:name="_Toc179872169"/>
      <w:bookmarkStart w:id="1084" w:name="_Toc179876562"/>
      <w:bookmarkStart w:id="1085" w:name="_Toc179806190"/>
      <w:bookmarkStart w:id="1086" w:name="_Toc179811839"/>
      <w:bookmarkStart w:id="1087" w:name="_Toc179817539"/>
      <w:bookmarkStart w:id="1088" w:name="_Toc179823239"/>
      <w:bookmarkStart w:id="1089" w:name="_Toc179828919"/>
      <w:bookmarkStart w:id="1090" w:name="_Toc179860449"/>
      <w:bookmarkStart w:id="1091" w:name="_Toc179865841"/>
      <w:bookmarkStart w:id="1092" w:name="_Toc179867777"/>
      <w:bookmarkStart w:id="1093" w:name="_Toc179872170"/>
      <w:bookmarkStart w:id="1094" w:name="_Toc179876563"/>
      <w:bookmarkStart w:id="1095" w:name="_Toc179806191"/>
      <w:bookmarkStart w:id="1096" w:name="_Toc179811840"/>
      <w:bookmarkStart w:id="1097" w:name="_Toc179817540"/>
      <w:bookmarkStart w:id="1098" w:name="_Toc179823240"/>
      <w:bookmarkStart w:id="1099" w:name="_Toc179828920"/>
      <w:bookmarkStart w:id="1100" w:name="_Toc179860450"/>
      <w:bookmarkStart w:id="1101" w:name="_Toc179865842"/>
      <w:bookmarkStart w:id="1102" w:name="_Toc179867778"/>
      <w:bookmarkStart w:id="1103" w:name="_Toc179872171"/>
      <w:bookmarkStart w:id="1104" w:name="_Toc179876564"/>
      <w:bookmarkStart w:id="1105" w:name="_Toc179806192"/>
      <w:bookmarkStart w:id="1106" w:name="_Toc179811841"/>
      <w:bookmarkStart w:id="1107" w:name="_Toc179817541"/>
      <w:bookmarkStart w:id="1108" w:name="_Toc179823241"/>
      <w:bookmarkStart w:id="1109" w:name="_Toc179828921"/>
      <w:bookmarkStart w:id="1110" w:name="_Toc179860451"/>
      <w:bookmarkStart w:id="1111" w:name="_Toc179865843"/>
      <w:bookmarkStart w:id="1112" w:name="_Toc179867779"/>
      <w:bookmarkStart w:id="1113" w:name="_Toc179872172"/>
      <w:bookmarkStart w:id="1114" w:name="_Toc179876565"/>
      <w:bookmarkStart w:id="1115" w:name="_Toc179806199"/>
      <w:bookmarkStart w:id="1116" w:name="_Toc179811848"/>
      <w:bookmarkStart w:id="1117" w:name="_Toc179817548"/>
      <w:bookmarkStart w:id="1118" w:name="_Toc179823248"/>
      <w:bookmarkStart w:id="1119" w:name="_Toc179828928"/>
      <w:bookmarkStart w:id="1120" w:name="_Toc179860458"/>
      <w:bookmarkStart w:id="1121" w:name="_Toc179865850"/>
      <w:bookmarkStart w:id="1122" w:name="_Toc179867786"/>
      <w:bookmarkStart w:id="1123" w:name="_Toc179872179"/>
      <w:bookmarkStart w:id="1124" w:name="_Toc179876572"/>
      <w:bookmarkStart w:id="1125" w:name="_Toc179806295"/>
      <w:bookmarkStart w:id="1126" w:name="_Toc179811944"/>
      <w:bookmarkStart w:id="1127" w:name="_Toc179817644"/>
      <w:bookmarkStart w:id="1128" w:name="_Toc179823344"/>
      <w:bookmarkStart w:id="1129" w:name="_Toc179829024"/>
      <w:bookmarkStart w:id="1130" w:name="_Toc179860554"/>
      <w:bookmarkStart w:id="1131" w:name="_Toc179865946"/>
      <w:bookmarkStart w:id="1132" w:name="_Toc179867882"/>
      <w:bookmarkStart w:id="1133" w:name="_Toc179872275"/>
      <w:bookmarkStart w:id="1134" w:name="_Toc179876668"/>
      <w:bookmarkStart w:id="1135" w:name="_Toc179806296"/>
      <w:bookmarkStart w:id="1136" w:name="_Toc179811945"/>
      <w:bookmarkStart w:id="1137" w:name="_Toc179817645"/>
      <w:bookmarkStart w:id="1138" w:name="_Toc179823345"/>
      <w:bookmarkStart w:id="1139" w:name="_Toc179829025"/>
      <w:bookmarkStart w:id="1140" w:name="_Toc179860555"/>
      <w:bookmarkStart w:id="1141" w:name="_Toc179865947"/>
      <w:bookmarkStart w:id="1142" w:name="_Toc179867883"/>
      <w:bookmarkStart w:id="1143" w:name="_Toc179872276"/>
      <w:bookmarkStart w:id="1144" w:name="_Toc179876669"/>
      <w:bookmarkStart w:id="1145" w:name="_Toc179806297"/>
      <w:bookmarkStart w:id="1146" w:name="_Toc179811946"/>
      <w:bookmarkStart w:id="1147" w:name="_Toc179817646"/>
      <w:bookmarkStart w:id="1148" w:name="_Toc179823346"/>
      <w:bookmarkStart w:id="1149" w:name="_Toc179829026"/>
      <w:bookmarkStart w:id="1150" w:name="_Toc179860556"/>
      <w:bookmarkStart w:id="1151" w:name="_Toc179865948"/>
      <w:bookmarkStart w:id="1152" w:name="_Toc179867884"/>
      <w:bookmarkStart w:id="1153" w:name="_Toc179872277"/>
      <w:bookmarkStart w:id="1154" w:name="_Toc179876670"/>
      <w:bookmarkStart w:id="1155" w:name="_Toc179806298"/>
      <w:bookmarkStart w:id="1156" w:name="_Toc179811947"/>
      <w:bookmarkStart w:id="1157" w:name="_Toc179817647"/>
      <w:bookmarkStart w:id="1158" w:name="_Toc179823347"/>
      <w:bookmarkStart w:id="1159" w:name="_Toc179829027"/>
      <w:bookmarkStart w:id="1160" w:name="_Toc179860557"/>
      <w:bookmarkStart w:id="1161" w:name="_Toc179865949"/>
      <w:bookmarkStart w:id="1162" w:name="_Toc179867885"/>
      <w:bookmarkStart w:id="1163" w:name="_Toc179872278"/>
      <w:bookmarkStart w:id="1164" w:name="_Toc179876671"/>
      <w:bookmarkStart w:id="1165" w:name="_Toc179806299"/>
      <w:bookmarkStart w:id="1166" w:name="_Toc179811948"/>
      <w:bookmarkStart w:id="1167" w:name="_Toc179817648"/>
      <w:bookmarkStart w:id="1168" w:name="_Toc179823348"/>
      <w:bookmarkStart w:id="1169" w:name="_Toc179829028"/>
      <w:bookmarkStart w:id="1170" w:name="_Toc179860558"/>
      <w:bookmarkStart w:id="1171" w:name="_Toc179865950"/>
      <w:bookmarkStart w:id="1172" w:name="_Toc179867886"/>
      <w:bookmarkStart w:id="1173" w:name="_Toc179872279"/>
      <w:bookmarkStart w:id="1174" w:name="_Toc179876672"/>
      <w:bookmarkStart w:id="1175" w:name="_Toc179806300"/>
      <w:bookmarkStart w:id="1176" w:name="_Toc179811949"/>
      <w:bookmarkStart w:id="1177" w:name="_Toc179817649"/>
      <w:bookmarkStart w:id="1178" w:name="_Toc179823349"/>
      <w:bookmarkStart w:id="1179" w:name="_Toc179829029"/>
      <w:bookmarkStart w:id="1180" w:name="_Toc179860559"/>
      <w:bookmarkStart w:id="1181" w:name="_Toc179865951"/>
      <w:bookmarkStart w:id="1182" w:name="_Toc179867887"/>
      <w:bookmarkStart w:id="1183" w:name="_Toc179872280"/>
      <w:bookmarkStart w:id="1184" w:name="_Toc179876673"/>
      <w:bookmarkStart w:id="1185" w:name="_Toc179806301"/>
      <w:bookmarkStart w:id="1186" w:name="_Toc179811950"/>
      <w:bookmarkStart w:id="1187" w:name="_Toc179817650"/>
      <w:bookmarkStart w:id="1188" w:name="_Toc179823350"/>
      <w:bookmarkStart w:id="1189" w:name="_Toc179829030"/>
      <w:bookmarkStart w:id="1190" w:name="_Toc179860560"/>
      <w:bookmarkStart w:id="1191" w:name="_Toc179865952"/>
      <w:bookmarkStart w:id="1192" w:name="_Toc179867888"/>
      <w:bookmarkStart w:id="1193" w:name="_Toc179872281"/>
      <w:bookmarkStart w:id="1194" w:name="_Toc179876674"/>
      <w:bookmarkStart w:id="1195" w:name="_Toc179806302"/>
      <w:bookmarkStart w:id="1196" w:name="_Toc179811951"/>
      <w:bookmarkStart w:id="1197" w:name="_Toc179817651"/>
      <w:bookmarkStart w:id="1198" w:name="_Toc179823351"/>
      <w:bookmarkStart w:id="1199" w:name="_Toc179829031"/>
      <w:bookmarkStart w:id="1200" w:name="_Toc179860561"/>
      <w:bookmarkStart w:id="1201" w:name="_Toc179865953"/>
      <w:bookmarkStart w:id="1202" w:name="_Toc179867889"/>
      <w:bookmarkStart w:id="1203" w:name="_Toc179872282"/>
      <w:bookmarkStart w:id="1204" w:name="_Toc179876675"/>
      <w:bookmarkStart w:id="1205" w:name="_Toc179806303"/>
      <w:bookmarkStart w:id="1206" w:name="_Toc179811952"/>
      <w:bookmarkStart w:id="1207" w:name="_Toc179817652"/>
      <w:bookmarkStart w:id="1208" w:name="_Toc179823352"/>
      <w:bookmarkStart w:id="1209" w:name="_Toc179829032"/>
      <w:bookmarkStart w:id="1210" w:name="_Toc179860562"/>
      <w:bookmarkStart w:id="1211" w:name="_Toc179865954"/>
      <w:bookmarkStart w:id="1212" w:name="_Toc179867890"/>
      <w:bookmarkStart w:id="1213" w:name="_Toc179872283"/>
      <w:bookmarkStart w:id="1214" w:name="_Toc179876676"/>
      <w:bookmarkStart w:id="1215" w:name="_Toc179806304"/>
      <w:bookmarkStart w:id="1216" w:name="_Toc179811953"/>
      <w:bookmarkStart w:id="1217" w:name="_Toc179817653"/>
      <w:bookmarkStart w:id="1218" w:name="_Toc179823353"/>
      <w:bookmarkStart w:id="1219" w:name="_Toc179829033"/>
      <w:bookmarkStart w:id="1220" w:name="_Toc179860563"/>
      <w:bookmarkStart w:id="1221" w:name="_Toc179865955"/>
      <w:bookmarkStart w:id="1222" w:name="_Toc179867891"/>
      <w:bookmarkStart w:id="1223" w:name="_Toc179872284"/>
      <w:bookmarkStart w:id="1224" w:name="_Toc179876677"/>
      <w:bookmarkStart w:id="1225" w:name="_Toc179806305"/>
      <w:bookmarkStart w:id="1226" w:name="_Toc179811954"/>
      <w:bookmarkStart w:id="1227" w:name="_Toc179817654"/>
      <w:bookmarkStart w:id="1228" w:name="_Toc179823354"/>
      <w:bookmarkStart w:id="1229" w:name="_Toc179829034"/>
      <w:bookmarkStart w:id="1230" w:name="_Toc179860564"/>
      <w:bookmarkStart w:id="1231" w:name="_Toc179865956"/>
      <w:bookmarkStart w:id="1232" w:name="_Toc179867892"/>
      <w:bookmarkStart w:id="1233" w:name="_Toc179872285"/>
      <w:bookmarkStart w:id="1234" w:name="_Toc179876678"/>
      <w:bookmarkStart w:id="1235" w:name="_Toc179806306"/>
      <w:bookmarkStart w:id="1236" w:name="_Toc179811955"/>
      <w:bookmarkStart w:id="1237" w:name="_Toc179817655"/>
      <w:bookmarkStart w:id="1238" w:name="_Toc179823355"/>
      <w:bookmarkStart w:id="1239" w:name="_Toc179829035"/>
      <w:bookmarkStart w:id="1240" w:name="_Toc179860565"/>
      <w:bookmarkStart w:id="1241" w:name="_Toc179865957"/>
      <w:bookmarkStart w:id="1242" w:name="_Toc179867893"/>
      <w:bookmarkStart w:id="1243" w:name="_Toc179872286"/>
      <w:bookmarkStart w:id="1244" w:name="_Toc179876679"/>
      <w:bookmarkStart w:id="1245" w:name="_Toc179806307"/>
      <w:bookmarkStart w:id="1246" w:name="_Toc179811956"/>
      <w:bookmarkStart w:id="1247" w:name="_Toc179817656"/>
      <w:bookmarkStart w:id="1248" w:name="_Toc179823356"/>
      <w:bookmarkStart w:id="1249" w:name="_Toc179829036"/>
      <w:bookmarkStart w:id="1250" w:name="_Toc179860566"/>
      <w:bookmarkStart w:id="1251" w:name="_Toc179865958"/>
      <w:bookmarkStart w:id="1252" w:name="_Toc179867894"/>
      <w:bookmarkStart w:id="1253" w:name="_Toc179872287"/>
      <w:bookmarkStart w:id="1254" w:name="_Toc179876680"/>
      <w:bookmarkStart w:id="1255" w:name="_Toc179806308"/>
      <w:bookmarkStart w:id="1256" w:name="_Toc179811957"/>
      <w:bookmarkStart w:id="1257" w:name="_Toc179817657"/>
      <w:bookmarkStart w:id="1258" w:name="_Toc179823357"/>
      <w:bookmarkStart w:id="1259" w:name="_Toc179829037"/>
      <w:bookmarkStart w:id="1260" w:name="_Toc179860567"/>
      <w:bookmarkStart w:id="1261" w:name="_Toc179865959"/>
      <w:bookmarkStart w:id="1262" w:name="_Toc179867895"/>
      <w:bookmarkStart w:id="1263" w:name="_Toc179872288"/>
      <w:bookmarkStart w:id="1264" w:name="_Toc179876681"/>
      <w:bookmarkStart w:id="1265" w:name="_Toc179806309"/>
      <w:bookmarkStart w:id="1266" w:name="_Toc179811958"/>
      <w:bookmarkStart w:id="1267" w:name="_Toc179817658"/>
      <w:bookmarkStart w:id="1268" w:name="_Toc179823358"/>
      <w:bookmarkStart w:id="1269" w:name="_Toc179829038"/>
      <w:bookmarkStart w:id="1270" w:name="_Toc179860568"/>
      <w:bookmarkStart w:id="1271" w:name="_Toc179865960"/>
      <w:bookmarkStart w:id="1272" w:name="_Toc179867896"/>
      <w:bookmarkStart w:id="1273" w:name="_Toc179872289"/>
      <w:bookmarkStart w:id="1274" w:name="_Toc179876682"/>
      <w:bookmarkStart w:id="1275" w:name="INDEX_DeptAdminAssetsNLiabilities"/>
      <w:bookmarkStart w:id="1276" w:name="_Toc179806310"/>
      <w:bookmarkStart w:id="1277" w:name="_Toc179811959"/>
      <w:bookmarkStart w:id="1278" w:name="_Toc179817659"/>
      <w:bookmarkStart w:id="1279" w:name="_Toc179823359"/>
      <w:bookmarkStart w:id="1280" w:name="_Toc179829039"/>
      <w:bookmarkStart w:id="1281" w:name="_Toc179860569"/>
      <w:bookmarkStart w:id="1282" w:name="_Toc179865961"/>
      <w:bookmarkStart w:id="1283" w:name="_Toc179867897"/>
      <w:bookmarkStart w:id="1284" w:name="_Toc179872290"/>
      <w:bookmarkStart w:id="1285" w:name="_Toc179876683"/>
      <w:bookmarkStart w:id="1286" w:name="_Toc179806311"/>
      <w:bookmarkStart w:id="1287" w:name="_Toc179811960"/>
      <w:bookmarkStart w:id="1288" w:name="_Toc179817660"/>
      <w:bookmarkStart w:id="1289" w:name="_Toc179823360"/>
      <w:bookmarkStart w:id="1290" w:name="_Toc179829040"/>
      <w:bookmarkStart w:id="1291" w:name="_Toc179860570"/>
      <w:bookmarkStart w:id="1292" w:name="_Toc179865962"/>
      <w:bookmarkStart w:id="1293" w:name="_Toc179867898"/>
      <w:bookmarkStart w:id="1294" w:name="_Toc179872291"/>
      <w:bookmarkStart w:id="1295" w:name="_Toc179876684"/>
      <w:bookmarkStart w:id="1296" w:name="_Toc179806312"/>
      <w:bookmarkStart w:id="1297" w:name="_Toc179811961"/>
      <w:bookmarkStart w:id="1298" w:name="_Toc179817661"/>
      <w:bookmarkStart w:id="1299" w:name="_Toc179823361"/>
      <w:bookmarkStart w:id="1300" w:name="_Toc179829041"/>
      <w:bookmarkStart w:id="1301" w:name="_Toc179860571"/>
      <w:bookmarkStart w:id="1302" w:name="_Toc179865963"/>
      <w:bookmarkStart w:id="1303" w:name="_Toc179867899"/>
      <w:bookmarkStart w:id="1304" w:name="_Toc179872292"/>
      <w:bookmarkStart w:id="1305" w:name="_Toc179876685"/>
      <w:bookmarkStart w:id="1306" w:name="_Toc179806319"/>
      <w:bookmarkStart w:id="1307" w:name="_Toc179811968"/>
      <w:bookmarkStart w:id="1308" w:name="_Toc179817668"/>
      <w:bookmarkStart w:id="1309" w:name="_Toc179823368"/>
      <w:bookmarkStart w:id="1310" w:name="_Toc179829048"/>
      <w:bookmarkStart w:id="1311" w:name="_Toc179860578"/>
      <w:bookmarkStart w:id="1312" w:name="_Toc179865970"/>
      <w:bookmarkStart w:id="1313" w:name="_Toc179867906"/>
      <w:bookmarkStart w:id="1314" w:name="_Toc179872299"/>
      <w:bookmarkStart w:id="1315" w:name="_Toc179876692"/>
      <w:bookmarkStart w:id="1316" w:name="_Toc179806571"/>
      <w:bookmarkStart w:id="1317" w:name="_Toc179812220"/>
      <w:bookmarkStart w:id="1318" w:name="_Toc179817920"/>
      <w:bookmarkStart w:id="1319" w:name="_Toc179823620"/>
      <w:bookmarkStart w:id="1320" w:name="_Toc179829300"/>
      <w:bookmarkStart w:id="1321" w:name="_Toc179860830"/>
      <w:bookmarkStart w:id="1322" w:name="_Toc179866222"/>
      <w:bookmarkStart w:id="1323" w:name="_Toc179868158"/>
      <w:bookmarkStart w:id="1324" w:name="_Toc179872551"/>
      <w:bookmarkStart w:id="1325" w:name="_Toc179876944"/>
      <w:bookmarkStart w:id="1326" w:name="_Toc179806572"/>
      <w:bookmarkStart w:id="1327" w:name="_Toc179812221"/>
      <w:bookmarkStart w:id="1328" w:name="_Toc179817921"/>
      <w:bookmarkStart w:id="1329" w:name="_Toc179823621"/>
      <w:bookmarkStart w:id="1330" w:name="_Toc179829301"/>
      <w:bookmarkStart w:id="1331" w:name="_Toc179860831"/>
      <w:bookmarkStart w:id="1332" w:name="_Toc179866223"/>
      <w:bookmarkStart w:id="1333" w:name="_Toc179868159"/>
      <w:bookmarkStart w:id="1334" w:name="_Toc179872552"/>
      <w:bookmarkStart w:id="1335" w:name="_Toc179876945"/>
      <w:bookmarkStart w:id="1336" w:name="_Toc179806573"/>
      <w:bookmarkStart w:id="1337" w:name="_Toc179812222"/>
      <w:bookmarkStart w:id="1338" w:name="_Toc179817922"/>
      <w:bookmarkStart w:id="1339" w:name="_Toc179823622"/>
      <w:bookmarkStart w:id="1340" w:name="_Toc179829302"/>
      <w:bookmarkStart w:id="1341" w:name="_Toc179860832"/>
      <w:bookmarkStart w:id="1342" w:name="_Toc179866224"/>
      <w:bookmarkStart w:id="1343" w:name="_Toc179868160"/>
      <w:bookmarkStart w:id="1344" w:name="_Toc179872553"/>
      <w:bookmarkStart w:id="1345" w:name="_Toc179876946"/>
      <w:bookmarkStart w:id="1346" w:name="_Toc179806574"/>
      <w:bookmarkStart w:id="1347" w:name="_Toc179812223"/>
      <w:bookmarkStart w:id="1348" w:name="_Toc179817923"/>
      <w:bookmarkStart w:id="1349" w:name="_Toc179823623"/>
      <w:bookmarkStart w:id="1350" w:name="_Toc179829303"/>
      <w:bookmarkStart w:id="1351" w:name="_Toc179860833"/>
      <w:bookmarkStart w:id="1352" w:name="_Toc179866225"/>
      <w:bookmarkStart w:id="1353" w:name="_Toc179868161"/>
      <w:bookmarkStart w:id="1354" w:name="_Toc179872554"/>
      <w:bookmarkStart w:id="1355" w:name="_Toc179876947"/>
      <w:bookmarkStart w:id="1356" w:name="_Toc179806575"/>
      <w:bookmarkStart w:id="1357" w:name="_Toc179812224"/>
      <w:bookmarkStart w:id="1358" w:name="_Toc179817924"/>
      <w:bookmarkStart w:id="1359" w:name="_Toc179823624"/>
      <w:bookmarkStart w:id="1360" w:name="_Toc179829304"/>
      <w:bookmarkStart w:id="1361" w:name="_Toc179860834"/>
      <w:bookmarkStart w:id="1362" w:name="_Toc179866226"/>
      <w:bookmarkStart w:id="1363" w:name="_Toc179868162"/>
      <w:bookmarkStart w:id="1364" w:name="_Toc179872555"/>
      <w:bookmarkStart w:id="1365" w:name="_Toc179876948"/>
      <w:bookmarkStart w:id="1366" w:name="_Toc179806576"/>
      <w:bookmarkStart w:id="1367" w:name="_Toc179812225"/>
      <w:bookmarkStart w:id="1368" w:name="_Toc179817925"/>
      <w:bookmarkStart w:id="1369" w:name="_Toc179823625"/>
      <w:bookmarkStart w:id="1370" w:name="_Toc179829305"/>
      <w:bookmarkStart w:id="1371" w:name="_Toc179860835"/>
      <w:bookmarkStart w:id="1372" w:name="_Toc179866227"/>
      <w:bookmarkStart w:id="1373" w:name="_Toc179868163"/>
      <w:bookmarkStart w:id="1374" w:name="_Toc179872556"/>
      <w:bookmarkStart w:id="1375" w:name="_Toc179876949"/>
      <w:bookmarkStart w:id="1376" w:name="_Toc179806577"/>
      <w:bookmarkStart w:id="1377" w:name="_Toc179812226"/>
      <w:bookmarkStart w:id="1378" w:name="_Toc179817926"/>
      <w:bookmarkStart w:id="1379" w:name="_Toc179823626"/>
      <w:bookmarkStart w:id="1380" w:name="_Toc179829306"/>
      <w:bookmarkStart w:id="1381" w:name="_Toc179860836"/>
      <w:bookmarkStart w:id="1382" w:name="_Toc179866228"/>
      <w:bookmarkStart w:id="1383" w:name="_Toc179868164"/>
      <w:bookmarkStart w:id="1384" w:name="_Toc179872557"/>
      <w:bookmarkStart w:id="1385" w:name="_Toc179876950"/>
      <w:bookmarkStart w:id="1386" w:name="_Toc179806584"/>
      <w:bookmarkStart w:id="1387" w:name="_Toc179812233"/>
      <w:bookmarkStart w:id="1388" w:name="_Toc179817933"/>
      <w:bookmarkStart w:id="1389" w:name="_Toc179823633"/>
      <w:bookmarkStart w:id="1390" w:name="_Toc179829313"/>
      <w:bookmarkStart w:id="1391" w:name="_Toc179860843"/>
      <w:bookmarkStart w:id="1392" w:name="_Toc179866235"/>
      <w:bookmarkStart w:id="1393" w:name="_Toc179868171"/>
      <w:bookmarkStart w:id="1394" w:name="_Toc179872564"/>
      <w:bookmarkStart w:id="1395" w:name="_Toc179876957"/>
      <w:bookmarkStart w:id="1396" w:name="_Toc179806764"/>
      <w:bookmarkStart w:id="1397" w:name="_Toc179812413"/>
      <w:bookmarkStart w:id="1398" w:name="_Toc179818113"/>
      <w:bookmarkStart w:id="1399" w:name="_Toc179823813"/>
      <w:bookmarkStart w:id="1400" w:name="_Toc179829493"/>
      <w:bookmarkStart w:id="1401" w:name="_Toc179861023"/>
      <w:bookmarkStart w:id="1402" w:name="_Toc179866415"/>
      <w:bookmarkStart w:id="1403" w:name="_Toc179868351"/>
      <w:bookmarkStart w:id="1404" w:name="_Toc179872744"/>
      <w:bookmarkStart w:id="1405" w:name="_Toc179877137"/>
      <w:bookmarkStart w:id="1406" w:name="_Toc179806765"/>
      <w:bookmarkStart w:id="1407" w:name="_Toc179812414"/>
      <w:bookmarkStart w:id="1408" w:name="_Toc179818114"/>
      <w:bookmarkStart w:id="1409" w:name="_Toc179823814"/>
      <w:bookmarkStart w:id="1410" w:name="_Toc179829494"/>
      <w:bookmarkStart w:id="1411" w:name="_Toc179861024"/>
      <w:bookmarkStart w:id="1412" w:name="_Toc179866416"/>
      <w:bookmarkStart w:id="1413" w:name="_Toc179868352"/>
      <w:bookmarkStart w:id="1414" w:name="_Toc179872745"/>
      <w:bookmarkStart w:id="1415" w:name="_Toc179877138"/>
      <w:bookmarkStart w:id="1416" w:name="_Toc179806766"/>
      <w:bookmarkStart w:id="1417" w:name="_Toc179812415"/>
      <w:bookmarkStart w:id="1418" w:name="_Toc179818115"/>
      <w:bookmarkStart w:id="1419" w:name="_Toc179823815"/>
      <w:bookmarkStart w:id="1420" w:name="_Toc179829495"/>
      <w:bookmarkStart w:id="1421" w:name="_Toc179861025"/>
      <w:bookmarkStart w:id="1422" w:name="_Toc179866417"/>
      <w:bookmarkStart w:id="1423" w:name="_Toc179868353"/>
      <w:bookmarkStart w:id="1424" w:name="_Toc179872746"/>
      <w:bookmarkStart w:id="1425" w:name="_Toc179877139"/>
      <w:bookmarkStart w:id="1426" w:name="_Toc179806767"/>
      <w:bookmarkStart w:id="1427" w:name="_Toc179812416"/>
      <w:bookmarkStart w:id="1428" w:name="_Toc179818116"/>
      <w:bookmarkStart w:id="1429" w:name="_Toc179823816"/>
      <w:bookmarkStart w:id="1430" w:name="_Toc179829496"/>
      <w:bookmarkStart w:id="1431" w:name="_Toc179861026"/>
      <w:bookmarkStart w:id="1432" w:name="_Toc179866418"/>
      <w:bookmarkStart w:id="1433" w:name="_Toc179868354"/>
      <w:bookmarkStart w:id="1434" w:name="_Toc179872747"/>
      <w:bookmarkStart w:id="1435" w:name="_Toc179877140"/>
      <w:bookmarkStart w:id="1436" w:name="_Toc179806768"/>
      <w:bookmarkStart w:id="1437" w:name="_Toc179812417"/>
      <w:bookmarkStart w:id="1438" w:name="_Toc179818117"/>
      <w:bookmarkStart w:id="1439" w:name="_Toc179823817"/>
      <w:bookmarkStart w:id="1440" w:name="_Toc179829497"/>
      <w:bookmarkStart w:id="1441" w:name="_Toc179861027"/>
      <w:bookmarkStart w:id="1442" w:name="_Toc179866419"/>
      <w:bookmarkStart w:id="1443" w:name="_Toc179868355"/>
      <w:bookmarkStart w:id="1444" w:name="_Toc179872748"/>
      <w:bookmarkStart w:id="1445" w:name="_Toc179877141"/>
      <w:bookmarkStart w:id="1446" w:name="_Toc179806769"/>
      <w:bookmarkStart w:id="1447" w:name="_Toc179812418"/>
      <w:bookmarkStart w:id="1448" w:name="_Toc179818118"/>
      <w:bookmarkStart w:id="1449" w:name="_Toc179823818"/>
      <w:bookmarkStart w:id="1450" w:name="_Toc179829498"/>
      <w:bookmarkStart w:id="1451" w:name="_Toc179861028"/>
      <w:bookmarkStart w:id="1452" w:name="_Toc179866420"/>
      <w:bookmarkStart w:id="1453" w:name="_Toc179868356"/>
      <w:bookmarkStart w:id="1454" w:name="_Toc179872749"/>
      <w:bookmarkStart w:id="1455" w:name="_Toc179877142"/>
      <w:bookmarkStart w:id="1456" w:name="_Toc179806770"/>
      <w:bookmarkStart w:id="1457" w:name="_Toc179812419"/>
      <w:bookmarkStart w:id="1458" w:name="_Toc179818119"/>
      <w:bookmarkStart w:id="1459" w:name="_Toc179823819"/>
      <w:bookmarkStart w:id="1460" w:name="_Toc179829499"/>
      <w:bookmarkStart w:id="1461" w:name="_Toc179861029"/>
      <w:bookmarkStart w:id="1462" w:name="_Toc179866421"/>
      <w:bookmarkStart w:id="1463" w:name="_Toc179868357"/>
      <w:bookmarkStart w:id="1464" w:name="_Toc179872750"/>
      <w:bookmarkStart w:id="1465" w:name="_Toc179877143"/>
      <w:bookmarkStart w:id="1466" w:name="_Toc179806771"/>
      <w:bookmarkStart w:id="1467" w:name="_Toc179812420"/>
      <w:bookmarkStart w:id="1468" w:name="_Toc179818120"/>
      <w:bookmarkStart w:id="1469" w:name="_Toc179823820"/>
      <w:bookmarkStart w:id="1470" w:name="_Toc179829500"/>
      <w:bookmarkStart w:id="1471" w:name="_Toc179861030"/>
      <w:bookmarkStart w:id="1472" w:name="_Toc179866422"/>
      <w:bookmarkStart w:id="1473" w:name="_Toc179868358"/>
      <w:bookmarkStart w:id="1474" w:name="_Toc179872751"/>
      <w:bookmarkStart w:id="1475" w:name="_Toc179877144"/>
      <w:bookmarkStart w:id="1476" w:name="_Toc179806772"/>
      <w:bookmarkStart w:id="1477" w:name="_Toc179812421"/>
      <w:bookmarkStart w:id="1478" w:name="_Toc179818121"/>
      <w:bookmarkStart w:id="1479" w:name="_Toc179823821"/>
      <w:bookmarkStart w:id="1480" w:name="_Toc179829501"/>
      <w:bookmarkStart w:id="1481" w:name="_Toc179861031"/>
      <w:bookmarkStart w:id="1482" w:name="_Toc179866423"/>
      <w:bookmarkStart w:id="1483" w:name="_Toc179868359"/>
      <w:bookmarkStart w:id="1484" w:name="_Toc179872752"/>
      <w:bookmarkStart w:id="1485" w:name="_Toc179877145"/>
      <w:bookmarkStart w:id="1486" w:name="_Toc179806773"/>
      <w:bookmarkStart w:id="1487" w:name="_Toc179812422"/>
      <w:bookmarkStart w:id="1488" w:name="_Toc179818122"/>
      <w:bookmarkStart w:id="1489" w:name="_Toc179823822"/>
      <w:bookmarkStart w:id="1490" w:name="_Toc179829502"/>
      <w:bookmarkStart w:id="1491" w:name="_Toc179861032"/>
      <w:bookmarkStart w:id="1492" w:name="_Toc179866424"/>
      <w:bookmarkStart w:id="1493" w:name="_Toc179868360"/>
      <w:bookmarkStart w:id="1494" w:name="_Toc179872753"/>
      <w:bookmarkStart w:id="1495" w:name="_Toc179877146"/>
      <w:bookmarkStart w:id="1496" w:name="_Toc179806774"/>
      <w:bookmarkStart w:id="1497" w:name="_Toc179812423"/>
      <w:bookmarkStart w:id="1498" w:name="_Toc179818123"/>
      <w:bookmarkStart w:id="1499" w:name="_Toc179823823"/>
      <w:bookmarkStart w:id="1500" w:name="_Toc179829503"/>
      <w:bookmarkStart w:id="1501" w:name="_Toc179861033"/>
      <w:bookmarkStart w:id="1502" w:name="_Toc179866425"/>
      <w:bookmarkStart w:id="1503" w:name="_Toc179868361"/>
      <w:bookmarkStart w:id="1504" w:name="_Toc179872754"/>
      <w:bookmarkStart w:id="1505" w:name="_Toc179877147"/>
      <w:bookmarkStart w:id="1506" w:name="_Toc179806775"/>
      <w:bookmarkStart w:id="1507" w:name="_Toc179812424"/>
      <w:bookmarkStart w:id="1508" w:name="_Toc179818124"/>
      <w:bookmarkStart w:id="1509" w:name="_Toc179823824"/>
      <w:bookmarkStart w:id="1510" w:name="_Toc179829504"/>
      <w:bookmarkStart w:id="1511" w:name="_Toc179861034"/>
      <w:bookmarkStart w:id="1512" w:name="_Toc179866426"/>
      <w:bookmarkStart w:id="1513" w:name="_Toc179868362"/>
      <w:bookmarkStart w:id="1514" w:name="_Toc179872755"/>
      <w:bookmarkStart w:id="1515" w:name="_Toc179877148"/>
      <w:bookmarkStart w:id="1516" w:name="_Toc179806776"/>
      <w:bookmarkStart w:id="1517" w:name="_Toc179812425"/>
      <w:bookmarkStart w:id="1518" w:name="_Toc179818125"/>
      <w:bookmarkStart w:id="1519" w:name="_Toc179823825"/>
      <w:bookmarkStart w:id="1520" w:name="_Toc179829505"/>
      <w:bookmarkStart w:id="1521" w:name="_Toc179861035"/>
      <w:bookmarkStart w:id="1522" w:name="_Toc179866427"/>
      <w:bookmarkStart w:id="1523" w:name="_Toc179868363"/>
      <w:bookmarkStart w:id="1524" w:name="_Toc179872756"/>
      <w:bookmarkStart w:id="1525" w:name="_Toc179877149"/>
      <w:bookmarkStart w:id="1526" w:name="_Toc179806777"/>
      <w:bookmarkStart w:id="1527" w:name="_Toc179812426"/>
      <w:bookmarkStart w:id="1528" w:name="_Toc179818126"/>
      <w:bookmarkStart w:id="1529" w:name="_Toc179823826"/>
      <w:bookmarkStart w:id="1530" w:name="_Toc179829506"/>
      <w:bookmarkStart w:id="1531" w:name="_Toc179861036"/>
      <w:bookmarkStart w:id="1532" w:name="_Toc179866428"/>
      <w:bookmarkStart w:id="1533" w:name="_Toc179868364"/>
      <w:bookmarkStart w:id="1534" w:name="_Toc179872757"/>
      <w:bookmarkStart w:id="1535" w:name="_Toc179877150"/>
      <w:bookmarkStart w:id="1536" w:name="_Toc179806778"/>
      <w:bookmarkStart w:id="1537" w:name="_Toc179812427"/>
      <w:bookmarkStart w:id="1538" w:name="_Toc179818127"/>
      <w:bookmarkStart w:id="1539" w:name="_Toc179823827"/>
      <w:bookmarkStart w:id="1540" w:name="_Toc179829507"/>
      <w:bookmarkStart w:id="1541" w:name="_Toc179861037"/>
      <w:bookmarkStart w:id="1542" w:name="_Toc179866429"/>
      <w:bookmarkStart w:id="1543" w:name="_Toc179868365"/>
      <w:bookmarkStart w:id="1544" w:name="_Toc179872758"/>
      <w:bookmarkStart w:id="1545" w:name="_Toc179877151"/>
      <w:bookmarkStart w:id="1546" w:name="_Toc179806779"/>
      <w:bookmarkStart w:id="1547" w:name="_Toc179812428"/>
      <w:bookmarkStart w:id="1548" w:name="_Toc179818128"/>
      <w:bookmarkStart w:id="1549" w:name="_Toc179823828"/>
      <w:bookmarkStart w:id="1550" w:name="_Toc179829508"/>
      <w:bookmarkStart w:id="1551" w:name="_Toc179861038"/>
      <w:bookmarkStart w:id="1552" w:name="_Toc179866430"/>
      <w:bookmarkStart w:id="1553" w:name="_Toc179868366"/>
      <w:bookmarkStart w:id="1554" w:name="_Toc179872759"/>
      <w:bookmarkStart w:id="1555" w:name="_Toc179877152"/>
      <w:bookmarkStart w:id="1556" w:name="_Toc179806780"/>
      <w:bookmarkStart w:id="1557" w:name="_Toc179812429"/>
      <w:bookmarkStart w:id="1558" w:name="_Toc179818129"/>
      <w:bookmarkStart w:id="1559" w:name="_Toc179823829"/>
      <w:bookmarkStart w:id="1560" w:name="_Toc179829509"/>
      <w:bookmarkStart w:id="1561" w:name="_Toc179861039"/>
      <w:bookmarkStart w:id="1562" w:name="_Toc179866431"/>
      <w:bookmarkStart w:id="1563" w:name="_Toc179868367"/>
      <w:bookmarkStart w:id="1564" w:name="_Toc179872760"/>
      <w:bookmarkStart w:id="1565" w:name="_Toc179877153"/>
      <w:bookmarkStart w:id="1566" w:name="_Toc179806781"/>
      <w:bookmarkStart w:id="1567" w:name="_Toc179812430"/>
      <w:bookmarkStart w:id="1568" w:name="_Toc179818130"/>
      <w:bookmarkStart w:id="1569" w:name="_Toc179823830"/>
      <w:bookmarkStart w:id="1570" w:name="_Toc179829510"/>
      <w:bookmarkStart w:id="1571" w:name="_Toc179861040"/>
      <w:bookmarkStart w:id="1572" w:name="_Toc179866432"/>
      <w:bookmarkStart w:id="1573" w:name="_Toc179868368"/>
      <w:bookmarkStart w:id="1574" w:name="_Toc179872761"/>
      <w:bookmarkStart w:id="1575" w:name="_Toc179877154"/>
      <w:bookmarkStart w:id="1576" w:name="_Toc179806782"/>
      <w:bookmarkStart w:id="1577" w:name="_Toc179812431"/>
      <w:bookmarkStart w:id="1578" w:name="_Toc179818131"/>
      <w:bookmarkStart w:id="1579" w:name="_Toc179823831"/>
      <w:bookmarkStart w:id="1580" w:name="_Toc179829511"/>
      <w:bookmarkStart w:id="1581" w:name="_Toc179861041"/>
      <w:bookmarkStart w:id="1582" w:name="_Toc179866433"/>
      <w:bookmarkStart w:id="1583" w:name="_Toc179868369"/>
      <w:bookmarkStart w:id="1584" w:name="_Toc179872762"/>
      <w:bookmarkStart w:id="1585" w:name="_Toc179877155"/>
      <w:bookmarkStart w:id="1586" w:name="_Toc179806783"/>
      <w:bookmarkStart w:id="1587" w:name="_Toc179812432"/>
      <w:bookmarkStart w:id="1588" w:name="_Toc179818132"/>
      <w:bookmarkStart w:id="1589" w:name="_Toc179823832"/>
      <w:bookmarkStart w:id="1590" w:name="_Toc179829512"/>
      <w:bookmarkStart w:id="1591" w:name="_Toc179861042"/>
      <w:bookmarkStart w:id="1592" w:name="_Toc179866434"/>
      <w:bookmarkStart w:id="1593" w:name="_Toc179868370"/>
      <w:bookmarkStart w:id="1594" w:name="_Toc179872763"/>
      <w:bookmarkStart w:id="1595" w:name="_Toc179877156"/>
      <w:bookmarkStart w:id="1596" w:name="_Toc179806784"/>
      <w:bookmarkStart w:id="1597" w:name="_Toc179812433"/>
      <w:bookmarkStart w:id="1598" w:name="_Toc179818133"/>
      <w:bookmarkStart w:id="1599" w:name="_Toc179823833"/>
      <w:bookmarkStart w:id="1600" w:name="_Toc179829513"/>
      <w:bookmarkStart w:id="1601" w:name="_Toc179861043"/>
      <w:bookmarkStart w:id="1602" w:name="_Toc179866435"/>
      <w:bookmarkStart w:id="1603" w:name="_Toc179868371"/>
      <w:bookmarkStart w:id="1604" w:name="_Toc179872764"/>
      <w:bookmarkStart w:id="1605" w:name="_Toc179877157"/>
      <w:bookmarkStart w:id="1606" w:name="_Toc179806785"/>
      <w:bookmarkStart w:id="1607" w:name="_Toc179812434"/>
      <w:bookmarkStart w:id="1608" w:name="_Toc179818134"/>
      <w:bookmarkStart w:id="1609" w:name="_Toc179823834"/>
      <w:bookmarkStart w:id="1610" w:name="_Toc179829514"/>
      <w:bookmarkStart w:id="1611" w:name="_Toc179861044"/>
      <w:bookmarkStart w:id="1612" w:name="_Toc179866436"/>
      <w:bookmarkStart w:id="1613" w:name="_Toc179868372"/>
      <w:bookmarkStart w:id="1614" w:name="_Toc179872765"/>
      <w:bookmarkStart w:id="1615" w:name="_Toc179877158"/>
      <w:bookmarkStart w:id="1616" w:name="_Toc179806786"/>
      <w:bookmarkStart w:id="1617" w:name="_Toc179812435"/>
      <w:bookmarkStart w:id="1618" w:name="_Toc179818135"/>
      <w:bookmarkStart w:id="1619" w:name="_Toc179823835"/>
      <w:bookmarkStart w:id="1620" w:name="_Toc179829515"/>
      <w:bookmarkStart w:id="1621" w:name="_Toc179861045"/>
      <w:bookmarkStart w:id="1622" w:name="_Toc179866437"/>
      <w:bookmarkStart w:id="1623" w:name="_Toc179868373"/>
      <w:bookmarkStart w:id="1624" w:name="_Toc179872766"/>
      <w:bookmarkStart w:id="1625" w:name="_Toc179877159"/>
      <w:bookmarkStart w:id="1626" w:name="_Toc179806787"/>
      <w:bookmarkStart w:id="1627" w:name="_Toc179812436"/>
      <w:bookmarkStart w:id="1628" w:name="_Toc179818136"/>
      <w:bookmarkStart w:id="1629" w:name="_Toc179823836"/>
      <w:bookmarkStart w:id="1630" w:name="_Toc179829516"/>
      <w:bookmarkStart w:id="1631" w:name="_Toc179861046"/>
      <w:bookmarkStart w:id="1632" w:name="_Toc179866438"/>
      <w:bookmarkStart w:id="1633" w:name="_Toc179868374"/>
      <w:bookmarkStart w:id="1634" w:name="_Toc179872767"/>
      <w:bookmarkStart w:id="1635" w:name="_Toc179877160"/>
      <w:bookmarkStart w:id="1636" w:name="_Toc179806788"/>
      <w:bookmarkStart w:id="1637" w:name="_Toc179812437"/>
      <w:bookmarkStart w:id="1638" w:name="_Toc179818137"/>
      <w:bookmarkStart w:id="1639" w:name="_Toc179823837"/>
      <w:bookmarkStart w:id="1640" w:name="_Toc179829517"/>
      <w:bookmarkStart w:id="1641" w:name="_Toc179861047"/>
      <w:bookmarkStart w:id="1642" w:name="_Toc179866439"/>
      <w:bookmarkStart w:id="1643" w:name="_Toc179868375"/>
      <w:bookmarkStart w:id="1644" w:name="_Toc179872768"/>
      <w:bookmarkStart w:id="1645" w:name="_Toc179877161"/>
      <w:bookmarkStart w:id="1646" w:name="_Toc179806789"/>
      <w:bookmarkStart w:id="1647" w:name="_Toc179812438"/>
      <w:bookmarkStart w:id="1648" w:name="_Toc179818138"/>
      <w:bookmarkStart w:id="1649" w:name="_Toc179823838"/>
      <w:bookmarkStart w:id="1650" w:name="_Toc179829518"/>
      <w:bookmarkStart w:id="1651" w:name="_Toc179861048"/>
      <w:bookmarkStart w:id="1652" w:name="_Toc179866440"/>
      <w:bookmarkStart w:id="1653" w:name="_Toc179868376"/>
      <w:bookmarkStart w:id="1654" w:name="_Toc179872769"/>
      <w:bookmarkStart w:id="1655" w:name="_Toc179877162"/>
      <w:bookmarkStart w:id="1656" w:name="_Toc179806790"/>
      <w:bookmarkStart w:id="1657" w:name="_Toc179812439"/>
      <w:bookmarkStart w:id="1658" w:name="_Toc179818139"/>
      <w:bookmarkStart w:id="1659" w:name="_Toc179823839"/>
      <w:bookmarkStart w:id="1660" w:name="_Toc179829519"/>
      <w:bookmarkStart w:id="1661" w:name="_Toc179861049"/>
      <w:bookmarkStart w:id="1662" w:name="_Toc179866441"/>
      <w:bookmarkStart w:id="1663" w:name="_Toc179868377"/>
      <w:bookmarkStart w:id="1664" w:name="_Toc179872770"/>
      <w:bookmarkStart w:id="1665" w:name="_Toc179877163"/>
      <w:bookmarkStart w:id="1666" w:name="_Toc179806791"/>
      <w:bookmarkStart w:id="1667" w:name="_Toc179812440"/>
      <w:bookmarkStart w:id="1668" w:name="_Toc179818140"/>
      <w:bookmarkStart w:id="1669" w:name="_Toc179823840"/>
      <w:bookmarkStart w:id="1670" w:name="_Toc179829520"/>
      <w:bookmarkStart w:id="1671" w:name="_Toc179861050"/>
      <w:bookmarkStart w:id="1672" w:name="_Toc179866442"/>
      <w:bookmarkStart w:id="1673" w:name="_Toc179868378"/>
      <w:bookmarkStart w:id="1674" w:name="_Toc179872771"/>
      <w:bookmarkStart w:id="1675" w:name="_Toc179877164"/>
      <w:bookmarkStart w:id="1676" w:name="_Toc179806792"/>
      <w:bookmarkStart w:id="1677" w:name="_Toc179812441"/>
      <w:bookmarkStart w:id="1678" w:name="_Toc179818141"/>
      <w:bookmarkStart w:id="1679" w:name="_Toc179823841"/>
      <w:bookmarkStart w:id="1680" w:name="_Toc179829521"/>
      <w:bookmarkStart w:id="1681" w:name="_Toc179861051"/>
      <w:bookmarkStart w:id="1682" w:name="_Toc179866443"/>
      <w:bookmarkStart w:id="1683" w:name="_Toc179868379"/>
      <w:bookmarkStart w:id="1684" w:name="_Toc179872772"/>
      <w:bookmarkStart w:id="1685" w:name="_Toc179877165"/>
      <w:bookmarkStart w:id="1686" w:name="_Toc179806793"/>
      <w:bookmarkStart w:id="1687" w:name="_Toc179812442"/>
      <w:bookmarkStart w:id="1688" w:name="_Toc179818142"/>
      <w:bookmarkStart w:id="1689" w:name="_Toc179823842"/>
      <w:bookmarkStart w:id="1690" w:name="_Toc179829522"/>
      <w:bookmarkStart w:id="1691" w:name="_Toc179861052"/>
      <w:bookmarkStart w:id="1692" w:name="_Toc179866444"/>
      <w:bookmarkStart w:id="1693" w:name="_Toc179868380"/>
      <w:bookmarkStart w:id="1694" w:name="_Toc179872773"/>
      <w:bookmarkStart w:id="1695" w:name="_Toc179877166"/>
      <w:bookmarkStart w:id="1696" w:name="_Toc179806794"/>
      <w:bookmarkStart w:id="1697" w:name="_Toc179812443"/>
      <w:bookmarkStart w:id="1698" w:name="_Toc179818143"/>
      <w:bookmarkStart w:id="1699" w:name="_Toc179823843"/>
      <w:bookmarkStart w:id="1700" w:name="_Toc179829523"/>
      <w:bookmarkStart w:id="1701" w:name="_Toc179861053"/>
      <w:bookmarkStart w:id="1702" w:name="_Toc179866445"/>
      <w:bookmarkStart w:id="1703" w:name="_Toc179868381"/>
      <w:bookmarkStart w:id="1704" w:name="_Toc179872774"/>
      <w:bookmarkStart w:id="1705" w:name="_Toc179877167"/>
      <w:bookmarkStart w:id="1706" w:name="_Toc179806795"/>
      <w:bookmarkStart w:id="1707" w:name="_Toc179812444"/>
      <w:bookmarkStart w:id="1708" w:name="_Toc179818144"/>
      <w:bookmarkStart w:id="1709" w:name="_Toc179823844"/>
      <w:bookmarkStart w:id="1710" w:name="_Toc179829524"/>
      <w:bookmarkStart w:id="1711" w:name="_Toc179861054"/>
      <w:bookmarkStart w:id="1712" w:name="_Toc179866446"/>
      <w:bookmarkStart w:id="1713" w:name="_Toc179868382"/>
      <w:bookmarkStart w:id="1714" w:name="_Toc179872775"/>
      <w:bookmarkStart w:id="1715" w:name="_Toc179877168"/>
      <w:bookmarkStart w:id="1716" w:name="_Toc179806796"/>
      <w:bookmarkStart w:id="1717" w:name="_Toc179812445"/>
      <w:bookmarkStart w:id="1718" w:name="_Toc179818145"/>
      <w:bookmarkStart w:id="1719" w:name="_Toc179823845"/>
      <w:bookmarkStart w:id="1720" w:name="_Toc179829525"/>
      <w:bookmarkStart w:id="1721" w:name="_Toc179861055"/>
      <w:bookmarkStart w:id="1722" w:name="_Toc179866447"/>
      <w:bookmarkStart w:id="1723" w:name="_Toc179868383"/>
      <w:bookmarkStart w:id="1724" w:name="_Toc179872776"/>
      <w:bookmarkStart w:id="1725" w:name="_Toc179877169"/>
      <w:bookmarkStart w:id="1726" w:name="_Toc179806797"/>
      <w:bookmarkStart w:id="1727" w:name="_Toc179812446"/>
      <w:bookmarkStart w:id="1728" w:name="_Toc179818146"/>
      <w:bookmarkStart w:id="1729" w:name="_Toc179823846"/>
      <w:bookmarkStart w:id="1730" w:name="_Toc179829526"/>
      <w:bookmarkStart w:id="1731" w:name="_Toc179861056"/>
      <w:bookmarkStart w:id="1732" w:name="_Toc179866448"/>
      <w:bookmarkStart w:id="1733" w:name="_Toc179868384"/>
      <w:bookmarkStart w:id="1734" w:name="_Toc179872777"/>
      <w:bookmarkStart w:id="1735" w:name="_Toc179877170"/>
      <w:bookmarkStart w:id="1736" w:name="_Toc179806798"/>
      <w:bookmarkStart w:id="1737" w:name="_Toc179812447"/>
      <w:bookmarkStart w:id="1738" w:name="_Toc179818147"/>
      <w:bookmarkStart w:id="1739" w:name="_Toc179823847"/>
      <w:bookmarkStart w:id="1740" w:name="_Toc179829527"/>
      <w:bookmarkStart w:id="1741" w:name="_Toc179861057"/>
      <w:bookmarkStart w:id="1742" w:name="_Toc179866449"/>
      <w:bookmarkStart w:id="1743" w:name="_Toc179868385"/>
      <w:bookmarkStart w:id="1744" w:name="_Toc179872778"/>
      <w:bookmarkStart w:id="1745" w:name="_Toc179877171"/>
      <w:bookmarkStart w:id="1746" w:name="_Toc179806799"/>
      <w:bookmarkStart w:id="1747" w:name="_Toc179812448"/>
      <w:bookmarkStart w:id="1748" w:name="_Toc179818148"/>
      <w:bookmarkStart w:id="1749" w:name="_Toc179823848"/>
      <w:bookmarkStart w:id="1750" w:name="_Toc179829528"/>
      <w:bookmarkStart w:id="1751" w:name="_Toc179861058"/>
      <w:bookmarkStart w:id="1752" w:name="_Toc179866450"/>
      <w:bookmarkStart w:id="1753" w:name="_Toc179868386"/>
      <w:bookmarkStart w:id="1754" w:name="_Toc179872779"/>
      <w:bookmarkStart w:id="1755" w:name="_Toc179877172"/>
      <w:bookmarkStart w:id="1756" w:name="_Toc179806800"/>
      <w:bookmarkStart w:id="1757" w:name="_Toc179812449"/>
      <w:bookmarkStart w:id="1758" w:name="_Toc179818149"/>
      <w:bookmarkStart w:id="1759" w:name="_Toc179823849"/>
      <w:bookmarkStart w:id="1760" w:name="_Toc179829529"/>
      <w:bookmarkStart w:id="1761" w:name="_Toc179861059"/>
      <w:bookmarkStart w:id="1762" w:name="_Toc179866451"/>
      <w:bookmarkStart w:id="1763" w:name="_Toc179868387"/>
      <w:bookmarkStart w:id="1764" w:name="_Toc179872780"/>
      <w:bookmarkStart w:id="1765" w:name="_Toc179877173"/>
      <w:bookmarkStart w:id="1766" w:name="_Toc179806801"/>
      <w:bookmarkStart w:id="1767" w:name="_Toc179812450"/>
      <w:bookmarkStart w:id="1768" w:name="_Toc179818150"/>
      <w:bookmarkStart w:id="1769" w:name="_Toc179823850"/>
      <w:bookmarkStart w:id="1770" w:name="_Toc179829530"/>
      <w:bookmarkStart w:id="1771" w:name="_Toc179861060"/>
      <w:bookmarkStart w:id="1772" w:name="_Toc179866452"/>
      <w:bookmarkStart w:id="1773" w:name="_Toc179868388"/>
      <w:bookmarkStart w:id="1774" w:name="_Toc179872781"/>
      <w:bookmarkStart w:id="1775" w:name="_Toc179877174"/>
      <w:bookmarkStart w:id="1776" w:name="_Toc179806802"/>
      <w:bookmarkStart w:id="1777" w:name="_Toc179812451"/>
      <w:bookmarkStart w:id="1778" w:name="_Toc179818151"/>
      <w:bookmarkStart w:id="1779" w:name="_Toc179823851"/>
      <w:bookmarkStart w:id="1780" w:name="_Toc179829531"/>
      <w:bookmarkStart w:id="1781" w:name="_Toc179861061"/>
      <w:bookmarkStart w:id="1782" w:name="_Toc179866453"/>
      <w:bookmarkStart w:id="1783" w:name="_Toc179868389"/>
      <w:bookmarkStart w:id="1784" w:name="_Toc179872782"/>
      <w:bookmarkStart w:id="1785" w:name="_Toc179877175"/>
      <w:bookmarkStart w:id="1786" w:name="_Toc179806803"/>
      <w:bookmarkStart w:id="1787" w:name="_Toc179812452"/>
      <w:bookmarkStart w:id="1788" w:name="_Toc179818152"/>
      <w:bookmarkStart w:id="1789" w:name="_Toc179823852"/>
      <w:bookmarkStart w:id="1790" w:name="_Toc179829532"/>
      <w:bookmarkStart w:id="1791" w:name="_Toc179861062"/>
      <w:bookmarkStart w:id="1792" w:name="_Toc179866454"/>
      <w:bookmarkStart w:id="1793" w:name="_Toc179868390"/>
      <w:bookmarkStart w:id="1794" w:name="_Toc179872783"/>
      <w:bookmarkStart w:id="1795" w:name="_Toc179877176"/>
      <w:bookmarkStart w:id="1796" w:name="_Toc179806804"/>
      <w:bookmarkStart w:id="1797" w:name="_Toc179812453"/>
      <w:bookmarkStart w:id="1798" w:name="_Toc179818153"/>
      <w:bookmarkStart w:id="1799" w:name="_Toc179823853"/>
      <w:bookmarkStart w:id="1800" w:name="_Toc179829533"/>
      <w:bookmarkStart w:id="1801" w:name="_Toc179861063"/>
      <w:bookmarkStart w:id="1802" w:name="_Toc179866455"/>
      <w:bookmarkStart w:id="1803" w:name="_Toc179868391"/>
      <w:bookmarkStart w:id="1804" w:name="_Toc179872784"/>
      <w:bookmarkStart w:id="1805" w:name="_Toc179877177"/>
      <w:bookmarkStart w:id="1806" w:name="_Toc179806844"/>
      <w:bookmarkStart w:id="1807" w:name="_Toc179812493"/>
      <w:bookmarkStart w:id="1808" w:name="_Toc179818193"/>
      <w:bookmarkStart w:id="1809" w:name="_Toc179823893"/>
      <w:bookmarkStart w:id="1810" w:name="_Toc179829573"/>
      <w:bookmarkStart w:id="1811" w:name="_Toc179861103"/>
      <w:bookmarkStart w:id="1812" w:name="_Toc179866495"/>
      <w:bookmarkStart w:id="1813" w:name="_Toc179868431"/>
      <w:bookmarkStart w:id="1814" w:name="_Toc179872824"/>
      <w:bookmarkStart w:id="1815" w:name="_Toc179877217"/>
      <w:bookmarkStart w:id="1816" w:name="_Toc179806845"/>
      <w:bookmarkStart w:id="1817" w:name="_Toc179812494"/>
      <w:bookmarkStart w:id="1818" w:name="_Toc179818194"/>
      <w:bookmarkStart w:id="1819" w:name="_Toc179823894"/>
      <w:bookmarkStart w:id="1820" w:name="_Toc179829574"/>
      <w:bookmarkStart w:id="1821" w:name="_Toc179861104"/>
      <w:bookmarkStart w:id="1822" w:name="_Toc179866496"/>
      <w:bookmarkStart w:id="1823" w:name="_Toc179868432"/>
      <w:bookmarkStart w:id="1824" w:name="_Toc179872825"/>
      <w:bookmarkStart w:id="1825" w:name="_Toc179877218"/>
      <w:bookmarkStart w:id="1826" w:name="_Toc179806846"/>
      <w:bookmarkStart w:id="1827" w:name="_Toc179812495"/>
      <w:bookmarkStart w:id="1828" w:name="_Toc179818195"/>
      <w:bookmarkStart w:id="1829" w:name="_Toc179823895"/>
      <w:bookmarkStart w:id="1830" w:name="_Toc179829575"/>
      <w:bookmarkStart w:id="1831" w:name="_Toc179861105"/>
      <w:bookmarkStart w:id="1832" w:name="_Toc179866497"/>
      <w:bookmarkStart w:id="1833" w:name="_Toc179868433"/>
      <w:bookmarkStart w:id="1834" w:name="_Toc179872826"/>
      <w:bookmarkStart w:id="1835" w:name="_Toc179877219"/>
      <w:bookmarkStart w:id="1836" w:name="_Toc179806847"/>
      <w:bookmarkStart w:id="1837" w:name="_Toc179812496"/>
      <w:bookmarkStart w:id="1838" w:name="_Toc179818196"/>
      <w:bookmarkStart w:id="1839" w:name="_Toc179823896"/>
      <w:bookmarkStart w:id="1840" w:name="_Toc179829576"/>
      <w:bookmarkStart w:id="1841" w:name="_Toc179861106"/>
      <w:bookmarkStart w:id="1842" w:name="_Toc179866498"/>
      <w:bookmarkStart w:id="1843" w:name="_Toc179868434"/>
      <w:bookmarkStart w:id="1844" w:name="_Toc179872827"/>
      <w:bookmarkStart w:id="1845" w:name="_Toc179877220"/>
      <w:bookmarkStart w:id="1846" w:name="_Toc179806848"/>
      <w:bookmarkStart w:id="1847" w:name="_Toc179812497"/>
      <w:bookmarkStart w:id="1848" w:name="_Toc179818197"/>
      <w:bookmarkStart w:id="1849" w:name="_Toc179823897"/>
      <w:bookmarkStart w:id="1850" w:name="_Toc179829577"/>
      <w:bookmarkStart w:id="1851" w:name="_Toc179861107"/>
      <w:bookmarkStart w:id="1852" w:name="_Toc179866499"/>
      <w:bookmarkStart w:id="1853" w:name="_Toc179868435"/>
      <w:bookmarkStart w:id="1854" w:name="_Toc179872828"/>
      <w:bookmarkStart w:id="1855" w:name="_Toc179877221"/>
      <w:bookmarkStart w:id="1856" w:name="_Toc179806852"/>
      <w:bookmarkStart w:id="1857" w:name="_Toc179812501"/>
      <w:bookmarkStart w:id="1858" w:name="_Toc179818201"/>
      <w:bookmarkStart w:id="1859" w:name="_Toc179823901"/>
      <w:bookmarkStart w:id="1860" w:name="_Toc179829581"/>
      <w:bookmarkStart w:id="1861" w:name="_Toc179861111"/>
      <w:bookmarkStart w:id="1862" w:name="_Toc179866503"/>
      <w:bookmarkStart w:id="1863" w:name="_Toc179868439"/>
      <w:bookmarkStart w:id="1864" w:name="_Toc179872832"/>
      <w:bookmarkStart w:id="1865" w:name="_Toc179877225"/>
      <w:bookmarkStart w:id="1866" w:name="_Toc179806928"/>
      <w:bookmarkStart w:id="1867" w:name="_Toc179812577"/>
      <w:bookmarkStart w:id="1868" w:name="_Toc179818277"/>
      <w:bookmarkStart w:id="1869" w:name="_Toc179823977"/>
      <w:bookmarkStart w:id="1870" w:name="_Toc179829657"/>
      <w:bookmarkStart w:id="1871" w:name="_Toc179861187"/>
      <w:bookmarkStart w:id="1872" w:name="_Toc179866579"/>
      <w:bookmarkStart w:id="1873" w:name="_Toc179868515"/>
      <w:bookmarkStart w:id="1874" w:name="_Toc179872908"/>
      <w:bookmarkStart w:id="1875" w:name="_Toc179877301"/>
      <w:bookmarkStart w:id="1876" w:name="_Toc179806929"/>
      <w:bookmarkStart w:id="1877" w:name="_Toc179812578"/>
      <w:bookmarkStart w:id="1878" w:name="_Toc179818278"/>
      <w:bookmarkStart w:id="1879" w:name="_Toc179823978"/>
      <w:bookmarkStart w:id="1880" w:name="_Toc179829658"/>
      <w:bookmarkStart w:id="1881" w:name="_Toc179861188"/>
      <w:bookmarkStart w:id="1882" w:name="_Toc179866580"/>
      <w:bookmarkStart w:id="1883" w:name="_Toc179868516"/>
      <w:bookmarkStart w:id="1884" w:name="_Toc179872909"/>
      <w:bookmarkStart w:id="1885" w:name="_Toc179877302"/>
      <w:bookmarkStart w:id="1886" w:name="_Toc179806930"/>
      <w:bookmarkStart w:id="1887" w:name="_Toc179812579"/>
      <w:bookmarkStart w:id="1888" w:name="_Toc179818279"/>
      <w:bookmarkStart w:id="1889" w:name="_Toc179823979"/>
      <w:bookmarkStart w:id="1890" w:name="_Toc179829659"/>
      <w:bookmarkStart w:id="1891" w:name="_Toc179861189"/>
      <w:bookmarkStart w:id="1892" w:name="_Toc179866581"/>
      <w:bookmarkStart w:id="1893" w:name="_Toc179868517"/>
      <w:bookmarkStart w:id="1894" w:name="_Toc179872910"/>
      <w:bookmarkStart w:id="1895" w:name="_Toc179877303"/>
      <w:bookmarkStart w:id="1896" w:name="_Toc179806931"/>
      <w:bookmarkStart w:id="1897" w:name="_Toc179812580"/>
      <w:bookmarkStart w:id="1898" w:name="_Toc179818280"/>
      <w:bookmarkStart w:id="1899" w:name="_Toc179823980"/>
      <w:bookmarkStart w:id="1900" w:name="_Toc179829660"/>
      <w:bookmarkStart w:id="1901" w:name="_Toc179861190"/>
      <w:bookmarkStart w:id="1902" w:name="_Toc179866582"/>
      <w:bookmarkStart w:id="1903" w:name="_Toc179868518"/>
      <w:bookmarkStart w:id="1904" w:name="_Toc179872911"/>
      <w:bookmarkStart w:id="1905" w:name="_Toc179877304"/>
      <w:bookmarkStart w:id="1906" w:name="_Toc179806932"/>
      <w:bookmarkStart w:id="1907" w:name="_Toc179812581"/>
      <w:bookmarkStart w:id="1908" w:name="_Toc179818281"/>
      <w:bookmarkStart w:id="1909" w:name="_Toc179823981"/>
      <w:bookmarkStart w:id="1910" w:name="_Toc179829661"/>
      <w:bookmarkStart w:id="1911" w:name="_Toc179861191"/>
      <w:bookmarkStart w:id="1912" w:name="_Toc179866583"/>
      <w:bookmarkStart w:id="1913" w:name="_Toc179868519"/>
      <w:bookmarkStart w:id="1914" w:name="_Toc179872912"/>
      <w:bookmarkStart w:id="1915" w:name="_Toc179877305"/>
      <w:bookmarkStart w:id="1916" w:name="_Toc179806933"/>
      <w:bookmarkStart w:id="1917" w:name="_Toc179812582"/>
      <w:bookmarkStart w:id="1918" w:name="_Toc179818282"/>
      <w:bookmarkStart w:id="1919" w:name="_Toc179823982"/>
      <w:bookmarkStart w:id="1920" w:name="_Toc179829662"/>
      <w:bookmarkStart w:id="1921" w:name="_Toc179861192"/>
      <w:bookmarkStart w:id="1922" w:name="_Toc179866584"/>
      <w:bookmarkStart w:id="1923" w:name="_Toc179868520"/>
      <w:bookmarkStart w:id="1924" w:name="_Toc179872913"/>
      <w:bookmarkStart w:id="1925" w:name="_Toc179877306"/>
      <w:bookmarkStart w:id="1926" w:name="_Toc179806934"/>
      <w:bookmarkStart w:id="1927" w:name="_Toc179812583"/>
      <w:bookmarkStart w:id="1928" w:name="_Toc179818283"/>
      <w:bookmarkStart w:id="1929" w:name="_Toc179823983"/>
      <w:bookmarkStart w:id="1930" w:name="_Toc179829663"/>
      <w:bookmarkStart w:id="1931" w:name="_Toc179861193"/>
      <w:bookmarkStart w:id="1932" w:name="_Toc179866585"/>
      <w:bookmarkStart w:id="1933" w:name="_Toc179868521"/>
      <w:bookmarkStart w:id="1934" w:name="_Toc179872914"/>
      <w:bookmarkStart w:id="1935" w:name="_Toc179877307"/>
      <w:bookmarkStart w:id="1936" w:name="_Toc179806935"/>
      <w:bookmarkStart w:id="1937" w:name="_Toc179812584"/>
      <w:bookmarkStart w:id="1938" w:name="_Toc179818284"/>
      <w:bookmarkStart w:id="1939" w:name="_Toc179823984"/>
      <w:bookmarkStart w:id="1940" w:name="_Toc179829664"/>
      <w:bookmarkStart w:id="1941" w:name="_Toc179861194"/>
      <w:bookmarkStart w:id="1942" w:name="_Toc179866586"/>
      <w:bookmarkStart w:id="1943" w:name="_Toc179868522"/>
      <w:bookmarkStart w:id="1944" w:name="_Toc179872915"/>
      <w:bookmarkStart w:id="1945" w:name="_Toc179877308"/>
      <w:bookmarkStart w:id="1946" w:name="_Toc179806936"/>
      <w:bookmarkStart w:id="1947" w:name="_Toc179812585"/>
      <w:bookmarkStart w:id="1948" w:name="_Toc179818285"/>
      <w:bookmarkStart w:id="1949" w:name="_Toc179823985"/>
      <w:bookmarkStart w:id="1950" w:name="_Toc179829665"/>
      <w:bookmarkStart w:id="1951" w:name="_Toc179861195"/>
      <w:bookmarkStart w:id="1952" w:name="_Toc179866587"/>
      <w:bookmarkStart w:id="1953" w:name="_Toc179868523"/>
      <w:bookmarkStart w:id="1954" w:name="_Toc179872916"/>
      <w:bookmarkStart w:id="1955" w:name="_Toc179877309"/>
      <w:bookmarkStart w:id="1956" w:name="_Toc179806937"/>
      <w:bookmarkStart w:id="1957" w:name="_Toc179812586"/>
      <w:bookmarkStart w:id="1958" w:name="_Toc179818286"/>
      <w:bookmarkStart w:id="1959" w:name="_Toc179823986"/>
      <w:bookmarkStart w:id="1960" w:name="_Toc179829666"/>
      <w:bookmarkStart w:id="1961" w:name="_Toc179861196"/>
      <w:bookmarkStart w:id="1962" w:name="_Toc179866588"/>
      <w:bookmarkStart w:id="1963" w:name="_Toc179868524"/>
      <w:bookmarkStart w:id="1964" w:name="_Toc179872917"/>
      <w:bookmarkStart w:id="1965" w:name="_Toc179877310"/>
      <w:bookmarkStart w:id="1966" w:name="_Toc179806938"/>
      <w:bookmarkStart w:id="1967" w:name="_Toc179812587"/>
      <w:bookmarkStart w:id="1968" w:name="_Toc179818287"/>
      <w:bookmarkStart w:id="1969" w:name="_Toc179823987"/>
      <w:bookmarkStart w:id="1970" w:name="_Toc179829667"/>
      <w:bookmarkStart w:id="1971" w:name="_Toc179861197"/>
      <w:bookmarkStart w:id="1972" w:name="_Toc179866589"/>
      <w:bookmarkStart w:id="1973" w:name="_Toc179868525"/>
      <w:bookmarkStart w:id="1974" w:name="_Toc179872918"/>
      <w:bookmarkStart w:id="1975" w:name="_Toc179877311"/>
      <w:bookmarkStart w:id="1976" w:name="_Toc179806939"/>
      <w:bookmarkStart w:id="1977" w:name="_Toc179812588"/>
      <w:bookmarkStart w:id="1978" w:name="_Toc179818288"/>
      <w:bookmarkStart w:id="1979" w:name="_Toc179823988"/>
      <w:bookmarkStart w:id="1980" w:name="_Toc179829668"/>
      <w:bookmarkStart w:id="1981" w:name="_Toc179861198"/>
      <w:bookmarkStart w:id="1982" w:name="_Toc179866590"/>
      <w:bookmarkStart w:id="1983" w:name="_Toc179868526"/>
      <w:bookmarkStart w:id="1984" w:name="_Toc179872919"/>
      <w:bookmarkStart w:id="1985" w:name="_Toc179877312"/>
      <w:bookmarkStart w:id="1986" w:name="_Toc179806940"/>
      <w:bookmarkStart w:id="1987" w:name="_Toc179812589"/>
      <w:bookmarkStart w:id="1988" w:name="_Toc179818289"/>
      <w:bookmarkStart w:id="1989" w:name="_Toc179823989"/>
      <w:bookmarkStart w:id="1990" w:name="_Toc179829669"/>
      <w:bookmarkStart w:id="1991" w:name="_Toc179861199"/>
      <w:bookmarkStart w:id="1992" w:name="_Toc179866591"/>
      <w:bookmarkStart w:id="1993" w:name="_Toc179868527"/>
      <w:bookmarkStart w:id="1994" w:name="_Toc179872920"/>
      <w:bookmarkStart w:id="1995" w:name="_Toc179877313"/>
      <w:bookmarkStart w:id="1996" w:name="_Toc179806941"/>
      <w:bookmarkStart w:id="1997" w:name="_Toc179812590"/>
      <w:bookmarkStart w:id="1998" w:name="_Toc179818290"/>
      <w:bookmarkStart w:id="1999" w:name="_Toc179823990"/>
      <w:bookmarkStart w:id="2000" w:name="_Toc179829670"/>
      <w:bookmarkStart w:id="2001" w:name="_Toc179861200"/>
      <w:bookmarkStart w:id="2002" w:name="_Toc179866592"/>
      <w:bookmarkStart w:id="2003" w:name="_Toc179868528"/>
      <w:bookmarkStart w:id="2004" w:name="_Toc179872921"/>
      <w:bookmarkStart w:id="2005" w:name="_Toc179877314"/>
      <w:bookmarkStart w:id="2006" w:name="_Toc179806942"/>
      <w:bookmarkStart w:id="2007" w:name="_Toc179812591"/>
      <w:bookmarkStart w:id="2008" w:name="_Toc179818291"/>
      <w:bookmarkStart w:id="2009" w:name="_Toc179823991"/>
      <w:bookmarkStart w:id="2010" w:name="_Toc179829671"/>
      <w:bookmarkStart w:id="2011" w:name="_Toc179861201"/>
      <w:bookmarkStart w:id="2012" w:name="_Toc179866593"/>
      <w:bookmarkStart w:id="2013" w:name="_Toc179868529"/>
      <w:bookmarkStart w:id="2014" w:name="_Toc179872922"/>
      <w:bookmarkStart w:id="2015" w:name="_Toc179877315"/>
      <w:bookmarkStart w:id="2016" w:name="_Toc179806943"/>
      <w:bookmarkStart w:id="2017" w:name="_Toc179812592"/>
      <w:bookmarkStart w:id="2018" w:name="_Toc179818292"/>
      <w:bookmarkStart w:id="2019" w:name="_Toc179823992"/>
      <w:bookmarkStart w:id="2020" w:name="_Toc179829672"/>
      <w:bookmarkStart w:id="2021" w:name="_Toc179861202"/>
      <w:bookmarkStart w:id="2022" w:name="_Toc179866594"/>
      <w:bookmarkStart w:id="2023" w:name="_Toc179868530"/>
      <w:bookmarkStart w:id="2024" w:name="_Toc179872923"/>
      <w:bookmarkStart w:id="2025" w:name="_Toc179877316"/>
      <w:bookmarkStart w:id="2026" w:name="_Toc179806944"/>
      <w:bookmarkStart w:id="2027" w:name="_Toc179812593"/>
      <w:bookmarkStart w:id="2028" w:name="_Toc179818293"/>
      <w:bookmarkStart w:id="2029" w:name="_Toc179823993"/>
      <w:bookmarkStart w:id="2030" w:name="_Toc179829673"/>
      <w:bookmarkStart w:id="2031" w:name="_Toc179861203"/>
      <w:bookmarkStart w:id="2032" w:name="_Toc179866595"/>
      <w:bookmarkStart w:id="2033" w:name="_Toc179868531"/>
      <w:bookmarkStart w:id="2034" w:name="_Toc179872924"/>
      <w:bookmarkStart w:id="2035" w:name="_Toc179877317"/>
      <w:bookmarkStart w:id="2036" w:name="_Toc179806945"/>
      <w:bookmarkStart w:id="2037" w:name="_Toc179812594"/>
      <w:bookmarkStart w:id="2038" w:name="_Toc179818294"/>
      <w:bookmarkStart w:id="2039" w:name="_Toc179823994"/>
      <w:bookmarkStart w:id="2040" w:name="_Toc179829674"/>
      <w:bookmarkStart w:id="2041" w:name="_Toc179861204"/>
      <w:bookmarkStart w:id="2042" w:name="_Toc179866596"/>
      <w:bookmarkStart w:id="2043" w:name="_Toc179868532"/>
      <w:bookmarkStart w:id="2044" w:name="_Toc179872925"/>
      <w:bookmarkStart w:id="2045" w:name="_Toc179877318"/>
      <w:bookmarkStart w:id="2046" w:name="_Toc179806946"/>
      <w:bookmarkStart w:id="2047" w:name="_Toc179812595"/>
      <w:bookmarkStart w:id="2048" w:name="_Toc179818295"/>
      <w:bookmarkStart w:id="2049" w:name="_Toc179823995"/>
      <w:bookmarkStart w:id="2050" w:name="_Toc179829675"/>
      <w:bookmarkStart w:id="2051" w:name="_Toc179861205"/>
      <w:bookmarkStart w:id="2052" w:name="_Toc179866597"/>
      <w:bookmarkStart w:id="2053" w:name="_Toc179868533"/>
      <w:bookmarkStart w:id="2054" w:name="_Toc179872926"/>
      <w:bookmarkStart w:id="2055" w:name="_Toc179877319"/>
      <w:bookmarkStart w:id="2056" w:name="_Toc179806947"/>
      <w:bookmarkStart w:id="2057" w:name="_Toc179812596"/>
      <w:bookmarkStart w:id="2058" w:name="_Toc179818296"/>
      <w:bookmarkStart w:id="2059" w:name="_Toc179823996"/>
      <w:bookmarkStart w:id="2060" w:name="_Toc179829676"/>
      <w:bookmarkStart w:id="2061" w:name="_Toc179861206"/>
      <w:bookmarkStart w:id="2062" w:name="_Toc179866598"/>
      <w:bookmarkStart w:id="2063" w:name="_Toc179868534"/>
      <w:bookmarkStart w:id="2064" w:name="_Toc179872927"/>
      <w:bookmarkStart w:id="2065" w:name="_Toc179877320"/>
      <w:bookmarkStart w:id="2066" w:name="_Toc179806948"/>
      <w:bookmarkStart w:id="2067" w:name="_Toc179812597"/>
      <w:bookmarkStart w:id="2068" w:name="_Toc179818297"/>
      <w:bookmarkStart w:id="2069" w:name="_Toc179823997"/>
      <w:bookmarkStart w:id="2070" w:name="_Toc179829677"/>
      <w:bookmarkStart w:id="2071" w:name="_Toc179861207"/>
      <w:bookmarkStart w:id="2072" w:name="_Toc179866599"/>
      <w:bookmarkStart w:id="2073" w:name="_Toc179868535"/>
      <w:bookmarkStart w:id="2074" w:name="_Toc179872928"/>
      <w:bookmarkStart w:id="2075" w:name="_Toc179877321"/>
      <w:bookmarkStart w:id="2076" w:name="_Toc179806949"/>
      <w:bookmarkStart w:id="2077" w:name="_Toc179812598"/>
      <w:bookmarkStart w:id="2078" w:name="_Toc179818298"/>
      <w:bookmarkStart w:id="2079" w:name="_Toc179823998"/>
      <w:bookmarkStart w:id="2080" w:name="_Toc179829678"/>
      <w:bookmarkStart w:id="2081" w:name="_Toc179861208"/>
      <w:bookmarkStart w:id="2082" w:name="_Toc179866600"/>
      <w:bookmarkStart w:id="2083" w:name="_Toc179868536"/>
      <w:bookmarkStart w:id="2084" w:name="_Toc179872929"/>
      <w:bookmarkStart w:id="2085" w:name="_Toc179877322"/>
      <w:bookmarkStart w:id="2086" w:name="_Toc179806950"/>
      <w:bookmarkStart w:id="2087" w:name="_Toc179812599"/>
      <w:bookmarkStart w:id="2088" w:name="_Toc179818299"/>
      <w:bookmarkStart w:id="2089" w:name="_Toc179823999"/>
      <w:bookmarkStart w:id="2090" w:name="_Toc179829679"/>
      <w:bookmarkStart w:id="2091" w:name="_Toc179861209"/>
      <w:bookmarkStart w:id="2092" w:name="_Toc179866601"/>
      <w:bookmarkStart w:id="2093" w:name="_Toc179868537"/>
      <w:bookmarkStart w:id="2094" w:name="_Toc179872930"/>
      <w:bookmarkStart w:id="2095" w:name="_Toc179877323"/>
      <w:bookmarkStart w:id="2096" w:name="_Toc179806951"/>
      <w:bookmarkStart w:id="2097" w:name="_Toc179812600"/>
      <w:bookmarkStart w:id="2098" w:name="_Toc179818300"/>
      <w:bookmarkStart w:id="2099" w:name="_Toc179824000"/>
      <w:bookmarkStart w:id="2100" w:name="_Toc179829680"/>
      <w:bookmarkStart w:id="2101" w:name="_Toc179861210"/>
      <w:bookmarkStart w:id="2102" w:name="_Toc179866602"/>
      <w:bookmarkStart w:id="2103" w:name="_Toc179868538"/>
      <w:bookmarkStart w:id="2104" w:name="_Toc179872931"/>
      <w:bookmarkStart w:id="2105" w:name="_Toc179877324"/>
      <w:bookmarkStart w:id="2106" w:name="_Toc179806952"/>
      <w:bookmarkStart w:id="2107" w:name="_Toc179812601"/>
      <w:bookmarkStart w:id="2108" w:name="_Toc179818301"/>
      <w:bookmarkStart w:id="2109" w:name="_Toc179824001"/>
      <w:bookmarkStart w:id="2110" w:name="_Toc179829681"/>
      <w:bookmarkStart w:id="2111" w:name="_Toc179861211"/>
      <w:bookmarkStart w:id="2112" w:name="_Toc179866603"/>
      <w:bookmarkStart w:id="2113" w:name="_Toc179868539"/>
      <w:bookmarkStart w:id="2114" w:name="_Toc179872932"/>
      <w:bookmarkStart w:id="2115" w:name="_Toc179877325"/>
      <w:bookmarkStart w:id="2116" w:name="_Toc179806953"/>
      <w:bookmarkStart w:id="2117" w:name="_Toc179812602"/>
      <w:bookmarkStart w:id="2118" w:name="_Toc179818302"/>
      <w:bookmarkStart w:id="2119" w:name="_Toc179824002"/>
      <w:bookmarkStart w:id="2120" w:name="_Toc179829682"/>
      <w:bookmarkStart w:id="2121" w:name="_Toc179861212"/>
      <w:bookmarkStart w:id="2122" w:name="_Toc179866604"/>
      <w:bookmarkStart w:id="2123" w:name="_Toc179868540"/>
      <w:bookmarkStart w:id="2124" w:name="_Toc179872933"/>
      <w:bookmarkStart w:id="2125" w:name="_Toc179877326"/>
      <w:bookmarkStart w:id="2126" w:name="_Toc179806954"/>
      <w:bookmarkStart w:id="2127" w:name="_Toc179812603"/>
      <w:bookmarkStart w:id="2128" w:name="_Toc179818303"/>
      <w:bookmarkStart w:id="2129" w:name="_Toc179824003"/>
      <w:bookmarkStart w:id="2130" w:name="_Toc179829683"/>
      <w:bookmarkStart w:id="2131" w:name="_Toc179861213"/>
      <w:bookmarkStart w:id="2132" w:name="_Toc179866605"/>
      <w:bookmarkStart w:id="2133" w:name="_Toc179868541"/>
      <w:bookmarkStart w:id="2134" w:name="_Toc179872934"/>
      <w:bookmarkStart w:id="2135" w:name="_Toc179877327"/>
      <w:bookmarkStart w:id="2136" w:name="_Toc179806955"/>
      <w:bookmarkStart w:id="2137" w:name="_Toc179812604"/>
      <w:bookmarkStart w:id="2138" w:name="_Toc179818304"/>
      <w:bookmarkStart w:id="2139" w:name="_Toc179824004"/>
      <w:bookmarkStart w:id="2140" w:name="_Toc179829684"/>
      <w:bookmarkStart w:id="2141" w:name="_Toc179861214"/>
      <w:bookmarkStart w:id="2142" w:name="_Toc179866606"/>
      <w:bookmarkStart w:id="2143" w:name="_Toc179868542"/>
      <w:bookmarkStart w:id="2144" w:name="_Toc179872935"/>
      <w:bookmarkStart w:id="2145" w:name="_Toc179877328"/>
      <w:bookmarkStart w:id="2146" w:name="_Toc179806956"/>
      <w:bookmarkStart w:id="2147" w:name="_Toc179812605"/>
      <w:bookmarkStart w:id="2148" w:name="_Toc179818305"/>
      <w:bookmarkStart w:id="2149" w:name="_Toc179824005"/>
      <w:bookmarkStart w:id="2150" w:name="_Toc179829685"/>
      <w:bookmarkStart w:id="2151" w:name="_Toc179861215"/>
      <w:bookmarkStart w:id="2152" w:name="_Toc179866607"/>
      <w:bookmarkStart w:id="2153" w:name="_Toc179868543"/>
      <w:bookmarkStart w:id="2154" w:name="_Toc179872936"/>
      <w:bookmarkStart w:id="2155" w:name="_Toc179877329"/>
      <w:bookmarkStart w:id="2156" w:name="_Toc179806957"/>
      <w:bookmarkStart w:id="2157" w:name="_Toc179812606"/>
      <w:bookmarkStart w:id="2158" w:name="_Toc179818306"/>
      <w:bookmarkStart w:id="2159" w:name="_Toc179824006"/>
      <w:bookmarkStart w:id="2160" w:name="_Toc179829686"/>
      <w:bookmarkStart w:id="2161" w:name="_Toc179861216"/>
      <w:bookmarkStart w:id="2162" w:name="_Toc179866608"/>
      <w:bookmarkStart w:id="2163" w:name="_Toc179868544"/>
      <w:bookmarkStart w:id="2164" w:name="_Toc179872937"/>
      <w:bookmarkStart w:id="2165" w:name="_Toc179877330"/>
      <w:bookmarkStart w:id="2166" w:name="_Toc179806958"/>
      <w:bookmarkStart w:id="2167" w:name="_Toc179812607"/>
      <w:bookmarkStart w:id="2168" w:name="_Toc179818307"/>
      <w:bookmarkStart w:id="2169" w:name="_Toc179824007"/>
      <w:bookmarkStart w:id="2170" w:name="_Toc179829687"/>
      <w:bookmarkStart w:id="2171" w:name="_Toc179861217"/>
      <w:bookmarkStart w:id="2172" w:name="_Toc179866609"/>
      <w:bookmarkStart w:id="2173" w:name="_Toc179868545"/>
      <w:bookmarkStart w:id="2174" w:name="_Toc179872938"/>
      <w:bookmarkStart w:id="2175" w:name="_Toc179877331"/>
      <w:bookmarkStart w:id="2176" w:name="_Toc179806959"/>
      <w:bookmarkStart w:id="2177" w:name="_Toc179812608"/>
      <w:bookmarkStart w:id="2178" w:name="_Toc179818308"/>
      <w:bookmarkStart w:id="2179" w:name="_Toc179824008"/>
      <w:bookmarkStart w:id="2180" w:name="_Toc179829688"/>
      <w:bookmarkStart w:id="2181" w:name="_Toc179861218"/>
      <w:bookmarkStart w:id="2182" w:name="_Toc179866610"/>
      <w:bookmarkStart w:id="2183" w:name="_Toc179868546"/>
      <w:bookmarkStart w:id="2184" w:name="_Toc179872939"/>
      <w:bookmarkStart w:id="2185" w:name="_Toc179877332"/>
      <w:bookmarkStart w:id="2186" w:name="_Toc179806960"/>
      <w:bookmarkStart w:id="2187" w:name="_Toc179812609"/>
      <w:bookmarkStart w:id="2188" w:name="_Toc179818309"/>
      <w:bookmarkStart w:id="2189" w:name="_Toc179824009"/>
      <w:bookmarkStart w:id="2190" w:name="_Toc179829689"/>
      <w:bookmarkStart w:id="2191" w:name="_Toc179861219"/>
      <w:bookmarkStart w:id="2192" w:name="_Toc179866611"/>
      <w:bookmarkStart w:id="2193" w:name="_Toc179868547"/>
      <w:bookmarkStart w:id="2194" w:name="_Toc179872940"/>
      <w:bookmarkStart w:id="2195" w:name="_Toc179877333"/>
      <w:bookmarkStart w:id="2196" w:name="_Toc179806961"/>
      <w:bookmarkStart w:id="2197" w:name="_Toc179812610"/>
      <w:bookmarkStart w:id="2198" w:name="_Toc179818310"/>
      <w:bookmarkStart w:id="2199" w:name="_Toc179824010"/>
      <w:bookmarkStart w:id="2200" w:name="_Toc179829690"/>
      <w:bookmarkStart w:id="2201" w:name="_Toc179861220"/>
      <w:bookmarkStart w:id="2202" w:name="_Toc179866612"/>
      <w:bookmarkStart w:id="2203" w:name="_Toc179868548"/>
      <w:bookmarkStart w:id="2204" w:name="_Toc179872941"/>
      <w:bookmarkStart w:id="2205" w:name="_Toc179877334"/>
      <w:bookmarkStart w:id="2206" w:name="_Toc179806962"/>
      <w:bookmarkStart w:id="2207" w:name="_Toc179812611"/>
      <w:bookmarkStart w:id="2208" w:name="_Toc179818311"/>
      <w:bookmarkStart w:id="2209" w:name="_Toc179824011"/>
      <w:bookmarkStart w:id="2210" w:name="_Toc179829691"/>
      <w:bookmarkStart w:id="2211" w:name="_Toc179861221"/>
      <w:bookmarkStart w:id="2212" w:name="_Toc179866613"/>
      <w:bookmarkStart w:id="2213" w:name="_Toc179868549"/>
      <w:bookmarkStart w:id="2214" w:name="_Toc179872942"/>
      <w:bookmarkStart w:id="2215" w:name="_Toc179877335"/>
      <w:bookmarkStart w:id="2216" w:name="_Toc179806963"/>
      <w:bookmarkStart w:id="2217" w:name="_Toc179812612"/>
      <w:bookmarkStart w:id="2218" w:name="_Toc179818312"/>
      <w:bookmarkStart w:id="2219" w:name="_Toc179824012"/>
      <w:bookmarkStart w:id="2220" w:name="_Toc179829692"/>
      <w:bookmarkStart w:id="2221" w:name="_Toc179861222"/>
      <w:bookmarkStart w:id="2222" w:name="_Toc179866614"/>
      <w:bookmarkStart w:id="2223" w:name="_Toc179868550"/>
      <w:bookmarkStart w:id="2224" w:name="_Toc179872943"/>
      <w:bookmarkStart w:id="2225" w:name="_Toc179877336"/>
      <w:bookmarkStart w:id="2226" w:name="_Toc179806964"/>
      <w:bookmarkStart w:id="2227" w:name="_Toc179812613"/>
      <w:bookmarkStart w:id="2228" w:name="_Toc179818313"/>
      <w:bookmarkStart w:id="2229" w:name="_Toc179824013"/>
      <w:bookmarkStart w:id="2230" w:name="_Toc179829693"/>
      <w:bookmarkStart w:id="2231" w:name="_Toc179861223"/>
      <w:bookmarkStart w:id="2232" w:name="_Toc179866615"/>
      <w:bookmarkStart w:id="2233" w:name="_Toc179868551"/>
      <w:bookmarkStart w:id="2234" w:name="_Toc179872944"/>
      <w:bookmarkStart w:id="2235" w:name="_Toc179877337"/>
      <w:bookmarkStart w:id="2236" w:name="_Toc179806965"/>
      <w:bookmarkStart w:id="2237" w:name="_Toc179812614"/>
      <w:bookmarkStart w:id="2238" w:name="_Toc179818314"/>
      <w:bookmarkStart w:id="2239" w:name="_Toc179824014"/>
      <w:bookmarkStart w:id="2240" w:name="_Toc179829694"/>
      <w:bookmarkStart w:id="2241" w:name="_Toc179861224"/>
      <w:bookmarkStart w:id="2242" w:name="_Toc179866616"/>
      <w:bookmarkStart w:id="2243" w:name="_Toc179868552"/>
      <w:bookmarkStart w:id="2244" w:name="_Toc179872945"/>
      <w:bookmarkStart w:id="2245" w:name="_Toc179877338"/>
      <w:bookmarkStart w:id="2246" w:name="_Toc179806966"/>
      <w:bookmarkStart w:id="2247" w:name="_Toc179812615"/>
      <w:bookmarkStart w:id="2248" w:name="_Toc179818315"/>
      <w:bookmarkStart w:id="2249" w:name="_Toc179824015"/>
      <w:bookmarkStart w:id="2250" w:name="_Toc179829695"/>
      <w:bookmarkStart w:id="2251" w:name="_Toc179861225"/>
      <w:bookmarkStart w:id="2252" w:name="_Toc179866617"/>
      <w:bookmarkStart w:id="2253" w:name="_Toc179868553"/>
      <w:bookmarkStart w:id="2254" w:name="_Toc179872946"/>
      <w:bookmarkStart w:id="2255" w:name="_Toc179877339"/>
      <w:bookmarkStart w:id="2256" w:name="_Toc179806967"/>
      <w:bookmarkStart w:id="2257" w:name="_Toc179812616"/>
      <w:bookmarkStart w:id="2258" w:name="_Toc179818316"/>
      <w:bookmarkStart w:id="2259" w:name="_Toc179824016"/>
      <w:bookmarkStart w:id="2260" w:name="_Toc179829696"/>
      <w:bookmarkStart w:id="2261" w:name="_Toc179861226"/>
      <w:bookmarkStart w:id="2262" w:name="_Toc179866618"/>
      <w:bookmarkStart w:id="2263" w:name="_Toc179868554"/>
      <w:bookmarkStart w:id="2264" w:name="_Toc179872947"/>
      <w:bookmarkStart w:id="2265" w:name="_Toc179877340"/>
      <w:bookmarkStart w:id="2266" w:name="_Toc179806968"/>
      <w:bookmarkStart w:id="2267" w:name="_Toc179812617"/>
      <w:bookmarkStart w:id="2268" w:name="_Toc179818317"/>
      <w:bookmarkStart w:id="2269" w:name="_Toc179824017"/>
      <w:bookmarkStart w:id="2270" w:name="_Toc179829697"/>
      <w:bookmarkStart w:id="2271" w:name="_Toc179861227"/>
      <w:bookmarkStart w:id="2272" w:name="_Toc179866619"/>
      <w:bookmarkStart w:id="2273" w:name="_Toc179868555"/>
      <w:bookmarkStart w:id="2274" w:name="_Toc179872948"/>
      <w:bookmarkStart w:id="2275" w:name="_Toc179877341"/>
      <w:bookmarkStart w:id="2276" w:name="_Toc179806969"/>
      <w:bookmarkStart w:id="2277" w:name="_Toc179812618"/>
      <w:bookmarkStart w:id="2278" w:name="_Toc179818318"/>
      <w:bookmarkStart w:id="2279" w:name="_Toc179824018"/>
      <w:bookmarkStart w:id="2280" w:name="_Toc179829698"/>
      <w:bookmarkStart w:id="2281" w:name="_Toc179861228"/>
      <w:bookmarkStart w:id="2282" w:name="_Toc179866620"/>
      <w:bookmarkStart w:id="2283" w:name="_Toc179868556"/>
      <w:bookmarkStart w:id="2284" w:name="_Toc179872949"/>
      <w:bookmarkStart w:id="2285" w:name="_Toc179877342"/>
      <w:bookmarkStart w:id="2286" w:name="_Toc179806970"/>
      <w:bookmarkStart w:id="2287" w:name="_Toc179812619"/>
      <w:bookmarkStart w:id="2288" w:name="_Toc179818319"/>
      <w:bookmarkStart w:id="2289" w:name="_Toc179824019"/>
      <w:bookmarkStart w:id="2290" w:name="_Toc179829699"/>
      <w:bookmarkStart w:id="2291" w:name="_Toc179861229"/>
      <w:bookmarkStart w:id="2292" w:name="_Toc179866621"/>
      <w:bookmarkStart w:id="2293" w:name="_Toc179868557"/>
      <w:bookmarkStart w:id="2294" w:name="_Toc179872950"/>
      <w:bookmarkStart w:id="2295" w:name="_Toc179877343"/>
      <w:bookmarkStart w:id="2296" w:name="_Toc179806971"/>
      <w:bookmarkStart w:id="2297" w:name="_Toc179812620"/>
      <w:bookmarkStart w:id="2298" w:name="_Toc179818320"/>
      <w:bookmarkStart w:id="2299" w:name="_Toc179824020"/>
      <w:bookmarkStart w:id="2300" w:name="_Toc179829700"/>
      <w:bookmarkStart w:id="2301" w:name="_Toc179861230"/>
      <w:bookmarkStart w:id="2302" w:name="_Toc179866622"/>
      <w:bookmarkStart w:id="2303" w:name="_Toc179868558"/>
      <w:bookmarkStart w:id="2304" w:name="_Toc179872951"/>
      <w:bookmarkStart w:id="2305" w:name="_Toc179877344"/>
      <w:bookmarkStart w:id="2306" w:name="_Toc179806972"/>
      <w:bookmarkStart w:id="2307" w:name="_Toc179812621"/>
      <w:bookmarkStart w:id="2308" w:name="_Toc179818321"/>
      <w:bookmarkStart w:id="2309" w:name="_Toc179824021"/>
      <w:bookmarkStart w:id="2310" w:name="_Toc179829701"/>
      <w:bookmarkStart w:id="2311" w:name="_Toc179861231"/>
      <w:bookmarkStart w:id="2312" w:name="_Toc179866623"/>
      <w:bookmarkStart w:id="2313" w:name="_Toc179868559"/>
      <w:bookmarkStart w:id="2314" w:name="_Toc179872952"/>
      <w:bookmarkStart w:id="2315" w:name="_Toc179877345"/>
      <w:bookmarkStart w:id="2316" w:name="_Toc179812622"/>
      <w:bookmarkStart w:id="2317" w:name="_Toc179818322"/>
      <w:bookmarkStart w:id="2318" w:name="_Toc179824022"/>
      <w:bookmarkStart w:id="2319" w:name="_Toc179829702"/>
      <w:bookmarkStart w:id="2320" w:name="_Toc179861232"/>
      <w:bookmarkStart w:id="2321" w:name="_Toc179868560"/>
      <w:bookmarkStart w:id="2322" w:name="_Toc179872953"/>
      <w:bookmarkStart w:id="2323" w:name="_Toc179877346"/>
      <w:bookmarkStart w:id="2324" w:name="_Toc179880276"/>
      <w:bookmarkStart w:id="2325" w:name="_Toc179880312"/>
      <w:bookmarkStart w:id="2326" w:name="Section_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r w:rsidRPr="00E05BE1">
        <w:t>KEY ASSET</w:t>
      </w:r>
      <w:r w:rsidR="0067675F">
        <w:rPr>
          <w:rFonts w:eastAsia="SimHei" w:hint="eastAsia"/>
          <w:lang w:eastAsia="zh-CN"/>
        </w:rPr>
        <w:t xml:space="preserve">S </w:t>
      </w:r>
      <w:r w:rsidRPr="00E05BE1">
        <w:t xml:space="preserve">TO SUPPORT </w:t>
      </w:r>
      <w:r w:rsidR="00CE38B7">
        <w:rPr>
          <w:rFonts w:eastAsia="SimHei" w:hint="eastAsia"/>
          <w:lang w:eastAsia="zh-CN"/>
        </w:rPr>
        <w:t>SERVICE</w:t>
      </w:r>
      <w:r w:rsidR="007244C0" w:rsidRPr="00E05BE1">
        <w:t xml:space="preserve"> </w:t>
      </w:r>
      <w:r w:rsidRPr="00E05BE1">
        <w:t>DELIVERY</w:t>
      </w:r>
      <w:bookmarkEnd w:id="2316"/>
      <w:bookmarkEnd w:id="2317"/>
      <w:bookmarkEnd w:id="2318"/>
      <w:bookmarkEnd w:id="2319"/>
      <w:bookmarkEnd w:id="2320"/>
      <w:bookmarkEnd w:id="2321"/>
      <w:bookmarkEnd w:id="2322"/>
      <w:bookmarkEnd w:id="2323"/>
      <w:bookmarkEnd w:id="2324"/>
      <w:bookmarkEnd w:id="2325"/>
    </w:p>
    <w:p w14:paraId="0E790180" w14:textId="4E0BB3D9" w:rsidR="006177A0" w:rsidRPr="006177A0" w:rsidRDefault="006177A0" w:rsidP="006177A0">
      <w:pPr>
        <w:sectPr w:rsidR="006177A0" w:rsidRPr="006177A0" w:rsidSect="006A2009">
          <w:headerReference w:type="even" r:id="rId79"/>
          <w:headerReference w:type="default" r:id="rId80"/>
          <w:footerReference w:type="even" r:id="rId81"/>
          <w:footerReference w:type="default" r:id="rId82"/>
          <w:headerReference w:type="first" r:id="rId83"/>
          <w:pgSz w:w="11906" w:h="16838" w:code="9"/>
          <w:pgMar w:top="1138" w:right="1138" w:bottom="1138" w:left="1138" w:header="619" w:footer="562" w:gutter="0"/>
          <w:cols w:space="708"/>
          <w:titlePg/>
          <w:docGrid w:linePitch="360"/>
        </w:sectPr>
      </w:pPr>
    </w:p>
    <w:p w14:paraId="533B4113" w14:textId="77777777" w:rsidR="003719CD" w:rsidRDefault="003719CD" w:rsidP="007D536F">
      <w:pPr>
        <w:pStyle w:val="Heading3"/>
      </w:pPr>
      <w:bookmarkStart w:id="2327" w:name="_Toc179812623"/>
      <w:bookmarkStart w:id="2328" w:name="_Toc179818323"/>
      <w:bookmarkStart w:id="2329" w:name="_Toc179824023"/>
      <w:bookmarkStart w:id="2330" w:name="_Toc179829703"/>
      <w:bookmarkStart w:id="2331" w:name="_Toc179861233"/>
      <w:r>
        <w:t>Introduction</w:t>
      </w:r>
      <w:bookmarkEnd w:id="2327"/>
      <w:bookmarkEnd w:id="2328"/>
      <w:bookmarkEnd w:id="2329"/>
      <w:bookmarkEnd w:id="2330"/>
      <w:bookmarkEnd w:id="2331"/>
    </w:p>
    <w:p w14:paraId="233C4AE0" w14:textId="2FEDDDB0" w:rsidR="003719CD" w:rsidRDefault="009B75C4" w:rsidP="00DC39DE">
      <w:r>
        <w:t>TV</w:t>
      </w:r>
      <w:r w:rsidR="003719CD">
        <w:t xml:space="preserve"> controls </w:t>
      </w:r>
      <w:r w:rsidR="00BA1295">
        <w:rPr>
          <w:rFonts w:hint="eastAsia"/>
          <w:lang w:eastAsia="zh-CN"/>
        </w:rPr>
        <w:t>assets</w:t>
      </w:r>
      <w:r w:rsidR="003719CD">
        <w:t xml:space="preserve"> that are utilised in fulfilling its objectives and conducting its activities. They represent the resources that have been entrusted to </w:t>
      </w:r>
      <w:r>
        <w:t xml:space="preserve">TV </w:t>
      </w:r>
      <w:r w:rsidR="003719CD">
        <w:t xml:space="preserve">to be utilised for delivery of </w:t>
      </w:r>
      <w:r w:rsidR="003719CD" w:rsidRPr="00BA1295">
        <w:t>tho</w:t>
      </w:r>
      <w:r w:rsidR="00BA1295" w:rsidRPr="00BA1295">
        <w:rPr>
          <w:rFonts w:hint="eastAsia"/>
          <w:lang w:eastAsia="zh-CN"/>
        </w:rPr>
        <w:t>se service</w:t>
      </w:r>
      <w:r w:rsidR="00BA1295">
        <w:rPr>
          <w:rFonts w:hint="eastAsia"/>
          <w:lang w:eastAsia="zh-CN"/>
        </w:rPr>
        <w:t>s</w:t>
      </w:r>
      <w:r w:rsidR="003719CD" w:rsidRPr="00BA1295">
        <w:t>.</w:t>
      </w:r>
    </w:p>
    <w:p w14:paraId="32F82781" w14:textId="77777777" w:rsidR="003719CD" w:rsidRDefault="003719CD" w:rsidP="007D536F">
      <w:pPr>
        <w:pStyle w:val="Heading3"/>
      </w:pPr>
      <w:r>
        <w:br w:type="column"/>
      </w:r>
      <w:bookmarkStart w:id="2332" w:name="_Toc179812624"/>
      <w:bookmarkStart w:id="2333" w:name="_Toc179818324"/>
      <w:bookmarkStart w:id="2334" w:name="_Toc179824024"/>
      <w:bookmarkStart w:id="2335" w:name="_Toc179829704"/>
      <w:bookmarkStart w:id="2336" w:name="_Toc179861234"/>
      <w:r>
        <w:t>Structure</w:t>
      </w:r>
      <w:bookmarkEnd w:id="2332"/>
      <w:bookmarkEnd w:id="2333"/>
      <w:bookmarkEnd w:id="2334"/>
      <w:bookmarkEnd w:id="2335"/>
      <w:bookmarkEnd w:id="2336"/>
    </w:p>
    <w:p w14:paraId="51B13060" w14:textId="5AA4E4F5" w:rsidR="00FA22CF" w:rsidRDefault="00FA22CF">
      <w:pPr>
        <w:pStyle w:val="TOC9"/>
        <w:rPr>
          <w:noProof/>
          <w:kern w:val="2"/>
          <w:sz w:val="24"/>
          <w:szCs w:val="24"/>
          <w14:ligatures w14:val="standardContextual"/>
        </w:rPr>
      </w:pPr>
      <w:r w:rsidRPr="00940E38">
        <w:fldChar w:fldCharType="begin"/>
      </w:r>
      <w:r w:rsidRPr="00940E38">
        <w:instrText xml:space="preserve"> TOC \h \z \t "Heading 2 </w:instrText>
      </w:r>
      <w:r>
        <w:instrText>numbered</w:instrText>
      </w:r>
      <w:r w:rsidRPr="00940E38">
        <w:instrText>,9" \b Section</w:instrText>
      </w:r>
      <w:r>
        <w:instrText>_4</w:instrText>
      </w:r>
      <w:r w:rsidRPr="00940E38">
        <w:instrText xml:space="preserve"> \* MERGEFORMAT </w:instrText>
      </w:r>
      <w:r w:rsidRPr="00940E38">
        <w:fldChar w:fldCharType="separate"/>
      </w:r>
      <w:hyperlink w:anchor="_Toc190340633" w:history="1">
        <w:r w:rsidRPr="001D54FB">
          <w:rPr>
            <w:rStyle w:val="Hyperlink"/>
            <w:noProof/>
          </w:rPr>
          <w:t>4.1</w:t>
        </w:r>
        <w:r>
          <w:rPr>
            <w:noProof/>
            <w:kern w:val="2"/>
            <w:sz w:val="24"/>
            <w:szCs w:val="24"/>
            <w14:ligatures w14:val="standardContextual"/>
          </w:rPr>
          <w:tab/>
        </w:r>
        <w:r w:rsidRPr="001D54FB">
          <w:rPr>
            <w:rStyle w:val="Hyperlink"/>
            <w:noProof/>
          </w:rPr>
          <w:t>Property, plant and equipment</w:t>
        </w:r>
        <w:r>
          <w:rPr>
            <w:noProof/>
            <w:webHidden/>
          </w:rPr>
          <w:tab/>
        </w:r>
        <w:r>
          <w:rPr>
            <w:noProof/>
            <w:webHidden/>
          </w:rPr>
          <w:fldChar w:fldCharType="begin"/>
        </w:r>
        <w:r>
          <w:rPr>
            <w:noProof/>
            <w:webHidden/>
          </w:rPr>
          <w:instrText xml:space="preserve"> PAGEREF _Toc190340633 \h </w:instrText>
        </w:r>
        <w:r>
          <w:rPr>
            <w:noProof/>
            <w:webHidden/>
          </w:rPr>
        </w:r>
        <w:r>
          <w:rPr>
            <w:noProof/>
            <w:webHidden/>
          </w:rPr>
          <w:fldChar w:fldCharType="separate"/>
        </w:r>
        <w:r w:rsidR="005B50A8">
          <w:rPr>
            <w:noProof/>
            <w:webHidden/>
          </w:rPr>
          <w:t>31</w:t>
        </w:r>
        <w:r>
          <w:rPr>
            <w:noProof/>
            <w:webHidden/>
          </w:rPr>
          <w:fldChar w:fldCharType="end"/>
        </w:r>
      </w:hyperlink>
    </w:p>
    <w:p w14:paraId="1599AC7E" w14:textId="302EC603" w:rsidR="00FA22CF" w:rsidRDefault="00FA22CF">
      <w:pPr>
        <w:pStyle w:val="TOC9"/>
        <w:rPr>
          <w:noProof/>
          <w:kern w:val="2"/>
          <w:sz w:val="24"/>
          <w:szCs w:val="24"/>
          <w14:ligatures w14:val="standardContextual"/>
        </w:rPr>
      </w:pPr>
      <w:hyperlink w:anchor="_Toc190340634" w:history="1">
        <w:r w:rsidRPr="001D54FB">
          <w:rPr>
            <w:rStyle w:val="Hyperlink"/>
            <w:noProof/>
          </w:rPr>
          <w:t>4.2</w:t>
        </w:r>
        <w:r>
          <w:rPr>
            <w:noProof/>
            <w:kern w:val="2"/>
            <w:sz w:val="24"/>
            <w:szCs w:val="24"/>
            <w14:ligatures w14:val="standardContextual"/>
          </w:rPr>
          <w:tab/>
        </w:r>
        <w:r w:rsidRPr="001D54FB">
          <w:rPr>
            <w:rStyle w:val="Hyperlink"/>
            <w:noProof/>
          </w:rPr>
          <w:t>Intangible assets</w:t>
        </w:r>
        <w:r>
          <w:rPr>
            <w:noProof/>
            <w:webHidden/>
          </w:rPr>
          <w:tab/>
        </w:r>
        <w:r>
          <w:rPr>
            <w:noProof/>
            <w:webHidden/>
          </w:rPr>
          <w:fldChar w:fldCharType="begin"/>
        </w:r>
        <w:r>
          <w:rPr>
            <w:noProof/>
            <w:webHidden/>
          </w:rPr>
          <w:instrText xml:space="preserve"> PAGEREF _Toc190340634 \h </w:instrText>
        </w:r>
        <w:r>
          <w:rPr>
            <w:noProof/>
            <w:webHidden/>
          </w:rPr>
        </w:r>
        <w:r>
          <w:rPr>
            <w:noProof/>
            <w:webHidden/>
          </w:rPr>
          <w:fldChar w:fldCharType="separate"/>
        </w:r>
        <w:r w:rsidR="005B50A8">
          <w:rPr>
            <w:noProof/>
            <w:webHidden/>
          </w:rPr>
          <w:t>36</w:t>
        </w:r>
        <w:r>
          <w:rPr>
            <w:noProof/>
            <w:webHidden/>
          </w:rPr>
          <w:fldChar w:fldCharType="end"/>
        </w:r>
      </w:hyperlink>
    </w:p>
    <w:p w14:paraId="3F216DF0" w14:textId="280E5A00" w:rsidR="0054242A" w:rsidRDefault="00FA22CF" w:rsidP="0054242A">
      <w:pPr>
        <w:pStyle w:val="TOC8"/>
      </w:pPr>
      <w:r w:rsidRPr="00940E38">
        <w:fldChar w:fldCharType="end"/>
      </w:r>
    </w:p>
    <w:p w14:paraId="2FAC67A1" w14:textId="799EAE7E" w:rsidR="003719CD" w:rsidRDefault="003719CD" w:rsidP="00FA22CF">
      <w:pPr>
        <w:pStyle w:val="TOC8"/>
      </w:pPr>
    </w:p>
    <w:p w14:paraId="04104869" w14:textId="77777777" w:rsidR="003719CD" w:rsidRDefault="003719CD" w:rsidP="00DC39DE">
      <w:pPr>
        <w:sectPr w:rsidR="003719CD" w:rsidSect="000E2F05">
          <w:type w:val="continuous"/>
          <w:pgSz w:w="11906" w:h="16838" w:code="9"/>
          <w:pgMar w:top="1134" w:right="1134" w:bottom="1134" w:left="1134" w:header="624" w:footer="567" w:gutter="0"/>
          <w:cols w:num="2" w:space="708"/>
          <w:titlePg/>
          <w:docGrid w:linePitch="360"/>
        </w:sectPr>
      </w:pPr>
    </w:p>
    <w:p w14:paraId="7FB68B1B" w14:textId="4260CB20" w:rsidR="003719CD" w:rsidRDefault="003844B1" w:rsidP="001B5265">
      <w:pPr>
        <w:pStyle w:val="Heading2numbered"/>
      </w:pPr>
      <w:bookmarkStart w:id="2337" w:name="_Toc96704903"/>
      <w:bookmarkStart w:id="2338" w:name="_Toc130225964"/>
      <w:bookmarkStart w:id="2339" w:name="_Toc64983155"/>
      <w:bookmarkStart w:id="2340" w:name="_Toc179812625"/>
      <w:bookmarkStart w:id="2341" w:name="_Toc179818325"/>
      <w:bookmarkStart w:id="2342" w:name="_Toc179824025"/>
      <w:bookmarkStart w:id="2343" w:name="_Toc179829705"/>
      <w:bookmarkStart w:id="2344" w:name="_Toc179861235"/>
      <w:bookmarkStart w:id="2345" w:name="_Toc179868561"/>
      <w:bookmarkStart w:id="2346" w:name="_Toc179872954"/>
      <w:bookmarkStart w:id="2347" w:name="_Toc179877347"/>
      <w:bookmarkStart w:id="2348" w:name="_Toc179880313"/>
      <w:bookmarkStart w:id="2349" w:name="_Toc190339882"/>
      <w:bookmarkStart w:id="2350" w:name="_Toc190340633"/>
      <w:r>
        <w:t>Pr</w:t>
      </w:r>
      <w:r w:rsidR="003719CD">
        <w:t>operty, plant and equipment</w:t>
      </w:r>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r w:rsidR="003719CD">
        <w:t xml:space="preserve"> </w:t>
      </w:r>
      <w:r w:rsidR="00A437DD" w:rsidRPr="00E51206">
        <w:rPr>
          <w:color w:val="C00000"/>
        </w:rPr>
        <w:t>[REVISED]</w:t>
      </w:r>
    </w:p>
    <w:p w14:paraId="19037609" w14:textId="77777777" w:rsidR="003719CD" w:rsidRDefault="003719CD" w:rsidP="007D536F">
      <w:pPr>
        <w:pStyle w:val="TableUnits"/>
      </w:pPr>
      <w:r>
        <w:t>($ thousand)</w:t>
      </w:r>
    </w:p>
    <w:tbl>
      <w:tblPr>
        <w:tblStyle w:val="DTFTable"/>
        <w:tblW w:w="9639" w:type="dxa"/>
        <w:tblLayout w:type="fixed"/>
        <w:tblLook w:val="0620" w:firstRow="1" w:lastRow="0" w:firstColumn="0" w:lastColumn="0" w:noHBand="1" w:noVBand="1"/>
      </w:tblPr>
      <w:tblGrid>
        <w:gridCol w:w="1560"/>
        <w:gridCol w:w="2895"/>
        <w:gridCol w:w="932"/>
        <w:gridCol w:w="850"/>
        <w:gridCol w:w="810"/>
        <w:gridCol w:w="864"/>
        <w:gridCol w:w="864"/>
        <w:gridCol w:w="864"/>
      </w:tblGrid>
      <w:tr w:rsidR="00182709" w14:paraId="22B9D773" w14:textId="77777777" w:rsidTr="002A0038">
        <w:trPr>
          <w:cnfStyle w:val="100000000000" w:firstRow="1" w:lastRow="0" w:firstColumn="0" w:lastColumn="0" w:oddVBand="0" w:evenVBand="0" w:oddHBand="0" w:evenHBand="0" w:firstRowFirstColumn="0" w:firstRowLastColumn="0" w:lastRowFirstColumn="0" w:lastRowLastColumn="0"/>
          <w:trHeight w:val="300"/>
          <w:tblHeader/>
        </w:trPr>
        <w:tc>
          <w:tcPr>
            <w:tcW w:w="1560" w:type="dxa"/>
            <w:tcBorders>
              <w:top w:val="nil"/>
              <w:bottom w:val="nil"/>
            </w:tcBorders>
            <w:shd w:val="clear" w:color="auto" w:fill="FFFFFF" w:themeFill="background1"/>
          </w:tcPr>
          <w:p w14:paraId="1AC53FB1" w14:textId="77777777" w:rsidR="00182709" w:rsidRDefault="0044097C">
            <w:pPr>
              <w:keepNext/>
              <w:jc w:val="left"/>
            </w:pPr>
            <w:r>
              <w:rPr>
                <w:color w:val="4472C4"/>
                <w:sz w:val="13"/>
              </w:rPr>
              <w:t>Source reference</w:t>
            </w:r>
          </w:p>
        </w:tc>
        <w:tc>
          <w:tcPr>
            <w:tcW w:w="2895" w:type="dxa"/>
          </w:tcPr>
          <w:p w14:paraId="1C29308F" w14:textId="77777777" w:rsidR="00182709" w:rsidRDefault="00182709">
            <w:pPr>
              <w:keepNext/>
              <w:jc w:val="left"/>
            </w:pPr>
          </w:p>
        </w:tc>
        <w:tc>
          <w:tcPr>
            <w:tcW w:w="1782" w:type="dxa"/>
            <w:gridSpan w:val="2"/>
          </w:tcPr>
          <w:p w14:paraId="7338ADD2" w14:textId="77777777" w:rsidR="00182709" w:rsidRDefault="0044097C">
            <w:pPr>
              <w:keepNext/>
              <w:jc w:val="center"/>
            </w:pPr>
            <w:r>
              <w:t>Gross carrying amount</w:t>
            </w:r>
          </w:p>
        </w:tc>
        <w:tc>
          <w:tcPr>
            <w:tcW w:w="1674" w:type="dxa"/>
            <w:gridSpan w:val="2"/>
          </w:tcPr>
          <w:p w14:paraId="60714341" w14:textId="77777777" w:rsidR="00182709" w:rsidRDefault="0044097C">
            <w:pPr>
              <w:keepNext/>
              <w:jc w:val="center"/>
            </w:pPr>
            <w:r>
              <w:t>Accumulated depreciation</w:t>
            </w:r>
          </w:p>
        </w:tc>
        <w:tc>
          <w:tcPr>
            <w:tcW w:w="1728" w:type="dxa"/>
            <w:gridSpan w:val="2"/>
          </w:tcPr>
          <w:p w14:paraId="742DF917" w14:textId="77777777" w:rsidR="00182709" w:rsidRDefault="0044097C">
            <w:pPr>
              <w:keepNext/>
              <w:jc w:val="center"/>
            </w:pPr>
            <w:r>
              <w:t>Net carrying amount</w:t>
            </w:r>
          </w:p>
        </w:tc>
      </w:tr>
      <w:tr w:rsidR="002A0038" w14:paraId="38BD46F1" w14:textId="77777777" w:rsidTr="002A0038">
        <w:trPr>
          <w:cnfStyle w:val="100000000000" w:firstRow="1" w:lastRow="0" w:firstColumn="0" w:lastColumn="0" w:oddVBand="0" w:evenVBand="0" w:oddHBand="0" w:evenHBand="0" w:firstRowFirstColumn="0" w:firstRowLastColumn="0" w:lastRowFirstColumn="0" w:lastRowLastColumn="0"/>
          <w:trHeight w:val="300"/>
          <w:tblHeader/>
        </w:trPr>
        <w:tc>
          <w:tcPr>
            <w:tcW w:w="1560" w:type="dxa"/>
            <w:tcBorders>
              <w:top w:val="nil"/>
              <w:bottom w:val="nil"/>
            </w:tcBorders>
            <w:shd w:val="clear" w:color="auto" w:fill="FFFFFF" w:themeFill="background1"/>
          </w:tcPr>
          <w:p w14:paraId="4E8B266D" w14:textId="77777777" w:rsidR="00182709" w:rsidRDefault="00182709">
            <w:pPr>
              <w:keepNext/>
              <w:jc w:val="left"/>
            </w:pPr>
          </w:p>
        </w:tc>
        <w:tc>
          <w:tcPr>
            <w:tcW w:w="2895" w:type="dxa"/>
          </w:tcPr>
          <w:p w14:paraId="4B4E00A9" w14:textId="77777777" w:rsidR="00182709" w:rsidRDefault="00182709">
            <w:pPr>
              <w:keepNext/>
              <w:jc w:val="left"/>
            </w:pPr>
          </w:p>
        </w:tc>
        <w:tc>
          <w:tcPr>
            <w:tcW w:w="932" w:type="dxa"/>
          </w:tcPr>
          <w:p w14:paraId="0A7C1DCD" w14:textId="77777777" w:rsidR="00182709" w:rsidRDefault="0044097C">
            <w:pPr>
              <w:keepNext/>
            </w:pPr>
            <w:r>
              <w:t>20X2</w:t>
            </w:r>
          </w:p>
        </w:tc>
        <w:tc>
          <w:tcPr>
            <w:tcW w:w="850" w:type="dxa"/>
          </w:tcPr>
          <w:p w14:paraId="5690031C" w14:textId="77777777" w:rsidR="00182709" w:rsidRDefault="0044097C">
            <w:pPr>
              <w:keepNext/>
            </w:pPr>
            <w:r>
              <w:t>20X1</w:t>
            </w:r>
          </w:p>
        </w:tc>
        <w:tc>
          <w:tcPr>
            <w:tcW w:w="810" w:type="dxa"/>
          </w:tcPr>
          <w:p w14:paraId="6DD42781" w14:textId="77777777" w:rsidR="00182709" w:rsidRDefault="0044097C">
            <w:pPr>
              <w:keepNext/>
            </w:pPr>
            <w:r>
              <w:t>20X2</w:t>
            </w:r>
          </w:p>
        </w:tc>
        <w:tc>
          <w:tcPr>
            <w:tcW w:w="864" w:type="dxa"/>
          </w:tcPr>
          <w:p w14:paraId="7EFC7400" w14:textId="77777777" w:rsidR="00182709" w:rsidRDefault="0044097C">
            <w:pPr>
              <w:keepNext/>
            </w:pPr>
            <w:r>
              <w:t>20X1</w:t>
            </w:r>
          </w:p>
        </w:tc>
        <w:tc>
          <w:tcPr>
            <w:tcW w:w="864" w:type="dxa"/>
          </w:tcPr>
          <w:p w14:paraId="35FB12D2" w14:textId="77777777" w:rsidR="00182709" w:rsidRDefault="0044097C">
            <w:pPr>
              <w:keepNext/>
            </w:pPr>
            <w:r>
              <w:t>20X2</w:t>
            </w:r>
          </w:p>
        </w:tc>
        <w:tc>
          <w:tcPr>
            <w:tcW w:w="864" w:type="dxa"/>
          </w:tcPr>
          <w:p w14:paraId="7C0DCEA3" w14:textId="77777777" w:rsidR="00182709" w:rsidRDefault="0044097C">
            <w:pPr>
              <w:keepNext/>
            </w:pPr>
            <w:r>
              <w:t>20X1</w:t>
            </w:r>
          </w:p>
        </w:tc>
      </w:tr>
      <w:tr w:rsidR="00E63977" w14:paraId="0FEE1A60" w14:textId="77777777" w:rsidTr="002A0038">
        <w:trPr>
          <w:trHeight w:val="300"/>
        </w:trPr>
        <w:tc>
          <w:tcPr>
            <w:tcW w:w="1560" w:type="dxa"/>
          </w:tcPr>
          <w:p w14:paraId="50574B9D" w14:textId="438EE45B" w:rsidR="00E63977" w:rsidRDefault="00E63977" w:rsidP="00E63977">
            <w:pPr>
              <w:jc w:val="left"/>
              <w:rPr>
                <w:color w:val="4472C4" w:themeColor="accent1"/>
                <w:sz w:val="13"/>
                <w:szCs w:val="13"/>
              </w:rPr>
            </w:pPr>
            <w:r>
              <w:rPr>
                <w:color w:val="4472C4" w:themeColor="accent1"/>
                <w:sz w:val="13"/>
                <w:szCs w:val="13"/>
              </w:rPr>
              <w:t>AASB </w:t>
            </w:r>
            <w:r w:rsidRPr="60A6DAF9">
              <w:rPr>
                <w:color w:val="4472C4" w:themeColor="accent1"/>
                <w:sz w:val="13"/>
                <w:szCs w:val="13"/>
              </w:rPr>
              <w:t xml:space="preserve">1060.134 </w:t>
            </w:r>
            <w:r>
              <w:rPr>
                <w:rFonts w:hint="eastAsia"/>
                <w:color w:val="4472C4" w:themeColor="accent1"/>
                <w:sz w:val="13"/>
                <w:szCs w:val="13"/>
                <w:lang w:eastAsia="zh-CN"/>
              </w:rPr>
              <w:t>(a)</w:t>
            </w:r>
            <w:r w:rsidRPr="60A6DAF9">
              <w:rPr>
                <w:color w:val="4472C4" w:themeColor="accent1"/>
                <w:sz w:val="13"/>
                <w:szCs w:val="13"/>
              </w:rPr>
              <w:t>(d)</w:t>
            </w:r>
          </w:p>
        </w:tc>
        <w:tc>
          <w:tcPr>
            <w:tcW w:w="2895" w:type="dxa"/>
          </w:tcPr>
          <w:p w14:paraId="3FFCAB7D" w14:textId="19736699" w:rsidR="00E63977" w:rsidRDefault="00E63977" w:rsidP="00E63977">
            <w:pPr>
              <w:jc w:val="left"/>
            </w:pPr>
            <w:r>
              <w:t xml:space="preserve">Land at fair value </w:t>
            </w:r>
            <w:r>
              <w:rPr>
                <w:vertAlign w:val="superscript"/>
              </w:rPr>
              <w:t>(a)</w:t>
            </w:r>
          </w:p>
        </w:tc>
        <w:tc>
          <w:tcPr>
            <w:tcW w:w="932" w:type="dxa"/>
            <w:vAlign w:val="center"/>
          </w:tcPr>
          <w:p w14:paraId="5B4BB200" w14:textId="720951F4" w:rsidR="00E63977" w:rsidRDefault="00E63977" w:rsidP="00E63977">
            <w:r w:rsidRPr="00824FEC">
              <w:t>5</w:t>
            </w:r>
            <w:r>
              <w:rPr>
                <w:rFonts w:hint="eastAsia"/>
                <w:lang w:eastAsia="zh-CN"/>
              </w:rPr>
              <w:t xml:space="preserve"> </w:t>
            </w:r>
            <w:r w:rsidRPr="00824FEC">
              <w:t>272</w:t>
            </w:r>
          </w:p>
        </w:tc>
        <w:tc>
          <w:tcPr>
            <w:tcW w:w="850" w:type="dxa"/>
            <w:vAlign w:val="center"/>
          </w:tcPr>
          <w:p w14:paraId="01F890CE" w14:textId="6A9A0170" w:rsidR="00E63977" w:rsidRDefault="00E63977" w:rsidP="00E63977">
            <w:r w:rsidRPr="00824FEC">
              <w:t>3</w:t>
            </w:r>
            <w:r>
              <w:rPr>
                <w:rFonts w:hint="eastAsia"/>
                <w:lang w:eastAsia="zh-CN"/>
              </w:rPr>
              <w:t xml:space="preserve"> </w:t>
            </w:r>
            <w:r w:rsidRPr="00824FEC">
              <w:t>521</w:t>
            </w:r>
          </w:p>
        </w:tc>
        <w:tc>
          <w:tcPr>
            <w:tcW w:w="810" w:type="dxa"/>
            <w:vAlign w:val="center"/>
          </w:tcPr>
          <w:p w14:paraId="37D7EA68" w14:textId="1BFCB4C0" w:rsidR="00E63977" w:rsidRDefault="00E63977" w:rsidP="00E63977">
            <w:r w:rsidRPr="0067675F">
              <w:t>..</w:t>
            </w:r>
          </w:p>
        </w:tc>
        <w:tc>
          <w:tcPr>
            <w:tcW w:w="864" w:type="dxa"/>
            <w:vAlign w:val="center"/>
          </w:tcPr>
          <w:p w14:paraId="71485AC4" w14:textId="48AEDC8D" w:rsidR="00E63977" w:rsidRDefault="00E63977" w:rsidP="00E63977">
            <w:r w:rsidRPr="0067675F">
              <w:t>..</w:t>
            </w:r>
          </w:p>
        </w:tc>
        <w:tc>
          <w:tcPr>
            <w:tcW w:w="864" w:type="dxa"/>
            <w:vAlign w:val="center"/>
          </w:tcPr>
          <w:p w14:paraId="7FCF10E1" w14:textId="1F1D6472" w:rsidR="00E63977" w:rsidRDefault="00E63977" w:rsidP="00E63977">
            <w:r w:rsidRPr="00D26E03">
              <w:t>5</w:t>
            </w:r>
            <w:r>
              <w:rPr>
                <w:rFonts w:hint="eastAsia"/>
                <w:lang w:eastAsia="zh-CN"/>
              </w:rPr>
              <w:t xml:space="preserve"> </w:t>
            </w:r>
            <w:r w:rsidRPr="00D26E03">
              <w:t>272</w:t>
            </w:r>
          </w:p>
        </w:tc>
        <w:tc>
          <w:tcPr>
            <w:tcW w:w="864" w:type="dxa"/>
            <w:vAlign w:val="center"/>
          </w:tcPr>
          <w:p w14:paraId="45C7755C" w14:textId="45A325F5" w:rsidR="00E63977" w:rsidRDefault="00E63977" w:rsidP="00E63977">
            <w:r w:rsidRPr="00D26E03">
              <w:t>3</w:t>
            </w:r>
            <w:r>
              <w:rPr>
                <w:rFonts w:hint="eastAsia"/>
                <w:lang w:eastAsia="zh-CN"/>
              </w:rPr>
              <w:t xml:space="preserve"> </w:t>
            </w:r>
            <w:r w:rsidRPr="00D26E03">
              <w:t>521</w:t>
            </w:r>
          </w:p>
        </w:tc>
      </w:tr>
      <w:tr w:rsidR="00AB481E" w14:paraId="1057C2C9" w14:textId="77777777" w:rsidTr="002A0038">
        <w:trPr>
          <w:trHeight w:val="300"/>
        </w:trPr>
        <w:tc>
          <w:tcPr>
            <w:tcW w:w="1560" w:type="dxa"/>
          </w:tcPr>
          <w:p w14:paraId="3C768115" w14:textId="072E7F91" w:rsidR="00AB481E" w:rsidRDefault="0007383E" w:rsidP="00AB481E">
            <w:pPr>
              <w:jc w:val="left"/>
              <w:rPr>
                <w:color w:val="4472C4" w:themeColor="accent1"/>
                <w:sz w:val="13"/>
                <w:szCs w:val="13"/>
              </w:rPr>
            </w:pPr>
            <w:r>
              <w:rPr>
                <w:color w:val="4472C4" w:themeColor="accent1"/>
                <w:sz w:val="13"/>
                <w:szCs w:val="13"/>
              </w:rPr>
              <w:t>AASB </w:t>
            </w:r>
            <w:r w:rsidR="00AB481E" w:rsidRPr="60A6DAF9">
              <w:rPr>
                <w:color w:val="4472C4" w:themeColor="accent1"/>
                <w:sz w:val="13"/>
                <w:szCs w:val="13"/>
              </w:rPr>
              <w:t xml:space="preserve">1060.134 </w:t>
            </w:r>
            <w:r w:rsidR="00AB481E">
              <w:rPr>
                <w:rFonts w:hint="eastAsia"/>
                <w:color w:val="4472C4" w:themeColor="accent1"/>
                <w:sz w:val="13"/>
                <w:szCs w:val="13"/>
                <w:lang w:eastAsia="zh-CN"/>
              </w:rPr>
              <w:t>(a)</w:t>
            </w:r>
            <w:r w:rsidR="00AB481E" w:rsidRPr="60A6DAF9">
              <w:rPr>
                <w:color w:val="4472C4" w:themeColor="accent1"/>
                <w:sz w:val="13"/>
                <w:szCs w:val="13"/>
              </w:rPr>
              <w:t>(d)</w:t>
            </w:r>
          </w:p>
        </w:tc>
        <w:tc>
          <w:tcPr>
            <w:tcW w:w="2895" w:type="dxa"/>
          </w:tcPr>
          <w:p w14:paraId="2942E2EA" w14:textId="77777777" w:rsidR="00AB481E" w:rsidRPr="0067675F" w:rsidRDefault="00AB481E" w:rsidP="00AB481E">
            <w:pPr>
              <w:jc w:val="left"/>
            </w:pPr>
            <w:r w:rsidRPr="0067675F">
              <w:t>Buildings at fair value</w:t>
            </w:r>
          </w:p>
        </w:tc>
        <w:tc>
          <w:tcPr>
            <w:tcW w:w="932" w:type="dxa"/>
            <w:vAlign w:val="center"/>
          </w:tcPr>
          <w:p w14:paraId="0607EE26" w14:textId="4F8C0BE8" w:rsidR="00AB481E" w:rsidRPr="0067675F" w:rsidRDefault="0014004D" w:rsidP="00706101">
            <w:r>
              <w:t>76 332</w:t>
            </w:r>
          </w:p>
        </w:tc>
        <w:tc>
          <w:tcPr>
            <w:tcW w:w="850" w:type="dxa"/>
            <w:vAlign w:val="center"/>
          </w:tcPr>
          <w:p w14:paraId="7947D1B0" w14:textId="2C0D0185" w:rsidR="00AB481E" w:rsidRPr="0067675F" w:rsidRDefault="0078258E" w:rsidP="00706101">
            <w:r>
              <w:t>68 673</w:t>
            </w:r>
          </w:p>
        </w:tc>
        <w:tc>
          <w:tcPr>
            <w:tcW w:w="810" w:type="dxa"/>
            <w:vAlign w:val="center"/>
          </w:tcPr>
          <w:p w14:paraId="53443B62" w14:textId="131E99B8" w:rsidR="00AB481E" w:rsidRPr="0067675F" w:rsidRDefault="00AB481E" w:rsidP="00706101">
            <w:r w:rsidRPr="00A902F9">
              <w:t>(</w:t>
            </w:r>
            <w:r w:rsidR="0078258E">
              <w:t>2 992</w:t>
            </w:r>
            <w:r w:rsidRPr="00A902F9">
              <w:t>)</w:t>
            </w:r>
          </w:p>
        </w:tc>
        <w:tc>
          <w:tcPr>
            <w:tcW w:w="864" w:type="dxa"/>
            <w:vAlign w:val="center"/>
          </w:tcPr>
          <w:p w14:paraId="7BA6EE8C" w14:textId="025EAF6A" w:rsidR="00AB481E" w:rsidRPr="0067675F" w:rsidRDefault="00AB481E" w:rsidP="00706101">
            <w:r w:rsidRPr="00A902F9">
              <w:t>(</w:t>
            </w:r>
            <w:r w:rsidR="0078258E">
              <w:t>658</w:t>
            </w:r>
            <w:r w:rsidRPr="00A902F9">
              <w:t>)</w:t>
            </w:r>
          </w:p>
        </w:tc>
        <w:tc>
          <w:tcPr>
            <w:tcW w:w="864" w:type="dxa"/>
            <w:vAlign w:val="center"/>
          </w:tcPr>
          <w:p w14:paraId="4E1A69CB" w14:textId="072BDE00" w:rsidR="00AB481E" w:rsidRPr="0067675F" w:rsidRDefault="0078258E" w:rsidP="00706101">
            <w:r>
              <w:t>7</w:t>
            </w:r>
            <w:r w:rsidR="00AB481E" w:rsidRPr="00D26E03">
              <w:t>3</w:t>
            </w:r>
            <w:r w:rsidR="003E3065">
              <w:rPr>
                <w:rFonts w:hint="eastAsia"/>
                <w:lang w:eastAsia="zh-CN"/>
              </w:rPr>
              <w:t xml:space="preserve"> </w:t>
            </w:r>
            <w:r>
              <w:t>340</w:t>
            </w:r>
          </w:p>
        </w:tc>
        <w:tc>
          <w:tcPr>
            <w:tcW w:w="864" w:type="dxa"/>
            <w:vAlign w:val="center"/>
          </w:tcPr>
          <w:p w14:paraId="6659712D" w14:textId="78FB239E" w:rsidR="00AB481E" w:rsidRPr="0067675F" w:rsidRDefault="0078258E" w:rsidP="00706101">
            <w:r>
              <w:t>6</w:t>
            </w:r>
            <w:r w:rsidR="00AB481E" w:rsidRPr="00D26E03">
              <w:t>8</w:t>
            </w:r>
            <w:r w:rsidR="003E3065">
              <w:rPr>
                <w:rFonts w:hint="eastAsia"/>
                <w:lang w:eastAsia="zh-CN"/>
              </w:rPr>
              <w:t xml:space="preserve"> </w:t>
            </w:r>
            <w:r w:rsidR="00AB481E" w:rsidRPr="00D26E03">
              <w:t>0</w:t>
            </w:r>
            <w:r>
              <w:t>15</w:t>
            </w:r>
          </w:p>
        </w:tc>
      </w:tr>
      <w:tr w:rsidR="007E122B" w14:paraId="3435DCC6" w14:textId="77777777" w:rsidTr="002A0038">
        <w:trPr>
          <w:trHeight w:val="300"/>
        </w:trPr>
        <w:tc>
          <w:tcPr>
            <w:tcW w:w="1560" w:type="dxa"/>
          </w:tcPr>
          <w:p w14:paraId="11D86107" w14:textId="4CA02628" w:rsidR="007E122B" w:rsidRDefault="007E122B" w:rsidP="007E122B">
            <w:pPr>
              <w:jc w:val="left"/>
              <w:rPr>
                <w:color w:val="4472C4" w:themeColor="accent1"/>
                <w:sz w:val="13"/>
                <w:szCs w:val="13"/>
              </w:rPr>
            </w:pPr>
            <w:r>
              <w:rPr>
                <w:color w:val="4472C4" w:themeColor="accent1"/>
                <w:sz w:val="13"/>
                <w:szCs w:val="13"/>
              </w:rPr>
              <w:t>AASB </w:t>
            </w:r>
            <w:r w:rsidRPr="60A6DAF9">
              <w:rPr>
                <w:color w:val="4472C4" w:themeColor="accent1"/>
                <w:sz w:val="13"/>
                <w:szCs w:val="13"/>
              </w:rPr>
              <w:t xml:space="preserve">1060.134 </w:t>
            </w:r>
            <w:r>
              <w:rPr>
                <w:rFonts w:hint="eastAsia"/>
                <w:color w:val="4472C4" w:themeColor="accent1"/>
                <w:sz w:val="13"/>
                <w:szCs w:val="13"/>
                <w:lang w:eastAsia="zh-CN"/>
              </w:rPr>
              <w:t>(a)</w:t>
            </w:r>
            <w:r w:rsidRPr="60A6DAF9">
              <w:rPr>
                <w:color w:val="4472C4" w:themeColor="accent1"/>
                <w:sz w:val="13"/>
                <w:szCs w:val="13"/>
              </w:rPr>
              <w:t>(d)</w:t>
            </w:r>
          </w:p>
        </w:tc>
        <w:tc>
          <w:tcPr>
            <w:tcW w:w="2895" w:type="dxa"/>
          </w:tcPr>
          <w:p w14:paraId="350F1260" w14:textId="77777777" w:rsidR="007E122B" w:rsidRDefault="007E122B" w:rsidP="007E122B">
            <w:pPr>
              <w:jc w:val="left"/>
            </w:pPr>
            <w:r>
              <w:t>Plant, equipment and vehicles at fair value</w:t>
            </w:r>
          </w:p>
        </w:tc>
        <w:tc>
          <w:tcPr>
            <w:tcW w:w="932" w:type="dxa"/>
            <w:vAlign w:val="center"/>
          </w:tcPr>
          <w:p w14:paraId="1E40B5A2" w14:textId="6E892065" w:rsidR="007E122B" w:rsidRDefault="007E122B" w:rsidP="007E122B">
            <w:r w:rsidRPr="00364480">
              <w:t>58</w:t>
            </w:r>
            <w:r>
              <w:t xml:space="preserve"> </w:t>
            </w:r>
            <w:r w:rsidRPr="00364480">
              <w:t>289</w:t>
            </w:r>
          </w:p>
        </w:tc>
        <w:tc>
          <w:tcPr>
            <w:tcW w:w="850" w:type="dxa"/>
            <w:vAlign w:val="center"/>
          </w:tcPr>
          <w:p w14:paraId="3384C9A4" w14:textId="12DC1641" w:rsidR="007E122B" w:rsidRDefault="007E122B" w:rsidP="007E122B">
            <w:r w:rsidRPr="00364480">
              <w:t>65</w:t>
            </w:r>
            <w:r>
              <w:t xml:space="preserve"> </w:t>
            </w:r>
            <w:r w:rsidRPr="00364480">
              <w:t>214</w:t>
            </w:r>
          </w:p>
        </w:tc>
        <w:tc>
          <w:tcPr>
            <w:tcW w:w="810" w:type="dxa"/>
            <w:vAlign w:val="center"/>
          </w:tcPr>
          <w:p w14:paraId="08385E7D" w14:textId="3B4AE180" w:rsidR="007E122B" w:rsidRDefault="007E122B" w:rsidP="007E122B">
            <w:r w:rsidRPr="00364480">
              <w:t>(9</w:t>
            </w:r>
            <w:r>
              <w:t xml:space="preserve"> </w:t>
            </w:r>
            <w:r w:rsidRPr="00364480">
              <w:t>760)</w:t>
            </w:r>
          </w:p>
        </w:tc>
        <w:tc>
          <w:tcPr>
            <w:tcW w:w="864" w:type="dxa"/>
            <w:vAlign w:val="center"/>
          </w:tcPr>
          <w:p w14:paraId="758DA6F1" w14:textId="619FE0D3" w:rsidR="007E122B" w:rsidRDefault="007E122B" w:rsidP="007E122B">
            <w:r w:rsidRPr="00364480">
              <w:t>(15</w:t>
            </w:r>
            <w:r>
              <w:t xml:space="preserve"> </w:t>
            </w:r>
            <w:r w:rsidRPr="00364480">
              <w:t>726)</w:t>
            </w:r>
          </w:p>
        </w:tc>
        <w:tc>
          <w:tcPr>
            <w:tcW w:w="864" w:type="dxa"/>
            <w:vAlign w:val="center"/>
          </w:tcPr>
          <w:p w14:paraId="564A5AF8" w14:textId="162C570D" w:rsidR="007E122B" w:rsidRDefault="007E122B" w:rsidP="007E122B">
            <w:r w:rsidRPr="00364480">
              <w:t>48</w:t>
            </w:r>
            <w:r>
              <w:t xml:space="preserve"> </w:t>
            </w:r>
            <w:r w:rsidRPr="00364480">
              <w:t>529</w:t>
            </w:r>
          </w:p>
        </w:tc>
        <w:tc>
          <w:tcPr>
            <w:tcW w:w="864" w:type="dxa"/>
            <w:vAlign w:val="center"/>
          </w:tcPr>
          <w:p w14:paraId="7D90B9D3" w14:textId="4153A60C" w:rsidR="007E122B" w:rsidRDefault="007E122B" w:rsidP="007E122B">
            <w:r w:rsidRPr="00364480">
              <w:t>49</w:t>
            </w:r>
            <w:r>
              <w:t xml:space="preserve"> </w:t>
            </w:r>
            <w:r w:rsidRPr="00364480">
              <w:t>488</w:t>
            </w:r>
          </w:p>
        </w:tc>
      </w:tr>
      <w:tr w:rsidR="0086519A" w14:paraId="430BF6FB" w14:textId="77777777" w:rsidTr="00E51206">
        <w:trPr>
          <w:trHeight w:val="300"/>
        </w:trPr>
        <w:tc>
          <w:tcPr>
            <w:tcW w:w="1560" w:type="dxa"/>
          </w:tcPr>
          <w:p w14:paraId="11635AFE" w14:textId="7D8FF384" w:rsidR="0086519A" w:rsidRDefault="0007383E" w:rsidP="0086519A">
            <w:pPr>
              <w:jc w:val="left"/>
              <w:rPr>
                <w:color w:val="4472C4" w:themeColor="accent1"/>
                <w:sz w:val="13"/>
                <w:szCs w:val="13"/>
              </w:rPr>
            </w:pPr>
            <w:r>
              <w:rPr>
                <w:color w:val="4472C4" w:themeColor="accent1"/>
                <w:sz w:val="13"/>
                <w:szCs w:val="13"/>
              </w:rPr>
              <w:t>AASB </w:t>
            </w:r>
            <w:r w:rsidR="0086519A" w:rsidRPr="60A6DAF9">
              <w:rPr>
                <w:color w:val="4472C4" w:themeColor="accent1"/>
                <w:sz w:val="13"/>
                <w:szCs w:val="13"/>
              </w:rPr>
              <w:t xml:space="preserve">1060.134 </w:t>
            </w:r>
            <w:r w:rsidR="0086519A">
              <w:rPr>
                <w:rFonts w:hint="eastAsia"/>
                <w:color w:val="4472C4" w:themeColor="accent1"/>
                <w:sz w:val="13"/>
                <w:szCs w:val="13"/>
                <w:lang w:eastAsia="zh-CN"/>
              </w:rPr>
              <w:t>(a)</w:t>
            </w:r>
            <w:r w:rsidR="0086519A" w:rsidRPr="60A6DAF9">
              <w:rPr>
                <w:color w:val="4472C4" w:themeColor="accent1"/>
                <w:sz w:val="13"/>
                <w:szCs w:val="13"/>
              </w:rPr>
              <w:t>(d)</w:t>
            </w:r>
          </w:p>
        </w:tc>
        <w:tc>
          <w:tcPr>
            <w:tcW w:w="2895" w:type="dxa"/>
            <w:tcBorders>
              <w:bottom w:val="nil"/>
            </w:tcBorders>
          </w:tcPr>
          <w:p w14:paraId="2BA68B8E" w14:textId="4115F52C" w:rsidR="0086519A" w:rsidRDefault="0086519A" w:rsidP="0086519A">
            <w:pPr>
              <w:jc w:val="left"/>
            </w:pPr>
            <w:r>
              <w:t>Assets under construction</w:t>
            </w:r>
            <w:r w:rsidR="003048DB">
              <w:t xml:space="preserve"> </w:t>
            </w:r>
            <w:r w:rsidR="003048DB">
              <w:rPr>
                <w:vertAlign w:val="superscript"/>
              </w:rPr>
              <w:t>(b)</w:t>
            </w:r>
          </w:p>
        </w:tc>
        <w:tc>
          <w:tcPr>
            <w:tcW w:w="932" w:type="dxa"/>
            <w:tcBorders>
              <w:bottom w:val="nil"/>
            </w:tcBorders>
            <w:vAlign w:val="center"/>
          </w:tcPr>
          <w:p w14:paraId="2F4492CA" w14:textId="012414F8" w:rsidR="0086519A" w:rsidRDefault="0086519A" w:rsidP="00706101">
            <w:r w:rsidRPr="00824FEC">
              <w:t>713</w:t>
            </w:r>
          </w:p>
        </w:tc>
        <w:tc>
          <w:tcPr>
            <w:tcW w:w="850" w:type="dxa"/>
            <w:tcBorders>
              <w:bottom w:val="nil"/>
            </w:tcBorders>
            <w:vAlign w:val="center"/>
          </w:tcPr>
          <w:p w14:paraId="74C01ECE" w14:textId="604517FA" w:rsidR="0086519A" w:rsidRDefault="0086519A" w:rsidP="00706101">
            <w:r w:rsidRPr="00824FEC">
              <w:t>1</w:t>
            </w:r>
            <w:r w:rsidR="003E3065">
              <w:rPr>
                <w:rFonts w:hint="eastAsia"/>
                <w:lang w:eastAsia="zh-CN"/>
              </w:rPr>
              <w:t xml:space="preserve"> </w:t>
            </w:r>
            <w:r w:rsidRPr="00824FEC">
              <w:t>023</w:t>
            </w:r>
          </w:p>
        </w:tc>
        <w:tc>
          <w:tcPr>
            <w:tcW w:w="810" w:type="dxa"/>
            <w:tcBorders>
              <w:bottom w:val="nil"/>
            </w:tcBorders>
            <w:vAlign w:val="center"/>
          </w:tcPr>
          <w:p w14:paraId="096AB35C" w14:textId="55B5C044" w:rsidR="0086519A" w:rsidRDefault="0086519A" w:rsidP="00706101">
            <w:r w:rsidRPr="0067675F">
              <w:t>..</w:t>
            </w:r>
          </w:p>
        </w:tc>
        <w:tc>
          <w:tcPr>
            <w:tcW w:w="864" w:type="dxa"/>
            <w:tcBorders>
              <w:bottom w:val="nil"/>
            </w:tcBorders>
            <w:vAlign w:val="center"/>
          </w:tcPr>
          <w:p w14:paraId="5D6F80E6" w14:textId="389DCBF7" w:rsidR="0086519A" w:rsidRDefault="0086519A" w:rsidP="00706101">
            <w:r w:rsidRPr="0067675F">
              <w:t>..</w:t>
            </w:r>
          </w:p>
        </w:tc>
        <w:tc>
          <w:tcPr>
            <w:tcW w:w="864" w:type="dxa"/>
            <w:tcBorders>
              <w:bottom w:val="nil"/>
            </w:tcBorders>
            <w:vAlign w:val="center"/>
          </w:tcPr>
          <w:p w14:paraId="19B0E567" w14:textId="18A6A5B7" w:rsidR="0086519A" w:rsidRDefault="0086519A" w:rsidP="00706101">
            <w:r w:rsidRPr="00DC35F8">
              <w:t>713</w:t>
            </w:r>
          </w:p>
        </w:tc>
        <w:tc>
          <w:tcPr>
            <w:tcW w:w="864" w:type="dxa"/>
            <w:tcBorders>
              <w:bottom w:val="nil"/>
            </w:tcBorders>
            <w:vAlign w:val="center"/>
          </w:tcPr>
          <w:p w14:paraId="325D5ED6" w14:textId="4C300EEF" w:rsidR="0086519A" w:rsidRDefault="0086519A" w:rsidP="00706101">
            <w:r w:rsidRPr="00DC35F8">
              <w:t>1</w:t>
            </w:r>
            <w:r w:rsidR="003E3065">
              <w:rPr>
                <w:rFonts w:hint="eastAsia"/>
                <w:lang w:eastAsia="zh-CN"/>
              </w:rPr>
              <w:t xml:space="preserve"> </w:t>
            </w:r>
            <w:r w:rsidRPr="00DC35F8">
              <w:t>023</w:t>
            </w:r>
          </w:p>
        </w:tc>
      </w:tr>
      <w:tr w:rsidR="00413234" w14:paraId="6763C6FF" w14:textId="77777777" w:rsidTr="00E51206">
        <w:trPr>
          <w:trHeight w:val="300"/>
        </w:trPr>
        <w:tc>
          <w:tcPr>
            <w:tcW w:w="1560" w:type="dxa"/>
          </w:tcPr>
          <w:p w14:paraId="448DED4D" w14:textId="7BE4B10A" w:rsidR="00413234" w:rsidRDefault="0007383E" w:rsidP="006C4F60">
            <w:pPr>
              <w:jc w:val="left"/>
            </w:pPr>
            <w:r>
              <w:rPr>
                <w:color w:val="4472C4" w:themeColor="accent1"/>
                <w:sz w:val="13"/>
                <w:szCs w:val="13"/>
              </w:rPr>
              <w:t>AASB </w:t>
            </w:r>
            <w:r w:rsidR="00413234" w:rsidRPr="60A6DAF9">
              <w:rPr>
                <w:color w:val="4472C4" w:themeColor="accent1"/>
                <w:sz w:val="13"/>
                <w:szCs w:val="13"/>
              </w:rPr>
              <w:t xml:space="preserve">1060.134 </w:t>
            </w:r>
            <w:r w:rsidR="00413234">
              <w:rPr>
                <w:rFonts w:hint="eastAsia"/>
                <w:color w:val="4472C4" w:themeColor="accent1"/>
                <w:sz w:val="13"/>
                <w:szCs w:val="13"/>
                <w:lang w:eastAsia="zh-CN"/>
              </w:rPr>
              <w:t>(a)</w:t>
            </w:r>
            <w:r w:rsidR="00413234" w:rsidRPr="60A6DAF9">
              <w:rPr>
                <w:color w:val="4472C4" w:themeColor="accent1"/>
                <w:sz w:val="13"/>
                <w:szCs w:val="13"/>
              </w:rPr>
              <w:t>(d)</w:t>
            </w:r>
          </w:p>
        </w:tc>
        <w:tc>
          <w:tcPr>
            <w:tcW w:w="2895" w:type="dxa"/>
            <w:tcBorders>
              <w:bottom w:val="nil"/>
            </w:tcBorders>
          </w:tcPr>
          <w:p w14:paraId="13D575C5" w14:textId="77777777" w:rsidR="00413234" w:rsidRPr="0067675F" w:rsidRDefault="00413234" w:rsidP="00413234">
            <w:pPr>
              <w:jc w:val="left"/>
            </w:pPr>
            <w:r w:rsidRPr="0067675F">
              <w:t>Cultural assets at fair value</w:t>
            </w:r>
          </w:p>
        </w:tc>
        <w:tc>
          <w:tcPr>
            <w:tcW w:w="932" w:type="dxa"/>
            <w:tcBorders>
              <w:bottom w:val="nil"/>
            </w:tcBorders>
            <w:vAlign w:val="center"/>
          </w:tcPr>
          <w:p w14:paraId="7F13D563" w14:textId="6AB9BC2A" w:rsidR="00413234" w:rsidRPr="0067675F" w:rsidRDefault="00413234" w:rsidP="00706101">
            <w:r w:rsidRPr="00444D2F">
              <w:t>2</w:t>
            </w:r>
            <w:r w:rsidR="003E3065">
              <w:rPr>
                <w:rFonts w:hint="eastAsia"/>
                <w:lang w:eastAsia="zh-CN"/>
              </w:rPr>
              <w:t xml:space="preserve"> </w:t>
            </w:r>
            <w:r w:rsidRPr="00444D2F">
              <w:t>764</w:t>
            </w:r>
          </w:p>
        </w:tc>
        <w:tc>
          <w:tcPr>
            <w:tcW w:w="850" w:type="dxa"/>
            <w:tcBorders>
              <w:bottom w:val="nil"/>
            </w:tcBorders>
            <w:vAlign w:val="center"/>
          </w:tcPr>
          <w:p w14:paraId="36EE3A77" w14:textId="72749330" w:rsidR="00413234" w:rsidRPr="0067675F" w:rsidRDefault="00413234" w:rsidP="00706101">
            <w:r>
              <w:t>..</w:t>
            </w:r>
          </w:p>
        </w:tc>
        <w:tc>
          <w:tcPr>
            <w:tcW w:w="810" w:type="dxa"/>
            <w:tcBorders>
              <w:bottom w:val="nil"/>
            </w:tcBorders>
            <w:vAlign w:val="center"/>
          </w:tcPr>
          <w:p w14:paraId="6C45B8AD" w14:textId="77777777" w:rsidR="00413234" w:rsidRPr="0067675F" w:rsidRDefault="00413234" w:rsidP="00706101">
            <w:r w:rsidRPr="0067675F">
              <w:t>..</w:t>
            </w:r>
          </w:p>
        </w:tc>
        <w:tc>
          <w:tcPr>
            <w:tcW w:w="864" w:type="dxa"/>
            <w:tcBorders>
              <w:bottom w:val="nil"/>
            </w:tcBorders>
            <w:vAlign w:val="center"/>
          </w:tcPr>
          <w:p w14:paraId="49CAAFB2" w14:textId="77777777" w:rsidR="00413234" w:rsidRPr="0067675F" w:rsidRDefault="00413234" w:rsidP="00706101">
            <w:r w:rsidRPr="0067675F">
              <w:t>..</w:t>
            </w:r>
          </w:p>
        </w:tc>
        <w:tc>
          <w:tcPr>
            <w:tcW w:w="864" w:type="dxa"/>
            <w:tcBorders>
              <w:bottom w:val="nil"/>
            </w:tcBorders>
            <w:vAlign w:val="center"/>
          </w:tcPr>
          <w:p w14:paraId="7FC31A66" w14:textId="7D3F82E8" w:rsidR="00413234" w:rsidRPr="0067675F" w:rsidRDefault="00413234" w:rsidP="00706101">
            <w:r w:rsidRPr="0097002F">
              <w:t>2</w:t>
            </w:r>
            <w:r w:rsidR="003E3065">
              <w:rPr>
                <w:rFonts w:hint="eastAsia"/>
                <w:lang w:eastAsia="zh-CN"/>
              </w:rPr>
              <w:t xml:space="preserve"> </w:t>
            </w:r>
            <w:r w:rsidRPr="0097002F">
              <w:t>764</w:t>
            </w:r>
          </w:p>
        </w:tc>
        <w:tc>
          <w:tcPr>
            <w:tcW w:w="864" w:type="dxa"/>
            <w:tcBorders>
              <w:bottom w:val="nil"/>
            </w:tcBorders>
            <w:vAlign w:val="center"/>
          </w:tcPr>
          <w:p w14:paraId="7AD8B9FB" w14:textId="088E02D5" w:rsidR="00413234" w:rsidRPr="0067675F" w:rsidRDefault="00413234" w:rsidP="00706101">
            <w:r w:rsidRPr="0067675F">
              <w:t>..</w:t>
            </w:r>
          </w:p>
        </w:tc>
      </w:tr>
      <w:tr w:rsidR="00786125" w14:paraId="28BE3695" w14:textId="77777777" w:rsidTr="00E51206">
        <w:trPr>
          <w:trHeight w:val="300"/>
        </w:trPr>
        <w:tc>
          <w:tcPr>
            <w:tcW w:w="1560" w:type="dxa"/>
          </w:tcPr>
          <w:p w14:paraId="32B27F8F" w14:textId="3EAB05DE" w:rsidR="00786125" w:rsidRDefault="00786125" w:rsidP="00E51206">
            <w:pPr>
              <w:jc w:val="left"/>
              <w:rPr>
                <w:color w:val="4472C4" w:themeColor="accent1"/>
                <w:sz w:val="13"/>
                <w:szCs w:val="13"/>
              </w:rPr>
            </w:pPr>
            <w:r>
              <w:rPr>
                <w:color w:val="4472C4" w:themeColor="accent1"/>
                <w:sz w:val="13"/>
                <w:szCs w:val="13"/>
              </w:rPr>
              <w:t>AASB </w:t>
            </w:r>
            <w:r w:rsidRPr="60A6DAF9">
              <w:rPr>
                <w:color w:val="4472C4" w:themeColor="accent1"/>
                <w:sz w:val="13"/>
                <w:szCs w:val="13"/>
              </w:rPr>
              <w:t xml:space="preserve">1060.134 </w:t>
            </w:r>
            <w:r>
              <w:rPr>
                <w:rFonts w:hint="eastAsia"/>
                <w:color w:val="4472C4" w:themeColor="accent1"/>
                <w:sz w:val="13"/>
                <w:szCs w:val="13"/>
                <w:lang w:eastAsia="zh-CN"/>
              </w:rPr>
              <w:t>(a)</w:t>
            </w:r>
            <w:r w:rsidRPr="60A6DAF9">
              <w:rPr>
                <w:color w:val="4472C4" w:themeColor="accent1"/>
                <w:sz w:val="13"/>
                <w:szCs w:val="13"/>
              </w:rPr>
              <w:t>(d)</w:t>
            </w:r>
          </w:p>
        </w:tc>
        <w:tc>
          <w:tcPr>
            <w:tcW w:w="2895" w:type="dxa"/>
            <w:tcBorders>
              <w:top w:val="nil"/>
              <w:bottom w:val="single" w:sz="12" w:space="0" w:color="auto"/>
            </w:tcBorders>
          </w:tcPr>
          <w:p w14:paraId="04D44DF2" w14:textId="23B335A1" w:rsidR="00786125" w:rsidRPr="00E51206" w:rsidRDefault="00786125" w:rsidP="00E51206">
            <w:pPr>
              <w:jc w:val="left"/>
              <w:rPr>
                <w:vertAlign w:val="superscript"/>
              </w:rPr>
            </w:pPr>
            <w:r>
              <w:t xml:space="preserve">Right-of-use assets: buildings, plant, equipment and vehicles </w:t>
            </w:r>
            <w:r>
              <w:rPr>
                <w:vertAlign w:val="superscript"/>
              </w:rPr>
              <w:t>(c)</w:t>
            </w:r>
          </w:p>
        </w:tc>
        <w:tc>
          <w:tcPr>
            <w:tcW w:w="932" w:type="dxa"/>
            <w:tcBorders>
              <w:top w:val="nil"/>
              <w:bottom w:val="single" w:sz="12" w:space="0" w:color="auto"/>
            </w:tcBorders>
            <w:vAlign w:val="center"/>
          </w:tcPr>
          <w:p w14:paraId="5FBEEAD8" w14:textId="7FBABE38" w:rsidR="00786125" w:rsidRPr="00444D2F" w:rsidRDefault="00786125" w:rsidP="00786125">
            <w:r>
              <w:t>15 353</w:t>
            </w:r>
          </w:p>
        </w:tc>
        <w:tc>
          <w:tcPr>
            <w:tcW w:w="850" w:type="dxa"/>
            <w:tcBorders>
              <w:top w:val="nil"/>
              <w:bottom w:val="single" w:sz="12" w:space="0" w:color="auto"/>
            </w:tcBorders>
            <w:vAlign w:val="center"/>
          </w:tcPr>
          <w:p w14:paraId="3A444792" w14:textId="3A206DFE" w:rsidR="00786125" w:rsidRDefault="00786125" w:rsidP="00786125">
            <w:r>
              <w:t>15 353</w:t>
            </w:r>
          </w:p>
        </w:tc>
        <w:tc>
          <w:tcPr>
            <w:tcW w:w="810" w:type="dxa"/>
            <w:tcBorders>
              <w:top w:val="nil"/>
              <w:bottom w:val="single" w:sz="12" w:space="0" w:color="auto"/>
            </w:tcBorders>
            <w:vAlign w:val="center"/>
          </w:tcPr>
          <w:p w14:paraId="687A837A" w14:textId="092888A9" w:rsidR="00786125" w:rsidRPr="0067675F" w:rsidRDefault="00786125" w:rsidP="00786125">
            <w:r>
              <w:t>(2 066)</w:t>
            </w:r>
          </w:p>
        </w:tc>
        <w:tc>
          <w:tcPr>
            <w:tcW w:w="864" w:type="dxa"/>
            <w:tcBorders>
              <w:top w:val="nil"/>
              <w:bottom w:val="single" w:sz="12" w:space="0" w:color="auto"/>
            </w:tcBorders>
            <w:vAlign w:val="center"/>
          </w:tcPr>
          <w:p w14:paraId="3F12DE8D" w14:textId="730F77A2" w:rsidR="00786125" w:rsidRPr="0067675F" w:rsidRDefault="00786125" w:rsidP="00786125">
            <w:r>
              <w:t>(1 717)</w:t>
            </w:r>
          </w:p>
        </w:tc>
        <w:tc>
          <w:tcPr>
            <w:tcW w:w="864" w:type="dxa"/>
            <w:tcBorders>
              <w:top w:val="nil"/>
              <w:bottom w:val="single" w:sz="12" w:space="0" w:color="auto"/>
            </w:tcBorders>
            <w:vAlign w:val="center"/>
          </w:tcPr>
          <w:p w14:paraId="51F08B08" w14:textId="3EC53B61" w:rsidR="00786125" w:rsidRPr="0097002F" w:rsidRDefault="00786125" w:rsidP="00786125">
            <w:r>
              <w:t>13 287</w:t>
            </w:r>
          </w:p>
        </w:tc>
        <w:tc>
          <w:tcPr>
            <w:tcW w:w="864" w:type="dxa"/>
            <w:tcBorders>
              <w:top w:val="nil"/>
              <w:bottom w:val="single" w:sz="12" w:space="0" w:color="auto"/>
            </w:tcBorders>
            <w:vAlign w:val="center"/>
          </w:tcPr>
          <w:p w14:paraId="14129A82" w14:textId="3355200E" w:rsidR="00786125" w:rsidRPr="0067675F" w:rsidRDefault="00786125" w:rsidP="00786125">
            <w:r>
              <w:t>13 636</w:t>
            </w:r>
          </w:p>
        </w:tc>
      </w:tr>
      <w:tr w:rsidR="00786125" w14:paraId="124CD4DD" w14:textId="77777777" w:rsidTr="002A0038">
        <w:trPr>
          <w:trHeight w:val="300"/>
        </w:trPr>
        <w:tc>
          <w:tcPr>
            <w:tcW w:w="1560" w:type="dxa"/>
            <w:tcBorders>
              <w:bottom w:val="nil"/>
            </w:tcBorders>
          </w:tcPr>
          <w:p w14:paraId="79D6055E" w14:textId="77777777" w:rsidR="00786125" w:rsidRDefault="00786125" w:rsidP="00786125">
            <w:pPr>
              <w:jc w:val="left"/>
            </w:pPr>
          </w:p>
        </w:tc>
        <w:tc>
          <w:tcPr>
            <w:tcW w:w="2895" w:type="dxa"/>
            <w:tcBorders>
              <w:top w:val="single" w:sz="6" w:space="0" w:color="auto"/>
            </w:tcBorders>
          </w:tcPr>
          <w:p w14:paraId="2298D419" w14:textId="77777777" w:rsidR="00786125" w:rsidRDefault="00786125" w:rsidP="00786125">
            <w:pPr>
              <w:jc w:val="left"/>
            </w:pPr>
            <w:r>
              <w:rPr>
                <w:b/>
              </w:rPr>
              <w:t>Net carrying amount</w:t>
            </w:r>
          </w:p>
        </w:tc>
        <w:tc>
          <w:tcPr>
            <w:tcW w:w="932" w:type="dxa"/>
            <w:tcBorders>
              <w:top w:val="single" w:sz="6" w:space="0" w:color="auto"/>
            </w:tcBorders>
          </w:tcPr>
          <w:p w14:paraId="5C0D7AC1" w14:textId="4B0F654B" w:rsidR="00786125" w:rsidRPr="002A0038" w:rsidRDefault="00786125" w:rsidP="00786125">
            <w:pPr>
              <w:rPr>
                <w:b/>
                <w:bCs/>
              </w:rPr>
            </w:pPr>
            <w:r w:rsidRPr="002A0038">
              <w:rPr>
                <w:b/>
                <w:bCs/>
              </w:rPr>
              <w:t>158</w:t>
            </w:r>
            <w:r>
              <w:rPr>
                <w:rFonts w:hint="eastAsia"/>
                <w:b/>
                <w:bCs/>
                <w:lang w:eastAsia="zh-CN"/>
              </w:rPr>
              <w:t xml:space="preserve"> </w:t>
            </w:r>
            <w:r w:rsidRPr="002A0038">
              <w:rPr>
                <w:b/>
                <w:bCs/>
              </w:rPr>
              <w:t>723</w:t>
            </w:r>
          </w:p>
        </w:tc>
        <w:tc>
          <w:tcPr>
            <w:tcW w:w="850" w:type="dxa"/>
            <w:tcBorders>
              <w:top w:val="single" w:sz="6" w:space="0" w:color="auto"/>
            </w:tcBorders>
          </w:tcPr>
          <w:p w14:paraId="0C2B1662" w14:textId="28ADC5C4" w:rsidR="00786125" w:rsidRPr="002A0038" w:rsidRDefault="00786125" w:rsidP="00786125">
            <w:pPr>
              <w:rPr>
                <w:b/>
                <w:bCs/>
              </w:rPr>
            </w:pPr>
            <w:r w:rsidRPr="002A0038">
              <w:rPr>
                <w:b/>
                <w:bCs/>
              </w:rPr>
              <w:t>153</w:t>
            </w:r>
            <w:r>
              <w:rPr>
                <w:rFonts w:hint="eastAsia"/>
                <w:b/>
                <w:bCs/>
                <w:lang w:eastAsia="zh-CN"/>
              </w:rPr>
              <w:t xml:space="preserve"> </w:t>
            </w:r>
            <w:r w:rsidRPr="002A0038">
              <w:rPr>
                <w:b/>
                <w:bCs/>
              </w:rPr>
              <w:t>784</w:t>
            </w:r>
          </w:p>
        </w:tc>
        <w:tc>
          <w:tcPr>
            <w:tcW w:w="810" w:type="dxa"/>
            <w:tcBorders>
              <w:top w:val="single" w:sz="6" w:space="0" w:color="auto"/>
            </w:tcBorders>
          </w:tcPr>
          <w:p w14:paraId="6C066007" w14:textId="2D88A9AD" w:rsidR="00786125" w:rsidRPr="002A0038" w:rsidRDefault="00786125" w:rsidP="00786125">
            <w:pPr>
              <w:rPr>
                <w:b/>
                <w:bCs/>
              </w:rPr>
            </w:pPr>
            <w:r w:rsidRPr="002A0038">
              <w:rPr>
                <w:b/>
                <w:bCs/>
              </w:rPr>
              <w:t>(14</w:t>
            </w:r>
            <w:r>
              <w:rPr>
                <w:rFonts w:hint="eastAsia"/>
                <w:b/>
                <w:bCs/>
                <w:lang w:eastAsia="zh-CN"/>
              </w:rPr>
              <w:t xml:space="preserve"> </w:t>
            </w:r>
            <w:r w:rsidRPr="002A0038">
              <w:rPr>
                <w:b/>
                <w:bCs/>
              </w:rPr>
              <w:t>818)</w:t>
            </w:r>
          </w:p>
        </w:tc>
        <w:tc>
          <w:tcPr>
            <w:tcW w:w="864" w:type="dxa"/>
            <w:tcBorders>
              <w:top w:val="single" w:sz="6" w:space="0" w:color="auto"/>
            </w:tcBorders>
          </w:tcPr>
          <w:p w14:paraId="4B9ECFBF" w14:textId="6EE21189" w:rsidR="00786125" w:rsidRPr="002A0038" w:rsidRDefault="00786125" w:rsidP="00786125">
            <w:pPr>
              <w:rPr>
                <w:b/>
                <w:bCs/>
              </w:rPr>
            </w:pPr>
            <w:r w:rsidRPr="002A0038">
              <w:rPr>
                <w:b/>
                <w:bCs/>
              </w:rPr>
              <w:t>(18</w:t>
            </w:r>
            <w:r>
              <w:rPr>
                <w:rFonts w:hint="eastAsia"/>
                <w:b/>
                <w:bCs/>
                <w:lang w:eastAsia="zh-CN"/>
              </w:rPr>
              <w:t xml:space="preserve"> </w:t>
            </w:r>
            <w:r w:rsidRPr="002A0038">
              <w:rPr>
                <w:b/>
                <w:bCs/>
              </w:rPr>
              <w:t>101)</w:t>
            </w:r>
          </w:p>
        </w:tc>
        <w:tc>
          <w:tcPr>
            <w:tcW w:w="864" w:type="dxa"/>
            <w:tcBorders>
              <w:top w:val="single" w:sz="6" w:space="0" w:color="auto"/>
            </w:tcBorders>
          </w:tcPr>
          <w:p w14:paraId="2694BF1C" w14:textId="71C79DBE" w:rsidR="00786125" w:rsidRPr="002A0038" w:rsidRDefault="00786125" w:rsidP="00786125">
            <w:pPr>
              <w:rPr>
                <w:b/>
                <w:bCs/>
              </w:rPr>
            </w:pPr>
            <w:r w:rsidRPr="002A0038">
              <w:rPr>
                <w:b/>
                <w:bCs/>
              </w:rPr>
              <w:t>143</w:t>
            </w:r>
            <w:r>
              <w:rPr>
                <w:rFonts w:hint="eastAsia"/>
                <w:b/>
                <w:bCs/>
                <w:lang w:eastAsia="zh-CN"/>
              </w:rPr>
              <w:t xml:space="preserve"> </w:t>
            </w:r>
            <w:r w:rsidRPr="002A0038">
              <w:rPr>
                <w:b/>
                <w:bCs/>
              </w:rPr>
              <w:t>905</w:t>
            </w:r>
          </w:p>
        </w:tc>
        <w:tc>
          <w:tcPr>
            <w:tcW w:w="864" w:type="dxa"/>
            <w:tcBorders>
              <w:top w:val="single" w:sz="6" w:space="0" w:color="auto"/>
            </w:tcBorders>
          </w:tcPr>
          <w:p w14:paraId="33745E27" w14:textId="11FB6E4C" w:rsidR="00786125" w:rsidRPr="002A0038" w:rsidRDefault="00786125" w:rsidP="00786125">
            <w:pPr>
              <w:rPr>
                <w:b/>
                <w:bCs/>
              </w:rPr>
            </w:pPr>
            <w:r w:rsidRPr="002A0038">
              <w:rPr>
                <w:b/>
                <w:bCs/>
              </w:rPr>
              <w:t>135</w:t>
            </w:r>
            <w:r>
              <w:rPr>
                <w:rFonts w:hint="eastAsia"/>
                <w:b/>
                <w:bCs/>
                <w:lang w:eastAsia="zh-CN"/>
              </w:rPr>
              <w:t xml:space="preserve"> </w:t>
            </w:r>
            <w:r w:rsidRPr="002A0038">
              <w:rPr>
                <w:b/>
                <w:bCs/>
              </w:rPr>
              <w:t>683</w:t>
            </w:r>
          </w:p>
        </w:tc>
      </w:tr>
    </w:tbl>
    <w:p w14:paraId="1C7CD6D6" w14:textId="18561BE5" w:rsidR="003719CD" w:rsidRPr="00FC6C86" w:rsidRDefault="003719CD" w:rsidP="007D536F">
      <w:pPr>
        <w:pStyle w:val="Note"/>
      </w:pPr>
      <w:r w:rsidRPr="00FC6C86">
        <w:t>Note</w:t>
      </w:r>
      <w:r w:rsidR="00F67BC1">
        <w:t>s</w:t>
      </w:r>
      <w:r w:rsidRPr="00FC6C86">
        <w:t>:</w:t>
      </w:r>
    </w:p>
    <w:p w14:paraId="5AE6600B" w14:textId="174BEB3D" w:rsidR="001F2260" w:rsidRDefault="003719CD" w:rsidP="00E51206">
      <w:pPr>
        <w:pStyle w:val="Note"/>
        <w:numPr>
          <w:ilvl w:val="0"/>
          <w:numId w:val="405"/>
        </w:numPr>
        <w:rPr>
          <w:rStyle w:val="Reference"/>
          <w:rFonts w:asciiTheme="majorHAnsi" w:eastAsiaTheme="majorEastAsia" w:hAnsiTheme="majorHAnsi" w:cstheme="majorBidi"/>
          <w:b/>
          <w:i w:val="0"/>
          <w:sz w:val="12"/>
          <w:szCs w:val="14"/>
        </w:rPr>
      </w:pPr>
      <w:r w:rsidRPr="00E51206">
        <w:t>If any entity has significant land under roads, i.e. significant in value and/or difference in methodology, it should be disclosed separately from land.</w:t>
      </w:r>
      <w:r w:rsidR="00067367" w:rsidRPr="00E51206">
        <w:rPr>
          <w:rStyle w:val="Guidance"/>
          <w:color w:val="auto"/>
        </w:rPr>
        <w:t xml:space="preserve"> </w:t>
      </w:r>
      <w:r w:rsidR="00067367" w:rsidRPr="00E10CD7">
        <w:rPr>
          <w:rStyle w:val="Reference"/>
          <w:sz w:val="12"/>
          <w:szCs w:val="14"/>
        </w:rPr>
        <w:t>[</w:t>
      </w:r>
      <w:r w:rsidR="0007383E">
        <w:rPr>
          <w:rStyle w:val="Reference"/>
          <w:sz w:val="12"/>
          <w:szCs w:val="14"/>
        </w:rPr>
        <w:t>AASB </w:t>
      </w:r>
      <w:r w:rsidR="00067367" w:rsidRPr="00E10CD7">
        <w:rPr>
          <w:rStyle w:val="Reference"/>
          <w:sz w:val="12"/>
          <w:szCs w:val="14"/>
        </w:rPr>
        <w:t>1060.</w:t>
      </w:r>
      <w:r w:rsidR="008F04BC">
        <w:rPr>
          <w:rStyle w:val="Reference"/>
          <w:sz w:val="12"/>
          <w:szCs w:val="14"/>
        </w:rPr>
        <w:t>221</w:t>
      </w:r>
      <w:r w:rsidR="00067367" w:rsidRPr="00E10CD7">
        <w:rPr>
          <w:rStyle w:val="Reference"/>
          <w:sz w:val="12"/>
          <w:szCs w:val="14"/>
        </w:rPr>
        <w:t>]</w:t>
      </w:r>
    </w:p>
    <w:p w14:paraId="7742D28D" w14:textId="7EF7982C" w:rsidR="00F67BC1" w:rsidRPr="00F67BC1" w:rsidRDefault="00F67BC1" w:rsidP="00F67BC1">
      <w:pPr>
        <w:pStyle w:val="Note"/>
        <w:numPr>
          <w:ilvl w:val="0"/>
          <w:numId w:val="405"/>
        </w:numPr>
      </w:pPr>
      <w:r w:rsidRPr="00F67BC1">
        <w:t xml:space="preserve">Assets under construction are valued at both cost and at fair value. Where assets under construction are procured using a public private partnership model, they are measured at fair value in accordance with FRD 103: </w:t>
      </w:r>
      <w:r w:rsidRPr="00F67BC1">
        <w:rPr>
          <w:i w:val="0"/>
        </w:rPr>
        <w:t>Non-financial physical assets</w:t>
      </w:r>
      <w:r w:rsidRPr="00F67BC1">
        <w:t xml:space="preserve">. The financing cost included in the purchase price is used as a proxy for the increase in the fair value for these assets under construction </w:t>
      </w:r>
      <w:proofErr w:type="gramStart"/>
      <w:r w:rsidRPr="00F67BC1">
        <w:t>and also</w:t>
      </w:r>
      <w:proofErr w:type="gramEnd"/>
      <w:r w:rsidRPr="00F67BC1">
        <w:t xml:space="preserve"> recorded in the asset revaluation reserve.</w:t>
      </w:r>
    </w:p>
    <w:p w14:paraId="17FA609C" w14:textId="0E29A4D0" w:rsidR="00F67BC1" w:rsidRPr="00F67BC1" w:rsidRDefault="00F67BC1" w:rsidP="00E51206">
      <w:pPr>
        <w:pStyle w:val="Note"/>
        <w:numPr>
          <w:ilvl w:val="0"/>
          <w:numId w:val="405"/>
        </w:numPr>
      </w:pPr>
      <w:r w:rsidRPr="00F67BC1">
        <w:tab/>
        <w:t xml:space="preserve">As a result of a change in FRD 104 </w:t>
      </w:r>
      <w:r w:rsidRPr="00E51206">
        <w:rPr>
          <w:i w:val="0"/>
        </w:rPr>
        <w:t>Leases</w:t>
      </w:r>
      <w:r w:rsidRPr="00F67BC1">
        <w:t xml:space="preserve"> effective for reporting periods from 30 June 20X2, right-of-use assets are measured at cost for reporting period 20X2. The comparative information for reporting period 20X1 is not restated and is reported at the previously determined fair value. For further information, refer to </w:t>
      </w:r>
      <w:r w:rsidR="001C7278">
        <w:t>N</w:t>
      </w:r>
      <w:r w:rsidRPr="00F67BC1">
        <w:t>ote 8.3.</w:t>
      </w:r>
    </w:p>
    <w:p w14:paraId="4B757B40" w14:textId="523039D4" w:rsidR="007D3145" w:rsidRPr="00E10CD7" w:rsidRDefault="00790A45" w:rsidP="007D536F">
      <w:pPr>
        <w:keepNext/>
        <w:rPr>
          <w:color w:val="C00000"/>
          <w:sz w:val="16"/>
        </w:rPr>
      </w:pPr>
      <w:r w:rsidRPr="00790A45">
        <w:t xml:space="preserve">Items of property, plant and equipment are measured initially at cost and subsequently revalued at fair value less accumulated depreciation and impairment. Where an asset is acquired for no or nominal cost, the cost is its fair value at the date of acquisition. Assets transferred as part of a machinery of government change are transferred at their carrying amount. </w:t>
      </w:r>
      <w:r w:rsidRPr="00E10CD7">
        <w:rPr>
          <w:rStyle w:val="Reference"/>
        </w:rPr>
        <w:t>[</w:t>
      </w:r>
      <w:r w:rsidR="0007383E">
        <w:rPr>
          <w:rStyle w:val="Reference"/>
        </w:rPr>
        <w:t>AASB </w:t>
      </w:r>
      <w:r w:rsidRPr="00E10CD7">
        <w:rPr>
          <w:rStyle w:val="Reference"/>
        </w:rPr>
        <w:t>116.73(a); FRD 103</w:t>
      </w:r>
      <w:r>
        <w:rPr>
          <w:rStyle w:val="Reference"/>
        </w:rPr>
        <w:t>; 1060.134(a)</w:t>
      </w:r>
      <w:r w:rsidRPr="00E10CD7">
        <w:rPr>
          <w:rStyle w:val="Reference"/>
        </w:rPr>
        <w:t>]</w:t>
      </w:r>
      <w:r w:rsidR="007D3145">
        <w:rPr>
          <w:rStyle w:val="Reference"/>
        </w:rPr>
        <w:t xml:space="preserve"> </w:t>
      </w:r>
      <w:r w:rsidR="007D3145" w:rsidRPr="00E10CD7">
        <w:t>The cost of constructed non-financial physical assets includes the cost of all materials used in construction, direct labour on the project and an appropriate proportion of variable and fixed overheads</w:t>
      </w:r>
      <w:r w:rsidR="007D3145">
        <w:t>.</w:t>
      </w:r>
    </w:p>
    <w:p w14:paraId="0573C729" w14:textId="7A287373" w:rsidR="003719CD" w:rsidRDefault="003719CD" w:rsidP="007D536F">
      <w:pPr>
        <w:keepNext/>
      </w:pPr>
      <w:r>
        <w:t>The following tables are</w:t>
      </w:r>
      <w:r w:rsidR="00533217">
        <w:rPr>
          <w:rFonts w:hint="eastAsia"/>
          <w:lang w:eastAsia="zh-CN"/>
        </w:rPr>
        <w:t xml:space="preserve"> right-of-use assets </w:t>
      </w:r>
      <w:r w:rsidR="00E14C35">
        <w:rPr>
          <w:lang w:eastAsia="zh-CN"/>
        </w:rPr>
        <w:t xml:space="preserve">included in the PPE balance, </w:t>
      </w:r>
      <w:r w:rsidR="00533217">
        <w:rPr>
          <w:rFonts w:hint="eastAsia"/>
          <w:lang w:eastAsia="zh-CN"/>
        </w:rPr>
        <w:t>pr</w:t>
      </w:r>
      <w:r w:rsidR="00234A78">
        <w:rPr>
          <w:rFonts w:hint="eastAsia"/>
          <w:lang w:eastAsia="zh-CN"/>
        </w:rPr>
        <w:t>esented by</w:t>
      </w:r>
      <w:r>
        <w:t xml:space="preserve"> subsets of buildings, and plant and equipment</w:t>
      </w:r>
      <w:r w:rsidR="00234A78">
        <w:rPr>
          <w:rFonts w:hint="eastAsia"/>
          <w:lang w:eastAsia="zh-CN"/>
        </w:rPr>
        <w:t xml:space="preserve">. </w:t>
      </w:r>
    </w:p>
    <w:p w14:paraId="45AC3414" w14:textId="568C3822" w:rsidR="003719CD" w:rsidRDefault="0009F535" w:rsidP="60A6DAF9">
      <w:pPr>
        <w:pStyle w:val="Heading3numbered"/>
        <w:rPr>
          <w:rStyle w:val="Reference"/>
        </w:rPr>
      </w:pPr>
      <w:bookmarkStart w:id="2351" w:name="_Toc179812626"/>
      <w:bookmarkStart w:id="2352" w:name="_Toc179818326"/>
      <w:bookmarkStart w:id="2353" w:name="_Toc179824026"/>
      <w:bookmarkStart w:id="2354" w:name="_Toc179829706"/>
      <w:bookmarkStart w:id="2355" w:name="_Toc179861236"/>
      <w:r>
        <w:t>Total right-of-use assets: buildings, plant, equipment and vehicles</w:t>
      </w:r>
      <w:bookmarkEnd w:id="2351"/>
      <w:bookmarkEnd w:id="2352"/>
      <w:bookmarkEnd w:id="2353"/>
      <w:bookmarkEnd w:id="2354"/>
      <w:bookmarkEnd w:id="2355"/>
      <w:r>
        <w:t xml:space="preserve"> </w:t>
      </w:r>
      <w:r w:rsidR="00A437DD" w:rsidRPr="00E51206">
        <w:rPr>
          <w:color w:val="C00000"/>
        </w:rPr>
        <w:t>[REVISED]</w:t>
      </w:r>
    </w:p>
    <w:p w14:paraId="7A56C857" w14:textId="77777777" w:rsidR="003719CD" w:rsidRDefault="003719CD" w:rsidP="007D536F">
      <w:pPr>
        <w:pStyle w:val="TableUnits"/>
      </w:pPr>
      <w:r>
        <w:t>($ thousand)</w:t>
      </w:r>
    </w:p>
    <w:tbl>
      <w:tblPr>
        <w:tblStyle w:val="DTFTable"/>
        <w:tblW w:w="9639" w:type="dxa"/>
        <w:tblLayout w:type="fixed"/>
        <w:tblLook w:val="0620" w:firstRow="1" w:lastRow="0" w:firstColumn="0" w:lastColumn="0" w:noHBand="1" w:noVBand="1"/>
      </w:tblPr>
      <w:tblGrid>
        <w:gridCol w:w="1344"/>
        <w:gridCol w:w="2200"/>
        <w:gridCol w:w="851"/>
        <w:gridCol w:w="1275"/>
        <w:gridCol w:w="851"/>
        <w:gridCol w:w="992"/>
        <w:gridCol w:w="1204"/>
        <w:gridCol w:w="922"/>
      </w:tblGrid>
      <w:tr w:rsidR="00336BC7" w14:paraId="176B71B0" w14:textId="77777777">
        <w:trPr>
          <w:cnfStyle w:val="100000000000" w:firstRow="1" w:lastRow="0" w:firstColumn="0" w:lastColumn="0" w:oddVBand="0" w:evenVBand="0" w:oddHBand="0" w:evenHBand="0" w:firstRowFirstColumn="0" w:firstRowLastColumn="0" w:lastRowFirstColumn="0" w:lastRowLastColumn="0"/>
          <w:tblHeader/>
        </w:trPr>
        <w:tc>
          <w:tcPr>
            <w:tcW w:w="1344" w:type="dxa"/>
            <w:tcBorders>
              <w:top w:val="nil"/>
              <w:bottom w:val="nil"/>
            </w:tcBorders>
            <w:shd w:val="clear" w:color="auto" w:fill="FFFFFF" w:themeFill="background1"/>
          </w:tcPr>
          <w:p w14:paraId="288EDBD5" w14:textId="77777777" w:rsidR="00336BC7" w:rsidRDefault="00336BC7" w:rsidP="00336BC7">
            <w:pPr>
              <w:keepNext/>
              <w:jc w:val="left"/>
            </w:pPr>
            <w:r>
              <w:rPr>
                <w:color w:val="4472C4"/>
                <w:sz w:val="13"/>
              </w:rPr>
              <w:t>Source reference</w:t>
            </w:r>
          </w:p>
        </w:tc>
        <w:tc>
          <w:tcPr>
            <w:tcW w:w="2200" w:type="dxa"/>
          </w:tcPr>
          <w:p w14:paraId="0B94410A" w14:textId="77777777" w:rsidR="00336BC7" w:rsidRDefault="00336BC7" w:rsidP="00336BC7">
            <w:pPr>
              <w:keepNext/>
              <w:jc w:val="left"/>
            </w:pPr>
          </w:p>
        </w:tc>
        <w:tc>
          <w:tcPr>
            <w:tcW w:w="2126" w:type="dxa"/>
            <w:gridSpan w:val="2"/>
          </w:tcPr>
          <w:p w14:paraId="606A5D92" w14:textId="77777777" w:rsidR="00336BC7" w:rsidRDefault="00336BC7" w:rsidP="00336BC7">
            <w:pPr>
              <w:keepNext/>
              <w:rPr>
                <w:bCs w:val="0"/>
                <w:i w:val="0"/>
              </w:rPr>
            </w:pPr>
            <w:r>
              <w:t>Gross carrying amount</w:t>
            </w:r>
          </w:p>
          <w:p w14:paraId="16D620D6" w14:textId="5C525A4C" w:rsidR="00336BC7" w:rsidRDefault="00336BC7" w:rsidP="00336BC7">
            <w:pPr>
              <w:keepNext/>
            </w:pPr>
          </w:p>
        </w:tc>
        <w:tc>
          <w:tcPr>
            <w:tcW w:w="1843" w:type="dxa"/>
            <w:gridSpan w:val="2"/>
          </w:tcPr>
          <w:p w14:paraId="69D86B70" w14:textId="5E5F0FAB" w:rsidR="00336BC7" w:rsidRDefault="00336BC7" w:rsidP="00E51206">
            <w:pPr>
              <w:keepNext/>
              <w:jc w:val="center"/>
              <w:rPr>
                <w:bCs w:val="0"/>
                <w:i w:val="0"/>
              </w:rPr>
            </w:pPr>
            <w:r w:rsidRPr="0088586C">
              <w:t>Accumulated depreciation</w:t>
            </w:r>
          </w:p>
          <w:p w14:paraId="047839F5" w14:textId="7FE8E8D6" w:rsidR="00336BC7" w:rsidRDefault="00336BC7" w:rsidP="00336BC7">
            <w:pPr>
              <w:keepNext/>
            </w:pPr>
          </w:p>
        </w:tc>
        <w:tc>
          <w:tcPr>
            <w:tcW w:w="2126" w:type="dxa"/>
            <w:gridSpan w:val="2"/>
          </w:tcPr>
          <w:p w14:paraId="1E149A2D" w14:textId="0EDDF221" w:rsidR="00336BC7" w:rsidRDefault="00336BC7" w:rsidP="00E51206">
            <w:pPr>
              <w:keepNext/>
              <w:jc w:val="center"/>
            </w:pPr>
            <w:r>
              <w:t>Net carrying amount</w:t>
            </w:r>
          </w:p>
        </w:tc>
      </w:tr>
      <w:tr w:rsidR="009C1C38" w14:paraId="6DFB1EA7" w14:textId="77777777" w:rsidTr="00336BC7">
        <w:trPr>
          <w:cnfStyle w:val="100000000000" w:firstRow="1" w:lastRow="0" w:firstColumn="0" w:lastColumn="0" w:oddVBand="0" w:evenVBand="0" w:oddHBand="0" w:evenHBand="0" w:firstRowFirstColumn="0" w:firstRowLastColumn="0" w:lastRowFirstColumn="0" w:lastRowLastColumn="0"/>
          <w:tblHeader/>
        </w:trPr>
        <w:tc>
          <w:tcPr>
            <w:tcW w:w="1344" w:type="dxa"/>
            <w:tcBorders>
              <w:top w:val="nil"/>
              <w:bottom w:val="nil"/>
            </w:tcBorders>
            <w:shd w:val="clear" w:color="auto" w:fill="FFFFFF" w:themeFill="background1"/>
          </w:tcPr>
          <w:p w14:paraId="0FF52F67" w14:textId="77777777" w:rsidR="00182709" w:rsidRDefault="00182709">
            <w:pPr>
              <w:keepNext/>
              <w:jc w:val="left"/>
            </w:pPr>
          </w:p>
        </w:tc>
        <w:tc>
          <w:tcPr>
            <w:tcW w:w="2200" w:type="dxa"/>
          </w:tcPr>
          <w:p w14:paraId="4C283A50" w14:textId="77777777" w:rsidR="00182709" w:rsidRDefault="00182709">
            <w:pPr>
              <w:keepNext/>
              <w:jc w:val="left"/>
            </w:pPr>
          </w:p>
        </w:tc>
        <w:tc>
          <w:tcPr>
            <w:tcW w:w="851" w:type="dxa"/>
          </w:tcPr>
          <w:p w14:paraId="3E51FC3C" w14:textId="77777777" w:rsidR="00182709" w:rsidRDefault="0044097C">
            <w:pPr>
              <w:keepNext/>
            </w:pPr>
            <w:r>
              <w:t>20X2</w:t>
            </w:r>
          </w:p>
        </w:tc>
        <w:tc>
          <w:tcPr>
            <w:tcW w:w="1275" w:type="dxa"/>
          </w:tcPr>
          <w:p w14:paraId="6A465639" w14:textId="704CE221" w:rsidR="00182709" w:rsidRDefault="0044097C">
            <w:pPr>
              <w:keepNext/>
            </w:pPr>
            <w:r>
              <w:t>20X</w:t>
            </w:r>
            <w:r w:rsidR="00336BC7">
              <w:t>1</w:t>
            </w:r>
          </w:p>
        </w:tc>
        <w:tc>
          <w:tcPr>
            <w:tcW w:w="851" w:type="dxa"/>
          </w:tcPr>
          <w:p w14:paraId="2766AD0A" w14:textId="77777777" w:rsidR="00182709" w:rsidRDefault="0044097C">
            <w:pPr>
              <w:keepNext/>
            </w:pPr>
            <w:r>
              <w:t>20X2</w:t>
            </w:r>
          </w:p>
        </w:tc>
        <w:tc>
          <w:tcPr>
            <w:tcW w:w="992" w:type="dxa"/>
          </w:tcPr>
          <w:p w14:paraId="2909146D" w14:textId="77777777" w:rsidR="00182709" w:rsidRDefault="0044097C">
            <w:pPr>
              <w:keepNext/>
            </w:pPr>
            <w:r>
              <w:t>20X1</w:t>
            </w:r>
          </w:p>
        </w:tc>
        <w:tc>
          <w:tcPr>
            <w:tcW w:w="1204" w:type="dxa"/>
          </w:tcPr>
          <w:p w14:paraId="5C61717D" w14:textId="508BED2B" w:rsidR="00182709" w:rsidRDefault="0044097C">
            <w:pPr>
              <w:keepNext/>
            </w:pPr>
            <w:r>
              <w:t>20X</w:t>
            </w:r>
            <w:r w:rsidR="00336BC7">
              <w:t>2</w:t>
            </w:r>
          </w:p>
        </w:tc>
        <w:tc>
          <w:tcPr>
            <w:tcW w:w="922" w:type="dxa"/>
          </w:tcPr>
          <w:p w14:paraId="214BA4B9" w14:textId="77777777" w:rsidR="00182709" w:rsidRDefault="0044097C">
            <w:pPr>
              <w:keepNext/>
            </w:pPr>
            <w:r>
              <w:t>20X1</w:t>
            </w:r>
          </w:p>
        </w:tc>
      </w:tr>
      <w:tr w:rsidR="00DD535A" w14:paraId="02A59112" w14:textId="77777777" w:rsidTr="009C1C38">
        <w:tc>
          <w:tcPr>
            <w:tcW w:w="1344" w:type="dxa"/>
          </w:tcPr>
          <w:p w14:paraId="55D3D784" w14:textId="42A92BA7" w:rsidR="00DD535A" w:rsidRDefault="00DD535A" w:rsidP="00DD535A">
            <w:pPr>
              <w:jc w:val="left"/>
              <w:rPr>
                <w:color w:val="4472C4" w:themeColor="accent1"/>
                <w:sz w:val="13"/>
                <w:szCs w:val="13"/>
              </w:rPr>
            </w:pPr>
            <w:proofErr w:type="gramStart"/>
            <w:r>
              <w:rPr>
                <w:color w:val="4472C4" w:themeColor="accent1"/>
                <w:sz w:val="13"/>
                <w:szCs w:val="13"/>
              </w:rPr>
              <w:t>AASB </w:t>
            </w:r>
            <w:r w:rsidRPr="067473FC">
              <w:rPr>
                <w:color w:val="4472C4" w:themeColor="accent1"/>
                <w:sz w:val="13"/>
                <w:szCs w:val="13"/>
              </w:rPr>
              <w:t xml:space="preserve"> 1060.144</w:t>
            </w:r>
            <w:proofErr w:type="gramEnd"/>
            <w:r w:rsidRPr="067473FC">
              <w:rPr>
                <w:color w:val="4472C4" w:themeColor="accent1"/>
                <w:sz w:val="13"/>
                <w:szCs w:val="13"/>
              </w:rPr>
              <w:t xml:space="preserve"> (a)</w:t>
            </w:r>
          </w:p>
        </w:tc>
        <w:tc>
          <w:tcPr>
            <w:tcW w:w="2200" w:type="dxa"/>
          </w:tcPr>
          <w:p w14:paraId="3AFFBDB1" w14:textId="23167B17" w:rsidR="00DD535A" w:rsidRPr="00E51206" w:rsidRDefault="00DD535A" w:rsidP="00DD535A">
            <w:pPr>
              <w:jc w:val="left"/>
              <w:rPr>
                <w:vertAlign w:val="superscript"/>
              </w:rPr>
            </w:pPr>
            <w:r>
              <w:t xml:space="preserve">Buildings </w:t>
            </w:r>
            <w:r>
              <w:rPr>
                <w:vertAlign w:val="superscript"/>
              </w:rPr>
              <w:t>(a)</w:t>
            </w:r>
          </w:p>
        </w:tc>
        <w:tc>
          <w:tcPr>
            <w:tcW w:w="851" w:type="dxa"/>
          </w:tcPr>
          <w:p w14:paraId="001D07DF" w14:textId="250FF141" w:rsidR="00DD535A" w:rsidRDefault="00DD535A" w:rsidP="00DD535A">
            <w:r w:rsidRPr="00451512">
              <w:t>10</w:t>
            </w:r>
            <w:r>
              <w:rPr>
                <w:rFonts w:hint="eastAsia"/>
                <w:lang w:eastAsia="zh-CN"/>
              </w:rPr>
              <w:t xml:space="preserve"> </w:t>
            </w:r>
            <w:r w:rsidRPr="00451512">
              <w:t>774</w:t>
            </w:r>
          </w:p>
        </w:tc>
        <w:tc>
          <w:tcPr>
            <w:tcW w:w="1275" w:type="dxa"/>
          </w:tcPr>
          <w:p w14:paraId="74C39DF2" w14:textId="307CED7C" w:rsidR="00DD535A" w:rsidRDefault="00DD535A" w:rsidP="00DD535A">
            <w:r w:rsidRPr="00FE3BEE">
              <w:t>10</w:t>
            </w:r>
            <w:r>
              <w:rPr>
                <w:rFonts w:hint="eastAsia"/>
                <w:lang w:eastAsia="zh-CN"/>
              </w:rPr>
              <w:t xml:space="preserve"> </w:t>
            </w:r>
            <w:r w:rsidRPr="00FE3BEE">
              <w:t>774</w:t>
            </w:r>
          </w:p>
        </w:tc>
        <w:tc>
          <w:tcPr>
            <w:tcW w:w="851" w:type="dxa"/>
          </w:tcPr>
          <w:p w14:paraId="0F8F4601" w14:textId="7385DE78" w:rsidR="00DD535A" w:rsidRDefault="00DD535A" w:rsidP="00DD535A">
            <w:r w:rsidRPr="00451512">
              <w:t>(910)</w:t>
            </w:r>
          </w:p>
        </w:tc>
        <w:tc>
          <w:tcPr>
            <w:tcW w:w="992" w:type="dxa"/>
          </w:tcPr>
          <w:p w14:paraId="067D443F" w14:textId="5144D3F0" w:rsidR="00DD535A" w:rsidRDefault="00DD535A" w:rsidP="00DD535A">
            <w:r w:rsidRPr="00430D48">
              <w:t>(759)</w:t>
            </w:r>
          </w:p>
        </w:tc>
        <w:tc>
          <w:tcPr>
            <w:tcW w:w="1204" w:type="dxa"/>
          </w:tcPr>
          <w:p w14:paraId="0EAFDAFD" w14:textId="58837973" w:rsidR="00DD535A" w:rsidRDefault="00DD535A" w:rsidP="00DD535A">
            <w:r w:rsidRPr="00FE3BEE">
              <w:t>9</w:t>
            </w:r>
            <w:r>
              <w:rPr>
                <w:rFonts w:hint="eastAsia"/>
                <w:lang w:eastAsia="zh-CN"/>
              </w:rPr>
              <w:t xml:space="preserve"> </w:t>
            </w:r>
            <w:r w:rsidRPr="00FE3BEE">
              <w:t>864</w:t>
            </w:r>
          </w:p>
        </w:tc>
        <w:tc>
          <w:tcPr>
            <w:tcW w:w="922" w:type="dxa"/>
          </w:tcPr>
          <w:p w14:paraId="0B70D4EF" w14:textId="67FCD616" w:rsidR="00DD535A" w:rsidRDefault="00DD535A" w:rsidP="00DD535A">
            <w:r w:rsidRPr="00430D48">
              <w:t>10</w:t>
            </w:r>
            <w:r>
              <w:rPr>
                <w:rFonts w:hint="eastAsia"/>
                <w:lang w:eastAsia="zh-CN"/>
              </w:rPr>
              <w:t xml:space="preserve"> </w:t>
            </w:r>
            <w:r w:rsidRPr="00430D48">
              <w:t>015</w:t>
            </w:r>
          </w:p>
        </w:tc>
      </w:tr>
      <w:tr w:rsidR="00DD535A" w14:paraId="79457D50" w14:textId="77777777" w:rsidTr="009C1C38">
        <w:tc>
          <w:tcPr>
            <w:tcW w:w="1344" w:type="dxa"/>
          </w:tcPr>
          <w:p w14:paraId="24BB1484" w14:textId="68AE84A5" w:rsidR="00DD535A" w:rsidRDefault="00DD535A" w:rsidP="00DD535A">
            <w:pPr>
              <w:jc w:val="left"/>
            </w:pPr>
            <w:proofErr w:type="gramStart"/>
            <w:r>
              <w:rPr>
                <w:color w:val="4472C4" w:themeColor="accent1"/>
                <w:sz w:val="13"/>
                <w:szCs w:val="13"/>
              </w:rPr>
              <w:t>AASB </w:t>
            </w:r>
            <w:r w:rsidRPr="067473FC">
              <w:rPr>
                <w:color w:val="4472C4" w:themeColor="accent1"/>
                <w:sz w:val="13"/>
                <w:szCs w:val="13"/>
              </w:rPr>
              <w:t xml:space="preserve"> 1060.144</w:t>
            </w:r>
            <w:proofErr w:type="gramEnd"/>
            <w:r w:rsidRPr="067473FC">
              <w:rPr>
                <w:color w:val="4472C4" w:themeColor="accent1"/>
                <w:sz w:val="13"/>
                <w:szCs w:val="13"/>
              </w:rPr>
              <w:t xml:space="preserve"> (a)</w:t>
            </w:r>
          </w:p>
        </w:tc>
        <w:tc>
          <w:tcPr>
            <w:tcW w:w="2200" w:type="dxa"/>
          </w:tcPr>
          <w:p w14:paraId="380ECF8B" w14:textId="022E22EC" w:rsidR="00DD535A" w:rsidRDefault="00DD535A" w:rsidP="00DD535A">
            <w:pPr>
              <w:jc w:val="left"/>
            </w:pPr>
            <w:r>
              <w:t xml:space="preserve">Plant, equipment and vehicles </w:t>
            </w:r>
            <w:r>
              <w:rPr>
                <w:vertAlign w:val="superscript"/>
              </w:rPr>
              <w:t>(a)</w:t>
            </w:r>
          </w:p>
        </w:tc>
        <w:tc>
          <w:tcPr>
            <w:tcW w:w="851" w:type="dxa"/>
          </w:tcPr>
          <w:p w14:paraId="2B3CCBD5" w14:textId="69ADFD88" w:rsidR="00DD535A" w:rsidRDefault="00DD535A" w:rsidP="00DD535A">
            <w:r w:rsidRPr="00451512">
              <w:t>4</w:t>
            </w:r>
            <w:r>
              <w:rPr>
                <w:rFonts w:hint="eastAsia"/>
                <w:lang w:eastAsia="zh-CN"/>
              </w:rPr>
              <w:t xml:space="preserve"> </w:t>
            </w:r>
            <w:r w:rsidRPr="00451512">
              <w:t>579</w:t>
            </w:r>
          </w:p>
        </w:tc>
        <w:tc>
          <w:tcPr>
            <w:tcW w:w="1275" w:type="dxa"/>
          </w:tcPr>
          <w:p w14:paraId="56647708" w14:textId="46F2FF97" w:rsidR="00DD535A" w:rsidRDefault="00DD535A" w:rsidP="00DD535A">
            <w:r w:rsidRPr="00FE3BEE">
              <w:t>4</w:t>
            </w:r>
            <w:r>
              <w:rPr>
                <w:rFonts w:hint="eastAsia"/>
                <w:lang w:eastAsia="zh-CN"/>
              </w:rPr>
              <w:t xml:space="preserve"> </w:t>
            </w:r>
            <w:r w:rsidRPr="00FE3BEE">
              <w:t>579</w:t>
            </w:r>
          </w:p>
        </w:tc>
        <w:tc>
          <w:tcPr>
            <w:tcW w:w="851" w:type="dxa"/>
          </w:tcPr>
          <w:p w14:paraId="673740C6" w14:textId="345CB3F1" w:rsidR="00DD535A" w:rsidRDefault="00DD535A" w:rsidP="00DD535A">
            <w:r w:rsidRPr="00451512">
              <w:t>(1</w:t>
            </w:r>
            <w:r>
              <w:rPr>
                <w:rFonts w:hint="eastAsia"/>
                <w:lang w:eastAsia="zh-CN"/>
              </w:rPr>
              <w:t xml:space="preserve"> </w:t>
            </w:r>
            <w:r w:rsidRPr="00451512">
              <w:t>156)</w:t>
            </w:r>
          </w:p>
        </w:tc>
        <w:tc>
          <w:tcPr>
            <w:tcW w:w="992" w:type="dxa"/>
          </w:tcPr>
          <w:p w14:paraId="4DBCE816" w14:textId="5EBD9554" w:rsidR="00DD535A" w:rsidRDefault="00DD535A" w:rsidP="00DD535A">
            <w:r w:rsidRPr="00430D48">
              <w:t>(958)</w:t>
            </w:r>
          </w:p>
        </w:tc>
        <w:tc>
          <w:tcPr>
            <w:tcW w:w="1204" w:type="dxa"/>
          </w:tcPr>
          <w:p w14:paraId="63206D01" w14:textId="2A169D32" w:rsidR="00DD535A" w:rsidRDefault="00DD535A" w:rsidP="00DD535A">
            <w:r w:rsidRPr="00FE3BEE">
              <w:t>3</w:t>
            </w:r>
            <w:r>
              <w:rPr>
                <w:rFonts w:hint="eastAsia"/>
                <w:lang w:eastAsia="zh-CN"/>
              </w:rPr>
              <w:t xml:space="preserve"> </w:t>
            </w:r>
            <w:r w:rsidRPr="00FE3BEE">
              <w:t>423</w:t>
            </w:r>
          </w:p>
        </w:tc>
        <w:tc>
          <w:tcPr>
            <w:tcW w:w="922" w:type="dxa"/>
          </w:tcPr>
          <w:p w14:paraId="6E02B779" w14:textId="5771F241" w:rsidR="00DD535A" w:rsidRDefault="00DD535A" w:rsidP="00DD535A">
            <w:r w:rsidRPr="00430D48">
              <w:t>3</w:t>
            </w:r>
            <w:r>
              <w:rPr>
                <w:rFonts w:hint="eastAsia"/>
                <w:lang w:eastAsia="zh-CN"/>
              </w:rPr>
              <w:t xml:space="preserve"> </w:t>
            </w:r>
            <w:r w:rsidRPr="00430D48">
              <w:t>621</w:t>
            </w:r>
          </w:p>
        </w:tc>
      </w:tr>
      <w:tr w:rsidR="00DD535A" w14:paraId="33B114FA" w14:textId="77777777" w:rsidTr="00336BC7">
        <w:tc>
          <w:tcPr>
            <w:tcW w:w="1344" w:type="dxa"/>
            <w:tcBorders>
              <w:bottom w:val="nil"/>
            </w:tcBorders>
          </w:tcPr>
          <w:p w14:paraId="281716DA" w14:textId="77777777" w:rsidR="00DD535A" w:rsidRDefault="00DD535A" w:rsidP="00DD535A">
            <w:pPr>
              <w:jc w:val="left"/>
            </w:pPr>
          </w:p>
        </w:tc>
        <w:tc>
          <w:tcPr>
            <w:tcW w:w="2200" w:type="dxa"/>
          </w:tcPr>
          <w:p w14:paraId="18D476AD" w14:textId="77777777" w:rsidR="00DD535A" w:rsidRDefault="00DD535A" w:rsidP="00DD535A">
            <w:pPr>
              <w:jc w:val="left"/>
            </w:pPr>
            <w:r>
              <w:rPr>
                <w:b/>
              </w:rPr>
              <w:t>Net carrying amount</w:t>
            </w:r>
          </w:p>
        </w:tc>
        <w:tc>
          <w:tcPr>
            <w:tcW w:w="851" w:type="dxa"/>
          </w:tcPr>
          <w:p w14:paraId="29D97748" w14:textId="49678CC4" w:rsidR="00DD535A" w:rsidRPr="002A0038" w:rsidRDefault="00DD535A" w:rsidP="00DD535A">
            <w:pPr>
              <w:rPr>
                <w:b/>
                <w:bCs/>
              </w:rPr>
            </w:pPr>
            <w:r w:rsidRPr="002A0038">
              <w:rPr>
                <w:b/>
                <w:bCs/>
              </w:rPr>
              <w:t>15</w:t>
            </w:r>
            <w:r>
              <w:rPr>
                <w:rFonts w:hint="eastAsia"/>
                <w:b/>
                <w:bCs/>
                <w:lang w:eastAsia="zh-CN"/>
              </w:rPr>
              <w:t xml:space="preserve"> </w:t>
            </w:r>
            <w:r w:rsidRPr="002A0038">
              <w:rPr>
                <w:b/>
                <w:bCs/>
              </w:rPr>
              <w:t>353</w:t>
            </w:r>
          </w:p>
        </w:tc>
        <w:tc>
          <w:tcPr>
            <w:tcW w:w="1275" w:type="dxa"/>
          </w:tcPr>
          <w:p w14:paraId="16C1D3FC" w14:textId="6547AA6A" w:rsidR="00DD535A" w:rsidRPr="002A0038" w:rsidRDefault="00DD535A" w:rsidP="00DD535A">
            <w:pPr>
              <w:rPr>
                <w:b/>
                <w:bCs/>
              </w:rPr>
            </w:pPr>
            <w:r w:rsidRPr="002A0038">
              <w:rPr>
                <w:b/>
                <w:bCs/>
              </w:rPr>
              <w:t>15</w:t>
            </w:r>
            <w:r>
              <w:rPr>
                <w:rFonts w:hint="eastAsia"/>
                <w:b/>
                <w:bCs/>
                <w:lang w:eastAsia="zh-CN"/>
              </w:rPr>
              <w:t xml:space="preserve"> </w:t>
            </w:r>
            <w:r w:rsidRPr="002A0038">
              <w:rPr>
                <w:b/>
                <w:bCs/>
              </w:rPr>
              <w:t>353</w:t>
            </w:r>
          </w:p>
        </w:tc>
        <w:tc>
          <w:tcPr>
            <w:tcW w:w="851" w:type="dxa"/>
          </w:tcPr>
          <w:p w14:paraId="24EE2152" w14:textId="1D36C28A" w:rsidR="00DD535A" w:rsidRPr="002A0038" w:rsidRDefault="00DD535A" w:rsidP="00DD535A">
            <w:pPr>
              <w:rPr>
                <w:b/>
                <w:bCs/>
              </w:rPr>
            </w:pPr>
            <w:r w:rsidRPr="002A0038">
              <w:rPr>
                <w:b/>
                <w:bCs/>
              </w:rPr>
              <w:t>(2</w:t>
            </w:r>
            <w:r>
              <w:rPr>
                <w:rFonts w:hint="eastAsia"/>
                <w:b/>
                <w:bCs/>
                <w:lang w:eastAsia="zh-CN"/>
              </w:rPr>
              <w:t xml:space="preserve"> </w:t>
            </w:r>
            <w:r w:rsidRPr="002A0038">
              <w:rPr>
                <w:b/>
                <w:bCs/>
              </w:rPr>
              <w:t>066)</w:t>
            </w:r>
          </w:p>
        </w:tc>
        <w:tc>
          <w:tcPr>
            <w:tcW w:w="992" w:type="dxa"/>
          </w:tcPr>
          <w:p w14:paraId="5E811829" w14:textId="3788F31E" w:rsidR="00DD535A" w:rsidRPr="002A0038" w:rsidRDefault="00DD535A" w:rsidP="00DD535A">
            <w:pPr>
              <w:rPr>
                <w:b/>
                <w:bCs/>
              </w:rPr>
            </w:pPr>
            <w:r w:rsidRPr="002A0038">
              <w:rPr>
                <w:b/>
                <w:bCs/>
              </w:rPr>
              <w:t>(1</w:t>
            </w:r>
            <w:r>
              <w:rPr>
                <w:rFonts w:hint="eastAsia"/>
                <w:b/>
                <w:bCs/>
                <w:lang w:eastAsia="zh-CN"/>
              </w:rPr>
              <w:t xml:space="preserve"> </w:t>
            </w:r>
            <w:r w:rsidRPr="002A0038">
              <w:rPr>
                <w:b/>
                <w:bCs/>
              </w:rPr>
              <w:t>717)</w:t>
            </w:r>
          </w:p>
        </w:tc>
        <w:tc>
          <w:tcPr>
            <w:tcW w:w="1204" w:type="dxa"/>
          </w:tcPr>
          <w:p w14:paraId="1988C0C7" w14:textId="5B40D3F5" w:rsidR="00DD535A" w:rsidRPr="002A0038" w:rsidRDefault="00DD535A" w:rsidP="00DD535A">
            <w:pPr>
              <w:rPr>
                <w:b/>
                <w:bCs/>
              </w:rPr>
            </w:pPr>
            <w:r w:rsidRPr="002A0038">
              <w:rPr>
                <w:b/>
                <w:bCs/>
              </w:rPr>
              <w:t>13</w:t>
            </w:r>
            <w:r>
              <w:rPr>
                <w:rFonts w:hint="eastAsia"/>
                <w:b/>
                <w:bCs/>
                <w:lang w:eastAsia="zh-CN"/>
              </w:rPr>
              <w:t xml:space="preserve"> </w:t>
            </w:r>
            <w:r w:rsidRPr="002A0038">
              <w:rPr>
                <w:b/>
                <w:bCs/>
              </w:rPr>
              <w:t>287</w:t>
            </w:r>
          </w:p>
        </w:tc>
        <w:tc>
          <w:tcPr>
            <w:tcW w:w="922" w:type="dxa"/>
          </w:tcPr>
          <w:p w14:paraId="2E584AA4" w14:textId="7A697444" w:rsidR="00DD535A" w:rsidRPr="002A0038" w:rsidRDefault="00DD535A" w:rsidP="00DD535A">
            <w:pPr>
              <w:rPr>
                <w:b/>
                <w:bCs/>
              </w:rPr>
            </w:pPr>
            <w:r w:rsidRPr="002A0038">
              <w:rPr>
                <w:b/>
                <w:bCs/>
              </w:rPr>
              <w:t>13</w:t>
            </w:r>
            <w:r>
              <w:rPr>
                <w:rFonts w:hint="eastAsia"/>
                <w:b/>
                <w:bCs/>
                <w:lang w:eastAsia="zh-CN"/>
              </w:rPr>
              <w:t xml:space="preserve"> </w:t>
            </w:r>
            <w:r w:rsidRPr="002A0038">
              <w:rPr>
                <w:b/>
                <w:bCs/>
              </w:rPr>
              <w:t>636</w:t>
            </w:r>
          </w:p>
        </w:tc>
      </w:tr>
    </w:tbl>
    <w:p w14:paraId="7613001A" w14:textId="77777777" w:rsidR="003719CD" w:rsidRDefault="003719CD" w:rsidP="007D536F">
      <w:pPr>
        <w:pStyle w:val="TableUnits"/>
      </w:pPr>
    </w:p>
    <w:p w14:paraId="51F7D2EA" w14:textId="77777777" w:rsidR="003719CD" w:rsidRDefault="003719CD" w:rsidP="007D536F">
      <w:pPr>
        <w:pStyle w:val="TableUnits"/>
      </w:pPr>
      <w:r>
        <w:t>($ thousand)</w:t>
      </w:r>
    </w:p>
    <w:tbl>
      <w:tblPr>
        <w:tblStyle w:val="DTFTable"/>
        <w:tblW w:w="9639" w:type="dxa"/>
        <w:tblLayout w:type="fixed"/>
        <w:tblLook w:val="0620" w:firstRow="1" w:lastRow="0" w:firstColumn="0" w:lastColumn="0" w:noHBand="1" w:noVBand="1"/>
      </w:tblPr>
      <w:tblGrid>
        <w:gridCol w:w="1432"/>
        <w:gridCol w:w="3837"/>
        <w:gridCol w:w="2185"/>
        <w:gridCol w:w="2185"/>
      </w:tblGrid>
      <w:tr w:rsidR="00AA5ED6" w14:paraId="633099B7" w14:textId="77777777" w:rsidTr="002A0038">
        <w:trPr>
          <w:cnfStyle w:val="100000000000" w:firstRow="1" w:lastRow="0" w:firstColumn="0" w:lastColumn="0" w:oddVBand="0" w:evenVBand="0" w:oddHBand="0" w:evenHBand="0" w:firstRowFirstColumn="0" w:firstRowLastColumn="0" w:lastRowFirstColumn="0" w:lastRowLastColumn="0"/>
          <w:trHeight w:val="763"/>
          <w:tblHeader/>
        </w:trPr>
        <w:tc>
          <w:tcPr>
            <w:tcW w:w="1432" w:type="dxa"/>
            <w:tcBorders>
              <w:top w:val="nil"/>
              <w:bottom w:val="nil"/>
            </w:tcBorders>
            <w:shd w:val="clear" w:color="auto" w:fill="FFFFFF" w:themeFill="background1"/>
          </w:tcPr>
          <w:p w14:paraId="4B81A871" w14:textId="77777777" w:rsidR="00AA5ED6" w:rsidRDefault="00AA5ED6">
            <w:pPr>
              <w:keepNext/>
              <w:jc w:val="left"/>
            </w:pPr>
            <w:r>
              <w:rPr>
                <w:color w:val="4472C4"/>
                <w:sz w:val="13"/>
              </w:rPr>
              <w:t>Source reference</w:t>
            </w:r>
          </w:p>
        </w:tc>
        <w:tc>
          <w:tcPr>
            <w:tcW w:w="3837" w:type="dxa"/>
          </w:tcPr>
          <w:p w14:paraId="4827DDA1" w14:textId="77777777" w:rsidR="00AA5ED6" w:rsidRDefault="00AA5ED6">
            <w:pPr>
              <w:keepNext/>
              <w:jc w:val="left"/>
            </w:pPr>
          </w:p>
        </w:tc>
        <w:tc>
          <w:tcPr>
            <w:tcW w:w="2185" w:type="dxa"/>
          </w:tcPr>
          <w:p w14:paraId="3C6E3684" w14:textId="77777777" w:rsidR="00AA5ED6" w:rsidRDefault="00AA5ED6">
            <w:pPr>
              <w:keepNext/>
            </w:pPr>
            <w:r>
              <w:t>Buildings</w:t>
            </w:r>
          </w:p>
        </w:tc>
        <w:tc>
          <w:tcPr>
            <w:tcW w:w="2185" w:type="dxa"/>
          </w:tcPr>
          <w:p w14:paraId="6B2E354D" w14:textId="611055AA" w:rsidR="00AA5ED6" w:rsidRDefault="00AA5ED6">
            <w:pPr>
              <w:keepNext/>
            </w:pPr>
            <w:r>
              <w:t xml:space="preserve">Plant, equipment and vehicles </w:t>
            </w:r>
          </w:p>
        </w:tc>
      </w:tr>
      <w:tr w:rsidR="008A2A3F" w14:paraId="7536D39C" w14:textId="77777777" w:rsidTr="002A0038">
        <w:trPr>
          <w:trHeight w:val="20"/>
        </w:trPr>
        <w:tc>
          <w:tcPr>
            <w:tcW w:w="1432" w:type="dxa"/>
          </w:tcPr>
          <w:p w14:paraId="3C788A16" w14:textId="30D71768" w:rsidR="008A2A3F" w:rsidRDefault="008A2A3F" w:rsidP="008A2A3F">
            <w:pPr>
              <w:jc w:val="left"/>
            </w:pPr>
          </w:p>
        </w:tc>
        <w:tc>
          <w:tcPr>
            <w:tcW w:w="3837" w:type="dxa"/>
          </w:tcPr>
          <w:p w14:paraId="775644D5" w14:textId="5C37B726" w:rsidR="008A2A3F" w:rsidRPr="00E51206" w:rsidRDefault="008A2A3F" w:rsidP="008A2A3F">
            <w:pPr>
              <w:jc w:val="left"/>
              <w:rPr>
                <w:vertAlign w:val="superscript"/>
              </w:rPr>
            </w:pPr>
            <w:r>
              <w:rPr>
                <w:b/>
              </w:rPr>
              <w:t>Opening balance – 1 July 20X1</w:t>
            </w:r>
            <w:r w:rsidR="00DD535A">
              <w:rPr>
                <w:b/>
              </w:rPr>
              <w:t xml:space="preserve"> </w:t>
            </w:r>
            <w:r w:rsidR="00DD535A">
              <w:rPr>
                <w:b/>
                <w:vertAlign w:val="superscript"/>
              </w:rPr>
              <w:t>(a)</w:t>
            </w:r>
          </w:p>
        </w:tc>
        <w:tc>
          <w:tcPr>
            <w:tcW w:w="2185" w:type="dxa"/>
          </w:tcPr>
          <w:p w14:paraId="439B8D39" w14:textId="3A9E43E6" w:rsidR="008A2A3F" w:rsidRPr="00AA5ED6" w:rsidRDefault="008A2A3F" w:rsidP="008A2A3F">
            <w:r w:rsidRPr="003B3C5A">
              <w:t>10</w:t>
            </w:r>
            <w:r w:rsidR="003E3065">
              <w:rPr>
                <w:rFonts w:hint="eastAsia"/>
                <w:lang w:eastAsia="zh-CN"/>
              </w:rPr>
              <w:t xml:space="preserve"> </w:t>
            </w:r>
            <w:r w:rsidRPr="003B3C5A">
              <w:t>015</w:t>
            </w:r>
          </w:p>
        </w:tc>
        <w:tc>
          <w:tcPr>
            <w:tcW w:w="2185" w:type="dxa"/>
          </w:tcPr>
          <w:p w14:paraId="4185A8A3" w14:textId="649F974F" w:rsidR="008A2A3F" w:rsidRDefault="008A2A3F" w:rsidP="008A2A3F">
            <w:r w:rsidRPr="003B3C5A">
              <w:t>3</w:t>
            </w:r>
            <w:r w:rsidR="003E3065">
              <w:rPr>
                <w:rFonts w:hint="eastAsia"/>
                <w:lang w:eastAsia="zh-CN"/>
              </w:rPr>
              <w:t xml:space="preserve"> </w:t>
            </w:r>
            <w:r w:rsidRPr="003B3C5A">
              <w:t>621</w:t>
            </w:r>
          </w:p>
        </w:tc>
      </w:tr>
      <w:tr w:rsidR="003C14D4" w14:paraId="2F61D38D" w14:textId="77777777" w:rsidTr="00E51206">
        <w:trPr>
          <w:trHeight w:val="20"/>
        </w:trPr>
        <w:tc>
          <w:tcPr>
            <w:tcW w:w="1432" w:type="dxa"/>
          </w:tcPr>
          <w:p w14:paraId="53610D58" w14:textId="13D16AA7" w:rsidR="003C14D4" w:rsidRDefault="003C14D4" w:rsidP="003C14D4">
            <w:pPr>
              <w:jc w:val="left"/>
            </w:pPr>
            <w:r>
              <w:rPr>
                <w:color w:val="4472C4"/>
                <w:sz w:val="13"/>
              </w:rPr>
              <w:t>AASB 1060.145</w:t>
            </w:r>
          </w:p>
        </w:tc>
        <w:tc>
          <w:tcPr>
            <w:tcW w:w="3837" w:type="dxa"/>
            <w:tcBorders>
              <w:bottom w:val="nil"/>
            </w:tcBorders>
          </w:tcPr>
          <w:p w14:paraId="4D49C49B" w14:textId="77777777" w:rsidR="003C14D4" w:rsidRDefault="003C14D4" w:rsidP="003C14D4">
            <w:pPr>
              <w:jc w:val="left"/>
            </w:pPr>
            <w:r>
              <w:t>Additions</w:t>
            </w:r>
          </w:p>
        </w:tc>
        <w:tc>
          <w:tcPr>
            <w:tcW w:w="2185" w:type="dxa"/>
            <w:tcBorders>
              <w:bottom w:val="nil"/>
            </w:tcBorders>
          </w:tcPr>
          <w:p w14:paraId="22084DC5" w14:textId="4AB34EAC" w:rsidR="003C14D4" w:rsidRPr="00AA5ED6" w:rsidRDefault="003C14D4" w:rsidP="003C14D4">
            <w:r>
              <w:t>..</w:t>
            </w:r>
          </w:p>
        </w:tc>
        <w:tc>
          <w:tcPr>
            <w:tcW w:w="2185" w:type="dxa"/>
            <w:tcBorders>
              <w:bottom w:val="nil"/>
            </w:tcBorders>
          </w:tcPr>
          <w:p w14:paraId="339C41C7" w14:textId="5BDDF63F" w:rsidR="003C14D4" w:rsidRDefault="003C14D4" w:rsidP="003C14D4">
            <w:r>
              <w:t>..</w:t>
            </w:r>
          </w:p>
        </w:tc>
      </w:tr>
      <w:tr w:rsidR="003C14D4" w14:paraId="648706E2" w14:textId="77777777" w:rsidTr="00E51206">
        <w:trPr>
          <w:trHeight w:val="20"/>
        </w:trPr>
        <w:tc>
          <w:tcPr>
            <w:tcW w:w="1432" w:type="dxa"/>
          </w:tcPr>
          <w:p w14:paraId="56FD9865" w14:textId="77777777" w:rsidR="003C14D4" w:rsidRDefault="003C14D4" w:rsidP="003C14D4">
            <w:pPr>
              <w:jc w:val="left"/>
            </w:pPr>
          </w:p>
        </w:tc>
        <w:tc>
          <w:tcPr>
            <w:tcW w:w="3837" w:type="dxa"/>
            <w:tcBorders>
              <w:bottom w:val="nil"/>
            </w:tcBorders>
          </w:tcPr>
          <w:p w14:paraId="59CC422B" w14:textId="77777777" w:rsidR="003C14D4" w:rsidRDefault="003C14D4" w:rsidP="003C14D4">
            <w:pPr>
              <w:jc w:val="left"/>
            </w:pPr>
            <w:r>
              <w:t>Disposals</w:t>
            </w:r>
          </w:p>
        </w:tc>
        <w:tc>
          <w:tcPr>
            <w:tcW w:w="2185" w:type="dxa"/>
            <w:tcBorders>
              <w:bottom w:val="nil"/>
            </w:tcBorders>
          </w:tcPr>
          <w:p w14:paraId="0C133F8B" w14:textId="6D3CBFF3" w:rsidR="003C14D4" w:rsidRPr="00AA5ED6" w:rsidRDefault="003C14D4" w:rsidP="003C14D4">
            <w:r>
              <w:t>..</w:t>
            </w:r>
          </w:p>
        </w:tc>
        <w:tc>
          <w:tcPr>
            <w:tcW w:w="2185" w:type="dxa"/>
            <w:tcBorders>
              <w:bottom w:val="nil"/>
            </w:tcBorders>
          </w:tcPr>
          <w:p w14:paraId="59797BC1" w14:textId="4E9CD127" w:rsidR="003C14D4" w:rsidRDefault="003C14D4" w:rsidP="003C14D4">
            <w:r>
              <w:t>..</w:t>
            </w:r>
          </w:p>
        </w:tc>
      </w:tr>
      <w:tr w:rsidR="008A2A3F" w14:paraId="4E8335BC" w14:textId="77777777" w:rsidTr="00E51206">
        <w:trPr>
          <w:trHeight w:val="20"/>
        </w:trPr>
        <w:tc>
          <w:tcPr>
            <w:tcW w:w="1432" w:type="dxa"/>
            <w:tcBorders>
              <w:bottom w:val="nil"/>
            </w:tcBorders>
          </w:tcPr>
          <w:p w14:paraId="2B2007E2" w14:textId="552A856B" w:rsidR="008A2A3F" w:rsidRDefault="0007383E" w:rsidP="008A2A3F">
            <w:pPr>
              <w:jc w:val="left"/>
            </w:pPr>
            <w:r>
              <w:rPr>
                <w:color w:val="4472C4"/>
                <w:sz w:val="13"/>
              </w:rPr>
              <w:t>AASB </w:t>
            </w:r>
            <w:r w:rsidR="008A2A3F">
              <w:rPr>
                <w:color w:val="4472C4"/>
                <w:sz w:val="13"/>
              </w:rPr>
              <w:t>1060.145</w:t>
            </w:r>
          </w:p>
        </w:tc>
        <w:tc>
          <w:tcPr>
            <w:tcW w:w="3837" w:type="dxa"/>
            <w:tcBorders>
              <w:bottom w:val="nil"/>
            </w:tcBorders>
          </w:tcPr>
          <w:p w14:paraId="06DB45A4" w14:textId="77777777" w:rsidR="008A2A3F" w:rsidRDefault="008A2A3F" w:rsidP="008A2A3F">
            <w:pPr>
              <w:jc w:val="left"/>
            </w:pPr>
            <w:r>
              <w:t>Depreciation</w:t>
            </w:r>
          </w:p>
        </w:tc>
        <w:tc>
          <w:tcPr>
            <w:tcW w:w="2185" w:type="dxa"/>
            <w:tcBorders>
              <w:bottom w:val="nil"/>
            </w:tcBorders>
          </w:tcPr>
          <w:p w14:paraId="250B6492" w14:textId="63676FD7" w:rsidR="008A2A3F" w:rsidRPr="00AA5ED6" w:rsidRDefault="008A2A3F" w:rsidP="008A2A3F">
            <w:r w:rsidRPr="003B3C5A">
              <w:t>(151)</w:t>
            </w:r>
          </w:p>
        </w:tc>
        <w:tc>
          <w:tcPr>
            <w:tcW w:w="2185" w:type="dxa"/>
            <w:tcBorders>
              <w:bottom w:val="nil"/>
            </w:tcBorders>
          </w:tcPr>
          <w:p w14:paraId="411DED29" w14:textId="123A66E5" w:rsidR="008A2A3F" w:rsidRDefault="008A2A3F" w:rsidP="008A2A3F">
            <w:r w:rsidRPr="003B3C5A">
              <w:t>(198)</w:t>
            </w:r>
          </w:p>
        </w:tc>
      </w:tr>
      <w:tr w:rsidR="00842BC2" w14:paraId="3E745DBF" w14:textId="77777777" w:rsidTr="00E51206">
        <w:trPr>
          <w:trHeight w:val="20"/>
        </w:trPr>
        <w:tc>
          <w:tcPr>
            <w:tcW w:w="1432" w:type="dxa"/>
            <w:tcBorders>
              <w:bottom w:val="nil"/>
            </w:tcBorders>
          </w:tcPr>
          <w:p w14:paraId="1A75EC9D" w14:textId="2681A6D3" w:rsidR="00842BC2" w:rsidRDefault="003C14D4" w:rsidP="00E51206">
            <w:pPr>
              <w:jc w:val="left"/>
              <w:rPr>
                <w:color w:val="4472C4"/>
                <w:sz w:val="13"/>
              </w:rPr>
            </w:pPr>
            <w:r>
              <w:rPr>
                <w:color w:val="4472C4"/>
                <w:sz w:val="13"/>
              </w:rPr>
              <w:t>AASB 1060.</w:t>
            </w:r>
            <w:r w:rsidR="001A6622">
              <w:rPr>
                <w:color w:val="4472C4"/>
                <w:sz w:val="13"/>
              </w:rPr>
              <w:t>169</w:t>
            </w:r>
          </w:p>
        </w:tc>
        <w:tc>
          <w:tcPr>
            <w:tcW w:w="3837" w:type="dxa"/>
            <w:tcBorders>
              <w:top w:val="nil"/>
              <w:bottom w:val="single" w:sz="12" w:space="0" w:color="auto"/>
            </w:tcBorders>
          </w:tcPr>
          <w:p w14:paraId="39030BCB" w14:textId="172948F4" w:rsidR="00842BC2" w:rsidRDefault="00842BC2" w:rsidP="00E51206">
            <w:pPr>
              <w:jc w:val="left"/>
            </w:pPr>
            <w:r>
              <w:t>Impairment losses</w:t>
            </w:r>
          </w:p>
        </w:tc>
        <w:tc>
          <w:tcPr>
            <w:tcW w:w="2185" w:type="dxa"/>
            <w:tcBorders>
              <w:top w:val="nil"/>
              <w:bottom w:val="single" w:sz="12" w:space="0" w:color="auto"/>
            </w:tcBorders>
          </w:tcPr>
          <w:p w14:paraId="44E82C88" w14:textId="3A80A52F" w:rsidR="00842BC2" w:rsidRPr="003B3C5A" w:rsidRDefault="003C14D4" w:rsidP="008A2A3F">
            <w:r>
              <w:t>..</w:t>
            </w:r>
          </w:p>
        </w:tc>
        <w:tc>
          <w:tcPr>
            <w:tcW w:w="2185" w:type="dxa"/>
            <w:tcBorders>
              <w:top w:val="nil"/>
              <w:bottom w:val="single" w:sz="12" w:space="0" w:color="auto"/>
            </w:tcBorders>
          </w:tcPr>
          <w:p w14:paraId="1A0149AE" w14:textId="5E72768F" w:rsidR="00842BC2" w:rsidRPr="003B3C5A" w:rsidRDefault="003C14D4" w:rsidP="008A2A3F">
            <w:r>
              <w:t>..</w:t>
            </w:r>
          </w:p>
        </w:tc>
      </w:tr>
      <w:tr w:rsidR="008D3246" w14:paraId="30621CDB" w14:textId="77777777" w:rsidTr="002A0038">
        <w:trPr>
          <w:trHeight w:val="20"/>
        </w:trPr>
        <w:tc>
          <w:tcPr>
            <w:tcW w:w="1432" w:type="dxa"/>
            <w:tcBorders>
              <w:bottom w:val="nil"/>
            </w:tcBorders>
          </w:tcPr>
          <w:p w14:paraId="1AB152C1" w14:textId="3DB9C849" w:rsidR="008D3246" w:rsidRDefault="0007383E" w:rsidP="008D3246">
            <w:pPr>
              <w:jc w:val="left"/>
            </w:pPr>
            <w:r>
              <w:rPr>
                <w:color w:val="4472C4"/>
                <w:sz w:val="13"/>
              </w:rPr>
              <w:t>AASB </w:t>
            </w:r>
            <w:r w:rsidR="008D3246">
              <w:rPr>
                <w:color w:val="4472C4"/>
                <w:sz w:val="13"/>
              </w:rPr>
              <w:t>1060.</w:t>
            </w:r>
            <w:r w:rsidR="008D3246" w:rsidRPr="067473FC">
              <w:rPr>
                <w:color w:val="4472C4" w:themeColor="accent1"/>
                <w:sz w:val="13"/>
                <w:szCs w:val="13"/>
              </w:rPr>
              <w:t>144 (a)</w:t>
            </w:r>
          </w:p>
        </w:tc>
        <w:tc>
          <w:tcPr>
            <w:tcW w:w="3837" w:type="dxa"/>
          </w:tcPr>
          <w:p w14:paraId="1FC06758" w14:textId="77777777" w:rsidR="008D3246" w:rsidRDefault="008D3246" w:rsidP="008D3246">
            <w:pPr>
              <w:jc w:val="left"/>
            </w:pPr>
            <w:r>
              <w:rPr>
                <w:b/>
              </w:rPr>
              <w:t>Closing balance – 30 June 20X2</w:t>
            </w:r>
          </w:p>
        </w:tc>
        <w:tc>
          <w:tcPr>
            <w:tcW w:w="2185" w:type="dxa"/>
          </w:tcPr>
          <w:p w14:paraId="33495B68" w14:textId="658A2639" w:rsidR="008D3246" w:rsidRPr="002A0038" w:rsidRDefault="008D3246" w:rsidP="008D3246">
            <w:pPr>
              <w:rPr>
                <w:b/>
                <w:bCs/>
              </w:rPr>
            </w:pPr>
            <w:r w:rsidRPr="002A0038">
              <w:rPr>
                <w:b/>
                <w:bCs/>
              </w:rPr>
              <w:t>9</w:t>
            </w:r>
            <w:r w:rsidR="003E3065">
              <w:rPr>
                <w:rFonts w:hint="eastAsia"/>
                <w:b/>
                <w:bCs/>
                <w:lang w:eastAsia="zh-CN"/>
              </w:rPr>
              <w:t xml:space="preserve"> </w:t>
            </w:r>
            <w:r w:rsidRPr="002A0038">
              <w:rPr>
                <w:b/>
                <w:bCs/>
              </w:rPr>
              <w:t>864</w:t>
            </w:r>
          </w:p>
        </w:tc>
        <w:tc>
          <w:tcPr>
            <w:tcW w:w="2185" w:type="dxa"/>
          </w:tcPr>
          <w:p w14:paraId="204486B7" w14:textId="7FE93A09" w:rsidR="008D3246" w:rsidRPr="002A0038" w:rsidRDefault="008D3246" w:rsidP="008D3246">
            <w:pPr>
              <w:rPr>
                <w:b/>
                <w:bCs/>
              </w:rPr>
            </w:pPr>
            <w:r w:rsidRPr="002A0038">
              <w:rPr>
                <w:b/>
                <w:bCs/>
              </w:rPr>
              <w:t>3</w:t>
            </w:r>
            <w:r w:rsidR="003E3065">
              <w:rPr>
                <w:rFonts w:hint="eastAsia"/>
                <w:b/>
                <w:bCs/>
                <w:lang w:eastAsia="zh-CN"/>
              </w:rPr>
              <w:t xml:space="preserve"> </w:t>
            </w:r>
            <w:r w:rsidRPr="002A0038">
              <w:rPr>
                <w:b/>
                <w:bCs/>
              </w:rPr>
              <w:t>423</w:t>
            </w:r>
          </w:p>
        </w:tc>
      </w:tr>
    </w:tbl>
    <w:p w14:paraId="122558F4" w14:textId="7DC4FDD5" w:rsidR="00B634A6" w:rsidRDefault="00B634A6" w:rsidP="00B634A6">
      <w:pPr>
        <w:pStyle w:val="Note"/>
      </w:pPr>
      <w:bookmarkStart w:id="2356" w:name="_Toc179812627"/>
      <w:bookmarkStart w:id="2357" w:name="_Toc179818327"/>
      <w:bookmarkStart w:id="2358" w:name="_Toc179824027"/>
      <w:r w:rsidRPr="00DA1FC3">
        <w:t>Note:</w:t>
      </w:r>
    </w:p>
    <w:p w14:paraId="3DD23167" w14:textId="4D076CE6" w:rsidR="00B634A6" w:rsidRDefault="00B634A6" w:rsidP="00B634A6">
      <w:pPr>
        <w:pStyle w:val="Note"/>
      </w:pPr>
      <w:r w:rsidRPr="00E43367">
        <w:t>(a)</w:t>
      </w:r>
      <w:r w:rsidRPr="00E43367">
        <w:tab/>
      </w:r>
      <w:r w:rsidRPr="00CA2E42">
        <w:t xml:space="preserve">As a result of a change in FRD 104 </w:t>
      </w:r>
      <w:r w:rsidRPr="00E51206">
        <w:rPr>
          <w:i w:val="0"/>
        </w:rPr>
        <w:t>Leases</w:t>
      </w:r>
      <w:r w:rsidRPr="00CA2E42">
        <w:t xml:space="preserve"> effective for reporting periods from 30 June 20X2, right-of-use assets are measured at cost for reporting period 20X2. The comparative information for reporting period 20X1 is not restated and is reported at the previously determined fair value. </w:t>
      </w:r>
      <w:r>
        <w:t>For further information</w:t>
      </w:r>
      <w:r w:rsidRPr="005F38B0">
        <w:t xml:space="preserve">, refer to </w:t>
      </w:r>
      <w:r w:rsidR="001C7278">
        <w:t>N</w:t>
      </w:r>
      <w:r w:rsidRPr="005F38B0">
        <w:t xml:space="preserve">ote </w:t>
      </w:r>
      <w:r w:rsidRPr="00C2231F">
        <w:t>8</w:t>
      </w:r>
      <w:r w:rsidRPr="005F38B0">
        <w:t>.</w:t>
      </w:r>
      <w:r w:rsidRPr="00C2231F">
        <w:t>3</w:t>
      </w:r>
      <w:r w:rsidRPr="005F38B0">
        <w:t>.</w:t>
      </w:r>
    </w:p>
    <w:p w14:paraId="234FA9ED" w14:textId="0D5E3DCD" w:rsidR="003719CD" w:rsidRDefault="003719CD" w:rsidP="007D536F">
      <w:pPr>
        <w:pStyle w:val="Heading4"/>
      </w:pPr>
      <w:r>
        <w:t>Right-of-use asset</w:t>
      </w:r>
      <w:r w:rsidR="00EE66BF">
        <w:t>s</w:t>
      </w:r>
      <w:r>
        <w:t xml:space="preserve"> acquired by lessees – Initial measurement</w:t>
      </w:r>
      <w:bookmarkEnd w:id="2356"/>
      <w:bookmarkEnd w:id="2357"/>
      <w:bookmarkEnd w:id="2358"/>
    </w:p>
    <w:p w14:paraId="366CE8AC" w14:textId="53F5F16F" w:rsidR="007D3F1A" w:rsidRPr="00467442" w:rsidRDefault="006D086A" w:rsidP="007D3F1A">
      <w:pPr>
        <w:rPr>
          <w:rStyle w:val="Reference"/>
        </w:rPr>
      </w:pPr>
      <w:r>
        <w:t>TV</w:t>
      </w:r>
      <w:r w:rsidR="003719CD">
        <w:t xml:space="preserve"> recognises a right-of-use asset and a lease liability at the lease commencement date</w:t>
      </w:r>
      <w:r w:rsidR="007D3F1A">
        <w:t xml:space="preserve"> </w:t>
      </w:r>
      <w:r w:rsidR="007D3F1A" w:rsidRPr="00467442">
        <w:rPr>
          <w:rStyle w:val="Reference"/>
        </w:rPr>
        <w:t>[</w:t>
      </w:r>
      <w:r w:rsidR="0007383E">
        <w:rPr>
          <w:rStyle w:val="Reference"/>
        </w:rPr>
        <w:t>AASB </w:t>
      </w:r>
      <w:r w:rsidR="007D3F1A" w:rsidRPr="00467442">
        <w:rPr>
          <w:rStyle w:val="Reference"/>
        </w:rPr>
        <w:t>16.2</w:t>
      </w:r>
      <w:r w:rsidR="007D3F1A">
        <w:rPr>
          <w:rStyle w:val="Reference"/>
        </w:rPr>
        <w:t>3</w:t>
      </w:r>
      <w:r w:rsidR="007D3F1A" w:rsidRPr="00467442">
        <w:rPr>
          <w:rStyle w:val="Reference"/>
        </w:rPr>
        <w:t>]</w:t>
      </w:r>
    </w:p>
    <w:p w14:paraId="4236A3FE" w14:textId="3164699A" w:rsidR="003719CD" w:rsidRDefault="003719CD" w:rsidP="00DC39DE">
      <w:r>
        <w:t>The right-of-use asset is initially measured at cost which comprises the initial amount of the lease liability adjusted for:</w:t>
      </w:r>
    </w:p>
    <w:p w14:paraId="021673C6" w14:textId="2703F638" w:rsidR="007D3F1A" w:rsidRDefault="003719CD" w:rsidP="00367D84">
      <w:pPr>
        <w:pStyle w:val="ListBullet"/>
        <w:numPr>
          <w:ilvl w:val="0"/>
          <w:numId w:val="31"/>
        </w:numPr>
      </w:pPr>
      <w:r>
        <w:t xml:space="preserve">any lease payments made at or before the commencement date less any lease incentive received </w:t>
      </w:r>
      <w:r w:rsidR="007D3F1A" w:rsidRPr="00467442">
        <w:rPr>
          <w:rStyle w:val="Reference"/>
        </w:rPr>
        <w:t>[</w:t>
      </w:r>
      <w:r w:rsidR="0007383E">
        <w:rPr>
          <w:rStyle w:val="Reference"/>
        </w:rPr>
        <w:t>AASB </w:t>
      </w:r>
      <w:r w:rsidR="007D3F1A" w:rsidRPr="00467442">
        <w:rPr>
          <w:rStyle w:val="Reference"/>
        </w:rPr>
        <w:t>16.2</w:t>
      </w:r>
      <w:r w:rsidR="007D3F1A">
        <w:rPr>
          <w:rStyle w:val="Reference"/>
        </w:rPr>
        <w:t>4(b)</w:t>
      </w:r>
      <w:r w:rsidR="007D3F1A" w:rsidRPr="00467442">
        <w:rPr>
          <w:rStyle w:val="Reference"/>
        </w:rPr>
        <w:t>]</w:t>
      </w:r>
    </w:p>
    <w:p w14:paraId="707A8107" w14:textId="2FE21DF5" w:rsidR="007D3F1A" w:rsidRDefault="003719CD" w:rsidP="00367D84">
      <w:pPr>
        <w:pStyle w:val="ListBullet"/>
        <w:numPr>
          <w:ilvl w:val="0"/>
          <w:numId w:val="31"/>
        </w:numPr>
      </w:pPr>
      <w:r>
        <w:t xml:space="preserve">any initial direct costs incurred </w:t>
      </w:r>
      <w:r w:rsidR="007D3F1A" w:rsidRPr="00467442">
        <w:rPr>
          <w:rStyle w:val="Reference"/>
        </w:rPr>
        <w:t>[</w:t>
      </w:r>
      <w:r w:rsidR="0007383E">
        <w:rPr>
          <w:rStyle w:val="Reference"/>
        </w:rPr>
        <w:t>AASB </w:t>
      </w:r>
      <w:r w:rsidR="007D3F1A" w:rsidRPr="00467442">
        <w:rPr>
          <w:rStyle w:val="Reference"/>
        </w:rPr>
        <w:t>16.2</w:t>
      </w:r>
      <w:r w:rsidR="007D3F1A">
        <w:rPr>
          <w:rStyle w:val="Reference"/>
        </w:rPr>
        <w:t>4(c)</w:t>
      </w:r>
      <w:r w:rsidR="007D3F1A" w:rsidRPr="00467442">
        <w:rPr>
          <w:rStyle w:val="Reference"/>
        </w:rPr>
        <w:t>]</w:t>
      </w:r>
    </w:p>
    <w:p w14:paraId="0CA1CC06" w14:textId="71109304" w:rsidR="007D3F1A" w:rsidRDefault="003719CD" w:rsidP="00367D84">
      <w:pPr>
        <w:pStyle w:val="ListBullet"/>
        <w:numPr>
          <w:ilvl w:val="0"/>
          <w:numId w:val="31"/>
        </w:numPr>
      </w:pPr>
      <w:r>
        <w:t>an estimate of costs to dismantle and remove the underlying asset or to restore the underlying asset or the site on which it is located</w:t>
      </w:r>
      <w:r w:rsidR="0028792C">
        <w:t>.</w:t>
      </w:r>
      <w:r w:rsidR="007D3F1A">
        <w:t xml:space="preserve"> </w:t>
      </w:r>
      <w:r w:rsidR="007D3F1A" w:rsidRPr="00467442">
        <w:rPr>
          <w:rStyle w:val="Reference"/>
        </w:rPr>
        <w:t>[</w:t>
      </w:r>
      <w:r w:rsidR="0007383E">
        <w:rPr>
          <w:rStyle w:val="Reference"/>
        </w:rPr>
        <w:t>AASB </w:t>
      </w:r>
      <w:r w:rsidR="007D3F1A" w:rsidRPr="00467442">
        <w:rPr>
          <w:rStyle w:val="Reference"/>
        </w:rPr>
        <w:t>16.2</w:t>
      </w:r>
      <w:r w:rsidR="007D3F1A">
        <w:rPr>
          <w:rStyle w:val="Reference"/>
        </w:rPr>
        <w:t>4(d)</w:t>
      </w:r>
      <w:r w:rsidR="007D3F1A" w:rsidRPr="00467442">
        <w:rPr>
          <w:rStyle w:val="Reference"/>
        </w:rPr>
        <w:t>]</w:t>
      </w:r>
    </w:p>
    <w:p w14:paraId="1398F6AA" w14:textId="7868A789" w:rsidR="003719CD" w:rsidRDefault="003719CD" w:rsidP="007D536F">
      <w:pPr>
        <w:pStyle w:val="Heading4"/>
      </w:pPr>
      <w:bookmarkStart w:id="2359" w:name="_Toc179812628"/>
      <w:bookmarkStart w:id="2360" w:name="_Toc179818328"/>
      <w:bookmarkStart w:id="2361" w:name="_Toc179824028"/>
      <w:r>
        <w:t>Right-of-use asset</w:t>
      </w:r>
      <w:r w:rsidR="00EE66BF">
        <w:t>s</w:t>
      </w:r>
      <w:r>
        <w:t xml:space="preserve"> – Subsequent measurement</w:t>
      </w:r>
      <w:bookmarkEnd w:id="2359"/>
      <w:bookmarkEnd w:id="2360"/>
      <w:bookmarkEnd w:id="2361"/>
    </w:p>
    <w:p w14:paraId="796F6663" w14:textId="77777777" w:rsidR="00765F1F" w:rsidRDefault="00765F1F" w:rsidP="00765F1F">
      <w:pPr>
        <w:rPr>
          <w:rStyle w:val="Reference"/>
        </w:rPr>
      </w:pPr>
      <w:r w:rsidRPr="006761DF">
        <w:t xml:space="preserve">Right-of-use assets are subsequently measured at cost less accumulated depreciation, impairment and any adjustments for remeasurement of the lease liability. TV depreciates the right-of-use assets on a straight-line basis from the lease commencement date to the earlier of the end of the useful life of the right-of-use asset or the end of the lease term. Impairment of right-of-use assets is determined and accounted for in accordance with AASB 136 </w:t>
      </w:r>
      <w:r w:rsidRPr="006761DF">
        <w:rPr>
          <w:i/>
          <w:iCs/>
        </w:rPr>
        <w:t>Impairment of Assets</w:t>
      </w:r>
      <w:r w:rsidRPr="006761DF">
        <w:t xml:space="preserve">.  </w:t>
      </w:r>
      <w:r w:rsidRPr="006761DF">
        <w:rPr>
          <w:rStyle w:val="Reference"/>
        </w:rPr>
        <w:t>[AASB 16.29-33]</w:t>
      </w:r>
    </w:p>
    <w:p w14:paraId="77A0C945" w14:textId="77777777" w:rsidR="006761DF" w:rsidRPr="006761DF" w:rsidRDefault="006761DF" w:rsidP="006761DF">
      <w:pPr>
        <w:pStyle w:val="Heading4"/>
        <w:rPr>
          <w:rStyle w:val="Reference"/>
          <w:color w:val="auto"/>
          <w:sz w:val="18"/>
        </w:rPr>
      </w:pPr>
      <w:r w:rsidRPr="006761DF">
        <w:t>Impairment of right-of-use assets</w:t>
      </w:r>
    </w:p>
    <w:p w14:paraId="495341F2" w14:textId="528A16C3" w:rsidR="006761DF" w:rsidRDefault="00CB11E2" w:rsidP="006761DF">
      <w:r>
        <w:rPr>
          <w:rStyle w:val="Reference"/>
          <w:color w:val="auto"/>
          <w:sz w:val="18"/>
          <w:szCs w:val="20"/>
        </w:rPr>
        <w:t>TV</w:t>
      </w:r>
      <w:r w:rsidR="006761DF" w:rsidRPr="006761DF">
        <w:rPr>
          <w:rStyle w:val="Reference"/>
          <w:color w:val="auto"/>
          <w:sz w:val="18"/>
          <w:szCs w:val="20"/>
        </w:rPr>
        <w:t xml:space="preserve"> has assessed all right-of-use assets for impairment, and no indicators of impairment are identified as </w:t>
      </w:r>
      <w:proofErr w:type="gramStart"/>
      <w:r w:rsidR="006761DF" w:rsidRPr="006761DF">
        <w:rPr>
          <w:rStyle w:val="Reference"/>
          <w:color w:val="auto"/>
          <w:sz w:val="18"/>
          <w:szCs w:val="20"/>
        </w:rPr>
        <w:t>at</w:t>
      </w:r>
      <w:proofErr w:type="gramEnd"/>
      <w:r w:rsidR="006761DF" w:rsidRPr="006761DF">
        <w:rPr>
          <w:rStyle w:val="Reference"/>
          <w:color w:val="auto"/>
          <w:sz w:val="18"/>
          <w:szCs w:val="20"/>
        </w:rPr>
        <w:t xml:space="preserve"> 30 June 20X2. </w:t>
      </w:r>
      <w:r w:rsidR="006761DF" w:rsidRPr="006761DF">
        <w:rPr>
          <w:rStyle w:val="Reference"/>
        </w:rPr>
        <w:t>[AASB 1060.169]</w:t>
      </w:r>
    </w:p>
    <w:p w14:paraId="3870FFA3" w14:textId="683E9C56" w:rsidR="003719CD" w:rsidRDefault="003719CD" w:rsidP="007D536F">
      <w:pPr>
        <w:pStyle w:val="Heading4"/>
      </w:pPr>
      <w:bookmarkStart w:id="2362" w:name="_Toc179812629"/>
      <w:bookmarkStart w:id="2363" w:name="_Toc179818329"/>
      <w:bookmarkStart w:id="2364" w:name="_Toc179824029"/>
      <w:r>
        <w:t>Impairment of property, plant and equipment</w:t>
      </w:r>
      <w:bookmarkEnd w:id="2362"/>
      <w:bookmarkEnd w:id="2363"/>
      <w:bookmarkEnd w:id="2364"/>
    </w:p>
    <w:p w14:paraId="620BECC0" w14:textId="5AD0E293" w:rsidR="003719CD" w:rsidRDefault="003719CD" w:rsidP="00DC39DE">
      <w:r>
        <w:t xml:space="preserve">The recoverable amount of primarily non-cash-generating assets of not-for-profit entities, which are typically specialised in nature and held for continuing use of their service capacity, is expected to be materially the same as fair value determined under </w:t>
      </w:r>
      <w:r w:rsidR="0007383E">
        <w:t>AASB </w:t>
      </w:r>
      <w:r>
        <w:t xml:space="preserve">13 </w:t>
      </w:r>
      <w:r w:rsidRPr="00D74E42">
        <w:rPr>
          <w:i/>
          <w:iCs/>
        </w:rPr>
        <w:t>Fair Value Measurement</w:t>
      </w:r>
      <w:r>
        <w:t xml:space="preserve">, with the consequence that </w:t>
      </w:r>
      <w:r w:rsidR="0007383E">
        <w:t>AASB </w:t>
      </w:r>
      <w:r>
        <w:t xml:space="preserve">136 does not apply to such assets that are regularly revalued. </w:t>
      </w:r>
    </w:p>
    <w:p w14:paraId="7E866819" w14:textId="73BC17BA" w:rsidR="003719CD" w:rsidRDefault="003719CD" w:rsidP="001B5265">
      <w:pPr>
        <w:pStyle w:val="Heading3numbered"/>
      </w:pPr>
      <w:bookmarkStart w:id="2365" w:name="INDEX_NonFinAssets"/>
      <w:bookmarkStart w:id="2366" w:name="_Toc179812630"/>
      <w:bookmarkStart w:id="2367" w:name="_Toc179818330"/>
      <w:bookmarkStart w:id="2368" w:name="_Toc179824030"/>
      <w:bookmarkStart w:id="2369" w:name="_Toc179829707"/>
      <w:bookmarkStart w:id="2370" w:name="_Toc179861237"/>
      <w:bookmarkEnd w:id="2365"/>
      <w:r>
        <w:t>Depreciation and amortisation</w:t>
      </w:r>
      <w:bookmarkEnd w:id="2366"/>
      <w:bookmarkEnd w:id="2367"/>
      <w:bookmarkEnd w:id="2368"/>
      <w:bookmarkEnd w:id="2369"/>
      <w:bookmarkEnd w:id="2370"/>
      <w:r w:rsidR="009244CA">
        <w:t xml:space="preserve"> </w:t>
      </w:r>
    </w:p>
    <w:p w14:paraId="4024356B" w14:textId="6E61F420" w:rsidR="003719CD" w:rsidRDefault="003719CD" w:rsidP="00DC39DE">
      <w:r w:rsidRPr="009729AD">
        <w:t xml:space="preserve">All buildings, plant and equipment and other non-financial physical assets that have finite useful lives, are depreciated. The exceptions to this rule include </w:t>
      </w:r>
      <w:r w:rsidRPr="0076319F">
        <w:t>items under assets held for sale</w:t>
      </w:r>
      <w:r w:rsidR="001C4A0D">
        <w:rPr>
          <w:rFonts w:hint="eastAsia"/>
          <w:lang w:eastAsia="zh-CN"/>
        </w:rPr>
        <w:t xml:space="preserve">, cultural assets </w:t>
      </w:r>
      <w:r w:rsidR="0076319F">
        <w:rPr>
          <w:rFonts w:hint="eastAsia"/>
          <w:lang w:eastAsia="zh-CN"/>
        </w:rPr>
        <w:t>and</w:t>
      </w:r>
      <w:r w:rsidRPr="0076319F">
        <w:t xml:space="preserve"> land</w:t>
      </w:r>
      <w:r w:rsidRPr="009729AD">
        <w:t>.</w:t>
      </w:r>
    </w:p>
    <w:p w14:paraId="48222223" w14:textId="46FD8B74" w:rsidR="003719CD" w:rsidRDefault="35E00C1F" w:rsidP="00DC39DE">
      <w:r>
        <w:t xml:space="preserve">Depreciation is generally calculated on a straight-line basis, at rates that allocate the asset’s value, less any estimated residual value, over its estimated useful life. </w:t>
      </w:r>
      <w:r w:rsidR="726ABFCF" w:rsidRPr="002A0038">
        <w:rPr>
          <w:rStyle w:val="Reference"/>
        </w:rPr>
        <w:t>[</w:t>
      </w:r>
      <w:r w:rsidR="0007383E">
        <w:rPr>
          <w:rStyle w:val="Reference"/>
        </w:rPr>
        <w:t>AASB </w:t>
      </w:r>
      <w:r w:rsidR="726ABFCF" w:rsidRPr="002A0038">
        <w:rPr>
          <w:rStyle w:val="Reference"/>
        </w:rPr>
        <w:t>1060.134(b)]</w:t>
      </w:r>
      <w:r w:rsidR="00F071FB" w:rsidRPr="002A0038">
        <w:rPr>
          <w:color w:val="FF0000"/>
          <w:sz w:val="16"/>
          <w:szCs w:val="16"/>
          <w:lang w:eastAsia="zh-CN"/>
        </w:rPr>
        <w:t xml:space="preserve"> </w:t>
      </w:r>
      <w:r>
        <w:t>Typical estimated useful lives for the different asset classes for current and prior years are included in the table below:</w:t>
      </w:r>
    </w:p>
    <w:p w14:paraId="60847181" w14:textId="77777777" w:rsidR="003719CD" w:rsidRDefault="003719CD" w:rsidP="007D536F">
      <w:pPr>
        <w:pStyle w:val="TableUnits"/>
      </w:pPr>
      <w:r>
        <w:t>(years)</w:t>
      </w:r>
    </w:p>
    <w:tbl>
      <w:tblPr>
        <w:tblStyle w:val="DTFTable"/>
        <w:tblW w:w="9713" w:type="dxa"/>
        <w:tblLayout w:type="fixed"/>
        <w:tblLook w:val="06A0" w:firstRow="1" w:lastRow="0" w:firstColumn="1" w:lastColumn="0" w:noHBand="1" w:noVBand="1"/>
      </w:tblPr>
      <w:tblGrid>
        <w:gridCol w:w="1843"/>
        <w:gridCol w:w="5177"/>
        <w:gridCol w:w="2693"/>
      </w:tblGrid>
      <w:tr w:rsidR="005F1DD3" w14:paraId="43A248F0" w14:textId="77777777" w:rsidTr="00BE7D3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843" w:type="dxa"/>
            <w:tcBorders>
              <w:bottom w:val="nil"/>
            </w:tcBorders>
          </w:tcPr>
          <w:p w14:paraId="13ED95F8" w14:textId="63E2B7F0" w:rsidR="005F1DD3" w:rsidRDefault="005F1DD3">
            <w:pPr>
              <w:keepNext/>
              <w:rPr>
                <w:color w:val="4472C4"/>
                <w:sz w:val="13"/>
              </w:rPr>
            </w:pPr>
            <w:r>
              <w:rPr>
                <w:color w:val="4472C4"/>
                <w:sz w:val="13"/>
              </w:rPr>
              <w:t>Source reference</w:t>
            </w:r>
          </w:p>
        </w:tc>
        <w:tc>
          <w:tcPr>
            <w:tcW w:w="5177" w:type="dxa"/>
            <w:tcBorders>
              <w:bottom w:val="nil"/>
            </w:tcBorders>
          </w:tcPr>
          <w:p w14:paraId="64912709" w14:textId="586E20CF" w:rsidR="005F1DD3" w:rsidRDefault="005F1DD3" w:rsidP="002A0038">
            <w:pPr>
              <w:keepNext/>
              <w:jc w:val="left"/>
              <w:cnfStyle w:val="100000000000" w:firstRow="1" w:lastRow="0" w:firstColumn="0" w:lastColumn="0" w:oddVBand="0" w:evenVBand="0" w:oddHBand="0" w:evenHBand="0" w:firstRowFirstColumn="0" w:firstRowLastColumn="0" w:lastRowFirstColumn="0" w:lastRowLastColumn="0"/>
            </w:pPr>
            <w:r>
              <w:t>Asset</w:t>
            </w:r>
          </w:p>
        </w:tc>
        <w:tc>
          <w:tcPr>
            <w:tcW w:w="2693" w:type="dxa"/>
            <w:tcBorders>
              <w:bottom w:val="nil"/>
            </w:tcBorders>
          </w:tcPr>
          <w:p w14:paraId="2F935EA2" w14:textId="77777777" w:rsidR="005F1DD3" w:rsidRDefault="005F1DD3">
            <w:pPr>
              <w:keepNext/>
              <w:cnfStyle w:val="100000000000" w:firstRow="1" w:lastRow="0" w:firstColumn="0" w:lastColumn="0" w:oddVBand="0" w:evenVBand="0" w:oddHBand="0" w:evenHBand="0" w:firstRowFirstColumn="0" w:firstRowLastColumn="0" w:lastRowFirstColumn="0" w:lastRowLastColumn="0"/>
            </w:pPr>
            <w:r>
              <w:t>Useful life</w:t>
            </w:r>
          </w:p>
        </w:tc>
      </w:tr>
      <w:tr w:rsidR="005F1DD3" w14:paraId="62674B23" w14:textId="77777777" w:rsidTr="00BE7D38">
        <w:tc>
          <w:tcPr>
            <w:cnfStyle w:val="001000000000" w:firstRow="0" w:lastRow="0" w:firstColumn="1" w:lastColumn="0" w:oddVBand="0" w:evenVBand="0" w:oddHBand="0" w:evenHBand="0" w:firstRowFirstColumn="0" w:firstRowLastColumn="0" w:lastRowFirstColumn="0" w:lastRowLastColumn="0"/>
            <w:tcW w:w="1843" w:type="dxa"/>
            <w:tcBorders>
              <w:bottom w:val="nil"/>
            </w:tcBorders>
          </w:tcPr>
          <w:p w14:paraId="2E7369CD" w14:textId="14CBF369" w:rsidR="005F1DD3" w:rsidRDefault="0007383E">
            <w:pPr>
              <w:rPr>
                <w:color w:val="4472C4"/>
                <w:sz w:val="13"/>
              </w:rPr>
            </w:pPr>
            <w:r>
              <w:rPr>
                <w:color w:val="4472C4"/>
                <w:sz w:val="13"/>
              </w:rPr>
              <w:t>AASB </w:t>
            </w:r>
            <w:r w:rsidR="005F1DD3">
              <w:rPr>
                <w:color w:val="4472C4"/>
                <w:sz w:val="13"/>
              </w:rPr>
              <w:t>1060.</w:t>
            </w:r>
            <w:r w:rsidR="005F1DD3" w:rsidRPr="067473FC">
              <w:rPr>
                <w:color w:val="4472C4" w:themeColor="accent1"/>
                <w:sz w:val="13"/>
                <w:szCs w:val="13"/>
              </w:rPr>
              <w:t>1</w:t>
            </w:r>
            <w:r w:rsidR="005F1DD3">
              <w:rPr>
                <w:rFonts w:hint="eastAsia"/>
                <w:color w:val="4472C4" w:themeColor="accent1"/>
                <w:sz w:val="13"/>
                <w:szCs w:val="13"/>
                <w:lang w:eastAsia="zh-CN"/>
              </w:rPr>
              <w:t>3</w:t>
            </w:r>
            <w:r w:rsidR="005F1DD3" w:rsidRPr="067473FC">
              <w:rPr>
                <w:color w:val="4472C4" w:themeColor="accent1"/>
                <w:sz w:val="13"/>
                <w:szCs w:val="13"/>
              </w:rPr>
              <w:t>4 (</w:t>
            </w:r>
            <w:r w:rsidR="005F1DD3">
              <w:rPr>
                <w:rFonts w:hint="eastAsia"/>
                <w:color w:val="4472C4" w:themeColor="accent1"/>
                <w:sz w:val="13"/>
                <w:szCs w:val="13"/>
                <w:lang w:eastAsia="zh-CN"/>
              </w:rPr>
              <w:t>c</w:t>
            </w:r>
            <w:r w:rsidR="005F1DD3" w:rsidRPr="067473FC">
              <w:rPr>
                <w:color w:val="4472C4" w:themeColor="accent1"/>
                <w:sz w:val="13"/>
                <w:szCs w:val="13"/>
              </w:rPr>
              <w:t>)</w:t>
            </w:r>
          </w:p>
        </w:tc>
        <w:tc>
          <w:tcPr>
            <w:tcW w:w="5177" w:type="dxa"/>
            <w:tcBorders>
              <w:bottom w:val="nil"/>
            </w:tcBorders>
          </w:tcPr>
          <w:p w14:paraId="43D50218" w14:textId="4D15AC6A" w:rsidR="005F1DD3" w:rsidRDefault="005F1DD3" w:rsidP="002A0038">
            <w:pPr>
              <w:jc w:val="left"/>
              <w:cnfStyle w:val="000000000000" w:firstRow="0" w:lastRow="0" w:firstColumn="0" w:lastColumn="0" w:oddVBand="0" w:evenVBand="0" w:oddHBand="0" w:evenHBand="0" w:firstRowFirstColumn="0" w:firstRowLastColumn="0" w:lastRowFirstColumn="0" w:lastRowLastColumn="0"/>
            </w:pPr>
            <w:r>
              <w:t>Buildings</w:t>
            </w:r>
          </w:p>
        </w:tc>
        <w:tc>
          <w:tcPr>
            <w:tcW w:w="2693" w:type="dxa"/>
            <w:tcBorders>
              <w:bottom w:val="nil"/>
            </w:tcBorders>
          </w:tcPr>
          <w:p w14:paraId="5DBE2391" w14:textId="77777777" w:rsidR="005F1DD3" w:rsidRDefault="005F1DD3">
            <w:pPr>
              <w:cnfStyle w:val="000000000000" w:firstRow="0" w:lastRow="0" w:firstColumn="0" w:lastColumn="0" w:oddVBand="0" w:evenVBand="0" w:oddHBand="0" w:evenHBand="0" w:firstRowFirstColumn="0" w:firstRowLastColumn="0" w:lastRowFirstColumn="0" w:lastRowLastColumn="0"/>
            </w:pPr>
            <w:r>
              <w:t>20 to 100</w:t>
            </w:r>
          </w:p>
        </w:tc>
      </w:tr>
      <w:tr w:rsidR="005F1DD3" w14:paraId="527F442A" w14:textId="77777777" w:rsidTr="00BE7D38">
        <w:tc>
          <w:tcPr>
            <w:cnfStyle w:val="001000000000" w:firstRow="0" w:lastRow="0" w:firstColumn="1" w:lastColumn="0" w:oddVBand="0" w:evenVBand="0" w:oddHBand="0" w:evenHBand="0" w:firstRowFirstColumn="0" w:firstRowLastColumn="0" w:lastRowFirstColumn="0" w:lastRowLastColumn="0"/>
            <w:tcW w:w="1843" w:type="dxa"/>
            <w:tcBorders>
              <w:bottom w:val="nil"/>
            </w:tcBorders>
          </w:tcPr>
          <w:p w14:paraId="357B2129" w14:textId="77777777" w:rsidR="005F1DD3" w:rsidRPr="00A9530A" w:rsidRDefault="005F1DD3">
            <w:pPr>
              <w:rPr>
                <w:lang w:eastAsia="zh-CN"/>
              </w:rPr>
            </w:pPr>
          </w:p>
        </w:tc>
        <w:tc>
          <w:tcPr>
            <w:tcW w:w="5177" w:type="dxa"/>
            <w:tcBorders>
              <w:bottom w:val="nil"/>
            </w:tcBorders>
          </w:tcPr>
          <w:p w14:paraId="2FBA7946" w14:textId="5384374C" w:rsidR="005F1DD3" w:rsidRDefault="005F1DD3" w:rsidP="002A0038">
            <w:pPr>
              <w:jc w:val="left"/>
              <w:cnfStyle w:val="000000000000" w:firstRow="0" w:lastRow="0" w:firstColumn="0" w:lastColumn="0" w:oddVBand="0" w:evenVBand="0" w:oddHBand="0" w:evenHBand="0" w:firstRowFirstColumn="0" w:firstRowLastColumn="0" w:lastRowFirstColumn="0" w:lastRowLastColumn="0"/>
            </w:pPr>
            <w:r>
              <w:rPr>
                <w:rFonts w:hint="eastAsia"/>
                <w:lang w:eastAsia="zh-CN"/>
              </w:rPr>
              <w:t>L</w:t>
            </w:r>
            <w:r>
              <w:t>easehold buildings</w:t>
            </w:r>
          </w:p>
        </w:tc>
        <w:tc>
          <w:tcPr>
            <w:tcW w:w="2693" w:type="dxa"/>
            <w:tcBorders>
              <w:bottom w:val="nil"/>
            </w:tcBorders>
          </w:tcPr>
          <w:p w14:paraId="1FCB3A10" w14:textId="6303C33B" w:rsidR="005F1DD3" w:rsidRDefault="005F1DD3">
            <w:pPr>
              <w:cnfStyle w:val="000000000000" w:firstRow="0" w:lastRow="0" w:firstColumn="0" w:lastColumn="0" w:oddVBand="0" w:evenVBand="0" w:oddHBand="0" w:evenHBand="0" w:firstRowFirstColumn="0" w:firstRowLastColumn="0" w:lastRowFirstColumn="0" w:lastRowLastColumn="0"/>
            </w:pPr>
            <w:r>
              <w:t>2 to 60</w:t>
            </w:r>
          </w:p>
        </w:tc>
      </w:tr>
      <w:tr w:rsidR="005F1DD3" w14:paraId="779A713B" w14:textId="77777777" w:rsidTr="00BE7D38">
        <w:tc>
          <w:tcPr>
            <w:cnfStyle w:val="001000000000" w:firstRow="0" w:lastRow="0" w:firstColumn="1" w:lastColumn="0" w:oddVBand="0" w:evenVBand="0" w:oddHBand="0" w:evenHBand="0" w:firstRowFirstColumn="0" w:firstRowLastColumn="0" w:lastRowFirstColumn="0" w:lastRowLastColumn="0"/>
            <w:tcW w:w="1843" w:type="dxa"/>
            <w:tcBorders>
              <w:bottom w:val="nil"/>
            </w:tcBorders>
          </w:tcPr>
          <w:p w14:paraId="34BBDCB4" w14:textId="77777777" w:rsidR="005F1DD3" w:rsidRPr="00A9530A" w:rsidRDefault="005F1DD3" w:rsidP="00A9530A"/>
        </w:tc>
        <w:tc>
          <w:tcPr>
            <w:tcW w:w="5177" w:type="dxa"/>
            <w:tcBorders>
              <w:bottom w:val="nil"/>
            </w:tcBorders>
          </w:tcPr>
          <w:p w14:paraId="50699BE7" w14:textId="67BC0FED" w:rsidR="005F1DD3" w:rsidRDefault="005F1DD3" w:rsidP="002A0038">
            <w:pPr>
              <w:jc w:val="left"/>
              <w:cnfStyle w:val="000000000000" w:firstRow="0" w:lastRow="0" w:firstColumn="0" w:lastColumn="0" w:oddVBand="0" w:evenVBand="0" w:oddHBand="0" w:evenHBand="0" w:firstRowFirstColumn="0" w:firstRowLastColumn="0" w:lastRowFirstColumn="0" w:lastRowLastColumn="0"/>
            </w:pPr>
            <w:r>
              <w:t>Plant, equipment and vehicles (including leased assets)</w:t>
            </w:r>
          </w:p>
        </w:tc>
        <w:tc>
          <w:tcPr>
            <w:tcW w:w="2693" w:type="dxa"/>
            <w:tcBorders>
              <w:bottom w:val="nil"/>
            </w:tcBorders>
          </w:tcPr>
          <w:p w14:paraId="7E8EC627" w14:textId="77777777" w:rsidR="005F1DD3" w:rsidRDefault="005F1DD3">
            <w:pPr>
              <w:cnfStyle w:val="000000000000" w:firstRow="0" w:lastRow="0" w:firstColumn="0" w:lastColumn="0" w:oddVBand="0" w:evenVBand="0" w:oddHBand="0" w:evenHBand="0" w:firstRowFirstColumn="0" w:firstRowLastColumn="0" w:lastRowFirstColumn="0" w:lastRowLastColumn="0"/>
            </w:pPr>
            <w:r>
              <w:t>3 to 10</w:t>
            </w:r>
          </w:p>
        </w:tc>
      </w:tr>
      <w:tr w:rsidR="005F1DD3" w:rsidRPr="0032009D" w14:paraId="74AF4658" w14:textId="77777777" w:rsidTr="00BE7D38">
        <w:tc>
          <w:tcPr>
            <w:cnfStyle w:val="001000000000" w:firstRow="0" w:lastRow="0" w:firstColumn="1" w:lastColumn="0" w:oddVBand="0" w:evenVBand="0" w:oddHBand="0" w:evenHBand="0" w:firstRowFirstColumn="0" w:firstRowLastColumn="0" w:lastRowFirstColumn="0" w:lastRowLastColumn="0"/>
            <w:tcW w:w="1843" w:type="dxa"/>
            <w:tcBorders>
              <w:bottom w:val="nil"/>
            </w:tcBorders>
          </w:tcPr>
          <w:p w14:paraId="6A8B1448" w14:textId="77777777" w:rsidR="005F1DD3" w:rsidRPr="005F1DD3" w:rsidRDefault="005F1DD3" w:rsidP="005F1DD3"/>
        </w:tc>
        <w:tc>
          <w:tcPr>
            <w:tcW w:w="5177" w:type="dxa"/>
          </w:tcPr>
          <w:p w14:paraId="7EC2F7C2" w14:textId="34E2595D" w:rsidR="005F1DD3" w:rsidRPr="0032009D" w:rsidRDefault="005F1DD3" w:rsidP="002A0038">
            <w:pPr>
              <w:jc w:val="left"/>
              <w:cnfStyle w:val="000000000000" w:firstRow="0" w:lastRow="0" w:firstColumn="0" w:lastColumn="0" w:oddVBand="0" w:evenVBand="0" w:oddHBand="0" w:evenHBand="0" w:firstRowFirstColumn="0" w:firstRowLastColumn="0" w:lastRowFirstColumn="0" w:lastRowLastColumn="0"/>
            </w:pPr>
            <w:r w:rsidRPr="0032009D">
              <w:t>Cultural assets (with finite useful lives)</w:t>
            </w:r>
          </w:p>
        </w:tc>
        <w:tc>
          <w:tcPr>
            <w:tcW w:w="2693" w:type="dxa"/>
          </w:tcPr>
          <w:p w14:paraId="18A7BEB2" w14:textId="77777777" w:rsidR="005F1DD3" w:rsidRPr="0032009D" w:rsidRDefault="005F1DD3">
            <w:pPr>
              <w:cnfStyle w:val="000000000000" w:firstRow="0" w:lastRow="0" w:firstColumn="0" w:lastColumn="0" w:oddVBand="0" w:evenVBand="0" w:oddHBand="0" w:evenHBand="0" w:firstRowFirstColumn="0" w:firstRowLastColumn="0" w:lastRowFirstColumn="0" w:lastRowLastColumn="0"/>
            </w:pPr>
            <w:r w:rsidRPr="0032009D">
              <w:t>100</w:t>
            </w:r>
          </w:p>
        </w:tc>
      </w:tr>
    </w:tbl>
    <w:p w14:paraId="78B0C6FD" w14:textId="3EDF6629" w:rsidR="003719CD" w:rsidRDefault="003719CD" w:rsidP="00DC39DE">
      <w:r>
        <w:t xml:space="preserve">The estimated useful lives, residual values and depreciation method are reviewed at the end of each annual reporting period, and adjustments made where appropriate. </w:t>
      </w:r>
      <w:r w:rsidRPr="00D74E42">
        <w:rPr>
          <w:rStyle w:val="Guidance"/>
        </w:rPr>
        <w:t xml:space="preserve">[The useful lives illustrated in the Model are for illustrative purposes only. </w:t>
      </w:r>
      <w:r w:rsidR="00554E34">
        <w:rPr>
          <w:rStyle w:val="Guidance"/>
        </w:rPr>
        <w:t>Entitie</w:t>
      </w:r>
      <w:r w:rsidRPr="00D74E42">
        <w:rPr>
          <w:rStyle w:val="Guidance"/>
        </w:rPr>
        <w:t xml:space="preserve">s should determine the useful lives of </w:t>
      </w:r>
      <w:r w:rsidR="00D27F36">
        <w:rPr>
          <w:rStyle w:val="Guidance"/>
        </w:rPr>
        <w:t xml:space="preserve">their </w:t>
      </w:r>
      <w:r w:rsidR="009244CA">
        <w:rPr>
          <w:rStyle w:val="Guidance"/>
        </w:rPr>
        <w:t>own</w:t>
      </w:r>
      <w:r w:rsidR="00D27F36">
        <w:rPr>
          <w:rStyle w:val="Guidance"/>
        </w:rPr>
        <w:t xml:space="preserve"> </w:t>
      </w:r>
      <w:r w:rsidRPr="00D74E42">
        <w:rPr>
          <w:rStyle w:val="Guidance"/>
        </w:rPr>
        <w:t>assets</w:t>
      </w:r>
      <w:r w:rsidR="009244CA">
        <w:rPr>
          <w:rStyle w:val="Guidance"/>
        </w:rPr>
        <w:t xml:space="preserve"> held</w:t>
      </w:r>
      <w:r w:rsidRPr="00D74E42">
        <w:rPr>
          <w:rStyle w:val="Guidance"/>
        </w:rPr>
        <w:t>.]</w:t>
      </w:r>
      <w:r>
        <w:t xml:space="preserve"> </w:t>
      </w:r>
    </w:p>
    <w:p w14:paraId="30CEDD0F" w14:textId="45CBB549" w:rsidR="003719CD" w:rsidRPr="009729AD" w:rsidRDefault="003719CD" w:rsidP="00DC39DE">
      <w:r w:rsidRPr="009729AD">
        <w:t xml:space="preserve">Right-of-use assets are generally depreciated over the shorter of the asset’s useful life and the lease term. Where </w:t>
      </w:r>
      <w:r w:rsidR="006B48BC" w:rsidRPr="009729AD">
        <w:t>TV</w:t>
      </w:r>
      <w:r w:rsidRPr="009729AD">
        <w:t xml:space="preserve"> obtains ownership of the underlying leased asset or if the cost of the right-of-use asset reflects that the entity will exercise a purchase option, the entity depreciates the right-of-use asset over its useful life.</w:t>
      </w:r>
    </w:p>
    <w:p w14:paraId="0B0359C0" w14:textId="77777777" w:rsidR="003719CD" w:rsidRDefault="003719CD" w:rsidP="00DC39DE">
      <w:r w:rsidRPr="009729AD">
        <w:t>Leasehold improvements are depreciated over the shorter of the lease term and their useful lives.</w:t>
      </w:r>
    </w:p>
    <w:p w14:paraId="1A96D14D" w14:textId="00B0817B" w:rsidR="003719CD" w:rsidRDefault="35E00C1F" w:rsidP="00DC39DE">
      <w:pPr>
        <w:rPr>
          <w:rStyle w:val="Reference"/>
        </w:rPr>
      </w:pPr>
      <w:r w:rsidRPr="067473FC">
        <w:rPr>
          <w:b/>
          <w:bCs/>
        </w:rPr>
        <w:t xml:space="preserve">Indefinite life </w:t>
      </w:r>
      <w:r w:rsidRPr="001C4A0D">
        <w:rPr>
          <w:b/>
          <w:bCs/>
        </w:rPr>
        <w:t>assets</w:t>
      </w:r>
      <w:r w:rsidRPr="001C4A0D">
        <w:t>: Land</w:t>
      </w:r>
      <w:r w:rsidR="001C4A0D" w:rsidRPr="002A0038">
        <w:rPr>
          <w:lang w:eastAsia="zh-CN"/>
        </w:rPr>
        <w:t xml:space="preserve"> </w:t>
      </w:r>
      <w:r w:rsidRPr="001C4A0D">
        <w:t>and cultural assets, which</w:t>
      </w:r>
      <w:r>
        <w:t xml:space="preserve"> are considered to have an indefinite life, are not depreciated. Depreciation is not recognised in respect of these assets because their service potential has not, in any material sense, been consumed during the reporting period. </w:t>
      </w:r>
    </w:p>
    <w:p w14:paraId="1AC62E45" w14:textId="77777777" w:rsidR="009E2EC1" w:rsidRDefault="009E2EC1" w:rsidP="00DC39DE"/>
    <w:p w14:paraId="52C4420E" w14:textId="0AEBFFEF" w:rsidR="009E2EC1" w:rsidRDefault="009E2EC1" w:rsidP="00DC39DE">
      <w:pPr>
        <w:sectPr w:rsidR="009E2EC1" w:rsidSect="000E2F05">
          <w:headerReference w:type="default" r:id="rId84"/>
          <w:footerReference w:type="default" r:id="rId85"/>
          <w:headerReference w:type="first" r:id="rId86"/>
          <w:footerReference w:type="first" r:id="rId87"/>
          <w:type w:val="continuous"/>
          <w:pgSz w:w="11906" w:h="16838" w:code="9"/>
          <w:pgMar w:top="1134" w:right="1134" w:bottom="1134" w:left="1134" w:header="624" w:footer="567" w:gutter="0"/>
          <w:cols w:space="708"/>
          <w:docGrid w:linePitch="360"/>
        </w:sectPr>
      </w:pPr>
    </w:p>
    <w:p w14:paraId="4F99A969" w14:textId="45F0FF03" w:rsidR="003719CD" w:rsidRDefault="00DB38F6" w:rsidP="00A80494">
      <w:pPr>
        <w:pStyle w:val="Heading3numbered"/>
        <w:tabs>
          <w:tab w:val="right" w:pos="14742"/>
        </w:tabs>
      </w:pPr>
      <w:bookmarkStart w:id="2371" w:name="_Toc179812631"/>
      <w:bookmarkStart w:id="2372" w:name="_Toc179818331"/>
      <w:bookmarkStart w:id="2373" w:name="_Toc179824031"/>
      <w:bookmarkStart w:id="2374" w:name="_Toc179829708"/>
      <w:bookmarkStart w:id="2375" w:name="_Toc179861238"/>
      <w:r>
        <w:t>R</w:t>
      </w:r>
      <w:r w:rsidR="003719CD">
        <w:t>econciliation of movements in carrying amount of property, plant and equipment</w:t>
      </w:r>
      <w:r w:rsidR="0009F535">
        <w:t xml:space="preserve"> </w:t>
      </w:r>
      <w:r w:rsidR="0009F535" w:rsidRPr="60A6DAF9">
        <w:rPr>
          <w:vertAlign w:val="superscript"/>
        </w:rPr>
        <w:t>(a)</w:t>
      </w:r>
      <w:r w:rsidR="009331BA">
        <w:rPr>
          <w:vertAlign w:val="superscript"/>
        </w:rPr>
        <w:t xml:space="preserve"> </w:t>
      </w:r>
      <w:r w:rsidR="009331BA" w:rsidRPr="00E51206">
        <w:rPr>
          <w:color w:val="C00000"/>
        </w:rPr>
        <w:t>[REVISED]</w:t>
      </w:r>
      <w:r w:rsidR="003719CD">
        <w:tab/>
      </w:r>
      <w:r w:rsidR="0009F535">
        <w:t>($ thousand)</w:t>
      </w:r>
      <w:bookmarkEnd w:id="2371"/>
      <w:bookmarkEnd w:id="2372"/>
      <w:bookmarkEnd w:id="2373"/>
      <w:bookmarkEnd w:id="2374"/>
      <w:bookmarkEnd w:id="2375"/>
    </w:p>
    <w:tbl>
      <w:tblPr>
        <w:tblStyle w:val="DTFTable"/>
        <w:tblW w:w="14570" w:type="dxa"/>
        <w:tblLayout w:type="fixed"/>
        <w:tblLook w:val="0620" w:firstRow="1" w:lastRow="0" w:firstColumn="0" w:lastColumn="0" w:noHBand="1" w:noVBand="1"/>
      </w:tblPr>
      <w:tblGrid>
        <w:gridCol w:w="1988"/>
        <w:gridCol w:w="3183"/>
        <w:gridCol w:w="1341"/>
        <w:gridCol w:w="1343"/>
        <w:gridCol w:w="1343"/>
        <w:gridCol w:w="1343"/>
        <w:gridCol w:w="1343"/>
        <w:gridCol w:w="1343"/>
        <w:gridCol w:w="1343"/>
      </w:tblGrid>
      <w:tr w:rsidR="00EC7776" w:rsidRPr="00BE7D38" w14:paraId="4CC8AC88" w14:textId="77777777" w:rsidTr="00E51206">
        <w:trPr>
          <w:cnfStyle w:val="100000000000" w:firstRow="1" w:lastRow="0" w:firstColumn="0" w:lastColumn="0" w:oddVBand="0" w:evenVBand="0" w:oddHBand="0" w:evenHBand="0" w:firstRowFirstColumn="0" w:firstRowLastColumn="0" w:lastRowFirstColumn="0" w:lastRowLastColumn="0"/>
          <w:trHeight w:val="917"/>
          <w:tblHeader/>
        </w:trPr>
        <w:tc>
          <w:tcPr>
            <w:tcW w:w="1988" w:type="dxa"/>
            <w:tcBorders>
              <w:top w:val="nil"/>
              <w:bottom w:val="nil"/>
            </w:tcBorders>
            <w:shd w:val="clear" w:color="auto" w:fill="FFFFFF" w:themeFill="background1"/>
          </w:tcPr>
          <w:p w14:paraId="4840A63B" w14:textId="77777777" w:rsidR="00EC7776" w:rsidRDefault="00EC7776">
            <w:pPr>
              <w:keepNext/>
              <w:jc w:val="left"/>
            </w:pPr>
            <w:r>
              <w:rPr>
                <w:color w:val="4472C4"/>
                <w:sz w:val="13"/>
              </w:rPr>
              <w:t>Source reference</w:t>
            </w:r>
          </w:p>
        </w:tc>
        <w:tc>
          <w:tcPr>
            <w:tcW w:w="3183" w:type="dxa"/>
          </w:tcPr>
          <w:p w14:paraId="7335F17C" w14:textId="77777777" w:rsidR="00EC7776" w:rsidRDefault="00EC7776">
            <w:pPr>
              <w:keepNext/>
              <w:jc w:val="left"/>
            </w:pPr>
          </w:p>
        </w:tc>
        <w:tc>
          <w:tcPr>
            <w:tcW w:w="1341" w:type="dxa"/>
          </w:tcPr>
          <w:p w14:paraId="2416A031" w14:textId="77777777" w:rsidR="00EC7776" w:rsidRPr="00BE7D38" w:rsidRDefault="00EC7776" w:rsidP="002A0038">
            <w:pPr>
              <w:keepNext/>
              <w:rPr>
                <w:bCs w:val="0"/>
                <w:i w:val="0"/>
                <w:sz w:val="18"/>
              </w:rPr>
            </w:pPr>
            <w:r w:rsidRPr="00BE7D38">
              <w:rPr>
                <w:sz w:val="18"/>
              </w:rPr>
              <w:t>Land</w:t>
            </w:r>
            <w:r w:rsidRPr="00BE7D38">
              <w:rPr>
                <w:sz w:val="18"/>
              </w:rPr>
              <w:br/>
              <w:t>at fair value</w:t>
            </w:r>
          </w:p>
        </w:tc>
        <w:tc>
          <w:tcPr>
            <w:tcW w:w="1343" w:type="dxa"/>
          </w:tcPr>
          <w:p w14:paraId="5CA3FC1B" w14:textId="77777777" w:rsidR="00EC7776" w:rsidRPr="00BE7D38" w:rsidRDefault="00EC7776" w:rsidP="002A0038">
            <w:pPr>
              <w:keepNext/>
              <w:rPr>
                <w:bCs w:val="0"/>
                <w:i w:val="0"/>
                <w:sz w:val="18"/>
              </w:rPr>
            </w:pPr>
            <w:r w:rsidRPr="00BE7D38">
              <w:rPr>
                <w:sz w:val="18"/>
              </w:rPr>
              <w:t>Buildings</w:t>
            </w:r>
            <w:r w:rsidRPr="00BE7D38">
              <w:rPr>
                <w:sz w:val="18"/>
              </w:rPr>
              <w:br/>
              <w:t>at fair value</w:t>
            </w:r>
          </w:p>
        </w:tc>
        <w:tc>
          <w:tcPr>
            <w:tcW w:w="1343" w:type="dxa"/>
          </w:tcPr>
          <w:p w14:paraId="6C3C5BD6" w14:textId="77777777" w:rsidR="00EC7776" w:rsidRPr="00BE7D38" w:rsidRDefault="00EC7776" w:rsidP="002A0038">
            <w:pPr>
              <w:keepNext/>
              <w:rPr>
                <w:bCs w:val="0"/>
                <w:i w:val="0"/>
                <w:sz w:val="18"/>
              </w:rPr>
            </w:pPr>
            <w:r w:rsidRPr="00BE7D38">
              <w:rPr>
                <w:sz w:val="18"/>
              </w:rPr>
              <w:t>Plant, equipment and vehicles</w:t>
            </w:r>
            <w:r w:rsidRPr="00BE7D38">
              <w:rPr>
                <w:sz w:val="18"/>
              </w:rPr>
              <w:br/>
              <w:t>at fair value</w:t>
            </w:r>
          </w:p>
        </w:tc>
        <w:tc>
          <w:tcPr>
            <w:tcW w:w="1343" w:type="dxa"/>
          </w:tcPr>
          <w:p w14:paraId="43E21381" w14:textId="1B5F1A86" w:rsidR="00EC7776" w:rsidRPr="00BE7D38" w:rsidRDefault="00EC7776" w:rsidP="002A0038">
            <w:pPr>
              <w:keepNext/>
              <w:rPr>
                <w:bCs w:val="0"/>
                <w:i w:val="0"/>
                <w:sz w:val="18"/>
              </w:rPr>
            </w:pPr>
            <w:r w:rsidRPr="00BE7D38">
              <w:rPr>
                <w:sz w:val="18"/>
              </w:rPr>
              <w:t>Assets under construction</w:t>
            </w:r>
            <w:r w:rsidRPr="00BE7D38">
              <w:rPr>
                <w:sz w:val="18"/>
              </w:rPr>
              <w:br/>
            </w:r>
          </w:p>
        </w:tc>
        <w:tc>
          <w:tcPr>
            <w:tcW w:w="1343" w:type="dxa"/>
          </w:tcPr>
          <w:p w14:paraId="001BED83" w14:textId="77777777" w:rsidR="00EC7776" w:rsidRPr="00BE7D38" w:rsidRDefault="00EC7776" w:rsidP="002A0038">
            <w:pPr>
              <w:keepNext/>
              <w:rPr>
                <w:bCs w:val="0"/>
                <w:i w:val="0"/>
                <w:sz w:val="18"/>
              </w:rPr>
            </w:pPr>
            <w:r w:rsidRPr="00BE7D38">
              <w:rPr>
                <w:sz w:val="18"/>
              </w:rPr>
              <w:t>Cultural assets</w:t>
            </w:r>
            <w:r w:rsidRPr="00BE7D38">
              <w:rPr>
                <w:sz w:val="18"/>
              </w:rPr>
              <w:br/>
              <w:t>at fair value</w:t>
            </w:r>
          </w:p>
        </w:tc>
        <w:tc>
          <w:tcPr>
            <w:tcW w:w="1343" w:type="dxa"/>
          </w:tcPr>
          <w:p w14:paraId="615A610D" w14:textId="020B208D" w:rsidR="00EC7776" w:rsidRPr="00E51206" w:rsidRDefault="00EC7776" w:rsidP="00EC7776">
            <w:pPr>
              <w:keepNext/>
              <w:rPr>
                <w:vertAlign w:val="superscript"/>
              </w:rPr>
            </w:pPr>
            <w:r>
              <w:t xml:space="preserve">Right-of-use assets </w:t>
            </w:r>
            <w:r>
              <w:rPr>
                <w:vertAlign w:val="superscript"/>
              </w:rPr>
              <w:t>(b)</w:t>
            </w:r>
          </w:p>
        </w:tc>
        <w:tc>
          <w:tcPr>
            <w:tcW w:w="1343" w:type="dxa"/>
          </w:tcPr>
          <w:p w14:paraId="0CF81405" w14:textId="54587A58" w:rsidR="00EC7776" w:rsidRPr="00BE7D38" w:rsidRDefault="00EC7776" w:rsidP="002A0038">
            <w:pPr>
              <w:keepNext/>
              <w:rPr>
                <w:bCs w:val="0"/>
                <w:i w:val="0"/>
                <w:sz w:val="18"/>
              </w:rPr>
            </w:pPr>
            <w:r w:rsidRPr="00BE7D38">
              <w:rPr>
                <w:sz w:val="18"/>
              </w:rPr>
              <w:t>Total</w:t>
            </w:r>
          </w:p>
        </w:tc>
      </w:tr>
      <w:tr w:rsidR="00EC7776" w:rsidRPr="00BE7D38" w14:paraId="21D703D0" w14:textId="77777777" w:rsidTr="00E51206">
        <w:trPr>
          <w:cnfStyle w:val="100000000000" w:firstRow="1" w:lastRow="0" w:firstColumn="0" w:lastColumn="0" w:oddVBand="0" w:evenVBand="0" w:oddHBand="0" w:evenHBand="0" w:firstRowFirstColumn="0" w:firstRowLastColumn="0" w:lastRowFirstColumn="0" w:lastRowLastColumn="0"/>
          <w:trHeight w:val="255"/>
          <w:tblHeader/>
        </w:trPr>
        <w:tc>
          <w:tcPr>
            <w:tcW w:w="1988" w:type="dxa"/>
            <w:tcBorders>
              <w:top w:val="nil"/>
              <w:bottom w:val="nil"/>
            </w:tcBorders>
            <w:shd w:val="clear" w:color="auto" w:fill="FFFFFF" w:themeFill="background1"/>
          </w:tcPr>
          <w:p w14:paraId="667938D4" w14:textId="77777777" w:rsidR="00EC7776" w:rsidRDefault="00EC7776">
            <w:pPr>
              <w:keepNext/>
              <w:rPr>
                <w:color w:val="4472C4"/>
                <w:sz w:val="13"/>
              </w:rPr>
            </w:pPr>
          </w:p>
        </w:tc>
        <w:tc>
          <w:tcPr>
            <w:tcW w:w="3183" w:type="dxa"/>
          </w:tcPr>
          <w:p w14:paraId="538618A5" w14:textId="77777777" w:rsidR="00EC7776" w:rsidRDefault="00EC7776">
            <w:pPr>
              <w:keepNext/>
            </w:pPr>
          </w:p>
        </w:tc>
        <w:tc>
          <w:tcPr>
            <w:tcW w:w="1341" w:type="dxa"/>
          </w:tcPr>
          <w:p w14:paraId="5A6C66E7" w14:textId="45F0F047" w:rsidR="00EC7776" w:rsidRPr="00BE7D38" w:rsidRDefault="00EC7776" w:rsidP="002A0038">
            <w:pPr>
              <w:keepNext/>
              <w:rPr>
                <w:sz w:val="18"/>
              </w:rPr>
            </w:pPr>
            <w:r w:rsidRPr="00BE7D38">
              <w:rPr>
                <w:sz w:val="18"/>
              </w:rPr>
              <w:t>20X2</w:t>
            </w:r>
          </w:p>
        </w:tc>
        <w:tc>
          <w:tcPr>
            <w:tcW w:w="1343" w:type="dxa"/>
          </w:tcPr>
          <w:p w14:paraId="0BB49A84" w14:textId="647FECB2" w:rsidR="00EC7776" w:rsidRPr="00BE7D38" w:rsidRDefault="00EC7776" w:rsidP="002A0038">
            <w:pPr>
              <w:keepNext/>
              <w:rPr>
                <w:sz w:val="18"/>
              </w:rPr>
            </w:pPr>
            <w:r w:rsidRPr="00BE7D38">
              <w:rPr>
                <w:sz w:val="18"/>
              </w:rPr>
              <w:t>20X2</w:t>
            </w:r>
          </w:p>
        </w:tc>
        <w:tc>
          <w:tcPr>
            <w:tcW w:w="1343" w:type="dxa"/>
          </w:tcPr>
          <w:p w14:paraId="2A987154" w14:textId="4413AFFF" w:rsidR="00EC7776" w:rsidRPr="00BE7D38" w:rsidRDefault="00EC7776" w:rsidP="002A0038">
            <w:pPr>
              <w:keepNext/>
              <w:rPr>
                <w:sz w:val="18"/>
              </w:rPr>
            </w:pPr>
            <w:r w:rsidRPr="00BE7D38">
              <w:rPr>
                <w:sz w:val="18"/>
              </w:rPr>
              <w:t>20X2</w:t>
            </w:r>
          </w:p>
        </w:tc>
        <w:tc>
          <w:tcPr>
            <w:tcW w:w="1343" w:type="dxa"/>
          </w:tcPr>
          <w:p w14:paraId="35405FE9" w14:textId="4F9C4A93" w:rsidR="00EC7776" w:rsidRPr="00BE7D38" w:rsidRDefault="00EC7776" w:rsidP="002A0038">
            <w:pPr>
              <w:keepNext/>
              <w:rPr>
                <w:sz w:val="18"/>
              </w:rPr>
            </w:pPr>
            <w:r w:rsidRPr="00BE7D38">
              <w:rPr>
                <w:sz w:val="18"/>
              </w:rPr>
              <w:t>20X2</w:t>
            </w:r>
          </w:p>
        </w:tc>
        <w:tc>
          <w:tcPr>
            <w:tcW w:w="1343" w:type="dxa"/>
          </w:tcPr>
          <w:p w14:paraId="4838A6B1" w14:textId="4B98454E" w:rsidR="00EC7776" w:rsidRPr="00BE7D38" w:rsidRDefault="00EC7776" w:rsidP="002A0038">
            <w:pPr>
              <w:keepNext/>
              <w:rPr>
                <w:sz w:val="18"/>
              </w:rPr>
            </w:pPr>
            <w:r w:rsidRPr="00BE7D38">
              <w:rPr>
                <w:sz w:val="18"/>
              </w:rPr>
              <w:t>20X2</w:t>
            </w:r>
          </w:p>
        </w:tc>
        <w:tc>
          <w:tcPr>
            <w:tcW w:w="1343" w:type="dxa"/>
          </w:tcPr>
          <w:p w14:paraId="0F646F87" w14:textId="7243BAFD" w:rsidR="00EC7776" w:rsidRPr="00BE7D38" w:rsidRDefault="00D574D3" w:rsidP="002A0038">
            <w:pPr>
              <w:keepNext/>
            </w:pPr>
            <w:r>
              <w:t>20X2</w:t>
            </w:r>
          </w:p>
        </w:tc>
        <w:tc>
          <w:tcPr>
            <w:tcW w:w="1343" w:type="dxa"/>
          </w:tcPr>
          <w:p w14:paraId="405FB9FB" w14:textId="1B25ACD7" w:rsidR="00EC7776" w:rsidRPr="00BE7D38" w:rsidRDefault="00EC7776" w:rsidP="002A0038">
            <w:pPr>
              <w:keepNext/>
              <w:rPr>
                <w:sz w:val="18"/>
              </w:rPr>
            </w:pPr>
            <w:r w:rsidRPr="00BE7D38">
              <w:rPr>
                <w:sz w:val="18"/>
              </w:rPr>
              <w:t>20X2</w:t>
            </w:r>
          </w:p>
        </w:tc>
      </w:tr>
      <w:tr w:rsidR="00977680" w14:paraId="6B67DC31" w14:textId="77777777" w:rsidTr="00E51206">
        <w:trPr>
          <w:trHeight w:val="113"/>
        </w:trPr>
        <w:tc>
          <w:tcPr>
            <w:tcW w:w="1988" w:type="dxa"/>
          </w:tcPr>
          <w:p w14:paraId="7719294A" w14:textId="5F6D8F97" w:rsidR="00977680" w:rsidRDefault="00977680" w:rsidP="00977680">
            <w:pPr>
              <w:jc w:val="left"/>
            </w:pPr>
            <w:r>
              <w:rPr>
                <w:color w:val="4472C4"/>
                <w:sz w:val="13"/>
              </w:rPr>
              <w:t>AASB 1060.134 (d)</w:t>
            </w:r>
          </w:p>
        </w:tc>
        <w:tc>
          <w:tcPr>
            <w:tcW w:w="3183" w:type="dxa"/>
          </w:tcPr>
          <w:p w14:paraId="1B51F425" w14:textId="7B334F5A" w:rsidR="00977680" w:rsidRPr="00706101" w:rsidRDefault="00977680" w:rsidP="00977680">
            <w:pPr>
              <w:jc w:val="left"/>
              <w:rPr>
                <w:szCs w:val="22"/>
              </w:rPr>
            </w:pPr>
            <w:r w:rsidRPr="002A0038">
              <w:rPr>
                <w:b/>
                <w:sz w:val="18"/>
                <w:szCs w:val="22"/>
              </w:rPr>
              <w:t>Opening balance</w:t>
            </w:r>
            <w:r w:rsidRPr="002A0038">
              <w:rPr>
                <w:b/>
                <w:sz w:val="18"/>
                <w:szCs w:val="22"/>
                <w:vertAlign w:val="superscript"/>
              </w:rPr>
              <w:t xml:space="preserve"> </w:t>
            </w:r>
          </w:p>
        </w:tc>
        <w:tc>
          <w:tcPr>
            <w:tcW w:w="1341" w:type="dxa"/>
          </w:tcPr>
          <w:p w14:paraId="320FF773" w14:textId="6D045521" w:rsidR="00977680" w:rsidRPr="002A0038" w:rsidRDefault="00977680" w:rsidP="00977680">
            <w:pPr>
              <w:rPr>
                <w:b/>
                <w:bCs/>
              </w:rPr>
            </w:pPr>
            <w:r w:rsidRPr="002A0038">
              <w:rPr>
                <w:b/>
                <w:bCs/>
              </w:rPr>
              <w:t>3</w:t>
            </w:r>
            <w:r>
              <w:rPr>
                <w:rFonts w:hint="eastAsia"/>
                <w:b/>
                <w:bCs/>
                <w:lang w:eastAsia="zh-CN"/>
              </w:rPr>
              <w:t xml:space="preserve"> </w:t>
            </w:r>
            <w:r w:rsidRPr="002A0038">
              <w:rPr>
                <w:b/>
                <w:bCs/>
              </w:rPr>
              <w:t>521</w:t>
            </w:r>
          </w:p>
        </w:tc>
        <w:tc>
          <w:tcPr>
            <w:tcW w:w="1343" w:type="dxa"/>
          </w:tcPr>
          <w:p w14:paraId="4A878C6D" w14:textId="6EBC745D" w:rsidR="00977680" w:rsidRPr="002A0038" w:rsidRDefault="00977680" w:rsidP="00977680">
            <w:pPr>
              <w:rPr>
                <w:b/>
                <w:bCs/>
              </w:rPr>
            </w:pPr>
            <w:r>
              <w:rPr>
                <w:b/>
                <w:bCs/>
              </w:rPr>
              <w:t>6</w:t>
            </w:r>
            <w:r w:rsidRPr="002A0038">
              <w:rPr>
                <w:b/>
                <w:bCs/>
              </w:rPr>
              <w:t>8</w:t>
            </w:r>
            <w:r>
              <w:rPr>
                <w:rFonts w:hint="eastAsia"/>
                <w:b/>
                <w:bCs/>
                <w:lang w:eastAsia="zh-CN"/>
              </w:rPr>
              <w:t xml:space="preserve"> </w:t>
            </w:r>
            <w:r w:rsidRPr="002A0038">
              <w:rPr>
                <w:b/>
                <w:bCs/>
              </w:rPr>
              <w:t>0</w:t>
            </w:r>
            <w:r>
              <w:rPr>
                <w:b/>
                <w:bCs/>
              </w:rPr>
              <w:t>15</w:t>
            </w:r>
          </w:p>
        </w:tc>
        <w:tc>
          <w:tcPr>
            <w:tcW w:w="1343" w:type="dxa"/>
          </w:tcPr>
          <w:p w14:paraId="569FA0A8" w14:textId="10282415" w:rsidR="00977680" w:rsidRPr="002A0038" w:rsidRDefault="00977680" w:rsidP="00977680">
            <w:pPr>
              <w:rPr>
                <w:b/>
                <w:bCs/>
              </w:rPr>
            </w:pPr>
            <w:r>
              <w:rPr>
                <w:b/>
                <w:bCs/>
              </w:rPr>
              <w:t>49</w:t>
            </w:r>
            <w:r>
              <w:rPr>
                <w:rFonts w:hint="eastAsia"/>
                <w:b/>
                <w:bCs/>
                <w:lang w:eastAsia="zh-CN"/>
              </w:rPr>
              <w:t xml:space="preserve"> </w:t>
            </w:r>
            <w:r>
              <w:rPr>
                <w:b/>
                <w:bCs/>
              </w:rPr>
              <w:t>488</w:t>
            </w:r>
          </w:p>
        </w:tc>
        <w:tc>
          <w:tcPr>
            <w:tcW w:w="1343" w:type="dxa"/>
          </w:tcPr>
          <w:p w14:paraId="5C0BCB84" w14:textId="6B9C96A8" w:rsidR="00977680" w:rsidRPr="002A0038" w:rsidRDefault="00977680" w:rsidP="00977680">
            <w:pPr>
              <w:rPr>
                <w:b/>
                <w:bCs/>
              </w:rPr>
            </w:pPr>
            <w:r w:rsidRPr="002A0038">
              <w:rPr>
                <w:b/>
                <w:bCs/>
              </w:rPr>
              <w:t>1</w:t>
            </w:r>
            <w:r>
              <w:rPr>
                <w:rFonts w:hint="eastAsia"/>
                <w:b/>
                <w:bCs/>
                <w:lang w:eastAsia="zh-CN"/>
              </w:rPr>
              <w:t xml:space="preserve"> </w:t>
            </w:r>
            <w:r w:rsidRPr="002A0038">
              <w:rPr>
                <w:b/>
                <w:bCs/>
              </w:rPr>
              <w:t>023</w:t>
            </w:r>
          </w:p>
        </w:tc>
        <w:tc>
          <w:tcPr>
            <w:tcW w:w="1343" w:type="dxa"/>
          </w:tcPr>
          <w:p w14:paraId="69D2F92A" w14:textId="714CA5D6" w:rsidR="00977680" w:rsidRPr="002A0038" w:rsidRDefault="00977680" w:rsidP="00977680">
            <w:pPr>
              <w:rPr>
                <w:b/>
                <w:bCs/>
              </w:rPr>
            </w:pPr>
            <w:r w:rsidRPr="002A0038">
              <w:rPr>
                <w:rFonts w:asciiTheme="majorHAnsi" w:hAnsiTheme="majorHAnsi" w:cstheme="majorHAnsi"/>
                <w:b/>
                <w:bCs/>
                <w:szCs w:val="16"/>
              </w:rPr>
              <w:t>..</w:t>
            </w:r>
          </w:p>
        </w:tc>
        <w:tc>
          <w:tcPr>
            <w:tcW w:w="1343" w:type="dxa"/>
          </w:tcPr>
          <w:p w14:paraId="0AB2FF76" w14:textId="09129369" w:rsidR="00977680" w:rsidRPr="002A0038" w:rsidRDefault="00977680" w:rsidP="00977680">
            <w:pPr>
              <w:rPr>
                <w:b/>
                <w:bCs/>
              </w:rPr>
            </w:pPr>
            <w:r w:rsidRPr="009D3B6B">
              <w:rPr>
                <w:b/>
              </w:rPr>
              <w:t>13</w:t>
            </w:r>
            <w:r>
              <w:rPr>
                <w:b/>
              </w:rPr>
              <w:t xml:space="preserve"> </w:t>
            </w:r>
            <w:r w:rsidRPr="009D3B6B">
              <w:rPr>
                <w:b/>
              </w:rPr>
              <w:t>636</w:t>
            </w:r>
          </w:p>
        </w:tc>
        <w:tc>
          <w:tcPr>
            <w:tcW w:w="1343" w:type="dxa"/>
            <w:tcBorders>
              <w:bottom w:val="nil"/>
            </w:tcBorders>
          </w:tcPr>
          <w:p w14:paraId="6BDD3622" w14:textId="4D77DF01" w:rsidR="00977680" w:rsidRPr="002A0038" w:rsidRDefault="00977680" w:rsidP="00977680">
            <w:pPr>
              <w:rPr>
                <w:b/>
                <w:bCs/>
              </w:rPr>
            </w:pPr>
            <w:r w:rsidRPr="002A0038">
              <w:rPr>
                <w:b/>
                <w:bCs/>
              </w:rPr>
              <w:t>135</w:t>
            </w:r>
            <w:r>
              <w:rPr>
                <w:rFonts w:hint="eastAsia"/>
                <w:b/>
                <w:bCs/>
                <w:lang w:eastAsia="zh-CN"/>
              </w:rPr>
              <w:t xml:space="preserve"> </w:t>
            </w:r>
            <w:r w:rsidRPr="002A0038">
              <w:rPr>
                <w:b/>
                <w:bCs/>
              </w:rPr>
              <w:t>683</w:t>
            </w:r>
          </w:p>
        </w:tc>
      </w:tr>
      <w:tr w:rsidR="00977680" w14:paraId="1FAAD41B" w14:textId="77777777" w:rsidTr="00E51206">
        <w:trPr>
          <w:trHeight w:val="113"/>
        </w:trPr>
        <w:tc>
          <w:tcPr>
            <w:tcW w:w="1988" w:type="dxa"/>
          </w:tcPr>
          <w:p w14:paraId="0A772A28" w14:textId="3C3D91A5" w:rsidR="00977680" w:rsidRDefault="00977680" w:rsidP="00977680">
            <w:pPr>
              <w:jc w:val="left"/>
            </w:pPr>
            <w:r>
              <w:rPr>
                <w:color w:val="4472C4"/>
                <w:sz w:val="13"/>
              </w:rPr>
              <w:t>AASB 1060.134(e)(viii)</w:t>
            </w:r>
          </w:p>
        </w:tc>
        <w:tc>
          <w:tcPr>
            <w:tcW w:w="3183" w:type="dxa"/>
          </w:tcPr>
          <w:p w14:paraId="1898F8CE" w14:textId="77777777" w:rsidR="00977680" w:rsidRPr="00706101" w:rsidRDefault="00977680" w:rsidP="00977680">
            <w:pPr>
              <w:jc w:val="left"/>
              <w:rPr>
                <w:szCs w:val="22"/>
              </w:rPr>
            </w:pPr>
            <w:r w:rsidRPr="002A0038">
              <w:rPr>
                <w:sz w:val="18"/>
                <w:szCs w:val="22"/>
              </w:rPr>
              <w:t>Fair value of assets received free of charge or for nominal considerations</w:t>
            </w:r>
          </w:p>
        </w:tc>
        <w:tc>
          <w:tcPr>
            <w:tcW w:w="1341" w:type="dxa"/>
          </w:tcPr>
          <w:p w14:paraId="3F8DBA1F" w14:textId="65BA2EEF" w:rsidR="00977680" w:rsidRPr="002A0038" w:rsidRDefault="00977680" w:rsidP="00977680">
            <w:pPr>
              <w:rPr>
                <w:rFonts w:asciiTheme="majorHAnsi" w:hAnsiTheme="majorHAnsi" w:cstheme="majorHAnsi"/>
                <w:szCs w:val="16"/>
              </w:rPr>
            </w:pPr>
            <w:r w:rsidRPr="000E3585">
              <w:t>1</w:t>
            </w:r>
            <w:r>
              <w:rPr>
                <w:rFonts w:hint="eastAsia"/>
                <w:lang w:eastAsia="zh-CN"/>
              </w:rPr>
              <w:t xml:space="preserve"> </w:t>
            </w:r>
            <w:r w:rsidRPr="000E3585">
              <w:t>348</w:t>
            </w:r>
          </w:p>
        </w:tc>
        <w:tc>
          <w:tcPr>
            <w:tcW w:w="1343" w:type="dxa"/>
          </w:tcPr>
          <w:p w14:paraId="58859C9D" w14:textId="32A76636" w:rsidR="00977680" w:rsidRPr="002A0038" w:rsidRDefault="00977680" w:rsidP="00977680">
            <w:pPr>
              <w:rPr>
                <w:rFonts w:asciiTheme="majorHAnsi" w:hAnsiTheme="majorHAnsi" w:cstheme="majorHAnsi"/>
                <w:szCs w:val="16"/>
              </w:rPr>
            </w:pPr>
            <w:r w:rsidRPr="001D4C54">
              <w:rPr>
                <w:rFonts w:asciiTheme="majorHAnsi" w:hAnsiTheme="majorHAnsi" w:cstheme="majorHAnsi"/>
                <w:szCs w:val="16"/>
              </w:rPr>
              <w:t>..</w:t>
            </w:r>
          </w:p>
        </w:tc>
        <w:tc>
          <w:tcPr>
            <w:tcW w:w="1343" w:type="dxa"/>
          </w:tcPr>
          <w:p w14:paraId="6B140CDE" w14:textId="5B08E1DC" w:rsidR="00977680" w:rsidRPr="002A0038" w:rsidRDefault="00977680" w:rsidP="00977680">
            <w:pPr>
              <w:rPr>
                <w:rFonts w:asciiTheme="majorHAnsi" w:hAnsiTheme="majorHAnsi" w:cstheme="majorHAnsi"/>
                <w:szCs w:val="16"/>
              </w:rPr>
            </w:pPr>
            <w:r w:rsidRPr="000E3585">
              <w:t>241</w:t>
            </w:r>
          </w:p>
        </w:tc>
        <w:tc>
          <w:tcPr>
            <w:tcW w:w="1343" w:type="dxa"/>
          </w:tcPr>
          <w:p w14:paraId="28B40ABA" w14:textId="7ECD9042" w:rsidR="00977680" w:rsidRPr="002A0038" w:rsidRDefault="00977680" w:rsidP="00977680">
            <w:pPr>
              <w:rPr>
                <w:rFonts w:asciiTheme="majorHAnsi" w:hAnsiTheme="majorHAnsi" w:cstheme="majorHAnsi"/>
                <w:szCs w:val="16"/>
              </w:rPr>
            </w:pPr>
            <w:r w:rsidRPr="001D4C54">
              <w:rPr>
                <w:rFonts w:asciiTheme="majorHAnsi" w:hAnsiTheme="majorHAnsi" w:cstheme="majorHAnsi"/>
                <w:szCs w:val="16"/>
              </w:rPr>
              <w:t>..</w:t>
            </w:r>
          </w:p>
        </w:tc>
        <w:tc>
          <w:tcPr>
            <w:tcW w:w="1343" w:type="dxa"/>
          </w:tcPr>
          <w:p w14:paraId="18848993" w14:textId="2F241DED" w:rsidR="00977680" w:rsidRPr="002A0038" w:rsidRDefault="00977680" w:rsidP="00977680">
            <w:pPr>
              <w:rPr>
                <w:rFonts w:asciiTheme="majorHAnsi" w:hAnsiTheme="majorHAnsi" w:cstheme="majorHAnsi"/>
                <w:szCs w:val="16"/>
              </w:rPr>
            </w:pPr>
            <w:r w:rsidRPr="001D4C54">
              <w:rPr>
                <w:rFonts w:asciiTheme="majorHAnsi" w:hAnsiTheme="majorHAnsi" w:cstheme="majorHAnsi"/>
                <w:szCs w:val="16"/>
              </w:rPr>
              <w:t>..</w:t>
            </w:r>
          </w:p>
        </w:tc>
        <w:tc>
          <w:tcPr>
            <w:tcW w:w="1343" w:type="dxa"/>
          </w:tcPr>
          <w:p w14:paraId="77D9C7B3" w14:textId="622629CE" w:rsidR="00977680" w:rsidRPr="000E3585" w:rsidRDefault="00977680" w:rsidP="00977680">
            <w:r>
              <w:t>..</w:t>
            </w:r>
          </w:p>
        </w:tc>
        <w:tc>
          <w:tcPr>
            <w:tcW w:w="1343" w:type="dxa"/>
            <w:tcBorders>
              <w:top w:val="nil"/>
              <w:bottom w:val="nil"/>
            </w:tcBorders>
          </w:tcPr>
          <w:p w14:paraId="6F8E218B" w14:textId="5521417A" w:rsidR="00977680" w:rsidRPr="002A0038" w:rsidRDefault="00977680" w:rsidP="00977680">
            <w:pPr>
              <w:rPr>
                <w:rFonts w:asciiTheme="majorHAnsi" w:hAnsiTheme="majorHAnsi" w:cstheme="majorHAnsi"/>
                <w:szCs w:val="16"/>
              </w:rPr>
            </w:pPr>
            <w:r w:rsidRPr="000E3585">
              <w:t>1</w:t>
            </w:r>
            <w:r>
              <w:rPr>
                <w:rFonts w:hint="eastAsia"/>
                <w:lang w:eastAsia="zh-CN"/>
              </w:rPr>
              <w:t xml:space="preserve"> </w:t>
            </w:r>
            <w:r w:rsidRPr="000E3585">
              <w:t>589</w:t>
            </w:r>
          </w:p>
        </w:tc>
      </w:tr>
      <w:tr w:rsidR="00977680" w14:paraId="1F4D8CE3" w14:textId="77777777" w:rsidTr="00E51206">
        <w:trPr>
          <w:trHeight w:val="113"/>
        </w:trPr>
        <w:tc>
          <w:tcPr>
            <w:tcW w:w="1988" w:type="dxa"/>
          </w:tcPr>
          <w:p w14:paraId="7797C741" w14:textId="7C8838FF" w:rsidR="00977680" w:rsidRDefault="00977680" w:rsidP="00977680">
            <w:pPr>
              <w:jc w:val="left"/>
            </w:pPr>
            <w:r>
              <w:rPr>
                <w:color w:val="4472C4"/>
                <w:sz w:val="13"/>
              </w:rPr>
              <w:t>AASB 1060.134 (e)(viii)</w:t>
            </w:r>
          </w:p>
        </w:tc>
        <w:tc>
          <w:tcPr>
            <w:tcW w:w="3183" w:type="dxa"/>
          </w:tcPr>
          <w:p w14:paraId="14C3F257" w14:textId="77777777" w:rsidR="00977680" w:rsidRPr="00706101" w:rsidRDefault="00977680" w:rsidP="00977680">
            <w:pPr>
              <w:jc w:val="left"/>
              <w:rPr>
                <w:szCs w:val="22"/>
              </w:rPr>
            </w:pPr>
            <w:r w:rsidRPr="002A0038">
              <w:rPr>
                <w:sz w:val="18"/>
                <w:szCs w:val="22"/>
              </w:rPr>
              <w:t>Fair value of assets provided free of charge or for nominal considerations</w:t>
            </w:r>
          </w:p>
        </w:tc>
        <w:tc>
          <w:tcPr>
            <w:tcW w:w="1341" w:type="dxa"/>
          </w:tcPr>
          <w:p w14:paraId="3C34B279" w14:textId="3D93F80F" w:rsidR="00977680" w:rsidRPr="002A0038" w:rsidRDefault="00977680" w:rsidP="00977680">
            <w:pPr>
              <w:rPr>
                <w:rFonts w:asciiTheme="majorHAnsi" w:hAnsiTheme="majorHAnsi" w:cstheme="majorHAnsi"/>
                <w:szCs w:val="16"/>
              </w:rPr>
            </w:pPr>
            <w:r w:rsidRPr="000E3585">
              <w:t>(445)</w:t>
            </w:r>
          </w:p>
        </w:tc>
        <w:tc>
          <w:tcPr>
            <w:tcW w:w="1343" w:type="dxa"/>
          </w:tcPr>
          <w:p w14:paraId="06001CBF" w14:textId="70A02E23" w:rsidR="00977680" w:rsidRPr="002A0038" w:rsidRDefault="00977680" w:rsidP="00977680">
            <w:pPr>
              <w:rPr>
                <w:rFonts w:asciiTheme="majorHAnsi" w:hAnsiTheme="majorHAnsi" w:cstheme="majorHAnsi"/>
                <w:szCs w:val="16"/>
              </w:rPr>
            </w:pPr>
            <w:r w:rsidRPr="001D4C54">
              <w:rPr>
                <w:rFonts w:asciiTheme="majorHAnsi" w:hAnsiTheme="majorHAnsi" w:cstheme="majorHAnsi"/>
                <w:szCs w:val="16"/>
              </w:rPr>
              <w:t>..</w:t>
            </w:r>
          </w:p>
        </w:tc>
        <w:tc>
          <w:tcPr>
            <w:tcW w:w="1343" w:type="dxa"/>
          </w:tcPr>
          <w:p w14:paraId="4B2A09EE" w14:textId="4C16FAFC" w:rsidR="00977680" w:rsidRPr="002A0038" w:rsidRDefault="00977680" w:rsidP="00977680">
            <w:pPr>
              <w:rPr>
                <w:rFonts w:asciiTheme="majorHAnsi" w:hAnsiTheme="majorHAnsi" w:cstheme="majorHAnsi"/>
                <w:szCs w:val="16"/>
              </w:rPr>
            </w:pPr>
            <w:r w:rsidRPr="000E3585">
              <w:t>(110)</w:t>
            </w:r>
          </w:p>
        </w:tc>
        <w:tc>
          <w:tcPr>
            <w:tcW w:w="1343" w:type="dxa"/>
          </w:tcPr>
          <w:p w14:paraId="72F380C5" w14:textId="28A78292" w:rsidR="00977680" w:rsidRPr="002A0038" w:rsidRDefault="00977680" w:rsidP="00977680">
            <w:pPr>
              <w:rPr>
                <w:rFonts w:asciiTheme="majorHAnsi" w:hAnsiTheme="majorHAnsi" w:cstheme="majorHAnsi"/>
                <w:szCs w:val="16"/>
              </w:rPr>
            </w:pPr>
            <w:r w:rsidRPr="001D4C54">
              <w:rPr>
                <w:rFonts w:asciiTheme="majorHAnsi" w:hAnsiTheme="majorHAnsi" w:cstheme="majorHAnsi"/>
                <w:szCs w:val="16"/>
              </w:rPr>
              <w:t>..</w:t>
            </w:r>
          </w:p>
        </w:tc>
        <w:tc>
          <w:tcPr>
            <w:tcW w:w="1343" w:type="dxa"/>
          </w:tcPr>
          <w:p w14:paraId="5AA7C33B" w14:textId="3D48D988" w:rsidR="00977680" w:rsidRPr="002A0038" w:rsidRDefault="00977680" w:rsidP="00977680">
            <w:pPr>
              <w:rPr>
                <w:rFonts w:asciiTheme="majorHAnsi" w:hAnsiTheme="majorHAnsi" w:cstheme="majorHAnsi"/>
                <w:szCs w:val="16"/>
              </w:rPr>
            </w:pPr>
            <w:r w:rsidRPr="000E3585">
              <w:t>(154)</w:t>
            </w:r>
          </w:p>
        </w:tc>
        <w:tc>
          <w:tcPr>
            <w:tcW w:w="1343" w:type="dxa"/>
          </w:tcPr>
          <w:p w14:paraId="5A45A61B" w14:textId="6D1EAFBB" w:rsidR="00977680" w:rsidRPr="000E3585" w:rsidRDefault="00977680" w:rsidP="00977680">
            <w:r>
              <w:t>..</w:t>
            </w:r>
          </w:p>
        </w:tc>
        <w:tc>
          <w:tcPr>
            <w:tcW w:w="1343" w:type="dxa"/>
            <w:tcBorders>
              <w:top w:val="nil"/>
            </w:tcBorders>
          </w:tcPr>
          <w:p w14:paraId="333AE815" w14:textId="3D8CB697" w:rsidR="00977680" w:rsidRPr="002A0038" w:rsidRDefault="00977680" w:rsidP="00977680">
            <w:pPr>
              <w:rPr>
                <w:rFonts w:asciiTheme="majorHAnsi" w:hAnsiTheme="majorHAnsi" w:cstheme="majorHAnsi"/>
                <w:szCs w:val="16"/>
              </w:rPr>
            </w:pPr>
            <w:r w:rsidRPr="000E3585">
              <w:t>(709)</w:t>
            </w:r>
          </w:p>
        </w:tc>
      </w:tr>
      <w:tr w:rsidR="00977680" w14:paraId="3FC2AA77" w14:textId="77777777" w:rsidTr="00E51206">
        <w:trPr>
          <w:trHeight w:val="113"/>
        </w:trPr>
        <w:tc>
          <w:tcPr>
            <w:tcW w:w="1988" w:type="dxa"/>
          </w:tcPr>
          <w:p w14:paraId="7D22A89E" w14:textId="34C1BAC1" w:rsidR="00977680" w:rsidRDefault="00977680" w:rsidP="00977680">
            <w:pPr>
              <w:jc w:val="left"/>
            </w:pPr>
            <w:r>
              <w:rPr>
                <w:color w:val="4472C4"/>
                <w:sz w:val="13"/>
              </w:rPr>
              <w:t>AASB 1060.134 (e)(i)</w:t>
            </w:r>
          </w:p>
        </w:tc>
        <w:tc>
          <w:tcPr>
            <w:tcW w:w="3183" w:type="dxa"/>
          </w:tcPr>
          <w:p w14:paraId="35ABB288" w14:textId="77777777" w:rsidR="00977680" w:rsidRPr="00706101" w:rsidRDefault="00977680" w:rsidP="00977680">
            <w:pPr>
              <w:jc w:val="left"/>
              <w:rPr>
                <w:szCs w:val="22"/>
              </w:rPr>
            </w:pPr>
            <w:r w:rsidRPr="002A0038">
              <w:rPr>
                <w:sz w:val="18"/>
                <w:szCs w:val="22"/>
              </w:rPr>
              <w:t>Additions</w:t>
            </w:r>
          </w:p>
        </w:tc>
        <w:tc>
          <w:tcPr>
            <w:tcW w:w="1341" w:type="dxa"/>
          </w:tcPr>
          <w:p w14:paraId="16ECCC12" w14:textId="358E71FC" w:rsidR="00977680" w:rsidRPr="002A0038" w:rsidRDefault="00977680" w:rsidP="00977680">
            <w:pPr>
              <w:rPr>
                <w:rFonts w:asciiTheme="majorHAnsi" w:hAnsiTheme="majorHAnsi" w:cstheme="majorHAnsi"/>
                <w:szCs w:val="16"/>
              </w:rPr>
            </w:pPr>
            <w:r w:rsidRPr="00364B1F">
              <w:rPr>
                <w:rFonts w:ascii="Arial" w:hAnsi="Arial" w:cs="Arial"/>
                <w:color w:val="000000"/>
                <w:szCs w:val="16"/>
              </w:rPr>
              <w:t>1</w:t>
            </w:r>
            <w:r>
              <w:rPr>
                <w:rFonts w:ascii="Arial" w:hAnsi="Arial" w:cs="Arial" w:hint="eastAsia"/>
                <w:color w:val="000000"/>
                <w:szCs w:val="16"/>
                <w:lang w:eastAsia="zh-CN"/>
              </w:rPr>
              <w:t xml:space="preserve"> </w:t>
            </w:r>
            <w:r w:rsidRPr="00364B1F">
              <w:rPr>
                <w:rFonts w:ascii="Arial" w:hAnsi="Arial" w:cs="Arial"/>
                <w:color w:val="000000"/>
                <w:szCs w:val="16"/>
              </w:rPr>
              <w:t>059</w:t>
            </w:r>
          </w:p>
        </w:tc>
        <w:tc>
          <w:tcPr>
            <w:tcW w:w="1343" w:type="dxa"/>
          </w:tcPr>
          <w:p w14:paraId="43AA1313" w14:textId="34B7AFB5" w:rsidR="00977680" w:rsidRPr="002A0038" w:rsidRDefault="00977680" w:rsidP="00977680">
            <w:pPr>
              <w:rPr>
                <w:rFonts w:asciiTheme="majorHAnsi" w:hAnsiTheme="majorHAnsi" w:cstheme="majorHAnsi"/>
                <w:szCs w:val="16"/>
              </w:rPr>
            </w:pPr>
            <w:r w:rsidRPr="00364B1F">
              <w:rPr>
                <w:rFonts w:ascii="Arial" w:hAnsi="Arial" w:cs="Arial"/>
                <w:color w:val="000000"/>
                <w:szCs w:val="16"/>
              </w:rPr>
              <w:t>4</w:t>
            </w:r>
            <w:r>
              <w:rPr>
                <w:rFonts w:ascii="Arial" w:hAnsi="Arial" w:cs="Arial" w:hint="eastAsia"/>
                <w:color w:val="000000"/>
                <w:szCs w:val="16"/>
                <w:lang w:eastAsia="zh-CN"/>
              </w:rPr>
              <w:t xml:space="preserve"> </w:t>
            </w:r>
            <w:r w:rsidRPr="00364B1F">
              <w:rPr>
                <w:rFonts w:ascii="Arial" w:hAnsi="Arial" w:cs="Arial"/>
                <w:color w:val="000000"/>
                <w:szCs w:val="16"/>
              </w:rPr>
              <w:t>103</w:t>
            </w:r>
          </w:p>
        </w:tc>
        <w:tc>
          <w:tcPr>
            <w:tcW w:w="1343" w:type="dxa"/>
          </w:tcPr>
          <w:p w14:paraId="243D2427" w14:textId="05DC8075" w:rsidR="00977680" w:rsidRPr="002A0038" w:rsidRDefault="00977680" w:rsidP="00977680">
            <w:pPr>
              <w:rPr>
                <w:rFonts w:asciiTheme="majorHAnsi" w:hAnsiTheme="majorHAnsi" w:cstheme="majorHAnsi"/>
                <w:szCs w:val="16"/>
              </w:rPr>
            </w:pPr>
            <w:r w:rsidRPr="00364B1F">
              <w:rPr>
                <w:rFonts w:ascii="Arial" w:hAnsi="Arial" w:cs="Arial"/>
                <w:color w:val="000000"/>
                <w:szCs w:val="16"/>
              </w:rPr>
              <w:t>5</w:t>
            </w:r>
            <w:r>
              <w:rPr>
                <w:rFonts w:ascii="Arial" w:hAnsi="Arial" w:cs="Arial" w:hint="eastAsia"/>
                <w:color w:val="000000"/>
                <w:szCs w:val="16"/>
                <w:lang w:eastAsia="zh-CN"/>
              </w:rPr>
              <w:t xml:space="preserve"> </w:t>
            </w:r>
            <w:r w:rsidRPr="00364B1F">
              <w:rPr>
                <w:rFonts w:ascii="Arial" w:hAnsi="Arial" w:cs="Arial"/>
                <w:color w:val="000000"/>
                <w:szCs w:val="16"/>
              </w:rPr>
              <w:t>065</w:t>
            </w:r>
          </w:p>
        </w:tc>
        <w:tc>
          <w:tcPr>
            <w:tcW w:w="1343" w:type="dxa"/>
          </w:tcPr>
          <w:p w14:paraId="25BA475F" w14:textId="7738C9D7" w:rsidR="00977680" w:rsidRPr="002A0038" w:rsidRDefault="00977680" w:rsidP="00977680">
            <w:pPr>
              <w:rPr>
                <w:rFonts w:asciiTheme="majorHAnsi" w:hAnsiTheme="majorHAnsi" w:cstheme="majorHAnsi"/>
                <w:szCs w:val="16"/>
              </w:rPr>
            </w:pPr>
            <w:r w:rsidRPr="00364B1F">
              <w:rPr>
                <w:rFonts w:ascii="Arial" w:hAnsi="Arial" w:cs="Arial"/>
                <w:color w:val="000000"/>
                <w:szCs w:val="16"/>
              </w:rPr>
              <w:t>130</w:t>
            </w:r>
          </w:p>
        </w:tc>
        <w:tc>
          <w:tcPr>
            <w:tcW w:w="1343" w:type="dxa"/>
          </w:tcPr>
          <w:p w14:paraId="5B4F04A2" w14:textId="58A425EE" w:rsidR="00977680" w:rsidRPr="002A0038" w:rsidRDefault="00977680" w:rsidP="00977680">
            <w:pPr>
              <w:rPr>
                <w:rFonts w:asciiTheme="majorHAnsi" w:hAnsiTheme="majorHAnsi" w:cstheme="majorHAnsi"/>
                <w:szCs w:val="16"/>
              </w:rPr>
            </w:pPr>
            <w:r w:rsidRPr="00364B1F">
              <w:rPr>
                <w:rFonts w:ascii="Arial" w:hAnsi="Arial" w:cs="Arial"/>
                <w:color w:val="000000"/>
                <w:szCs w:val="16"/>
              </w:rPr>
              <w:t>2</w:t>
            </w:r>
            <w:r>
              <w:rPr>
                <w:rFonts w:ascii="Arial" w:hAnsi="Arial" w:cs="Arial" w:hint="eastAsia"/>
                <w:color w:val="000000"/>
                <w:szCs w:val="16"/>
                <w:lang w:eastAsia="zh-CN"/>
              </w:rPr>
              <w:t xml:space="preserve"> </w:t>
            </w:r>
            <w:r w:rsidRPr="00364B1F">
              <w:rPr>
                <w:rFonts w:ascii="Arial" w:hAnsi="Arial" w:cs="Arial"/>
                <w:color w:val="000000"/>
                <w:szCs w:val="16"/>
              </w:rPr>
              <w:t>625</w:t>
            </w:r>
          </w:p>
        </w:tc>
        <w:tc>
          <w:tcPr>
            <w:tcW w:w="1343" w:type="dxa"/>
          </w:tcPr>
          <w:p w14:paraId="154C2D12" w14:textId="4D48885A" w:rsidR="00977680" w:rsidRPr="00364B1F" w:rsidRDefault="00977680" w:rsidP="00977680">
            <w:pPr>
              <w:rPr>
                <w:rFonts w:ascii="Arial" w:hAnsi="Arial" w:cs="Arial"/>
                <w:color w:val="000000"/>
                <w:szCs w:val="16"/>
              </w:rPr>
            </w:pPr>
            <w:r>
              <w:rPr>
                <w:rFonts w:ascii="Arial" w:hAnsi="Arial" w:cs="Arial"/>
                <w:color w:val="000000"/>
                <w:szCs w:val="16"/>
              </w:rPr>
              <w:t>..</w:t>
            </w:r>
          </w:p>
        </w:tc>
        <w:tc>
          <w:tcPr>
            <w:tcW w:w="1343" w:type="dxa"/>
          </w:tcPr>
          <w:p w14:paraId="0041FADF" w14:textId="79E65B5E" w:rsidR="00977680" w:rsidRPr="002A0038" w:rsidRDefault="00977680" w:rsidP="00977680">
            <w:pPr>
              <w:rPr>
                <w:rFonts w:asciiTheme="majorHAnsi" w:hAnsiTheme="majorHAnsi" w:cstheme="majorHAnsi"/>
                <w:szCs w:val="16"/>
              </w:rPr>
            </w:pPr>
            <w:r w:rsidRPr="00364B1F">
              <w:rPr>
                <w:rFonts w:ascii="Arial" w:hAnsi="Arial" w:cs="Arial"/>
                <w:color w:val="000000"/>
                <w:szCs w:val="16"/>
              </w:rPr>
              <w:t>12</w:t>
            </w:r>
            <w:r>
              <w:rPr>
                <w:rFonts w:ascii="Arial" w:hAnsi="Arial" w:cs="Arial" w:hint="eastAsia"/>
                <w:color w:val="000000"/>
                <w:szCs w:val="16"/>
                <w:lang w:eastAsia="zh-CN"/>
              </w:rPr>
              <w:t xml:space="preserve"> </w:t>
            </w:r>
            <w:r w:rsidRPr="00364B1F">
              <w:rPr>
                <w:rFonts w:ascii="Arial" w:hAnsi="Arial" w:cs="Arial"/>
                <w:color w:val="000000"/>
                <w:szCs w:val="16"/>
              </w:rPr>
              <w:t>982</w:t>
            </w:r>
          </w:p>
        </w:tc>
      </w:tr>
      <w:tr w:rsidR="00977680" w14:paraId="6B473C18" w14:textId="77777777" w:rsidTr="00E51206">
        <w:trPr>
          <w:trHeight w:val="113"/>
        </w:trPr>
        <w:tc>
          <w:tcPr>
            <w:tcW w:w="1988" w:type="dxa"/>
          </w:tcPr>
          <w:p w14:paraId="2A1270C5" w14:textId="623D3D83" w:rsidR="00977680" w:rsidRDefault="00977680" w:rsidP="00977680">
            <w:pPr>
              <w:jc w:val="left"/>
            </w:pPr>
            <w:r>
              <w:rPr>
                <w:color w:val="4472C4"/>
                <w:sz w:val="13"/>
              </w:rPr>
              <w:t>AASB 1060.134 (e)(ii)</w:t>
            </w:r>
          </w:p>
        </w:tc>
        <w:tc>
          <w:tcPr>
            <w:tcW w:w="3183" w:type="dxa"/>
          </w:tcPr>
          <w:p w14:paraId="207D11BB" w14:textId="77777777" w:rsidR="00977680" w:rsidRPr="00706101" w:rsidRDefault="00977680" w:rsidP="00977680">
            <w:pPr>
              <w:jc w:val="left"/>
              <w:rPr>
                <w:szCs w:val="22"/>
              </w:rPr>
            </w:pPr>
            <w:r w:rsidRPr="002A0038">
              <w:rPr>
                <w:sz w:val="18"/>
                <w:szCs w:val="22"/>
              </w:rPr>
              <w:t>Disposals</w:t>
            </w:r>
          </w:p>
        </w:tc>
        <w:tc>
          <w:tcPr>
            <w:tcW w:w="1341" w:type="dxa"/>
          </w:tcPr>
          <w:p w14:paraId="791DF671" w14:textId="06A9D0C6" w:rsidR="00977680" w:rsidRPr="002A0038" w:rsidRDefault="00977680" w:rsidP="00977680">
            <w:pPr>
              <w:rPr>
                <w:rFonts w:asciiTheme="majorHAnsi" w:hAnsiTheme="majorHAnsi" w:cstheme="majorHAnsi"/>
                <w:szCs w:val="16"/>
              </w:rPr>
            </w:pPr>
            <w:r w:rsidRPr="00706101">
              <w:rPr>
                <w:rFonts w:asciiTheme="majorHAnsi" w:hAnsiTheme="majorHAnsi" w:cstheme="majorHAnsi"/>
                <w:szCs w:val="16"/>
              </w:rPr>
              <w:t>..</w:t>
            </w:r>
          </w:p>
        </w:tc>
        <w:tc>
          <w:tcPr>
            <w:tcW w:w="1343" w:type="dxa"/>
          </w:tcPr>
          <w:p w14:paraId="259D7EEB" w14:textId="3BBAFA45" w:rsidR="00977680" w:rsidRPr="002A0038" w:rsidRDefault="00977680" w:rsidP="00977680">
            <w:pPr>
              <w:rPr>
                <w:rFonts w:asciiTheme="majorHAnsi" w:hAnsiTheme="majorHAnsi" w:cstheme="majorHAnsi"/>
                <w:szCs w:val="16"/>
              </w:rPr>
            </w:pPr>
            <w:r w:rsidRPr="00706101">
              <w:rPr>
                <w:szCs w:val="16"/>
              </w:rPr>
              <w:t>..</w:t>
            </w:r>
          </w:p>
        </w:tc>
        <w:tc>
          <w:tcPr>
            <w:tcW w:w="1343" w:type="dxa"/>
          </w:tcPr>
          <w:p w14:paraId="6D85B262" w14:textId="0F2007B4" w:rsidR="00977680" w:rsidRPr="002A0038" w:rsidRDefault="00977680" w:rsidP="00977680">
            <w:pPr>
              <w:rPr>
                <w:rFonts w:asciiTheme="majorHAnsi" w:hAnsiTheme="majorHAnsi" w:cstheme="majorHAnsi"/>
                <w:szCs w:val="16"/>
              </w:rPr>
            </w:pPr>
            <w:r w:rsidRPr="00364B1F">
              <w:rPr>
                <w:rFonts w:ascii="Arial" w:hAnsi="Arial" w:cs="Arial"/>
                <w:color w:val="000000"/>
                <w:szCs w:val="16"/>
              </w:rPr>
              <w:t>(442)</w:t>
            </w:r>
          </w:p>
        </w:tc>
        <w:tc>
          <w:tcPr>
            <w:tcW w:w="1343" w:type="dxa"/>
          </w:tcPr>
          <w:p w14:paraId="0ED9798E" w14:textId="5AD447AD" w:rsidR="00977680" w:rsidRPr="002A0038" w:rsidRDefault="00977680" w:rsidP="00977680">
            <w:pPr>
              <w:rPr>
                <w:rFonts w:asciiTheme="majorHAnsi" w:hAnsiTheme="majorHAnsi" w:cstheme="majorHAnsi"/>
                <w:szCs w:val="16"/>
              </w:rPr>
            </w:pPr>
            <w:r w:rsidRPr="001D4C54">
              <w:rPr>
                <w:szCs w:val="16"/>
              </w:rPr>
              <w:t>..</w:t>
            </w:r>
          </w:p>
        </w:tc>
        <w:tc>
          <w:tcPr>
            <w:tcW w:w="1343" w:type="dxa"/>
          </w:tcPr>
          <w:p w14:paraId="223D6A3A" w14:textId="1CCE9609" w:rsidR="00977680" w:rsidRPr="002A0038" w:rsidRDefault="00977680" w:rsidP="00977680">
            <w:pPr>
              <w:rPr>
                <w:rFonts w:asciiTheme="majorHAnsi" w:hAnsiTheme="majorHAnsi" w:cstheme="majorHAnsi"/>
                <w:szCs w:val="16"/>
              </w:rPr>
            </w:pPr>
            <w:r w:rsidRPr="001D4C54">
              <w:rPr>
                <w:szCs w:val="16"/>
              </w:rPr>
              <w:t>..</w:t>
            </w:r>
          </w:p>
        </w:tc>
        <w:tc>
          <w:tcPr>
            <w:tcW w:w="1343" w:type="dxa"/>
          </w:tcPr>
          <w:p w14:paraId="20154A97" w14:textId="72A3C26E" w:rsidR="00977680" w:rsidRPr="00364B1F" w:rsidRDefault="00977680" w:rsidP="00977680">
            <w:pPr>
              <w:rPr>
                <w:rFonts w:ascii="Arial" w:hAnsi="Arial" w:cs="Arial"/>
                <w:color w:val="000000"/>
                <w:szCs w:val="16"/>
              </w:rPr>
            </w:pPr>
            <w:r>
              <w:rPr>
                <w:rFonts w:ascii="Arial" w:hAnsi="Arial" w:cs="Arial"/>
                <w:color w:val="000000"/>
                <w:szCs w:val="16"/>
              </w:rPr>
              <w:t>..</w:t>
            </w:r>
          </w:p>
        </w:tc>
        <w:tc>
          <w:tcPr>
            <w:tcW w:w="1343" w:type="dxa"/>
          </w:tcPr>
          <w:p w14:paraId="6F16B092" w14:textId="6F475F06" w:rsidR="00977680" w:rsidRPr="002A0038" w:rsidRDefault="00977680" w:rsidP="00977680">
            <w:pPr>
              <w:rPr>
                <w:rFonts w:asciiTheme="majorHAnsi" w:hAnsiTheme="majorHAnsi" w:cstheme="majorHAnsi"/>
                <w:szCs w:val="16"/>
              </w:rPr>
            </w:pPr>
            <w:r w:rsidRPr="00364B1F">
              <w:rPr>
                <w:rFonts w:ascii="Arial" w:hAnsi="Arial" w:cs="Arial"/>
                <w:color w:val="000000"/>
                <w:szCs w:val="16"/>
              </w:rPr>
              <w:t>(442)</w:t>
            </w:r>
          </w:p>
        </w:tc>
      </w:tr>
      <w:tr w:rsidR="00977680" w14:paraId="19AA3932" w14:textId="77777777" w:rsidTr="00E51206">
        <w:trPr>
          <w:trHeight w:val="113"/>
        </w:trPr>
        <w:tc>
          <w:tcPr>
            <w:tcW w:w="1988" w:type="dxa"/>
          </w:tcPr>
          <w:p w14:paraId="26D96227" w14:textId="278590E1" w:rsidR="00977680" w:rsidRDefault="00977680" w:rsidP="00977680">
            <w:pPr>
              <w:jc w:val="left"/>
            </w:pPr>
            <w:r>
              <w:rPr>
                <w:color w:val="4472C4"/>
                <w:sz w:val="13"/>
              </w:rPr>
              <w:t>AASB 1060.134 (e)(viii)</w:t>
            </w:r>
          </w:p>
        </w:tc>
        <w:tc>
          <w:tcPr>
            <w:tcW w:w="3183" w:type="dxa"/>
          </w:tcPr>
          <w:p w14:paraId="7C972856" w14:textId="77777777" w:rsidR="00977680" w:rsidRPr="00706101" w:rsidRDefault="00977680" w:rsidP="00977680">
            <w:pPr>
              <w:jc w:val="left"/>
              <w:rPr>
                <w:szCs w:val="22"/>
              </w:rPr>
            </w:pPr>
            <w:r w:rsidRPr="002A0038">
              <w:rPr>
                <w:sz w:val="18"/>
                <w:szCs w:val="22"/>
              </w:rPr>
              <w:t>Transfer in/out of assets under construction</w:t>
            </w:r>
          </w:p>
        </w:tc>
        <w:tc>
          <w:tcPr>
            <w:tcW w:w="1341" w:type="dxa"/>
          </w:tcPr>
          <w:p w14:paraId="4DF377F5" w14:textId="58613D84" w:rsidR="00977680" w:rsidRPr="002A0038" w:rsidRDefault="00977680" w:rsidP="00977680">
            <w:pPr>
              <w:rPr>
                <w:rFonts w:asciiTheme="majorHAnsi" w:hAnsiTheme="majorHAnsi" w:cstheme="majorHAnsi"/>
                <w:szCs w:val="16"/>
              </w:rPr>
            </w:pPr>
            <w:r w:rsidRPr="00706101">
              <w:rPr>
                <w:rFonts w:asciiTheme="majorHAnsi" w:hAnsiTheme="majorHAnsi" w:cstheme="majorHAnsi"/>
                <w:szCs w:val="16"/>
              </w:rPr>
              <w:t>..</w:t>
            </w:r>
          </w:p>
        </w:tc>
        <w:tc>
          <w:tcPr>
            <w:tcW w:w="1343" w:type="dxa"/>
          </w:tcPr>
          <w:p w14:paraId="1449E6DE" w14:textId="2581CB65" w:rsidR="00977680" w:rsidRPr="002A0038" w:rsidRDefault="00977680" w:rsidP="00977680">
            <w:pPr>
              <w:rPr>
                <w:rFonts w:asciiTheme="majorHAnsi" w:hAnsiTheme="majorHAnsi" w:cstheme="majorHAnsi"/>
                <w:szCs w:val="16"/>
              </w:rPr>
            </w:pPr>
            <w:r w:rsidRPr="00706101">
              <w:rPr>
                <w:szCs w:val="16"/>
              </w:rPr>
              <w:t>..</w:t>
            </w:r>
          </w:p>
        </w:tc>
        <w:tc>
          <w:tcPr>
            <w:tcW w:w="1343" w:type="dxa"/>
          </w:tcPr>
          <w:p w14:paraId="650F03CB" w14:textId="7F649E61" w:rsidR="00977680" w:rsidRPr="002A0038" w:rsidRDefault="00977680" w:rsidP="00977680">
            <w:pPr>
              <w:rPr>
                <w:rFonts w:asciiTheme="majorHAnsi" w:hAnsiTheme="majorHAnsi" w:cstheme="majorHAnsi"/>
                <w:szCs w:val="16"/>
              </w:rPr>
            </w:pPr>
            <w:r w:rsidRPr="001D4C54">
              <w:rPr>
                <w:szCs w:val="16"/>
              </w:rPr>
              <w:t>..</w:t>
            </w:r>
          </w:p>
        </w:tc>
        <w:tc>
          <w:tcPr>
            <w:tcW w:w="1343" w:type="dxa"/>
          </w:tcPr>
          <w:p w14:paraId="157505FD" w14:textId="521CF463" w:rsidR="00977680" w:rsidRPr="002A0038" w:rsidRDefault="00977680" w:rsidP="00977680">
            <w:pPr>
              <w:rPr>
                <w:rFonts w:asciiTheme="majorHAnsi" w:hAnsiTheme="majorHAnsi" w:cstheme="majorHAnsi"/>
                <w:szCs w:val="16"/>
              </w:rPr>
            </w:pPr>
            <w:r w:rsidRPr="00364B1F">
              <w:rPr>
                <w:rFonts w:ascii="Arial" w:hAnsi="Arial" w:cs="Arial"/>
                <w:color w:val="000000"/>
                <w:szCs w:val="16"/>
              </w:rPr>
              <w:t>(440)</w:t>
            </w:r>
          </w:p>
        </w:tc>
        <w:tc>
          <w:tcPr>
            <w:tcW w:w="1343" w:type="dxa"/>
          </w:tcPr>
          <w:p w14:paraId="35FA6FA3" w14:textId="3BD84B43" w:rsidR="00977680" w:rsidRPr="002A0038" w:rsidRDefault="00977680" w:rsidP="00977680">
            <w:pPr>
              <w:rPr>
                <w:rFonts w:asciiTheme="majorHAnsi" w:hAnsiTheme="majorHAnsi" w:cstheme="majorHAnsi"/>
                <w:szCs w:val="16"/>
              </w:rPr>
            </w:pPr>
            <w:r w:rsidRPr="001D4C54">
              <w:rPr>
                <w:szCs w:val="16"/>
              </w:rPr>
              <w:t>..</w:t>
            </w:r>
          </w:p>
        </w:tc>
        <w:tc>
          <w:tcPr>
            <w:tcW w:w="1343" w:type="dxa"/>
          </w:tcPr>
          <w:p w14:paraId="5841C0CA" w14:textId="0F66D8B8" w:rsidR="00977680" w:rsidRPr="00364B1F" w:rsidRDefault="00977680" w:rsidP="00977680">
            <w:pPr>
              <w:rPr>
                <w:rFonts w:ascii="Arial" w:hAnsi="Arial" w:cs="Arial"/>
                <w:color w:val="000000"/>
                <w:szCs w:val="16"/>
              </w:rPr>
            </w:pPr>
            <w:r>
              <w:rPr>
                <w:rFonts w:ascii="Arial" w:hAnsi="Arial" w:cs="Arial"/>
                <w:color w:val="000000"/>
                <w:szCs w:val="16"/>
              </w:rPr>
              <w:t>..</w:t>
            </w:r>
          </w:p>
        </w:tc>
        <w:tc>
          <w:tcPr>
            <w:tcW w:w="1343" w:type="dxa"/>
          </w:tcPr>
          <w:p w14:paraId="1592A9F4" w14:textId="592E1753" w:rsidR="00977680" w:rsidRPr="002A0038" w:rsidRDefault="00977680" w:rsidP="00977680">
            <w:pPr>
              <w:rPr>
                <w:rFonts w:asciiTheme="majorHAnsi" w:hAnsiTheme="majorHAnsi" w:cstheme="majorHAnsi"/>
                <w:szCs w:val="16"/>
              </w:rPr>
            </w:pPr>
            <w:r w:rsidRPr="00364B1F">
              <w:rPr>
                <w:rFonts w:ascii="Arial" w:hAnsi="Arial" w:cs="Arial"/>
                <w:color w:val="000000"/>
                <w:szCs w:val="16"/>
              </w:rPr>
              <w:t>(440)</w:t>
            </w:r>
          </w:p>
        </w:tc>
      </w:tr>
      <w:tr w:rsidR="00977680" w14:paraId="3ACCB238" w14:textId="77777777" w:rsidTr="00E51206">
        <w:trPr>
          <w:trHeight w:val="113"/>
        </w:trPr>
        <w:tc>
          <w:tcPr>
            <w:tcW w:w="1988" w:type="dxa"/>
          </w:tcPr>
          <w:p w14:paraId="3260E67E" w14:textId="74D37E30" w:rsidR="00977680" w:rsidRDefault="00977680" w:rsidP="00977680">
            <w:pPr>
              <w:jc w:val="left"/>
            </w:pPr>
            <w:r>
              <w:rPr>
                <w:color w:val="4472C4"/>
                <w:sz w:val="13"/>
              </w:rPr>
              <w:t>AASB 1060.134(e)(iv)</w:t>
            </w:r>
          </w:p>
        </w:tc>
        <w:tc>
          <w:tcPr>
            <w:tcW w:w="3183" w:type="dxa"/>
          </w:tcPr>
          <w:p w14:paraId="4A773382" w14:textId="77777777" w:rsidR="00977680" w:rsidRPr="00706101" w:rsidRDefault="00977680" w:rsidP="00977680">
            <w:pPr>
              <w:jc w:val="left"/>
              <w:rPr>
                <w:szCs w:val="22"/>
              </w:rPr>
            </w:pPr>
            <w:r w:rsidRPr="002A0038">
              <w:rPr>
                <w:sz w:val="18"/>
                <w:szCs w:val="22"/>
              </w:rPr>
              <w:t>Revaluation of PPE</w:t>
            </w:r>
          </w:p>
        </w:tc>
        <w:tc>
          <w:tcPr>
            <w:tcW w:w="1341" w:type="dxa"/>
          </w:tcPr>
          <w:p w14:paraId="59FFE3DB" w14:textId="16F05125" w:rsidR="00977680" w:rsidRPr="002A0038" w:rsidRDefault="00977680" w:rsidP="00977680">
            <w:pPr>
              <w:rPr>
                <w:rFonts w:asciiTheme="majorHAnsi" w:hAnsiTheme="majorHAnsi" w:cstheme="majorHAnsi"/>
                <w:szCs w:val="16"/>
              </w:rPr>
            </w:pPr>
            <w:r w:rsidRPr="007406BC">
              <w:t>542</w:t>
            </w:r>
          </w:p>
        </w:tc>
        <w:tc>
          <w:tcPr>
            <w:tcW w:w="1343" w:type="dxa"/>
          </w:tcPr>
          <w:p w14:paraId="377AE7DA" w14:textId="1C65BFDA" w:rsidR="00977680" w:rsidRPr="002A0038" w:rsidRDefault="00977680" w:rsidP="00977680">
            <w:pPr>
              <w:rPr>
                <w:rFonts w:asciiTheme="majorHAnsi" w:hAnsiTheme="majorHAnsi" w:cstheme="majorHAnsi"/>
                <w:szCs w:val="16"/>
              </w:rPr>
            </w:pPr>
            <w:r w:rsidRPr="007406BC">
              <w:t>3</w:t>
            </w:r>
            <w:r>
              <w:rPr>
                <w:rFonts w:hint="eastAsia"/>
                <w:lang w:eastAsia="zh-CN"/>
              </w:rPr>
              <w:t xml:space="preserve"> </w:t>
            </w:r>
            <w:r w:rsidRPr="007406BC">
              <w:t>916</w:t>
            </w:r>
          </w:p>
        </w:tc>
        <w:tc>
          <w:tcPr>
            <w:tcW w:w="1343" w:type="dxa"/>
          </w:tcPr>
          <w:p w14:paraId="5FB94DF3" w14:textId="067DC5A5" w:rsidR="00977680" w:rsidRPr="002A0038" w:rsidRDefault="00977680" w:rsidP="00977680">
            <w:pPr>
              <w:rPr>
                <w:rFonts w:asciiTheme="majorHAnsi" w:hAnsiTheme="majorHAnsi" w:cstheme="majorHAnsi"/>
                <w:szCs w:val="16"/>
              </w:rPr>
            </w:pPr>
            <w:r w:rsidRPr="007406BC">
              <w:t>2</w:t>
            </w:r>
            <w:r>
              <w:rPr>
                <w:rFonts w:hint="eastAsia"/>
                <w:lang w:eastAsia="zh-CN"/>
              </w:rPr>
              <w:t xml:space="preserve"> </w:t>
            </w:r>
            <w:r w:rsidRPr="007406BC">
              <w:t>652</w:t>
            </w:r>
          </w:p>
        </w:tc>
        <w:tc>
          <w:tcPr>
            <w:tcW w:w="1343" w:type="dxa"/>
          </w:tcPr>
          <w:p w14:paraId="39E0716F" w14:textId="6EFCE5D6" w:rsidR="00977680" w:rsidRPr="002A0038" w:rsidRDefault="00977680" w:rsidP="00977680">
            <w:pPr>
              <w:rPr>
                <w:rFonts w:asciiTheme="majorHAnsi" w:hAnsiTheme="majorHAnsi" w:cstheme="majorHAnsi"/>
                <w:szCs w:val="16"/>
              </w:rPr>
            </w:pPr>
            <w:r w:rsidRPr="00B61C89">
              <w:rPr>
                <w:rFonts w:asciiTheme="majorHAnsi" w:hAnsiTheme="majorHAnsi" w:cstheme="majorHAnsi"/>
                <w:szCs w:val="16"/>
              </w:rPr>
              <w:t>..</w:t>
            </w:r>
          </w:p>
        </w:tc>
        <w:tc>
          <w:tcPr>
            <w:tcW w:w="1343" w:type="dxa"/>
          </w:tcPr>
          <w:p w14:paraId="0456CED2" w14:textId="7675851F" w:rsidR="00977680" w:rsidRPr="002A0038" w:rsidRDefault="00977680" w:rsidP="00977680">
            <w:pPr>
              <w:rPr>
                <w:rFonts w:asciiTheme="majorHAnsi" w:hAnsiTheme="majorHAnsi" w:cstheme="majorHAnsi"/>
                <w:szCs w:val="16"/>
              </w:rPr>
            </w:pPr>
            <w:r w:rsidRPr="007406BC">
              <w:t>293</w:t>
            </w:r>
          </w:p>
        </w:tc>
        <w:tc>
          <w:tcPr>
            <w:tcW w:w="1343" w:type="dxa"/>
          </w:tcPr>
          <w:p w14:paraId="2126520A" w14:textId="7794CDE7" w:rsidR="00977680" w:rsidRPr="007406BC" w:rsidRDefault="00977680" w:rsidP="00977680">
            <w:r>
              <w:t>..</w:t>
            </w:r>
          </w:p>
        </w:tc>
        <w:tc>
          <w:tcPr>
            <w:tcW w:w="1343" w:type="dxa"/>
          </w:tcPr>
          <w:p w14:paraId="39990515" w14:textId="054E1FCB" w:rsidR="00977680" w:rsidRPr="002A0038" w:rsidRDefault="00977680" w:rsidP="00977680">
            <w:pPr>
              <w:rPr>
                <w:rFonts w:asciiTheme="majorHAnsi" w:hAnsiTheme="majorHAnsi" w:cstheme="majorHAnsi"/>
                <w:szCs w:val="16"/>
              </w:rPr>
            </w:pPr>
            <w:r w:rsidRPr="007406BC">
              <w:t>7</w:t>
            </w:r>
            <w:r>
              <w:rPr>
                <w:rFonts w:hint="eastAsia"/>
                <w:lang w:eastAsia="zh-CN"/>
              </w:rPr>
              <w:t xml:space="preserve"> </w:t>
            </w:r>
            <w:r w:rsidRPr="007406BC">
              <w:t>403</w:t>
            </w:r>
          </w:p>
        </w:tc>
      </w:tr>
      <w:tr w:rsidR="00977680" w14:paraId="622F5891" w14:textId="77777777" w:rsidTr="00E51206">
        <w:trPr>
          <w:trHeight w:val="113"/>
        </w:trPr>
        <w:tc>
          <w:tcPr>
            <w:tcW w:w="1988" w:type="dxa"/>
          </w:tcPr>
          <w:p w14:paraId="5CD42640" w14:textId="50FA7E91" w:rsidR="00977680" w:rsidRDefault="00977680" w:rsidP="00977680">
            <w:pPr>
              <w:jc w:val="left"/>
            </w:pPr>
            <w:r>
              <w:rPr>
                <w:color w:val="4472C4"/>
                <w:sz w:val="13"/>
              </w:rPr>
              <w:t>AASB 1060.134 (e)(vii)</w:t>
            </w:r>
          </w:p>
        </w:tc>
        <w:tc>
          <w:tcPr>
            <w:tcW w:w="3183" w:type="dxa"/>
          </w:tcPr>
          <w:p w14:paraId="51CC48D4" w14:textId="77777777" w:rsidR="00977680" w:rsidRPr="00706101" w:rsidRDefault="00977680" w:rsidP="00977680">
            <w:pPr>
              <w:jc w:val="left"/>
              <w:rPr>
                <w:szCs w:val="22"/>
              </w:rPr>
            </w:pPr>
            <w:r w:rsidRPr="002A0038">
              <w:rPr>
                <w:sz w:val="18"/>
                <w:szCs w:val="22"/>
              </w:rPr>
              <w:t>Depreciation</w:t>
            </w:r>
          </w:p>
        </w:tc>
        <w:tc>
          <w:tcPr>
            <w:tcW w:w="1341" w:type="dxa"/>
          </w:tcPr>
          <w:p w14:paraId="2512D638" w14:textId="770A2306" w:rsidR="00977680" w:rsidRPr="002A0038" w:rsidRDefault="00977680" w:rsidP="00977680">
            <w:pPr>
              <w:rPr>
                <w:rFonts w:asciiTheme="majorHAnsi" w:hAnsiTheme="majorHAnsi" w:cstheme="majorHAnsi"/>
                <w:szCs w:val="16"/>
              </w:rPr>
            </w:pPr>
            <w:r w:rsidRPr="00706101">
              <w:rPr>
                <w:rFonts w:asciiTheme="majorHAnsi" w:hAnsiTheme="majorHAnsi" w:cstheme="majorHAnsi"/>
                <w:szCs w:val="16"/>
              </w:rPr>
              <w:t>..</w:t>
            </w:r>
          </w:p>
        </w:tc>
        <w:tc>
          <w:tcPr>
            <w:tcW w:w="1343" w:type="dxa"/>
          </w:tcPr>
          <w:p w14:paraId="412A2969" w14:textId="5AEE86C1" w:rsidR="00977680" w:rsidRPr="002A0038" w:rsidRDefault="00977680" w:rsidP="00977680">
            <w:pPr>
              <w:rPr>
                <w:rFonts w:asciiTheme="majorHAnsi" w:hAnsiTheme="majorHAnsi" w:cstheme="majorHAnsi"/>
                <w:szCs w:val="16"/>
              </w:rPr>
            </w:pPr>
            <w:r w:rsidRPr="00E7073C">
              <w:t>(2</w:t>
            </w:r>
            <w:r>
              <w:rPr>
                <w:rFonts w:hint="eastAsia"/>
                <w:lang w:eastAsia="zh-CN"/>
              </w:rPr>
              <w:t xml:space="preserve"> </w:t>
            </w:r>
            <w:r>
              <w:t>694</w:t>
            </w:r>
            <w:r w:rsidRPr="00E7073C">
              <w:t>)</w:t>
            </w:r>
          </w:p>
        </w:tc>
        <w:tc>
          <w:tcPr>
            <w:tcW w:w="1343" w:type="dxa"/>
          </w:tcPr>
          <w:p w14:paraId="12573B23" w14:textId="0BB47169" w:rsidR="00977680" w:rsidRPr="002A0038" w:rsidRDefault="00977680" w:rsidP="00977680">
            <w:pPr>
              <w:rPr>
                <w:rFonts w:asciiTheme="majorHAnsi" w:hAnsiTheme="majorHAnsi" w:cstheme="majorHAnsi"/>
                <w:szCs w:val="16"/>
              </w:rPr>
            </w:pPr>
            <w:r w:rsidRPr="00E7073C">
              <w:t>(8</w:t>
            </w:r>
            <w:r>
              <w:rPr>
                <w:rFonts w:hint="eastAsia"/>
                <w:lang w:eastAsia="zh-CN"/>
              </w:rPr>
              <w:t xml:space="preserve"> </w:t>
            </w:r>
            <w:r>
              <w:t>365</w:t>
            </w:r>
            <w:r w:rsidRPr="00E7073C">
              <w:t>)</w:t>
            </w:r>
          </w:p>
        </w:tc>
        <w:tc>
          <w:tcPr>
            <w:tcW w:w="1343" w:type="dxa"/>
          </w:tcPr>
          <w:p w14:paraId="6F9F434B" w14:textId="246F6DB6" w:rsidR="00977680" w:rsidRPr="002A0038" w:rsidRDefault="00977680" w:rsidP="00977680">
            <w:pPr>
              <w:rPr>
                <w:rFonts w:asciiTheme="majorHAnsi" w:hAnsiTheme="majorHAnsi" w:cstheme="majorHAnsi"/>
                <w:szCs w:val="16"/>
              </w:rPr>
            </w:pPr>
            <w:r w:rsidRPr="00B61C89">
              <w:rPr>
                <w:rFonts w:asciiTheme="majorHAnsi" w:hAnsiTheme="majorHAnsi" w:cstheme="majorHAnsi"/>
                <w:szCs w:val="16"/>
              </w:rPr>
              <w:t>..</w:t>
            </w:r>
          </w:p>
        </w:tc>
        <w:tc>
          <w:tcPr>
            <w:tcW w:w="1343" w:type="dxa"/>
          </w:tcPr>
          <w:p w14:paraId="7A92D7E0" w14:textId="61D0AB2B" w:rsidR="00977680" w:rsidRPr="002A0038" w:rsidRDefault="00977680" w:rsidP="00977680">
            <w:pPr>
              <w:rPr>
                <w:rFonts w:asciiTheme="majorHAnsi" w:hAnsiTheme="majorHAnsi" w:cstheme="majorHAnsi"/>
                <w:szCs w:val="16"/>
              </w:rPr>
            </w:pPr>
            <w:r>
              <w:t>..</w:t>
            </w:r>
          </w:p>
        </w:tc>
        <w:tc>
          <w:tcPr>
            <w:tcW w:w="1343" w:type="dxa"/>
          </w:tcPr>
          <w:p w14:paraId="4619B688" w14:textId="22AC0690" w:rsidR="00977680" w:rsidRPr="00E7073C" w:rsidRDefault="00977680" w:rsidP="00977680">
            <w:r w:rsidRPr="002B2A8A">
              <w:t>(349)</w:t>
            </w:r>
          </w:p>
        </w:tc>
        <w:tc>
          <w:tcPr>
            <w:tcW w:w="1343" w:type="dxa"/>
          </w:tcPr>
          <w:p w14:paraId="72F2C303" w14:textId="514102EA" w:rsidR="00977680" w:rsidRPr="002A0038" w:rsidRDefault="00977680" w:rsidP="00977680">
            <w:pPr>
              <w:rPr>
                <w:rFonts w:asciiTheme="majorHAnsi" w:hAnsiTheme="majorHAnsi" w:cstheme="majorHAnsi"/>
                <w:szCs w:val="16"/>
              </w:rPr>
            </w:pPr>
            <w:r w:rsidRPr="00E7073C">
              <w:t>(11</w:t>
            </w:r>
            <w:r>
              <w:rPr>
                <w:rFonts w:hint="eastAsia"/>
                <w:lang w:eastAsia="zh-CN"/>
              </w:rPr>
              <w:t xml:space="preserve"> </w:t>
            </w:r>
            <w:r w:rsidRPr="00E7073C">
              <w:t>408)</w:t>
            </w:r>
          </w:p>
        </w:tc>
      </w:tr>
      <w:tr w:rsidR="00977680" w14:paraId="00D628CC" w14:textId="77777777" w:rsidTr="00E51206">
        <w:trPr>
          <w:trHeight w:val="113"/>
        </w:trPr>
        <w:tc>
          <w:tcPr>
            <w:tcW w:w="1988" w:type="dxa"/>
          </w:tcPr>
          <w:p w14:paraId="43F7A3FB" w14:textId="776E3C2E" w:rsidR="00977680" w:rsidRDefault="00977680" w:rsidP="00E51206">
            <w:pPr>
              <w:jc w:val="left"/>
              <w:rPr>
                <w:color w:val="4472C4"/>
                <w:sz w:val="13"/>
              </w:rPr>
            </w:pPr>
            <w:r>
              <w:rPr>
                <w:color w:val="4472C4"/>
                <w:sz w:val="13"/>
              </w:rPr>
              <w:t>AASB 1060.134(e)(vi)</w:t>
            </w:r>
          </w:p>
        </w:tc>
        <w:tc>
          <w:tcPr>
            <w:tcW w:w="3183" w:type="dxa"/>
          </w:tcPr>
          <w:p w14:paraId="0E5AAEED" w14:textId="7A78C2A5" w:rsidR="00977680" w:rsidRPr="002A0038" w:rsidRDefault="00977680" w:rsidP="00E51206">
            <w:pPr>
              <w:jc w:val="left"/>
              <w:rPr>
                <w:szCs w:val="22"/>
              </w:rPr>
            </w:pPr>
            <w:r w:rsidRPr="00F56BA1">
              <w:rPr>
                <w:szCs w:val="22"/>
              </w:rPr>
              <w:t>Impairment losses</w:t>
            </w:r>
          </w:p>
        </w:tc>
        <w:tc>
          <w:tcPr>
            <w:tcW w:w="1341" w:type="dxa"/>
          </w:tcPr>
          <w:p w14:paraId="47F56C4D" w14:textId="7FE7C91F" w:rsidR="00977680" w:rsidRPr="00E7073C" w:rsidRDefault="00977680" w:rsidP="00977680">
            <w:r w:rsidRPr="00B962F8">
              <w:rPr>
                <w:rFonts w:asciiTheme="majorHAnsi" w:hAnsiTheme="majorHAnsi" w:cstheme="majorHAnsi"/>
                <w:szCs w:val="16"/>
              </w:rPr>
              <w:t>..</w:t>
            </w:r>
          </w:p>
        </w:tc>
        <w:tc>
          <w:tcPr>
            <w:tcW w:w="1343" w:type="dxa"/>
          </w:tcPr>
          <w:p w14:paraId="2D489446" w14:textId="7A1BB45A" w:rsidR="00977680" w:rsidRPr="00E7073C" w:rsidRDefault="00977680" w:rsidP="00977680">
            <w:r w:rsidRPr="00B962F8">
              <w:rPr>
                <w:rFonts w:asciiTheme="majorHAnsi" w:hAnsiTheme="majorHAnsi" w:cstheme="majorHAnsi"/>
                <w:szCs w:val="16"/>
              </w:rPr>
              <w:t>..</w:t>
            </w:r>
          </w:p>
        </w:tc>
        <w:tc>
          <w:tcPr>
            <w:tcW w:w="1343" w:type="dxa"/>
          </w:tcPr>
          <w:p w14:paraId="546D1426" w14:textId="13E2D7E9" w:rsidR="00977680" w:rsidRPr="00E7073C" w:rsidRDefault="00977680" w:rsidP="00977680">
            <w:r w:rsidRPr="00B962F8">
              <w:rPr>
                <w:rFonts w:asciiTheme="majorHAnsi" w:hAnsiTheme="majorHAnsi" w:cstheme="majorHAnsi"/>
                <w:szCs w:val="16"/>
              </w:rPr>
              <w:t>..</w:t>
            </w:r>
          </w:p>
        </w:tc>
        <w:tc>
          <w:tcPr>
            <w:tcW w:w="1343" w:type="dxa"/>
          </w:tcPr>
          <w:p w14:paraId="77AAE405" w14:textId="0081B8D3" w:rsidR="00977680" w:rsidRPr="00E7073C" w:rsidRDefault="00977680" w:rsidP="00977680">
            <w:r w:rsidRPr="00B962F8">
              <w:rPr>
                <w:rFonts w:asciiTheme="majorHAnsi" w:hAnsiTheme="majorHAnsi" w:cstheme="majorHAnsi"/>
                <w:szCs w:val="16"/>
              </w:rPr>
              <w:t>..</w:t>
            </w:r>
          </w:p>
        </w:tc>
        <w:tc>
          <w:tcPr>
            <w:tcW w:w="1343" w:type="dxa"/>
          </w:tcPr>
          <w:p w14:paraId="71FA9B6F" w14:textId="0B9C2C74" w:rsidR="00977680" w:rsidRPr="00E7073C" w:rsidRDefault="00977680" w:rsidP="00977680">
            <w:r w:rsidRPr="00B962F8">
              <w:rPr>
                <w:rFonts w:asciiTheme="majorHAnsi" w:hAnsiTheme="majorHAnsi" w:cstheme="majorHAnsi"/>
                <w:szCs w:val="16"/>
              </w:rPr>
              <w:t>..</w:t>
            </w:r>
          </w:p>
        </w:tc>
        <w:tc>
          <w:tcPr>
            <w:tcW w:w="1343" w:type="dxa"/>
          </w:tcPr>
          <w:p w14:paraId="287DBDF1" w14:textId="3C848EAA" w:rsidR="00977680" w:rsidRPr="00B962F8" w:rsidRDefault="00977680" w:rsidP="00977680">
            <w:pPr>
              <w:rPr>
                <w:rFonts w:asciiTheme="majorHAnsi" w:hAnsiTheme="majorHAnsi" w:cstheme="majorHAnsi"/>
                <w:szCs w:val="16"/>
              </w:rPr>
            </w:pPr>
            <w:r>
              <w:t>..</w:t>
            </w:r>
          </w:p>
        </w:tc>
        <w:tc>
          <w:tcPr>
            <w:tcW w:w="1343" w:type="dxa"/>
          </w:tcPr>
          <w:p w14:paraId="3629E8D6" w14:textId="52ABEBB1" w:rsidR="00977680" w:rsidRPr="00E7073C" w:rsidRDefault="00977680" w:rsidP="00977680">
            <w:r w:rsidRPr="00B962F8">
              <w:rPr>
                <w:rFonts w:asciiTheme="majorHAnsi" w:hAnsiTheme="majorHAnsi" w:cstheme="majorHAnsi"/>
                <w:szCs w:val="16"/>
              </w:rPr>
              <w:t>..</w:t>
            </w:r>
          </w:p>
        </w:tc>
      </w:tr>
      <w:tr w:rsidR="00977680" w14:paraId="57D89818" w14:textId="77777777" w:rsidTr="00E51206">
        <w:trPr>
          <w:trHeight w:val="113"/>
        </w:trPr>
        <w:tc>
          <w:tcPr>
            <w:tcW w:w="1988" w:type="dxa"/>
          </w:tcPr>
          <w:p w14:paraId="4D658E16" w14:textId="21C52450" w:rsidR="00977680" w:rsidRDefault="00977680" w:rsidP="00977680">
            <w:pPr>
              <w:jc w:val="left"/>
            </w:pPr>
            <w:r>
              <w:rPr>
                <w:color w:val="4472C4"/>
                <w:sz w:val="13"/>
              </w:rPr>
              <w:t>AASB 1060.134 (e)(ii)</w:t>
            </w:r>
          </w:p>
        </w:tc>
        <w:tc>
          <w:tcPr>
            <w:tcW w:w="3183" w:type="dxa"/>
            <w:tcBorders>
              <w:bottom w:val="single" w:sz="12" w:space="0" w:color="auto"/>
            </w:tcBorders>
          </w:tcPr>
          <w:p w14:paraId="4C08D2E9" w14:textId="4B0F7D2D" w:rsidR="00977680" w:rsidRPr="00706101" w:rsidRDefault="00977680" w:rsidP="00977680">
            <w:pPr>
              <w:jc w:val="left"/>
              <w:rPr>
                <w:szCs w:val="22"/>
              </w:rPr>
            </w:pPr>
            <w:r w:rsidRPr="002A0038">
              <w:rPr>
                <w:sz w:val="18"/>
                <w:szCs w:val="22"/>
              </w:rPr>
              <w:t>Transfer to disposal group held for sale</w:t>
            </w:r>
          </w:p>
        </w:tc>
        <w:tc>
          <w:tcPr>
            <w:tcW w:w="1341" w:type="dxa"/>
            <w:tcBorders>
              <w:bottom w:val="single" w:sz="12" w:space="0" w:color="auto"/>
            </w:tcBorders>
          </w:tcPr>
          <w:p w14:paraId="09900439" w14:textId="30991706" w:rsidR="00977680" w:rsidRPr="002A0038" w:rsidRDefault="00977680" w:rsidP="00977680">
            <w:pPr>
              <w:rPr>
                <w:rFonts w:asciiTheme="majorHAnsi" w:hAnsiTheme="majorHAnsi" w:cstheme="majorHAnsi"/>
                <w:szCs w:val="16"/>
              </w:rPr>
            </w:pPr>
            <w:r w:rsidRPr="00E7073C">
              <w:t>(753)</w:t>
            </w:r>
          </w:p>
        </w:tc>
        <w:tc>
          <w:tcPr>
            <w:tcW w:w="1343" w:type="dxa"/>
            <w:tcBorders>
              <w:bottom w:val="single" w:sz="12" w:space="0" w:color="auto"/>
            </w:tcBorders>
          </w:tcPr>
          <w:p w14:paraId="6976CD36" w14:textId="1D437879" w:rsidR="00977680" w:rsidRPr="002A0038" w:rsidRDefault="00977680" w:rsidP="00977680">
            <w:pPr>
              <w:rPr>
                <w:rFonts w:asciiTheme="majorHAnsi" w:hAnsiTheme="majorHAnsi" w:cstheme="majorHAnsi"/>
                <w:szCs w:val="16"/>
              </w:rPr>
            </w:pPr>
            <w:r w:rsidRPr="005855B2">
              <w:rPr>
                <w:rFonts w:asciiTheme="majorHAnsi" w:hAnsiTheme="majorHAnsi" w:cstheme="majorHAnsi"/>
                <w:szCs w:val="16"/>
              </w:rPr>
              <w:t>..</w:t>
            </w:r>
          </w:p>
        </w:tc>
        <w:tc>
          <w:tcPr>
            <w:tcW w:w="1343" w:type="dxa"/>
            <w:tcBorders>
              <w:bottom w:val="single" w:sz="12" w:space="0" w:color="auto"/>
            </w:tcBorders>
          </w:tcPr>
          <w:p w14:paraId="0630C462" w14:textId="40718A5B" w:rsidR="00977680" w:rsidRPr="002A0038" w:rsidRDefault="00977680" w:rsidP="00977680">
            <w:pPr>
              <w:rPr>
                <w:rFonts w:asciiTheme="majorHAnsi" w:hAnsiTheme="majorHAnsi" w:cstheme="majorHAnsi"/>
                <w:szCs w:val="16"/>
              </w:rPr>
            </w:pPr>
            <w:r w:rsidRPr="005855B2">
              <w:rPr>
                <w:rFonts w:asciiTheme="majorHAnsi" w:hAnsiTheme="majorHAnsi" w:cstheme="majorHAnsi"/>
                <w:szCs w:val="16"/>
              </w:rPr>
              <w:t>..</w:t>
            </w:r>
          </w:p>
        </w:tc>
        <w:tc>
          <w:tcPr>
            <w:tcW w:w="1343" w:type="dxa"/>
            <w:tcBorders>
              <w:bottom w:val="single" w:sz="12" w:space="0" w:color="auto"/>
            </w:tcBorders>
          </w:tcPr>
          <w:p w14:paraId="1EFA5D32" w14:textId="5ED59B13" w:rsidR="00977680" w:rsidRPr="002A0038" w:rsidRDefault="00977680" w:rsidP="00977680">
            <w:pPr>
              <w:rPr>
                <w:rFonts w:asciiTheme="majorHAnsi" w:hAnsiTheme="majorHAnsi" w:cstheme="majorHAnsi"/>
                <w:szCs w:val="16"/>
              </w:rPr>
            </w:pPr>
            <w:r w:rsidRPr="005855B2">
              <w:rPr>
                <w:rFonts w:asciiTheme="majorHAnsi" w:hAnsiTheme="majorHAnsi" w:cstheme="majorHAnsi"/>
                <w:szCs w:val="16"/>
              </w:rPr>
              <w:t>..</w:t>
            </w:r>
          </w:p>
        </w:tc>
        <w:tc>
          <w:tcPr>
            <w:tcW w:w="1343" w:type="dxa"/>
            <w:tcBorders>
              <w:bottom w:val="single" w:sz="12" w:space="0" w:color="auto"/>
            </w:tcBorders>
          </w:tcPr>
          <w:p w14:paraId="61808B7E" w14:textId="43AB15D2" w:rsidR="00977680" w:rsidRPr="002A0038" w:rsidRDefault="00977680" w:rsidP="00977680">
            <w:pPr>
              <w:rPr>
                <w:rFonts w:asciiTheme="majorHAnsi" w:hAnsiTheme="majorHAnsi" w:cstheme="majorHAnsi"/>
                <w:szCs w:val="16"/>
              </w:rPr>
            </w:pPr>
            <w:r w:rsidRPr="005855B2">
              <w:rPr>
                <w:rFonts w:asciiTheme="majorHAnsi" w:hAnsiTheme="majorHAnsi" w:cstheme="majorHAnsi"/>
                <w:szCs w:val="16"/>
              </w:rPr>
              <w:t>..</w:t>
            </w:r>
          </w:p>
        </w:tc>
        <w:tc>
          <w:tcPr>
            <w:tcW w:w="1343" w:type="dxa"/>
            <w:tcBorders>
              <w:bottom w:val="single" w:sz="12" w:space="0" w:color="auto"/>
            </w:tcBorders>
          </w:tcPr>
          <w:p w14:paraId="335A410E" w14:textId="4461ED1E" w:rsidR="00977680" w:rsidRPr="00E7073C" w:rsidRDefault="00977680" w:rsidP="00977680">
            <w:r>
              <w:t>..</w:t>
            </w:r>
          </w:p>
        </w:tc>
        <w:tc>
          <w:tcPr>
            <w:tcW w:w="1343" w:type="dxa"/>
            <w:tcBorders>
              <w:bottom w:val="single" w:sz="12" w:space="0" w:color="auto"/>
            </w:tcBorders>
          </w:tcPr>
          <w:p w14:paraId="56B6F6A9" w14:textId="63DD1422" w:rsidR="00977680" w:rsidRPr="002A0038" w:rsidRDefault="00977680" w:rsidP="00977680">
            <w:pPr>
              <w:rPr>
                <w:rFonts w:asciiTheme="majorHAnsi" w:hAnsiTheme="majorHAnsi" w:cstheme="majorHAnsi"/>
                <w:szCs w:val="16"/>
              </w:rPr>
            </w:pPr>
            <w:r w:rsidRPr="00E7073C">
              <w:t>(753)</w:t>
            </w:r>
          </w:p>
        </w:tc>
      </w:tr>
      <w:tr w:rsidR="00977680" w14:paraId="11065D92" w14:textId="77777777" w:rsidTr="00E51206">
        <w:tc>
          <w:tcPr>
            <w:tcW w:w="1988" w:type="dxa"/>
            <w:tcBorders>
              <w:bottom w:val="nil"/>
            </w:tcBorders>
          </w:tcPr>
          <w:p w14:paraId="2B4FBA12" w14:textId="0A7F5DD3" w:rsidR="00977680" w:rsidRDefault="00977680" w:rsidP="00977680">
            <w:pPr>
              <w:jc w:val="left"/>
            </w:pPr>
            <w:r>
              <w:rPr>
                <w:color w:val="4472C4"/>
                <w:sz w:val="13"/>
              </w:rPr>
              <w:t>AASB 1060.134 (d)</w:t>
            </w:r>
          </w:p>
        </w:tc>
        <w:tc>
          <w:tcPr>
            <w:tcW w:w="3183" w:type="dxa"/>
          </w:tcPr>
          <w:p w14:paraId="2CA206DA" w14:textId="77777777" w:rsidR="00977680" w:rsidRPr="00706101" w:rsidRDefault="00977680" w:rsidP="00977680">
            <w:pPr>
              <w:jc w:val="left"/>
              <w:rPr>
                <w:szCs w:val="22"/>
              </w:rPr>
            </w:pPr>
            <w:r w:rsidRPr="002A0038">
              <w:rPr>
                <w:b/>
                <w:sz w:val="18"/>
                <w:szCs w:val="22"/>
              </w:rPr>
              <w:t>Closing balance</w:t>
            </w:r>
          </w:p>
        </w:tc>
        <w:tc>
          <w:tcPr>
            <w:tcW w:w="1341" w:type="dxa"/>
          </w:tcPr>
          <w:p w14:paraId="5EEDA984" w14:textId="2541B6DA" w:rsidR="00977680" w:rsidRPr="002A0038" w:rsidRDefault="00977680" w:rsidP="00977680">
            <w:pPr>
              <w:rPr>
                <w:rFonts w:asciiTheme="majorHAnsi" w:hAnsiTheme="majorHAnsi" w:cstheme="majorHAnsi"/>
                <w:b/>
                <w:bCs/>
                <w:szCs w:val="16"/>
              </w:rPr>
            </w:pPr>
            <w:r w:rsidRPr="002A0038">
              <w:rPr>
                <w:b/>
                <w:bCs/>
              </w:rPr>
              <w:t>5</w:t>
            </w:r>
            <w:r>
              <w:rPr>
                <w:rFonts w:hint="eastAsia"/>
                <w:b/>
                <w:bCs/>
                <w:lang w:eastAsia="zh-CN"/>
              </w:rPr>
              <w:t xml:space="preserve"> </w:t>
            </w:r>
            <w:r w:rsidRPr="002A0038">
              <w:rPr>
                <w:b/>
                <w:bCs/>
              </w:rPr>
              <w:t>272</w:t>
            </w:r>
          </w:p>
        </w:tc>
        <w:tc>
          <w:tcPr>
            <w:tcW w:w="1343" w:type="dxa"/>
          </w:tcPr>
          <w:p w14:paraId="676C3BD3" w14:textId="0D5EAAA8" w:rsidR="00977680" w:rsidRPr="002A0038" w:rsidRDefault="00977680" w:rsidP="00977680">
            <w:pPr>
              <w:rPr>
                <w:rFonts w:asciiTheme="majorHAnsi" w:hAnsiTheme="majorHAnsi" w:cstheme="majorHAnsi"/>
                <w:b/>
                <w:bCs/>
                <w:szCs w:val="16"/>
              </w:rPr>
            </w:pPr>
            <w:r w:rsidRPr="004F3AB8">
              <w:rPr>
                <w:b/>
                <w:bCs/>
              </w:rPr>
              <w:t>73</w:t>
            </w:r>
            <w:r>
              <w:rPr>
                <w:b/>
                <w:bCs/>
              </w:rPr>
              <w:t xml:space="preserve"> </w:t>
            </w:r>
            <w:r w:rsidRPr="004F3AB8">
              <w:rPr>
                <w:b/>
                <w:bCs/>
              </w:rPr>
              <w:t>340</w:t>
            </w:r>
          </w:p>
        </w:tc>
        <w:tc>
          <w:tcPr>
            <w:tcW w:w="1343" w:type="dxa"/>
          </w:tcPr>
          <w:p w14:paraId="3741402F" w14:textId="625FBD31" w:rsidR="00977680" w:rsidRPr="002A0038" w:rsidRDefault="00977680" w:rsidP="00977680">
            <w:pPr>
              <w:rPr>
                <w:rFonts w:asciiTheme="majorHAnsi" w:hAnsiTheme="majorHAnsi" w:cstheme="majorHAnsi"/>
                <w:b/>
                <w:bCs/>
                <w:szCs w:val="16"/>
              </w:rPr>
            </w:pPr>
            <w:r w:rsidRPr="004F3AB8">
              <w:rPr>
                <w:b/>
                <w:bCs/>
              </w:rPr>
              <w:t>48</w:t>
            </w:r>
            <w:r>
              <w:rPr>
                <w:b/>
                <w:bCs/>
              </w:rPr>
              <w:t xml:space="preserve"> </w:t>
            </w:r>
            <w:r w:rsidRPr="004F3AB8">
              <w:rPr>
                <w:b/>
                <w:bCs/>
              </w:rPr>
              <w:t>529</w:t>
            </w:r>
          </w:p>
        </w:tc>
        <w:tc>
          <w:tcPr>
            <w:tcW w:w="1343" w:type="dxa"/>
          </w:tcPr>
          <w:p w14:paraId="32E28082" w14:textId="63474329" w:rsidR="00977680" w:rsidRPr="002A0038" w:rsidRDefault="00977680" w:rsidP="00977680">
            <w:pPr>
              <w:rPr>
                <w:rFonts w:asciiTheme="majorHAnsi" w:hAnsiTheme="majorHAnsi" w:cstheme="majorHAnsi"/>
                <w:b/>
                <w:bCs/>
                <w:szCs w:val="16"/>
              </w:rPr>
            </w:pPr>
            <w:r w:rsidRPr="002A0038">
              <w:rPr>
                <w:b/>
                <w:bCs/>
              </w:rPr>
              <w:t>713</w:t>
            </w:r>
          </w:p>
        </w:tc>
        <w:tc>
          <w:tcPr>
            <w:tcW w:w="1343" w:type="dxa"/>
          </w:tcPr>
          <w:p w14:paraId="58DE7E56" w14:textId="3FE85655" w:rsidR="00977680" w:rsidRPr="002A0038" w:rsidRDefault="00977680" w:rsidP="00977680">
            <w:pPr>
              <w:rPr>
                <w:rFonts w:asciiTheme="majorHAnsi" w:hAnsiTheme="majorHAnsi" w:cstheme="majorHAnsi"/>
                <w:b/>
                <w:bCs/>
                <w:szCs w:val="16"/>
              </w:rPr>
            </w:pPr>
            <w:r w:rsidRPr="002A0038">
              <w:rPr>
                <w:b/>
                <w:bCs/>
              </w:rPr>
              <w:t>2</w:t>
            </w:r>
            <w:r>
              <w:rPr>
                <w:rFonts w:hint="eastAsia"/>
                <w:b/>
                <w:bCs/>
                <w:lang w:eastAsia="zh-CN"/>
              </w:rPr>
              <w:t xml:space="preserve"> </w:t>
            </w:r>
            <w:r w:rsidRPr="002A0038">
              <w:rPr>
                <w:b/>
                <w:bCs/>
              </w:rPr>
              <w:t>764</w:t>
            </w:r>
          </w:p>
        </w:tc>
        <w:tc>
          <w:tcPr>
            <w:tcW w:w="1343" w:type="dxa"/>
          </w:tcPr>
          <w:p w14:paraId="10824036" w14:textId="7BD27E2C" w:rsidR="00977680" w:rsidRPr="002A0038" w:rsidRDefault="00977680" w:rsidP="00977680">
            <w:pPr>
              <w:rPr>
                <w:b/>
                <w:bCs/>
              </w:rPr>
            </w:pPr>
            <w:r w:rsidRPr="004F3AB8">
              <w:rPr>
                <w:b/>
                <w:bCs/>
              </w:rPr>
              <w:t>13,287</w:t>
            </w:r>
          </w:p>
        </w:tc>
        <w:tc>
          <w:tcPr>
            <w:tcW w:w="1343" w:type="dxa"/>
          </w:tcPr>
          <w:p w14:paraId="513179A2" w14:textId="25E2FFF6" w:rsidR="00977680" w:rsidRPr="002A0038" w:rsidRDefault="00977680" w:rsidP="00977680">
            <w:pPr>
              <w:rPr>
                <w:rFonts w:asciiTheme="majorHAnsi" w:hAnsiTheme="majorHAnsi" w:cstheme="majorHAnsi"/>
                <w:b/>
                <w:bCs/>
                <w:szCs w:val="16"/>
              </w:rPr>
            </w:pPr>
            <w:r w:rsidRPr="002A0038">
              <w:rPr>
                <w:b/>
                <w:bCs/>
              </w:rPr>
              <w:t>143</w:t>
            </w:r>
            <w:r>
              <w:rPr>
                <w:rFonts w:hint="eastAsia"/>
                <w:b/>
                <w:bCs/>
                <w:lang w:eastAsia="zh-CN"/>
              </w:rPr>
              <w:t xml:space="preserve"> </w:t>
            </w:r>
            <w:r w:rsidRPr="002A0038">
              <w:rPr>
                <w:b/>
                <w:bCs/>
              </w:rPr>
              <w:t>905</w:t>
            </w:r>
          </w:p>
        </w:tc>
      </w:tr>
    </w:tbl>
    <w:p w14:paraId="70F0F813" w14:textId="22E64F1B" w:rsidR="00DE643D" w:rsidRDefault="003719CD" w:rsidP="00DE643D">
      <w:pPr>
        <w:pStyle w:val="Note"/>
      </w:pPr>
      <w:r>
        <w:t>Not</w:t>
      </w:r>
      <w:r w:rsidR="00DE643D">
        <w:t>e</w:t>
      </w:r>
      <w:r w:rsidR="00BD58E4">
        <w:t>s</w:t>
      </w:r>
      <w:r w:rsidR="00E21A63">
        <w:t>:</w:t>
      </w:r>
    </w:p>
    <w:p w14:paraId="772CD633" w14:textId="7B6B0DDB" w:rsidR="003719CD" w:rsidRPr="0078434E" w:rsidRDefault="003719CD" w:rsidP="00E51206">
      <w:pPr>
        <w:pStyle w:val="Note"/>
        <w:numPr>
          <w:ilvl w:val="0"/>
          <w:numId w:val="406"/>
        </w:numPr>
      </w:pPr>
      <w:r>
        <w:t xml:space="preserve">Fair value assessments have been performed for all classes of assets in this purpose </w:t>
      </w:r>
      <w:proofErr w:type="gramStart"/>
      <w:r>
        <w:t>group</w:t>
      </w:r>
      <w:proofErr w:type="gramEnd"/>
      <w:r>
        <w:t xml:space="preserve"> and the decision was made that movements were not material (less than or equal to 10 per cent) for a full revaluation</w:t>
      </w:r>
      <w:r w:rsidR="003D6E5F">
        <w:t xml:space="preserve"> as per the </w:t>
      </w:r>
      <w:r w:rsidR="003D6E5F" w:rsidRPr="0078434E">
        <w:t>requirement</w:t>
      </w:r>
      <w:r w:rsidR="00CB1136" w:rsidRPr="0078434E">
        <w:t>s</w:t>
      </w:r>
      <w:r w:rsidR="003D6E5F" w:rsidRPr="0078434E">
        <w:t xml:space="preserve"> of FRD 103</w:t>
      </w:r>
      <w:r w:rsidRPr="0078434E">
        <w:t xml:space="preserve">. The next scheduled full revaluation for this purpose group will be conducted in </w:t>
      </w:r>
      <w:fldSimple w:instr="DOCPROPERTY  YearCurrent  \* MERGEFORMAT">
        <w:r w:rsidR="0054242A" w:rsidRPr="0078434E">
          <w:t>20X2</w:t>
        </w:r>
      </w:fldSimple>
      <w:r w:rsidRPr="0078434E">
        <w:t>.</w:t>
      </w:r>
      <w:r w:rsidR="00CB1136" w:rsidRPr="0078434E">
        <w:t xml:space="preserve"> </w:t>
      </w:r>
      <w:r w:rsidR="00EB2EA2" w:rsidRPr="0078434E">
        <w:t xml:space="preserve">Refer to </w:t>
      </w:r>
      <w:r w:rsidR="00E21A63" w:rsidRPr="0078434E">
        <w:t>N</w:t>
      </w:r>
      <w:r w:rsidR="00EB2EA2" w:rsidRPr="0078434E">
        <w:t xml:space="preserve">ote 7.3 for </w:t>
      </w:r>
      <w:r w:rsidR="00E21A63" w:rsidRPr="0078434E">
        <w:t xml:space="preserve">additional </w:t>
      </w:r>
      <w:r w:rsidR="00EB2EA2" w:rsidRPr="0078434E">
        <w:t>information.</w:t>
      </w:r>
    </w:p>
    <w:p w14:paraId="45D95234" w14:textId="2F30A5F4" w:rsidR="0078434E" w:rsidRPr="0078434E" w:rsidRDefault="0078434E" w:rsidP="0078434E">
      <w:pPr>
        <w:pStyle w:val="Note"/>
        <w:numPr>
          <w:ilvl w:val="0"/>
          <w:numId w:val="406"/>
        </w:numPr>
      </w:pPr>
      <w:r w:rsidRPr="00BD58E4">
        <w:t xml:space="preserve">As a result of a change in FRD 104 </w:t>
      </w:r>
      <w:r w:rsidRPr="00E51206">
        <w:rPr>
          <w:i w:val="0"/>
        </w:rPr>
        <w:t>Leases</w:t>
      </w:r>
      <w:r w:rsidRPr="00BD58E4">
        <w:t xml:space="preserve"> effective for reporting periods from 30 June 20X2, right-of-use assets are measured at cost for reporting period 20X2. The comparative information for reporting period 20X1 is not restated and is reported at the previously determined fair value. For further information, refer to </w:t>
      </w:r>
      <w:r w:rsidR="001C7278">
        <w:t>N</w:t>
      </w:r>
      <w:r w:rsidRPr="00BD58E4">
        <w:t>ote 8.3.</w:t>
      </w:r>
    </w:p>
    <w:p w14:paraId="1B12975D" w14:textId="77777777" w:rsidR="004E4BE0" w:rsidRDefault="004E4BE0" w:rsidP="00E51206">
      <w:pPr>
        <w:pStyle w:val="Note"/>
        <w:ind w:left="390" w:firstLine="0"/>
      </w:pPr>
    </w:p>
    <w:p w14:paraId="7770F2D5" w14:textId="77777777" w:rsidR="00143A5D" w:rsidRPr="00143A5D" w:rsidRDefault="00143A5D" w:rsidP="00143A5D"/>
    <w:p w14:paraId="5424C071" w14:textId="1E18A342" w:rsidR="00143A5D" w:rsidRPr="00143A5D" w:rsidRDefault="00143A5D" w:rsidP="00143A5D">
      <w:pPr>
        <w:tabs>
          <w:tab w:val="center" w:pos="7285"/>
        </w:tabs>
        <w:sectPr w:rsidR="00143A5D" w:rsidRPr="00143A5D" w:rsidSect="000E2F05">
          <w:headerReference w:type="even" r:id="rId88"/>
          <w:headerReference w:type="default" r:id="rId89"/>
          <w:footerReference w:type="even" r:id="rId90"/>
          <w:footerReference w:type="default" r:id="rId91"/>
          <w:headerReference w:type="first" r:id="rId92"/>
          <w:footerReference w:type="first" r:id="rId93"/>
          <w:pgSz w:w="16838" w:h="11906" w:orient="landscape" w:code="9"/>
          <w:pgMar w:top="1134" w:right="1134" w:bottom="1134" w:left="1134" w:header="624" w:footer="567" w:gutter="0"/>
          <w:cols w:space="708"/>
          <w:docGrid w:linePitch="360"/>
        </w:sectPr>
      </w:pPr>
    </w:p>
    <w:p w14:paraId="20F78DEA" w14:textId="6C7AACB2" w:rsidR="003719CD" w:rsidRDefault="003719CD" w:rsidP="007D536F">
      <w:pPr>
        <w:pStyle w:val="GuidanceBlockHeading"/>
      </w:pPr>
      <w:bookmarkStart w:id="2376" w:name="_Toc179812632"/>
      <w:bookmarkStart w:id="2377" w:name="_Toc179818332"/>
      <w:bookmarkStart w:id="2378" w:name="_Toc179824032"/>
      <w:r>
        <w:t>Guidance – Property, plant and equipment</w:t>
      </w:r>
      <w:bookmarkEnd w:id="2376"/>
      <w:bookmarkEnd w:id="2377"/>
      <w:bookmarkEnd w:id="2378"/>
      <w:r w:rsidR="00FA4779">
        <w:t xml:space="preserve"> [REVISED]</w:t>
      </w:r>
    </w:p>
    <w:p w14:paraId="45AE6C47" w14:textId="2D0849E5" w:rsidR="003719CD" w:rsidRPr="00CA6C04" w:rsidRDefault="009A31AA" w:rsidP="002A0038">
      <w:pPr>
        <w:pStyle w:val="Heading4"/>
        <w:spacing w:before="120" w:after="0"/>
        <w:rPr>
          <w:rStyle w:val="Guidance"/>
          <w:bCs/>
          <w:sz w:val="20"/>
        </w:rPr>
      </w:pPr>
      <w:bookmarkStart w:id="2379" w:name="_Toc179812633"/>
      <w:bookmarkStart w:id="2380" w:name="_Toc179818333"/>
      <w:bookmarkStart w:id="2381" w:name="_Toc179824033"/>
      <w:r>
        <w:rPr>
          <w:rStyle w:val="Guidance"/>
          <w:rFonts w:eastAsia="SimHei" w:hint="eastAsia"/>
          <w:lang w:eastAsia="zh-CN"/>
        </w:rPr>
        <w:t>Disclosures</w:t>
      </w:r>
      <w:bookmarkEnd w:id="2379"/>
      <w:bookmarkEnd w:id="2380"/>
      <w:bookmarkEnd w:id="2381"/>
    </w:p>
    <w:p w14:paraId="3CF9916B" w14:textId="644640A9" w:rsidR="009A31AA" w:rsidRPr="009A31AA" w:rsidRDefault="009A31AA" w:rsidP="002A0038">
      <w:pPr>
        <w:spacing w:before="120" w:after="0"/>
        <w:rPr>
          <w:color w:val="4472C4" w:themeColor="accent1"/>
        </w:rPr>
      </w:pPr>
      <w:r w:rsidRPr="009A31AA">
        <w:rPr>
          <w:color w:val="4472C4" w:themeColor="accent1"/>
        </w:rPr>
        <w:t>An entity shall disclose the following for each class of property, plant and equipment and separately for investment property carried at cost less accumulated</w:t>
      </w:r>
      <w:r>
        <w:rPr>
          <w:rFonts w:hint="eastAsia"/>
          <w:color w:val="4472C4" w:themeColor="accent1"/>
          <w:lang w:eastAsia="zh-CN"/>
        </w:rPr>
        <w:t xml:space="preserve"> </w:t>
      </w:r>
      <w:r w:rsidRPr="009A31AA">
        <w:rPr>
          <w:color w:val="4472C4" w:themeColor="accent1"/>
        </w:rPr>
        <w:t>depreciation and impairment:</w:t>
      </w:r>
    </w:p>
    <w:p w14:paraId="4D4C80CD" w14:textId="54FF8969" w:rsidR="009A31AA" w:rsidRPr="002A0038" w:rsidRDefault="00697949" w:rsidP="002A0038">
      <w:pPr>
        <w:pStyle w:val="ListParagraph"/>
        <w:numPr>
          <w:ilvl w:val="0"/>
          <w:numId w:val="330"/>
        </w:numPr>
        <w:spacing w:before="40" w:line="264" w:lineRule="auto"/>
        <w:ind w:left="357" w:hanging="357"/>
        <w:rPr>
          <w:color w:val="4472C4" w:themeColor="accent1"/>
        </w:rPr>
      </w:pPr>
      <w:r>
        <w:rPr>
          <w:color w:val="4472C4" w:themeColor="accent1"/>
        </w:rPr>
        <w:t>T</w:t>
      </w:r>
      <w:r w:rsidR="009A31AA" w:rsidRPr="002A0038">
        <w:rPr>
          <w:color w:val="4472C4" w:themeColor="accent1"/>
        </w:rPr>
        <w:t>he measurement bases used for determining the gross carrying amount</w:t>
      </w:r>
    </w:p>
    <w:p w14:paraId="0AF60487" w14:textId="6A476EEA" w:rsidR="009A31AA" w:rsidRPr="002A0038" w:rsidRDefault="00697949" w:rsidP="002A0038">
      <w:pPr>
        <w:pStyle w:val="ListParagraph"/>
        <w:numPr>
          <w:ilvl w:val="0"/>
          <w:numId w:val="330"/>
        </w:numPr>
        <w:spacing w:before="40" w:line="264" w:lineRule="auto"/>
        <w:ind w:left="357" w:hanging="357"/>
        <w:rPr>
          <w:color w:val="4472C4" w:themeColor="accent1"/>
        </w:rPr>
      </w:pPr>
      <w:r>
        <w:rPr>
          <w:color w:val="4472C4" w:themeColor="accent1"/>
        </w:rPr>
        <w:t>T</w:t>
      </w:r>
      <w:r w:rsidR="009A31AA" w:rsidRPr="002A0038">
        <w:rPr>
          <w:color w:val="4472C4" w:themeColor="accent1"/>
        </w:rPr>
        <w:t>he depreciation methods used</w:t>
      </w:r>
    </w:p>
    <w:p w14:paraId="1B187088" w14:textId="5176E4D1" w:rsidR="009A31AA" w:rsidRPr="002A0038" w:rsidRDefault="00697949" w:rsidP="002A0038">
      <w:pPr>
        <w:pStyle w:val="ListParagraph"/>
        <w:numPr>
          <w:ilvl w:val="0"/>
          <w:numId w:val="330"/>
        </w:numPr>
        <w:spacing w:before="40" w:line="264" w:lineRule="auto"/>
        <w:ind w:left="357" w:hanging="357"/>
        <w:rPr>
          <w:color w:val="4472C4" w:themeColor="accent1"/>
        </w:rPr>
      </w:pPr>
      <w:r>
        <w:rPr>
          <w:color w:val="4472C4" w:themeColor="accent1"/>
        </w:rPr>
        <w:t>T</w:t>
      </w:r>
      <w:r w:rsidR="009A31AA" w:rsidRPr="002A0038">
        <w:rPr>
          <w:color w:val="4472C4" w:themeColor="accent1"/>
        </w:rPr>
        <w:t>he useful lives or the depreciation rates used</w:t>
      </w:r>
    </w:p>
    <w:p w14:paraId="446071DB" w14:textId="59350FA6" w:rsidR="009A31AA" w:rsidRPr="002A0038" w:rsidRDefault="00697949" w:rsidP="00E31DFF">
      <w:pPr>
        <w:pStyle w:val="ListParagraph"/>
        <w:numPr>
          <w:ilvl w:val="0"/>
          <w:numId w:val="330"/>
        </w:numPr>
        <w:spacing w:before="40" w:line="264" w:lineRule="auto"/>
        <w:ind w:left="357" w:hanging="357"/>
        <w:rPr>
          <w:color w:val="4472C4" w:themeColor="accent1"/>
        </w:rPr>
      </w:pPr>
      <w:r>
        <w:rPr>
          <w:color w:val="4472C4" w:themeColor="accent1"/>
        </w:rPr>
        <w:t>T</w:t>
      </w:r>
      <w:r w:rsidR="009A31AA" w:rsidRPr="002A0038">
        <w:rPr>
          <w:color w:val="4472C4" w:themeColor="accent1"/>
        </w:rPr>
        <w:t>he gross carrying amount and the accumulated depreciation (aggregated with accumulated</w:t>
      </w:r>
      <w:r w:rsidR="009A31AA" w:rsidRPr="002A0038">
        <w:rPr>
          <w:color w:val="4472C4" w:themeColor="accent1"/>
          <w:lang w:eastAsia="zh-CN"/>
        </w:rPr>
        <w:t xml:space="preserve"> </w:t>
      </w:r>
      <w:r w:rsidR="009A31AA" w:rsidRPr="002A0038">
        <w:rPr>
          <w:color w:val="4472C4" w:themeColor="accent1"/>
        </w:rPr>
        <w:t>impairment losses) at the beginning and end of the reporting period</w:t>
      </w:r>
    </w:p>
    <w:p w14:paraId="717D9248" w14:textId="63A63875" w:rsidR="009A31AA" w:rsidRPr="002A0038" w:rsidRDefault="00697949" w:rsidP="002A0038">
      <w:pPr>
        <w:pStyle w:val="ListParagraph"/>
        <w:numPr>
          <w:ilvl w:val="0"/>
          <w:numId w:val="330"/>
        </w:numPr>
        <w:spacing w:before="40" w:line="264" w:lineRule="auto"/>
        <w:ind w:left="357" w:hanging="357"/>
        <w:rPr>
          <w:color w:val="4472C4" w:themeColor="accent1"/>
        </w:rPr>
      </w:pPr>
      <w:r>
        <w:rPr>
          <w:color w:val="4472C4" w:themeColor="accent1"/>
        </w:rPr>
        <w:t>A</w:t>
      </w:r>
      <w:r w:rsidR="009A31AA" w:rsidRPr="002A0038">
        <w:rPr>
          <w:color w:val="4472C4" w:themeColor="accent1"/>
        </w:rPr>
        <w:t xml:space="preserve"> reconciliation of the carrying amount at the beginning and end of the reporting period, showing</w:t>
      </w:r>
      <w:r w:rsidR="009A31AA" w:rsidRPr="002A0038">
        <w:rPr>
          <w:color w:val="4472C4" w:themeColor="accent1"/>
          <w:lang w:eastAsia="zh-CN"/>
        </w:rPr>
        <w:t xml:space="preserve"> </w:t>
      </w:r>
      <w:r w:rsidR="009A31AA" w:rsidRPr="002A0038">
        <w:rPr>
          <w:color w:val="4472C4" w:themeColor="accent1"/>
        </w:rPr>
        <w:t>separately:</w:t>
      </w:r>
    </w:p>
    <w:p w14:paraId="7961B5A3" w14:textId="44313534" w:rsidR="009A31AA" w:rsidRPr="002A0038" w:rsidRDefault="009A31AA" w:rsidP="002A0038">
      <w:pPr>
        <w:pStyle w:val="ListParagraph"/>
        <w:numPr>
          <w:ilvl w:val="0"/>
          <w:numId w:val="331"/>
        </w:numPr>
        <w:spacing w:before="40"/>
        <w:ind w:left="697" w:hanging="357"/>
        <w:rPr>
          <w:color w:val="4472C4" w:themeColor="accent1"/>
        </w:rPr>
      </w:pPr>
      <w:r w:rsidRPr="002A0038">
        <w:rPr>
          <w:color w:val="4472C4" w:themeColor="accent1"/>
        </w:rPr>
        <w:t>additions</w:t>
      </w:r>
    </w:p>
    <w:p w14:paraId="7D4D7DE1" w14:textId="356E24C4" w:rsidR="009A31AA" w:rsidRPr="002A0038" w:rsidRDefault="009A31AA" w:rsidP="002A0038">
      <w:pPr>
        <w:pStyle w:val="ListParagraph"/>
        <w:numPr>
          <w:ilvl w:val="0"/>
          <w:numId w:val="331"/>
        </w:numPr>
        <w:spacing w:before="40"/>
        <w:ind w:left="697" w:hanging="357"/>
        <w:rPr>
          <w:color w:val="4472C4" w:themeColor="accent1"/>
        </w:rPr>
      </w:pPr>
      <w:r w:rsidRPr="002A0038">
        <w:rPr>
          <w:color w:val="4472C4" w:themeColor="accent1"/>
        </w:rPr>
        <w:t>assets classified as held for sale or included in a disposal group classified as held for sale</w:t>
      </w:r>
      <w:r w:rsidRPr="002A0038">
        <w:rPr>
          <w:color w:val="4472C4" w:themeColor="accent1"/>
          <w:lang w:eastAsia="zh-CN"/>
        </w:rPr>
        <w:t xml:space="preserve"> </w:t>
      </w:r>
      <w:r w:rsidRPr="002A0038">
        <w:rPr>
          <w:color w:val="4472C4" w:themeColor="accent1"/>
        </w:rPr>
        <w:t>in accordance with</w:t>
      </w:r>
      <w:r w:rsidRPr="002A0038">
        <w:rPr>
          <w:color w:val="4472C4" w:themeColor="accent1"/>
          <w:lang w:eastAsia="zh-CN"/>
        </w:rPr>
        <w:t xml:space="preserve"> </w:t>
      </w:r>
      <w:r w:rsidR="0007383E">
        <w:rPr>
          <w:color w:val="4472C4" w:themeColor="accent1"/>
        </w:rPr>
        <w:t>AASB </w:t>
      </w:r>
      <w:r w:rsidRPr="002A0038">
        <w:rPr>
          <w:color w:val="4472C4" w:themeColor="accent1"/>
        </w:rPr>
        <w:t>5 and other disposals</w:t>
      </w:r>
    </w:p>
    <w:p w14:paraId="20E31807" w14:textId="6B81EB94" w:rsidR="009A31AA" w:rsidRPr="002A0038" w:rsidRDefault="009A31AA" w:rsidP="002A0038">
      <w:pPr>
        <w:pStyle w:val="ListParagraph"/>
        <w:numPr>
          <w:ilvl w:val="0"/>
          <w:numId w:val="331"/>
        </w:numPr>
        <w:spacing w:before="40"/>
        <w:ind w:left="697" w:hanging="357"/>
        <w:rPr>
          <w:color w:val="4472C4" w:themeColor="accent1"/>
        </w:rPr>
      </w:pPr>
      <w:r w:rsidRPr="002A0038">
        <w:rPr>
          <w:color w:val="4472C4" w:themeColor="accent1"/>
        </w:rPr>
        <w:t>acquisitions through business combinations</w:t>
      </w:r>
    </w:p>
    <w:p w14:paraId="5682E02D" w14:textId="0035B7A8" w:rsidR="009A31AA" w:rsidRPr="002A0038" w:rsidRDefault="009A31AA" w:rsidP="002A0038">
      <w:pPr>
        <w:pStyle w:val="ListParagraph"/>
        <w:numPr>
          <w:ilvl w:val="0"/>
          <w:numId w:val="331"/>
        </w:numPr>
        <w:spacing w:before="40"/>
        <w:ind w:left="697" w:hanging="357"/>
        <w:rPr>
          <w:color w:val="4472C4" w:themeColor="accent1"/>
        </w:rPr>
      </w:pPr>
      <w:r w:rsidRPr="002A0038">
        <w:rPr>
          <w:color w:val="4472C4" w:themeColor="accent1"/>
        </w:rPr>
        <w:t xml:space="preserve">increases or decreases resulting from revaluations under </w:t>
      </w:r>
      <w:r w:rsidR="0007383E">
        <w:rPr>
          <w:color w:val="4472C4" w:themeColor="accent1"/>
        </w:rPr>
        <w:t>AASB </w:t>
      </w:r>
      <w:r w:rsidRPr="002A0038">
        <w:rPr>
          <w:color w:val="4472C4" w:themeColor="accent1"/>
        </w:rPr>
        <w:t>116</w:t>
      </w:r>
      <w:r w:rsidR="006C4F60" w:rsidRPr="002A0038">
        <w:rPr>
          <w:color w:val="4472C4" w:themeColor="accent1"/>
        </w:rPr>
        <w:t xml:space="preserve"> </w:t>
      </w:r>
      <w:r w:rsidR="006C4F60" w:rsidRPr="002A0038">
        <w:rPr>
          <w:i/>
          <w:iCs/>
          <w:color w:val="4472C4" w:themeColor="accent1"/>
        </w:rPr>
        <w:t>Property, Plant and Equipment</w:t>
      </w:r>
      <w:r w:rsidRPr="002A0038">
        <w:rPr>
          <w:color w:val="4472C4" w:themeColor="accent1"/>
        </w:rPr>
        <w:t xml:space="preserve"> and from</w:t>
      </w:r>
      <w:r w:rsidRPr="002A0038">
        <w:rPr>
          <w:color w:val="4472C4" w:themeColor="accent1"/>
          <w:lang w:eastAsia="zh-CN"/>
        </w:rPr>
        <w:t xml:space="preserve"> </w:t>
      </w:r>
      <w:r w:rsidRPr="002A0038">
        <w:rPr>
          <w:color w:val="4472C4" w:themeColor="accent1"/>
        </w:rPr>
        <w:t>impairment losses recognised or reversed in other comprehensive income in accordance</w:t>
      </w:r>
      <w:r w:rsidRPr="002A0038">
        <w:rPr>
          <w:color w:val="4472C4" w:themeColor="accent1"/>
          <w:lang w:eastAsia="zh-CN"/>
        </w:rPr>
        <w:t xml:space="preserve"> </w:t>
      </w:r>
      <w:r w:rsidRPr="002A0038">
        <w:rPr>
          <w:color w:val="4472C4" w:themeColor="accent1"/>
        </w:rPr>
        <w:t xml:space="preserve">with </w:t>
      </w:r>
      <w:r w:rsidR="0007383E">
        <w:rPr>
          <w:color w:val="4472C4" w:themeColor="accent1"/>
        </w:rPr>
        <w:t>AASB </w:t>
      </w:r>
      <w:r w:rsidRPr="002A0038">
        <w:rPr>
          <w:color w:val="4472C4" w:themeColor="accent1"/>
        </w:rPr>
        <w:t>136</w:t>
      </w:r>
      <w:r w:rsidR="006C4F60" w:rsidRPr="002A0038">
        <w:rPr>
          <w:color w:val="4472C4" w:themeColor="accent1"/>
        </w:rPr>
        <w:t xml:space="preserve"> </w:t>
      </w:r>
      <w:r w:rsidR="006C4F60" w:rsidRPr="002A0038">
        <w:rPr>
          <w:i/>
          <w:iCs/>
          <w:color w:val="4472C4" w:themeColor="accent1"/>
        </w:rPr>
        <w:t>Impairment of Assets</w:t>
      </w:r>
    </w:p>
    <w:p w14:paraId="09175641" w14:textId="746A04E1" w:rsidR="009A31AA" w:rsidRPr="002A0038" w:rsidRDefault="009A31AA" w:rsidP="002A0038">
      <w:pPr>
        <w:pStyle w:val="ListParagraph"/>
        <w:numPr>
          <w:ilvl w:val="0"/>
          <w:numId w:val="331"/>
        </w:numPr>
        <w:spacing w:before="40"/>
        <w:ind w:left="697" w:hanging="357"/>
        <w:rPr>
          <w:color w:val="4472C4" w:themeColor="accent1"/>
        </w:rPr>
      </w:pPr>
      <w:r w:rsidRPr="002A0038">
        <w:rPr>
          <w:color w:val="4472C4" w:themeColor="accent1"/>
        </w:rPr>
        <w:t>transfers to and from investment property carried at fair value through profit or loss (see</w:t>
      </w:r>
      <w:r w:rsidRPr="002A0038">
        <w:rPr>
          <w:color w:val="4472C4" w:themeColor="accent1"/>
          <w:lang w:eastAsia="zh-CN"/>
        </w:rPr>
        <w:t xml:space="preserve"> </w:t>
      </w:r>
      <w:r w:rsidRPr="002A0038">
        <w:rPr>
          <w:color w:val="4472C4" w:themeColor="accent1"/>
        </w:rPr>
        <w:t xml:space="preserve">paragraph 57 of </w:t>
      </w:r>
      <w:r w:rsidR="0007383E">
        <w:rPr>
          <w:color w:val="4472C4" w:themeColor="accent1"/>
        </w:rPr>
        <w:t>AASB </w:t>
      </w:r>
      <w:r w:rsidRPr="002A0038">
        <w:rPr>
          <w:color w:val="4472C4" w:themeColor="accent1"/>
        </w:rPr>
        <w:t>140</w:t>
      </w:r>
      <w:r w:rsidR="006C4F60" w:rsidRPr="002A0038">
        <w:rPr>
          <w:color w:val="4472C4" w:themeColor="accent1"/>
        </w:rPr>
        <w:t xml:space="preserve"> </w:t>
      </w:r>
      <w:r w:rsidR="006C4F60" w:rsidRPr="002A0038">
        <w:rPr>
          <w:i/>
          <w:iCs/>
          <w:color w:val="4472C4" w:themeColor="accent1"/>
        </w:rPr>
        <w:t>Investment Property</w:t>
      </w:r>
      <w:r w:rsidRPr="002A0038">
        <w:rPr>
          <w:color w:val="4472C4" w:themeColor="accent1"/>
        </w:rPr>
        <w:t>)</w:t>
      </w:r>
    </w:p>
    <w:p w14:paraId="5F54BD79" w14:textId="0E29407B" w:rsidR="009A31AA" w:rsidRPr="002A0038" w:rsidRDefault="009A31AA" w:rsidP="002A0038">
      <w:pPr>
        <w:pStyle w:val="ListParagraph"/>
        <w:numPr>
          <w:ilvl w:val="0"/>
          <w:numId w:val="331"/>
        </w:numPr>
        <w:spacing w:before="40"/>
        <w:ind w:left="697" w:hanging="357"/>
        <w:rPr>
          <w:color w:val="4472C4" w:themeColor="accent1"/>
        </w:rPr>
      </w:pPr>
      <w:r w:rsidRPr="002A0038">
        <w:rPr>
          <w:color w:val="4472C4" w:themeColor="accent1"/>
        </w:rPr>
        <w:t xml:space="preserve">impairment losses recognised or reversed in profit or loss in accordance with </w:t>
      </w:r>
      <w:r w:rsidR="0007383E">
        <w:rPr>
          <w:color w:val="4472C4" w:themeColor="accent1"/>
        </w:rPr>
        <w:t>AASB </w:t>
      </w:r>
      <w:r w:rsidRPr="002A0038">
        <w:rPr>
          <w:color w:val="4472C4" w:themeColor="accent1"/>
        </w:rPr>
        <w:t>136</w:t>
      </w:r>
    </w:p>
    <w:p w14:paraId="1E939934" w14:textId="3810A21B" w:rsidR="009A31AA" w:rsidRPr="002A0038" w:rsidRDefault="009A31AA" w:rsidP="002A0038">
      <w:pPr>
        <w:pStyle w:val="ListParagraph"/>
        <w:numPr>
          <w:ilvl w:val="0"/>
          <w:numId w:val="331"/>
        </w:numPr>
        <w:spacing w:before="40"/>
        <w:ind w:left="697" w:hanging="357"/>
        <w:rPr>
          <w:color w:val="4472C4" w:themeColor="accent1"/>
        </w:rPr>
      </w:pPr>
      <w:r w:rsidRPr="002A0038">
        <w:rPr>
          <w:color w:val="4472C4" w:themeColor="accent1"/>
        </w:rPr>
        <w:t>depreciation; and</w:t>
      </w:r>
    </w:p>
    <w:p w14:paraId="1D70FF35" w14:textId="493C03F7" w:rsidR="00016E55" w:rsidRPr="002A0038" w:rsidRDefault="00016E55" w:rsidP="002A0038">
      <w:pPr>
        <w:pStyle w:val="ListParagraph"/>
        <w:numPr>
          <w:ilvl w:val="0"/>
          <w:numId w:val="331"/>
        </w:numPr>
        <w:spacing w:before="40"/>
        <w:ind w:left="697" w:hanging="357"/>
        <w:rPr>
          <w:color w:val="4472C4" w:themeColor="accent1"/>
        </w:rPr>
      </w:pPr>
      <w:r w:rsidRPr="002A0038">
        <w:rPr>
          <w:color w:val="4472C4" w:themeColor="accent1"/>
        </w:rPr>
        <w:t>other changes.</w:t>
      </w:r>
    </w:p>
    <w:p w14:paraId="5D5B64BE" w14:textId="66343A86" w:rsidR="00016E55" w:rsidRDefault="00016E55" w:rsidP="002A0038">
      <w:pPr>
        <w:spacing w:before="120" w:after="0"/>
        <w:rPr>
          <w:rStyle w:val="Guidance"/>
        </w:rPr>
      </w:pPr>
      <w:r w:rsidRPr="00016E55">
        <w:rPr>
          <w:color w:val="4472C4" w:themeColor="accent1"/>
        </w:rPr>
        <w:t>This reconciliation need not be presented for prior periods.</w:t>
      </w:r>
      <w:r w:rsidRPr="00016E55">
        <w:rPr>
          <w:rStyle w:val="Reference"/>
        </w:rPr>
        <w:t xml:space="preserve"> </w:t>
      </w:r>
      <w:r w:rsidRPr="00CA6C04">
        <w:rPr>
          <w:rStyle w:val="Reference"/>
        </w:rPr>
        <w:t>[</w:t>
      </w:r>
      <w:r w:rsidR="0007383E">
        <w:rPr>
          <w:rStyle w:val="Reference"/>
        </w:rPr>
        <w:t>AASB </w:t>
      </w:r>
      <w:r w:rsidRPr="00CA6C04">
        <w:rPr>
          <w:rStyle w:val="Reference"/>
        </w:rPr>
        <w:t>1</w:t>
      </w:r>
      <w:r>
        <w:rPr>
          <w:rStyle w:val="Reference"/>
          <w:rFonts w:hint="eastAsia"/>
          <w:lang w:eastAsia="zh-CN"/>
        </w:rPr>
        <w:t>0</w:t>
      </w:r>
      <w:r w:rsidRPr="00CA6C04">
        <w:rPr>
          <w:rStyle w:val="Reference"/>
        </w:rPr>
        <w:t>6</w:t>
      </w:r>
      <w:r>
        <w:rPr>
          <w:rStyle w:val="Reference"/>
          <w:rFonts w:hint="eastAsia"/>
          <w:lang w:eastAsia="zh-CN"/>
        </w:rPr>
        <w:t>0</w:t>
      </w:r>
      <w:r w:rsidRPr="00CA6C04">
        <w:rPr>
          <w:rStyle w:val="Reference"/>
        </w:rPr>
        <w:t>.</w:t>
      </w:r>
      <w:r>
        <w:rPr>
          <w:rStyle w:val="Reference"/>
          <w:rFonts w:hint="eastAsia"/>
          <w:lang w:eastAsia="zh-CN"/>
        </w:rPr>
        <w:t>134</w:t>
      </w:r>
      <w:r w:rsidRPr="00CA6C04">
        <w:rPr>
          <w:rStyle w:val="Reference"/>
        </w:rPr>
        <w:t>]</w:t>
      </w:r>
    </w:p>
    <w:p w14:paraId="26A50010" w14:textId="7864E744" w:rsidR="007D191A" w:rsidRDefault="00F36EA0" w:rsidP="002A0038">
      <w:pPr>
        <w:spacing w:before="120" w:after="0"/>
        <w:rPr>
          <w:color w:val="4472C4" w:themeColor="accent1"/>
        </w:rPr>
      </w:pPr>
      <w:r>
        <w:rPr>
          <w:color w:val="4472C4" w:themeColor="accent1"/>
        </w:rPr>
        <w:t>An entity shall also disclose the following:</w:t>
      </w:r>
    </w:p>
    <w:p w14:paraId="1976E0D4" w14:textId="7AD0C295" w:rsidR="00A56EA2" w:rsidRPr="00A56EA2" w:rsidRDefault="00A56EA2" w:rsidP="00E10CD7">
      <w:pPr>
        <w:spacing w:before="40" w:after="0"/>
        <w:ind w:left="357" w:hanging="357"/>
        <w:rPr>
          <w:color w:val="4472C4" w:themeColor="accent1"/>
        </w:rPr>
      </w:pPr>
      <w:r w:rsidRPr="00A56EA2">
        <w:rPr>
          <w:color w:val="4472C4" w:themeColor="accent1"/>
        </w:rPr>
        <w:t>(a)</w:t>
      </w:r>
      <w:r w:rsidR="00E31DFF">
        <w:rPr>
          <w:color w:val="4472C4" w:themeColor="accent1"/>
        </w:rPr>
        <w:t xml:space="preserve">  </w:t>
      </w:r>
      <w:r w:rsidRPr="00A56EA2">
        <w:rPr>
          <w:color w:val="4472C4" w:themeColor="accent1"/>
        </w:rPr>
        <w:t xml:space="preserve"> </w:t>
      </w:r>
      <w:r w:rsidR="00F6312C">
        <w:rPr>
          <w:color w:val="4472C4" w:themeColor="accent1"/>
        </w:rPr>
        <w:t>T</w:t>
      </w:r>
      <w:r w:rsidRPr="00A56EA2">
        <w:rPr>
          <w:color w:val="4472C4" w:themeColor="accent1"/>
        </w:rPr>
        <w:t>he existence and carrying amounts of property, plant and equipment to which the entity has</w:t>
      </w:r>
      <w:r>
        <w:rPr>
          <w:color w:val="4472C4" w:themeColor="accent1"/>
        </w:rPr>
        <w:t xml:space="preserve"> </w:t>
      </w:r>
      <w:r w:rsidRPr="00A56EA2">
        <w:rPr>
          <w:color w:val="4472C4" w:themeColor="accent1"/>
        </w:rPr>
        <w:t>restricted title or that is pledged as security for liabilities</w:t>
      </w:r>
    </w:p>
    <w:p w14:paraId="009BD460" w14:textId="35C5C56A" w:rsidR="00A56EA2" w:rsidRPr="00A56EA2" w:rsidRDefault="00A56EA2" w:rsidP="00E10CD7">
      <w:pPr>
        <w:spacing w:before="40" w:after="0"/>
        <w:ind w:left="357" w:hanging="357"/>
        <w:rPr>
          <w:color w:val="4472C4" w:themeColor="accent1"/>
        </w:rPr>
      </w:pPr>
      <w:r w:rsidRPr="00A56EA2">
        <w:rPr>
          <w:color w:val="4472C4" w:themeColor="accent1"/>
        </w:rPr>
        <w:t>(b)</w:t>
      </w:r>
      <w:r w:rsidR="00E31DFF">
        <w:rPr>
          <w:color w:val="4472C4" w:themeColor="accent1"/>
        </w:rPr>
        <w:t xml:space="preserve">  </w:t>
      </w:r>
      <w:r w:rsidRPr="00A56EA2">
        <w:rPr>
          <w:color w:val="4472C4" w:themeColor="accent1"/>
        </w:rPr>
        <w:t xml:space="preserve"> </w:t>
      </w:r>
      <w:r w:rsidR="00F6312C">
        <w:rPr>
          <w:color w:val="4472C4" w:themeColor="accent1"/>
        </w:rPr>
        <w:t>T</w:t>
      </w:r>
      <w:r w:rsidRPr="00A56EA2">
        <w:rPr>
          <w:color w:val="4472C4" w:themeColor="accent1"/>
        </w:rPr>
        <w:t xml:space="preserve">he </w:t>
      </w:r>
      <w:proofErr w:type="gramStart"/>
      <w:r w:rsidRPr="00A56EA2">
        <w:rPr>
          <w:color w:val="4472C4" w:themeColor="accent1"/>
        </w:rPr>
        <w:t>amount</w:t>
      </w:r>
      <w:proofErr w:type="gramEnd"/>
      <w:r w:rsidRPr="00A56EA2">
        <w:rPr>
          <w:color w:val="4472C4" w:themeColor="accent1"/>
        </w:rPr>
        <w:t xml:space="preserve"> of contractual commitments for the acquisition of property, plant and equipment</w:t>
      </w:r>
    </w:p>
    <w:p w14:paraId="58616859" w14:textId="7F3353F0" w:rsidR="00F36EA0" w:rsidRPr="00E10CD7" w:rsidRDefault="00A56EA2" w:rsidP="00E10CD7">
      <w:pPr>
        <w:spacing w:before="40" w:after="0"/>
        <w:ind w:left="357" w:hanging="357"/>
        <w:rPr>
          <w:color w:val="4472C4" w:themeColor="accent1"/>
        </w:rPr>
      </w:pPr>
      <w:r w:rsidRPr="00A56EA2">
        <w:rPr>
          <w:color w:val="4472C4" w:themeColor="accent1"/>
        </w:rPr>
        <w:t>(c)</w:t>
      </w:r>
      <w:r w:rsidR="00E31DFF">
        <w:rPr>
          <w:color w:val="4472C4" w:themeColor="accent1"/>
        </w:rPr>
        <w:t xml:space="preserve">  </w:t>
      </w:r>
      <w:r w:rsidRPr="00A56EA2">
        <w:rPr>
          <w:color w:val="4472C4" w:themeColor="accent1"/>
        </w:rPr>
        <w:t xml:space="preserve"> </w:t>
      </w:r>
      <w:r w:rsidR="00F6312C">
        <w:rPr>
          <w:color w:val="4472C4" w:themeColor="accent1"/>
        </w:rPr>
        <w:t>I</w:t>
      </w:r>
      <w:r w:rsidRPr="00A56EA2">
        <w:rPr>
          <w:color w:val="4472C4" w:themeColor="accent1"/>
        </w:rPr>
        <w:t>f an entity has investment property whose fair value cannot be measured reliably, it shall disclose</w:t>
      </w:r>
      <w:r>
        <w:rPr>
          <w:color w:val="4472C4" w:themeColor="accent1"/>
        </w:rPr>
        <w:t xml:space="preserve"> </w:t>
      </w:r>
      <w:r w:rsidRPr="00A56EA2">
        <w:rPr>
          <w:color w:val="4472C4" w:themeColor="accent1"/>
        </w:rPr>
        <w:t>that fact and the reasons why fair value cannot be measured reliably for those items of investment</w:t>
      </w:r>
      <w:r>
        <w:rPr>
          <w:color w:val="4472C4" w:themeColor="accent1"/>
        </w:rPr>
        <w:t xml:space="preserve"> </w:t>
      </w:r>
      <w:r w:rsidRPr="00A56EA2">
        <w:rPr>
          <w:color w:val="4472C4" w:themeColor="accent1"/>
        </w:rPr>
        <w:t>property.</w:t>
      </w:r>
      <w:r w:rsidR="00E31DFF">
        <w:rPr>
          <w:color w:val="4472C4" w:themeColor="accent1"/>
        </w:rPr>
        <w:t xml:space="preserve"> </w:t>
      </w:r>
      <w:r w:rsidR="00E31DFF" w:rsidRPr="00CA6C04">
        <w:rPr>
          <w:rStyle w:val="Reference"/>
        </w:rPr>
        <w:t>[</w:t>
      </w:r>
      <w:r w:rsidR="0007383E">
        <w:rPr>
          <w:rStyle w:val="Reference"/>
        </w:rPr>
        <w:t>AASB </w:t>
      </w:r>
      <w:r w:rsidR="00E31DFF" w:rsidRPr="00CA6C04">
        <w:rPr>
          <w:rStyle w:val="Reference"/>
        </w:rPr>
        <w:t>1</w:t>
      </w:r>
      <w:r w:rsidR="00E31DFF">
        <w:rPr>
          <w:rStyle w:val="Reference"/>
          <w:rFonts w:hint="eastAsia"/>
          <w:lang w:eastAsia="zh-CN"/>
        </w:rPr>
        <w:t>0</w:t>
      </w:r>
      <w:r w:rsidR="00E31DFF" w:rsidRPr="00CA6C04">
        <w:rPr>
          <w:rStyle w:val="Reference"/>
        </w:rPr>
        <w:t>6</w:t>
      </w:r>
      <w:r w:rsidR="00E31DFF">
        <w:rPr>
          <w:rStyle w:val="Reference"/>
          <w:rFonts w:hint="eastAsia"/>
          <w:lang w:eastAsia="zh-CN"/>
        </w:rPr>
        <w:t>0</w:t>
      </w:r>
      <w:r w:rsidR="00E31DFF" w:rsidRPr="00CA6C04">
        <w:rPr>
          <w:rStyle w:val="Reference"/>
        </w:rPr>
        <w:t>.</w:t>
      </w:r>
      <w:r w:rsidR="00E31DFF">
        <w:rPr>
          <w:rStyle w:val="Reference"/>
          <w:rFonts w:hint="eastAsia"/>
          <w:lang w:eastAsia="zh-CN"/>
        </w:rPr>
        <w:t>13</w:t>
      </w:r>
      <w:r w:rsidR="00E31DFF">
        <w:rPr>
          <w:rStyle w:val="Reference"/>
          <w:lang w:eastAsia="zh-CN"/>
        </w:rPr>
        <w:t>5</w:t>
      </w:r>
      <w:r w:rsidR="00E31DFF" w:rsidRPr="00CA6C04">
        <w:rPr>
          <w:rStyle w:val="Reference"/>
        </w:rPr>
        <w:t>]</w:t>
      </w:r>
    </w:p>
    <w:p w14:paraId="12AF2773" w14:textId="25DA8699" w:rsidR="00A34182" w:rsidRPr="00A34182" w:rsidRDefault="00A34182" w:rsidP="002A0038">
      <w:pPr>
        <w:spacing w:before="120" w:after="0"/>
        <w:rPr>
          <w:color w:val="4472C4" w:themeColor="accent1"/>
        </w:rPr>
      </w:pPr>
      <w:r w:rsidRPr="00A34182">
        <w:rPr>
          <w:color w:val="4472C4" w:themeColor="accent1"/>
        </w:rPr>
        <w:t>A lessee shall make the following disclosures for leases:</w:t>
      </w:r>
    </w:p>
    <w:p w14:paraId="7AFA7EB2" w14:textId="66C0332F" w:rsidR="00A34182" w:rsidRPr="002A0038" w:rsidRDefault="00F6312C" w:rsidP="002A0038">
      <w:pPr>
        <w:pStyle w:val="ListParagraph"/>
        <w:numPr>
          <w:ilvl w:val="0"/>
          <w:numId w:val="332"/>
        </w:numPr>
        <w:spacing w:before="40"/>
        <w:ind w:left="357" w:hanging="357"/>
        <w:rPr>
          <w:color w:val="4472C4" w:themeColor="accent1"/>
        </w:rPr>
      </w:pPr>
      <w:r>
        <w:rPr>
          <w:color w:val="4472C4" w:themeColor="accent1"/>
        </w:rPr>
        <w:t>F</w:t>
      </w:r>
      <w:r w:rsidR="00A34182" w:rsidRPr="002A0038">
        <w:rPr>
          <w:color w:val="4472C4" w:themeColor="accent1"/>
        </w:rPr>
        <w:t>or each class of underlying asset, the net carrying amount of the right-of-use asset at the end of the</w:t>
      </w:r>
      <w:r w:rsidR="00A34182" w:rsidRPr="002A0038">
        <w:rPr>
          <w:color w:val="4472C4" w:themeColor="accent1"/>
          <w:lang w:eastAsia="zh-CN"/>
        </w:rPr>
        <w:t xml:space="preserve"> </w:t>
      </w:r>
      <w:r w:rsidR="00A34182" w:rsidRPr="002A0038">
        <w:rPr>
          <w:color w:val="4472C4" w:themeColor="accent1"/>
        </w:rPr>
        <w:t>reporting period</w:t>
      </w:r>
      <w:r w:rsidR="002261EE">
        <w:rPr>
          <w:color w:val="4472C4" w:themeColor="accent1"/>
        </w:rPr>
        <w:t xml:space="preserve"> </w:t>
      </w:r>
    </w:p>
    <w:p w14:paraId="5AE6CB00" w14:textId="767875CD" w:rsidR="00A34182" w:rsidRPr="002A0038" w:rsidRDefault="00F6312C" w:rsidP="002A0038">
      <w:pPr>
        <w:pStyle w:val="ListParagraph"/>
        <w:numPr>
          <w:ilvl w:val="0"/>
          <w:numId w:val="332"/>
        </w:numPr>
        <w:spacing w:before="40"/>
        <w:ind w:left="357" w:hanging="357"/>
        <w:rPr>
          <w:color w:val="4472C4" w:themeColor="accent1"/>
        </w:rPr>
      </w:pPr>
      <w:r>
        <w:rPr>
          <w:color w:val="4472C4" w:themeColor="accent1"/>
        </w:rPr>
        <w:t>T</w:t>
      </w:r>
      <w:r w:rsidR="00A34182" w:rsidRPr="002A0038">
        <w:rPr>
          <w:color w:val="4472C4" w:themeColor="accent1"/>
        </w:rPr>
        <w:t>he total of future lease payments at the end of the reporting period, for each of the following</w:t>
      </w:r>
      <w:r w:rsidR="00A34182" w:rsidRPr="002A0038">
        <w:rPr>
          <w:color w:val="4472C4" w:themeColor="accent1"/>
          <w:lang w:eastAsia="zh-CN"/>
        </w:rPr>
        <w:t xml:space="preserve"> </w:t>
      </w:r>
      <w:r w:rsidR="00A34182" w:rsidRPr="002A0038">
        <w:rPr>
          <w:color w:val="4472C4" w:themeColor="accent1"/>
        </w:rPr>
        <w:t>periods</w:t>
      </w:r>
    </w:p>
    <w:p w14:paraId="63069817" w14:textId="731D5CCC" w:rsidR="00A34182" w:rsidRPr="002A0038" w:rsidRDefault="00A34182" w:rsidP="002A0038">
      <w:pPr>
        <w:pStyle w:val="ListParagraph"/>
        <w:numPr>
          <w:ilvl w:val="0"/>
          <w:numId w:val="333"/>
        </w:numPr>
        <w:spacing w:before="40"/>
        <w:ind w:left="697" w:hanging="357"/>
        <w:rPr>
          <w:color w:val="4472C4" w:themeColor="accent1"/>
        </w:rPr>
      </w:pPr>
      <w:r w:rsidRPr="002A0038">
        <w:rPr>
          <w:color w:val="4472C4" w:themeColor="accent1"/>
        </w:rPr>
        <w:t>not later than one year</w:t>
      </w:r>
    </w:p>
    <w:p w14:paraId="0F058313" w14:textId="487DEAAE" w:rsidR="00A34182" w:rsidRPr="002A0038" w:rsidRDefault="00A34182" w:rsidP="002A0038">
      <w:pPr>
        <w:pStyle w:val="ListParagraph"/>
        <w:numPr>
          <w:ilvl w:val="0"/>
          <w:numId w:val="333"/>
        </w:numPr>
        <w:spacing w:before="40"/>
        <w:ind w:left="697" w:hanging="357"/>
        <w:rPr>
          <w:color w:val="4472C4" w:themeColor="accent1"/>
        </w:rPr>
      </w:pPr>
      <w:r w:rsidRPr="002A0038">
        <w:rPr>
          <w:color w:val="4472C4" w:themeColor="accent1"/>
        </w:rPr>
        <w:t>later than one year and not later than five years</w:t>
      </w:r>
    </w:p>
    <w:p w14:paraId="618225C6" w14:textId="70447898" w:rsidR="0035439D" w:rsidRPr="002A0038" w:rsidRDefault="00A34182" w:rsidP="002A0038">
      <w:pPr>
        <w:pStyle w:val="ListParagraph"/>
        <w:numPr>
          <w:ilvl w:val="0"/>
          <w:numId w:val="333"/>
        </w:numPr>
        <w:spacing w:before="40"/>
        <w:ind w:left="697" w:hanging="357"/>
        <w:rPr>
          <w:color w:val="4472C4" w:themeColor="accent1"/>
        </w:rPr>
      </w:pPr>
      <w:r w:rsidRPr="002A0038">
        <w:rPr>
          <w:color w:val="4472C4" w:themeColor="accent1"/>
        </w:rPr>
        <w:t>later than five years; and</w:t>
      </w:r>
    </w:p>
    <w:p w14:paraId="7F3DF649" w14:textId="064C309D" w:rsidR="00A34182" w:rsidRPr="002A0038" w:rsidRDefault="00F6312C" w:rsidP="002A0038">
      <w:pPr>
        <w:pStyle w:val="ListParagraph"/>
        <w:numPr>
          <w:ilvl w:val="0"/>
          <w:numId w:val="332"/>
        </w:numPr>
        <w:adjustRightInd w:val="0"/>
        <w:spacing w:before="40"/>
        <w:ind w:left="357" w:hanging="357"/>
      </w:pPr>
      <w:r>
        <w:rPr>
          <w:color w:val="4472C4" w:themeColor="accent1"/>
        </w:rPr>
        <w:t>A</w:t>
      </w:r>
      <w:r w:rsidR="00A34182" w:rsidRPr="006C4F60">
        <w:rPr>
          <w:color w:val="4472C4" w:themeColor="accent1"/>
        </w:rPr>
        <w:t xml:space="preserve"> general description of the lessee’s significant leasing arrangements including, for example,</w:t>
      </w:r>
      <w:r w:rsidR="00A34182" w:rsidRPr="002A0038">
        <w:rPr>
          <w:color w:val="4472C4" w:themeColor="accent1"/>
        </w:rPr>
        <w:t xml:space="preserve"> information about variable lease payments, extension and termination options, residual value guarantees, subleases and restrictions imposed by lease arrangements.</w:t>
      </w:r>
      <w:r w:rsidR="00A34182" w:rsidRPr="002A0038">
        <w:rPr>
          <w:color w:val="4472C4" w:themeColor="accent1"/>
          <w:lang w:eastAsia="zh-CN"/>
        </w:rPr>
        <w:t xml:space="preserve"> </w:t>
      </w:r>
      <w:r w:rsidR="00A34182" w:rsidRPr="00CA6C04">
        <w:rPr>
          <w:rStyle w:val="Reference"/>
        </w:rPr>
        <w:t>[</w:t>
      </w:r>
      <w:r w:rsidR="0007383E">
        <w:rPr>
          <w:rStyle w:val="Reference"/>
        </w:rPr>
        <w:t>AASB </w:t>
      </w:r>
      <w:r w:rsidR="00A34182" w:rsidRPr="00CA6C04">
        <w:rPr>
          <w:rStyle w:val="Reference"/>
        </w:rPr>
        <w:t>1</w:t>
      </w:r>
      <w:r w:rsidR="00A34182">
        <w:rPr>
          <w:rStyle w:val="Reference"/>
          <w:rFonts w:hint="eastAsia"/>
          <w:lang w:eastAsia="zh-CN"/>
        </w:rPr>
        <w:t>0</w:t>
      </w:r>
      <w:r w:rsidR="00A34182" w:rsidRPr="00CA6C04">
        <w:rPr>
          <w:rStyle w:val="Reference"/>
        </w:rPr>
        <w:t>6</w:t>
      </w:r>
      <w:r w:rsidR="00A34182">
        <w:rPr>
          <w:rStyle w:val="Reference"/>
          <w:rFonts w:hint="eastAsia"/>
          <w:lang w:eastAsia="zh-CN"/>
        </w:rPr>
        <w:t>0</w:t>
      </w:r>
      <w:r w:rsidR="00A34182" w:rsidRPr="00CA6C04">
        <w:rPr>
          <w:rStyle w:val="Reference"/>
        </w:rPr>
        <w:t>.</w:t>
      </w:r>
      <w:r w:rsidR="00A34182">
        <w:rPr>
          <w:rStyle w:val="Reference"/>
          <w:rFonts w:hint="eastAsia"/>
          <w:lang w:eastAsia="zh-CN"/>
        </w:rPr>
        <w:t>144</w:t>
      </w:r>
      <w:r w:rsidR="00A34182" w:rsidRPr="00CA6C04">
        <w:rPr>
          <w:rStyle w:val="Reference"/>
        </w:rPr>
        <w:t>]</w:t>
      </w:r>
    </w:p>
    <w:p w14:paraId="49748E24" w14:textId="21CA753A" w:rsidR="00743DF1" w:rsidRDefault="00DF41DC" w:rsidP="002A0038">
      <w:pPr>
        <w:spacing w:before="120" w:after="0"/>
        <w:rPr>
          <w:rStyle w:val="Reference"/>
        </w:rPr>
      </w:pPr>
      <w:r w:rsidRPr="00DF41DC">
        <w:rPr>
          <w:rStyle w:val="Guidance"/>
        </w:rPr>
        <w:t xml:space="preserve">In addition, the requirements for disclosure about assets in accordance with </w:t>
      </w:r>
      <w:r w:rsidR="0007383E">
        <w:rPr>
          <w:rStyle w:val="Guidance"/>
        </w:rPr>
        <w:t>AASB </w:t>
      </w:r>
      <w:r w:rsidR="006C4F60">
        <w:rPr>
          <w:rStyle w:val="Guidance"/>
        </w:rPr>
        <w:t>1060.</w:t>
      </w:r>
      <w:r w:rsidRPr="00DF41DC">
        <w:rPr>
          <w:rStyle w:val="Guidance"/>
        </w:rPr>
        <w:t xml:space="preserve">134(e)(i) and (vii) </w:t>
      </w:r>
      <w:r w:rsidRPr="006C4F60">
        <w:rPr>
          <w:rStyle w:val="Guidance"/>
        </w:rPr>
        <w:t>apply</w:t>
      </w:r>
      <w:r w:rsidRPr="00DF41DC">
        <w:rPr>
          <w:rStyle w:val="Guidance"/>
        </w:rPr>
        <w:t xml:space="preserve"> to lessees for the right-of-use assets.</w:t>
      </w:r>
      <w:r>
        <w:rPr>
          <w:rStyle w:val="Guidance"/>
          <w:rFonts w:hint="eastAsia"/>
          <w:lang w:eastAsia="zh-CN"/>
        </w:rPr>
        <w:t xml:space="preserve"> </w:t>
      </w:r>
      <w:r w:rsidRPr="00CA6C04">
        <w:rPr>
          <w:rStyle w:val="Reference"/>
        </w:rPr>
        <w:t>[</w:t>
      </w:r>
      <w:r w:rsidR="0007383E">
        <w:rPr>
          <w:rStyle w:val="Reference"/>
        </w:rPr>
        <w:t>AASB </w:t>
      </w:r>
      <w:r w:rsidRPr="00CA6C04">
        <w:rPr>
          <w:rStyle w:val="Reference"/>
        </w:rPr>
        <w:t>1</w:t>
      </w:r>
      <w:r>
        <w:rPr>
          <w:rStyle w:val="Reference"/>
          <w:rFonts w:hint="eastAsia"/>
          <w:lang w:eastAsia="zh-CN"/>
        </w:rPr>
        <w:t>0</w:t>
      </w:r>
      <w:r w:rsidRPr="00CA6C04">
        <w:rPr>
          <w:rStyle w:val="Reference"/>
        </w:rPr>
        <w:t>6</w:t>
      </w:r>
      <w:r>
        <w:rPr>
          <w:rStyle w:val="Reference"/>
          <w:rFonts w:hint="eastAsia"/>
          <w:lang w:eastAsia="zh-CN"/>
        </w:rPr>
        <w:t>0</w:t>
      </w:r>
      <w:r w:rsidRPr="00CA6C04">
        <w:rPr>
          <w:rStyle w:val="Reference"/>
        </w:rPr>
        <w:t>.</w:t>
      </w:r>
      <w:r>
        <w:rPr>
          <w:rStyle w:val="Reference"/>
          <w:rFonts w:hint="eastAsia"/>
          <w:lang w:eastAsia="zh-CN"/>
        </w:rPr>
        <w:t>145</w:t>
      </w:r>
      <w:r w:rsidRPr="00CA6C04">
        <w:rPr>
          <w:rStyle w:val="Reference"/>
        </w:rPr>
        <w:t>]</w:t>
      </w:r>
    </w:p>
    <w:p w14:paraId="55B3A0E5" w14:textId="77777777" w:rsidR="0068379E" w:rsidRPr="0049708B" w:rsidRDefault="0068379E" w:rsidP="0068379E">
      <w:pPr>
        <w:spacing w:before="120" w:after="0"/>
        <w:rPr>
          <w:rStyle w:val="Guidance"/>
          <w:lang w:eastAsia="zh-CN"/>
        </w:rPr>
      </w:pPr>
      <w:r w:rsidRPr="0049708B">
        <w:rPr>
          <w:rStyle w:val="Guidance"/>
          <w:lang w:eastAsia="zh-CN"/>
        </w:rPr>
        <w:t>A lessee shall also disclose the following for right-of-use assets:</w:t>
      </w:r>
    </w:p>
    <w:p w14:paraId="6730572B" w14:textId="6EFFED43" w:rsidR="0068379E" w:rsidRPr="0049708B" w:rsidRDefault="00F6312C" w:rsidP="0068379E">
      <w:pPr>
        <w:pStyle w:val="ListParagraph"/>
        <w:numPr>
          <w:ilvl w:val="0"/>
          <w:numId w:val="407"/>
        </w:numPr>
        <w:spacing w:before="120"/>
        <w:rPr>
          <w:color w:val="4472C4" w:themeColor="accent1"/>
          <w:lang w:eastAsia="zh-CN"/>
        </w:rPr>
      </w:pPr>
      <w:r>
        <w:rPr>
          <w:color w:val="4472C4" w:themeColor="accent1"/>
          <w:lang w:eastAsia="zh-CN"/>
        </w:rPr>
        <w:t>T</w:t>
      </w:r>
      <w:r w:rsidR="0068379E" w:rsidRPr="0049708B">
        <w:rPr>
          <w:color w:val="4472C4" w:themeColor="accent1"/>
          <w:lang w:eastAsia="zh-CN"/>
        </w:rPr>
        <w:t>he amount of impairment losses recognised in profit or loss during the period and the line item(s) in the statement of comprehensive income (and in the statement of profit or loss, if presented) in which those impairment losses are included; and</w:t>
      </w:r>
    </w:p>
    <w:p w14:paraId="448CEEA1" w14:textId="6B3E1035" w:rsidR="0068379E" w:rsidRPr="0049708B" w:rsidRDefault="0051565F" w:rsidP="0068379E">
      <w:pPr>
        <w:pStyle w:val="ListParagraph"/>
        <w:numPr>
          <w:ilvl w:val="0"/>
          <w:numId w:val="407"/>
        </w:numPr>
        <w:spacing w:before="120"/>
        <w:rPr>
          <w:rStyle w:val="Guidance"/>
          <w:lang w:eastAsia="zh-CN"/>
        </w:rPr>
      </w:pPr>
      <w:r>
        <w:rPr>
          <w:color w:val="4472C4" w:themeColor="accent1"/>
          <w:lang w:eastAsia="zh-CN"/>
        </w:rPr>
        <w:t>T</w:t>
      </w:r>
      <w:r w:rsidR="0068379E" w:rsidRPr="0049708B">
        <w:rPr>
          <w:color w:val="4472C4" w:themeColor="accent1"/>
          <w:lang w:eastAsia="zh-CN"/>
        </w:rPr>
        <w:t xml:space="preserve">he amount of reversals of impairment losses recognised in profit or loss during the period and the line item(s) in the statement of comprehensive income (and in the statement of profit or loss, if presented) in which those impairment losses are reversed. </w:t>
      </w:r>
      <w:r w:rsidR="0068379E" w:rsidRPr="0049708B">
        <w:rPr>
          <w:rStyle w:val="Reference"/>
        </w:rPr>
        <w:t>[AASB 1</w:t>
      </w:r>
      <w:r w:rsidR="0068379E" w:rsidRPr="0049708B">
        <w:rPr>
          <w:rStyle w:val="Reference"/>
          <w:lang w:eastAsia="zh-CN"/>
        </w:rPr>
        <w:t>0</w:t>
      </w:r>
      <w:r w:rsidR="0068379E" w:rsidRPr="0049708B">
        <w:rPr>
          <w:rStyle w:val="Reference"/>
        </w:rPr>
        <w:t>6</w:t>
      </w:r>
      <w:r w:rsidR="0068379E" w:rsidRPr="0049708B">
        <w:rPr>
          <w:rStyle w:val="Reference"/>
          <w:lang w:eastAsia="zh-CN"/>
        </w:rPr>
        <w:t>0</w:t>
      </w:r>
      <w:r w:rsidR="0068379E" w:rsidRPr="0049708B">
        <w:rPr>
          <w:rStyle w:val="Reference"/>
        </w:rPr>
        <w:t>.</w:t>
      </w:r>
      <w:r w:rsidR="0068379E" w:rsidRPr="0049708B">
        <w:rPr>
          <w:rStyle w:val="Reference"/>
          <w:lang w:eastAsia="zh-CN"/>
        </w:rPr>
        <w:t>169]</w:t>
      </w:r>
    </w:p>
    <w:p w14:paraId="529F30E9" w14:textId="77777777" w:rsidR="003719CD" w:rsidRDefault="003719CD" w:rsidP="007D536F">
      <w:pPr>
        <w:pStyle w:val="GuidanceEnd"/>
      </w:pPr>
    </w:p>
    <w:p w14:paraId="4941F6D3" w14:textId="70880687" w:rsidR="003719CD" w:rsidRDefault="003719CD" w:rsidP="00A80494">
      <w:pPr>
        <w:pStyle w:val="Heading2numbered"/>
      </w:pPr>
      <w:bookmarkStart w:id="2382" w:name="_Toc179806980"/>
      <w:bookmarkStart w:id="2383" w:name="_Toc179812634"/>
      <w:bookmarkStart w:id="2384" w:name="_Toc179818334"/>
      <w:bookmarkStart w:id="2385" w:name="_Toc179824034"/>
      <w:bookmarkStart w:id="2386" w:name="_Toc179829709"/>
      <w:bookmarkStart w:id="2387" w:name="_Toc179861239"/>
      <w:bookmarkStart w:id="2388" w:name="_Toc179868562"/>
      <w:bookmarkStart w:id="2389" w:name="_Toc179872955"/>
      <w:bookmarkStart w:id="2390" w:name="_Toc179877348"/>
      <w:bookmarkStart w:id="2391" w:name="_Toc179806981"/>
      <w:bookmarkStart w:id="2392" w:name="_Toc179812635"/>
      <w:bookmarkStart w:id="2393" w:name="_Toc179818335"/>
      <w:bookmarkStart w:id="2394" w:name="_Toc179824035"/>
      <w:bookmarkStart w:id="2395" w:name="_Toc179829710"/>
      <w:bookmarkStart w:id="2396" w:name="_Toc179861240"/>
      <w:bookmarkStart w:id="2397" w:name="_Toc179868563"/>
      <w:bookmarkStart w:id="2398" w:name="_Toc179872956"/>
      <w:bookmarkStart w:id="2399" w:name="_Toc179877349"/>
      <w:bookmarkStart w:id="2400" w:name="_Toc179807014"/>
      <w:bookmarkStart w:id="2401" w:name="_Toc179812668"/>
      <w:bookmarkStart w:id="2402" w:name="_Toc179818368"/>
      <w:bookmarkStart w:id="2403" w:name="_Toc179824068"/>
      <w:bookmarkStart w:id="2404" w:name="_Toc179829743"/>
      <w:bookmarkStart w:id="2405" w:name="_Toc179861273"/>
      <w:bookmarkStart w:id="2406" w:name="_Toc179868596"/>
      <w:bookmarkStart w:id="2407" w:name="_Toc179872989"/>
      <w:bookmarkStart w:id="2408" w:name="_Toc179877382"/>
      <w:bookmarkStart w:id="2409" w:name="_Toc179807018"/>
      <w:bookmarkStart w:id="2410" w:name="_Toc179812672"/>
      <w:bookmarkStart w:id="2411" w:name="_Toc179818372"/>
      <w:bookmarkStart w:id="2412" w:name="_Toc179824072"/>
      <w:bookmarkStart w:id="2413" w:name="_Toc179829747"/>
      <w:bookmarkStart w:id="2414" w:name="_Toc179861277"/>
      <w:bookmarkStart w:id="2415" w:name="_Toc179868600"/>
      <w:bookmarkStart w:id="2416" w:name="_Toc179872993"/>
      <w:bookmarkStart w:id="2417" w:name="_Toc179877386"/>
      <w:bookmarkStart w:id="2418" w:name="_Toc179807019"/>
      <w:bookmarkStart w:id="2419" w:name="_Toc179812673"/>
      <w:bookmarkStart w:id="2420" w:name="_Toc179818373"/>
      <w:bookmarkStart w:id="2421" w:name="_Toc179824073"/>
      <w:bookmarkStart w:id="2422" w:name="_Toc179829748"/>
      <w:bookmarkStart w:id="2423" w:name="_Toc179861278"/>
      <w:bookmarkStart w:id="2424" w:name="_Toc179868601"/>
      <w:bookmarkStart w:id="2425" w:name="_Toc179872994"/>
      <w:bookmarkStart w:id="2426" w:name="_Toc179877387"/>
      <w:bookmarkStart w:id="2427" w:name="_Toc179807020"/>
      <w:bookmarkStart w:id="2428" w:name="_Toc179812674"/>
      <w:bookmarkStart w:id="2429" w:name="_Toc179818374"/>
      <w:bookmarkStart w:id="2430" w:name="_Toc179824074"/>
      <w:bookmarkStart w:id="2431" w:name="_Toc179829749"/>
      <w:bookmarkStart w:id="2432" w:name="_Toc179861279"/>
      <w:bookmarkStart w:id="2433" w:name="_Toc179868602"/>
      <w:bookmarkStart w:id="2434" w:name="_Toc179872995"/>
      <w:bookmarkStart w:id="2435" w:name="_Toc179877388"/>
      <w:bookmarkStart w:id="2436" w:name="_Toc179807021"/>
      <w:bookmarkStart w:id="2437" w:name="_Toc179812675"/>
      <w:bookmarkStart w:id="2438" w:name="_Toc179818375"/>
      <w:bookmarkStart w:id="2439" w:name="_Toc179824075"/>
      <w:bookmarkStart w:id="2440" w:name="_Toc179829750"/>
      <w:bookmarkStart w:id="2441" w:name="_Toc179861280"/>
      <w:bookmarkStart w:id="2442" w:name="_Toc179868603"/>
      <w:bookmarkStart w:id="2443" w:name="_Toc179872996"/>
      <w:bookmarkStart w:id="2444" w:name="_Toc179877389"/>
      <w:bookmarkStart w:id="2445" w:name="_Toc179807022"/>
      <w:bookmarkStart w:id="2446" w:name="_Toc179812676"/>
      <w:bookmarkStart w:id="2447" w:name="_Toc179818376"/>
      <w:bookmarkStart w:id="2448" w:name="_Toc179824076"/>
      <w:bookmarkStart w:id="2449" w:name="_Toc179829751"/>
      <w:bookmarkStart w:id="2450" w:name="_Toc179861281"/>
      <w:bookmarkStart w:id="2451" w:name="_Toc179868604"/>
      <w:bookmarkStart w:id="2452" w:name="_Toc179872997"/>
      <w:bookmarkStart w:id="2453" w:name="_Toc179877390"/>
      <w:bookmarkStart w:id="2454" w:name="_Toc179807023"/>
      <w:bookmarkStart w:id="2455" w:name="_Toc179812677"/>
      <w:bookmarkStart w:id="2456" w:name="_Toc179818377"/>
      <w:bookmarkStart w:id="2457" w:name="_Toc179824077"/>
      <w:bookmarkStart w:id="2458" w:name="_Toc179829752"/>
      <w:bookmarkStart w:id="2459" w:name="_Toc179861282"/>
      <w:bookmarkStart w:id="2460" w:name="_Toc179868605"/>
      <w:bookmarkStart w:id="2461" w:name="_Toc179872998"/>
      <w:bookmarkStart w:id="2462" w:name="_Toc179877391"/>
      <w:bookmarkStart w:id="2463" w:name="_Toc179807024"/>
      <w:bookmarkStart w:id="2464" w:name="_Toc179812678"/>
      <w:bookmarkStart w:id="2465" w:name="_Toc179818378"/>
      <w:bookmarkStart w:id="2466" w:name="_Toc179824078"/>
      <w:bookmarkStart w:id="2467" w:name="_Toc179829753"/>
      <w:bookmarkStart w:id="2468" w:name="_Toc179861283"/>
      <w:bookmarkStart w:id="2469" w:name="_Toc179868606"/>
      <w:bookmarkStart w:id="2470" w:name="_Toc179872999"/>
      <w:bookmarkStart w:id="2471" w:name="_Toc179877392"/>
      <w:bookmarkStart w:id="2472" w:name="_Toc179807025"/>
      <w:bookmarkStart w:id="2473" w:name="_Toc179812679"/>
      <w:bookmarkStart w:id="2474" w:name="_Toc179818379"/>
      <w:bookmarkStart w:id="2475" w:name="_Toc179824079"/>
      <w:bookmarkStart w:id="2476" w:name="_Toc179829754"/>
      <w:bookmarkStart w:id="2477" w:name="_Toc179861284"/>
      <w:bookmarkStart w:id="2478" w:name="_Toc179868607"/>
      <w:bookmarkStart w:id="2479" w:name="_Toc179873000"/>
      <w:bookmarkStart w:id="2480" w:name="_Toc179877393"/>
      <w:bookmarkStart w:id="2481" w:name="_Toc179807026"/>
      <w:bookmarkStart w:id="2482" w:name="_Toc179812680"/>
      <w:bookmarkStart w:id="2483" w:name="_Toc179818380"/>
      <w:bookmarkStart w:id="2484" w:name="_Toc179824080"/>
      <w:bookmarkStart w:id="2485" w:name="_Toc179829755"/>
      <w:bookmarkStart w:id="2486" w:name="_Toc179861285"/>
      <w:bookmarkStart w:id="2487" w:name="_Toc179868608"/>
      <w:bookmarkStart w:id="2488" w:name="_Toc179873001"/>
      <w:bookmarkStart w:id="2489" w:name="_Toc179877394"/>
      <w:bookmarkStart w:id="2490" w:name="_Toc179807027"/>
      <w:bookmarkStart w:id="2491" w:name="_Toc179812681"/>
      <w:bookmarkStart w:id="2492" w:name="_Toc179818381"/>
      <w:bookmarkStart w:id="2493" w:name="_Toc179824081"/>
      <w:bookmarkStart w:id="2494" w:name="_Toc179829756"/>
      <w:bookmarkStart w:id="2495" w:name="_Toc179861286"/>
      <w:bookmarkStart w:id="2496" w:name="_Toc179868609"/>
      <w:bookmarkStart w:id="2497" w:name="_Toc179873002"/>
      <w:bookmarkStart w:id="2498" w:name="_Toc179877395"/>
      <w:bookmarkStart w:id="2499" w:name="_Toc179807028"/>
      <w:bookmarkStart w:id="2500" w:name="_Toc179812682"/>
      <w:bookmarkStart w:id="2501" w:name="_Toc179818382"/>
      <w:bookmarkStart w:id="2502" w:name="_Toc179824082"/>
      <w:bookmarkStart w:id="2503" w:name="_Toc179829757"/>
      <w:bookmarkStart w:id="2504" w:name="_Toc179861287"/>
      <w:bookmarkStart w:id="2505" w:name="_Toc179868610"/>
      <w:bookmarkStart w:id="2506" w:name="_Toc179873003"/>
      <w:bookmarkStart w:id="2507" w:name="_Toc179877396"/>
      <w:bookmarkStart w:id="2508" w:name="_Toc179807029"/>
      <w:bookmarkStart w:id="2509" w:name="_Toc179812683"/>
      <w:bookmarkStart w:id="2510" w:name="_Toc179818383"/>
      <w:bookmarkStart w:id="2511" w:name="_Toc179824083"/>
      <w:bookmarkStart w:id="2512" w:name="_Toc179829758"/>
      <w:bookmarkStart w:id="2513" w:name="_Toc179861288"/>
      <w:bookmarkStart w:id="2514" w:name="_Toc179868611"/>
      <w:bookmarkStart w:id="2515" w:name="_Toc179873004"/>
      <w:bookmarkStart w:id="2516" w:name="_Toc179877397"/>
      <w:bookmarkStart w:id="2517" w:name="_Toc179807030"/>
      <w:bookmarkStart w:id="2518" w:name="_Toc179812684"/>
      <w:bookmarkStart w:id="2519" w:name="_Toc179818384"/>
      <w:bookmarkStart w:id="2520" w:name="_Toc179824084"/>
      <w:bookmarkStart w:id="2521" w:name="_Toc179829759"/>
      <w:bookmarkStart w:id="2522" w:name="_Toc179861289"/>
      <w:bookmarkStart w:id="2523" w:name="_Toc179868612"/>
      <w:bookmarkStart w:id="2524" w:name="_Toc179873005"/>
      <w:bookmarkStart w:id="2525" w:name="_Toc179877398"/>
      <w:bookmarkStart w:id="2526" w:name="_Toc179807031"/>
      <w:bookmarkStart w:id="2527" w:name="_Toc179812685"/>
      <w:bookmarkStart w:id="2528" w:name="_Toc179818385"/>
      <w:bookmarkStart w:id="2529" w:name="_Toc179824085"/>
      <w:bookmarkStart w:id="2530" w:name="_Toc179829760"/>
      <w:bookmarkStart w:id="2531" w:name="_Toc179861290"/>
      <w:bookmarkStart w:id="2532" w:name="_Toc179868613"/>
      <w:bookmarkStart w:id="2533" w:name="_Toc179873006"/>
      <w:bookmarkStart w:id="2534" w:name="_Toc179877399"/>
      <w:bookmarkStart w:id="2535" w:name="_Toc179807032"/>
      <w:bookmarkStart w:id="2536" w:name="_Toc179812686"/>
      <w:bookmarkStart w:id="2537" w:name="_Toc179818386"/>
      <w:bookmarkStart w:id="2538" w:name="_Toc179824086"/>
      <w:bookmarkStart w:id="2539" w:name="_Toc179829761"/>
      <w:bookmarkStart w:id="2540" w:name="_Toc179861291"/>
      <w:bookmarkStart w:id="2541" w:name="_Toc179868614"/>
      <w:bookmarkStart w:id="2542" w:name="_Toc179873007"/>
      <w:bookmarkStart w:id="2543" w:name="_Toc179877400"/>
      <w:bookmarkStart w:id="2544" w:name="_Toc179807033"/>
      <w:bookmarkStart w:id="2545" w:name="_Toc179812687"/>
      <w:bookmarkStart w:id="2546" w:name="_Toc179818387"/>
      <w:bookmarkStart w:id="2547" w:name="_Toc179824087"/>
      <w:bookmarkStart w:id="2548" w:name="_Toc179829762"/>
      <w:bookmarkStart w:id="2549" w:name="_Toc179861292"/>
      <w:bookmarkStart w:id="2550" w:name="_Toc179868615"/>
      <w:bookmarkStart w:id="2551" w:name="_Toc179873008"/>
      <w:bookmarkStart w:id="2552" w:name="_Toc179877401"/>
      <w:bookmarkStart w:id="2553" w:name="_Toc179807034"/>
      <w:bookmarkStart w:id="2554" w:name="_Toc179812688"/>
      <w:bookmarkStart w:id="2555" w:name="_Toc179818388"/>
      <w:bookmarkStart w:id="2556" w:name="_Toc179824088"/>
      <w:bookmarkStart w:id="2557" w:name="_Toc179829763"/>
      <w:bookmarkStart w:id="2558" w:name="_Toc179861293"/>
      <w:bookmarkStart w:id="2559" w:name="_Toc179868616"/>
      <w:bookmarkStart w:id="2560" w:name="_Toc179873009"/>
      <w:bookmarkStart w:id="2561" w:name="_Toc179877402"/>
      <w:bookmarkStart w:id="2562" w:name="_Toc179807035"/>
      <w:bookmarkStart w:id="2563" w:name="_Toc179812689"/>
      <w:bookmarkStart w:id="2564" w:name="_Toc179818389"/>
      <w:bookmarkStart w:id="2565" w:name="_Toc179824089"/>
      <w:bookmarkStart w:id="2566" w:name="_Toc179829764"/>
      <w:bookmarkStart w:id="2567" w:name="_Toc179861294"/>
      <w:bookmarkStart w:id="2568" w:name="_Toc179868617"/>
      <w:bookmarkStart w:id="2569" w:name="_Toc179873010"/>
      <w:bookmarkStart w:id="2570" w:name="_Toc179877403"/>
      <w:bookmarkStart w:id="2571" w:name="_Toc179807036"/>
      <w:bookmarkStart w:id="2572" w:name="_Toc179812690"/>
      <w:bookmarkStart w:id="2573" w:name="_Toc179818390"/>
      <w:bookmarkStart w:id="2574" w:name="_Toc179824090"/>
      <w:bookmarkStart w:id="2575" w:name="_Toc179829765"/>
      <w:bookmarkStart w:id="2576" w:name="_Toc179861295"/>
      <w:bookmarkStart w:id="2577" w:name="_Toc179868618"/>
      <w:bookmarkStart w:id="2578" w:name="_Toc179873011"/>
      <w:bookmarkStart w:id="2579" w:name="_Toc179877404"/>
      <w:bookmarkStart w:id="2580" w:name="_Toc179807037"/>
      <w:bookmarkStart w:id="2581" w:name="_Toc179812691"/>
      <w:bookmarkStart w:id="2582" w:name="_Toc179818391"/>
      <w:bookmarkStart w:id="2583" w:name="_Toc179824091"/>
      <w:bookmarkStart w:id="2584" w:name="_Toc179829766"/>
      <w:bookmarkStart w:id="2585" w:name="_Toc179861296"/>
      <w:bookmarkStart w:id="2586" w:name="_Toc179868619"/>
      <w:bookmarkStart w:id="2587" w:name="_Toc179873012"/>
      <w:bookmarkStart w:id="2588" w:name="_Toc179877405"/>
      <w:bookmarkStart w:id="2589" w:name="_Toc179807038"/>
      <w:bookmarkStart w:id="2590" w:name="_Toc179812692"/>
      <w:bookmarkStart w:id="2591" w:name="_Toc179818392"/>
      <w:bookmarkStart w:id="2592" w:name="_Toc179824092"/>
      <w:bookmarkStart w:id="2593" w:name="_Toc179829767"/>
      <w:bookmarkStart w:id="2594" w:name="_Toc179861297"/>
      <w:bookmarkStart w:id="2595" w:name="_Toc179868620"/>
      <w:bookmarkStart w:id="2596" w:name="_Toc179873013"/>
      <w:bookmarkStart w:id="2597" w:name="_Toc179877406"/>
      <w:bookmarkStart w:id="2598" w:name="_Toc179807039"/>
      <w:bookmarkStart w:id="2599" w:name="_Toc179812693"/>
      <w:bookmarkStart w:id="2600" w:name="_Toc179818393"/>
      <w:bookmarkStart w:id="2601" w:name="_Toc179824093"/>
      <w:bookmarkStart w:id="2602" w:name="_Toc179829768"/>
      <w:bookmarkStart w:id="2603" w:name="_Toc179861298"/>
      <w:bookmarkStart w:id="2604" w:name="_Toc179868621"/>
      <w:bookmarkStart w:id="2605" w:name="_Toc179873014"/>
      <w:bookmarkStart w:id="2606" w:name="_Toc179877407"/>
      <w:bookmarkStart w:id="2607" w:name="_Toc179807040"/>
      <w:bookmarkStart w:id="2608" w:name="_Toc179812694"/>
      <w:bookmarkStart w:id="2609" w:name="_Toc179818394"/>
      <w:bookmarkStart w:id="2610" w:name="_Toc179824094"/>
      <w:bookmarkStart w:id="2611" w:name="_Toc179829769"/>
      <w:bookmarkStart w:id="2612" w:name="_Toc179861299"/>
      <w:bookmarkStart w:id="2613" w:name="_Toc179868622"/>
      <w:bookmarkStart w:id="2614" w:name="_Toc179873015"/>
      <w:bookmarkStart w:id="2615" w:name="_Toc179877408"/>
      <w:bookmarkStart w:id="2616" w:name="_Toc179807041"/>
      <w:bookmarkStart w:id="2617" w:name="_Toc179812695"/>
      <w:bookmarkStart w:id="2618" w:name="_Toc179818395"/>
      <w:bookmarkStart w:id="2619" w:name="_Toc179824095"/>
      <w:bookmarkStart w:id="2620" w:name="_Toc179829770"/>
      <w:bookmarkStart w:id="2621" w:name="_Toc179861300"/>
      <w:bookmarkStart w:id="2622" w:name="_Toc179868623"/>
      <w:bookmarkStart w:id="2623" w:name="_Toc179873016"/>
      <w:bookmarkStart w:id="2624" w:name="_Toc179877409"/>
      <w:bookmarkStart w:id="2625" w:name="_Toc179807042"/>
      <w:bookmarkStart w:id="2626" w:name="_Toc179812696"/>
      <w:bookmarkStart w:id="2627" w:name="_Toc179818396"/>
      <w:bookmarkStart w:id="2628" w:name="_Toc179824096"/>
      <w:bookmarkStart w:id="2629" w:name="_Toc179829771"/>
      <w:bookmarkStart w:id="2630" w:name="_Toc179861301"/>
      <w:bookmarkStart w:id="2631" w:name="_Toc179868624"/>
      <w:bookmarkStart w:id="2632" w:name="_Toc179873017"/>
      <w:bookmarkStart w:id="2633" w:name="_Toc179877410"/>
      <w:bookmarkStart w:id="2634" w:name="_Toc179807043"/>
      <w:bookmarkStart w:id="2635" w:name="_Toc179812697"/>
      <w:bookmarkStart w:id="2636" w:name="_Toc179818397"/>
      <w:bookmarkStart w:id="2637" w:name="_Toc179824097"/>
      <w:bookmarkStart w:id="2638" w:name="_Toc179829772"/>
      <w:bookmarkStart w:id="2639" w:name="_Toc179861302"/>
      <w:bookmarkStart w:id="2640" w:name="_Toc179868625"/>
      <w:bookmarkStart w:id="2641" w:name="_Toc179873018"/>
      <w:bookmarkStart w:id="2642" w:name="_Toc179877411"/>
      <w:bookmarkStart w:id="2643" w:name="_Toc179807044"/>
      <w:bookmarkStart w:id="2644" w:name="_Toc179812698"/>
      <w:bookmarkStart w:id="2645" w:name="_Toc179818398"/>
      <w:bookmarkStart w:id="2646" w:name="_Toc179824098"/>
      <w:bookmarkStart w:id="2647" w:name="_Toc179829773"/>
      <w:bookmarkStart w:id="2648" w:name="_Toc179861303"/>
      <w:bookmarkStart w:id="2649" w:name="_Toc179868626"/>
      <w:bookmarkStart w:id="2650" w:name="_Toc179873019"/>
      <w:bookmarkStart w:id="2651" w:name="_Toc179877412"/>
      <w:bookmarkStart w:id="2652" w:name="_Toc179807045"/>
      <w:bookmarkStart w:id="2653" w:name="_Toc179812699"/>
      <w:bookmarkStart w:id="2654" w:name="_Toc179818399"/>
      <w:bookmarkStart w:id="2655" w:name="_Toc179824099"/>
      <w:bookmarkStart w:id="2656" w:name="_Toc179829774"/>
      <w:bookmarkStart w:id="2657" w:name="_Toc179861304"/>
      <w:bookmarkStart w:id="2658" w:name="_Toc179868627"/>
      <w:bookmarkStart w:id="2659" w:name="_Toc179873020"/>
      <w:bookmarkStart w:id="2660" w:name="_Toc179877413"/>
      <w:bookmarkStart w:id="2661" w:name="_Toc179807046"/>
      <w:bookmarkStart w:id="2662" w:name="_Toc179812700"/>
      <w:bookmarkStart w:id="2663" w:name="_Toc179818400"/>
      <w:bookmarkStart w:id="2664" w:name="_Toc179824100"/>
      <w:bookmarkStart w:id="2665" w:name="_Toc179829775"/>
      <w:bookmarkStart w:id="2666" w:name="_Toc179861305"/>
      <w:bookmarkStart w:id="2667" w:name="_Toc179868628"/>
      <w:bookmarkStart w:id="2668" w:name="_Toc179873021"/>
      <w:bookmarkStart w:id="2669" w:name="_Toc179877414"/>
      <w:bookmarkStart w:id="2670" w:name="_Toc179807047"/>
      <w:bookmarkStart w:id="2671" w:name="_Toc179812701"/>
      <w:bookmarkStart w:id="2672" w:name="_Toc179818401"/>
      <w:bookmarkStart w:id="2673" w:name="_Toc179824101"/>
      <w:bookmarkStart w:id="2674" w:name="_Toc179829776"/>
      <w:bookmarkStart w:id="2675" w:name="_Toc179861306"/>
      <w:bookmarkStart w:id="2676" w:name="_Toc179868629"/>
      <w:bookmarkStart w:id="2677" w:name="_Toc179873022"/>
      <w:bookmarkStart w:id="2678" w:name="_Toc179877415"/>
      <w:bookmarkStart w:id="2679" w:name="_Toc179807048"/>
      <w:bookmarkStart w:id="2680" w:name="_Toc179812702"/>
      <w:bookmarkStart w:id="2681" w:name="_Toc179818402"/>
      <w:bookmarkStart w:id="2682" w:name="_Toc179824102"/>
      <w:bookmarkStart w:id="2683" w:name="_Toc179829777"/>
      <w:bookmarkStart w:id="2684" w:name="_Toc179861307"/>
      <w:bookmarkStart w:id="2685" w:name="_Toc179868630"/>
      <w:bookmarkStart w:id="2686" w:name="_Toc179873023"/>
      <w:bookmarkStart w:id="2687" w:name="_Toc179877416"/>
      <w:bookmarkStart w:id="2688" w:name="_Toc179807049"/>
      <w:bookmarkStart w:id="2689" w:name="_Toc179812703"/>
      <w:bookmarkStart w:id="2690" w:name="_Toc179818403"/>
      <w:bookmarkStart w:id="2691" w:name="_Toc179824103"/>
      <w:bookmarkStart w:id="2692" w:name="_Toc179829778"/>
      <w:bookmarkStart w:id="2693" w:name="_Toc179861308"/>
      <w:bookmarkStart w:id="2694" w:name="_Toc179868631"/>
      <w:bookmarkStart w:id="2695" w:name="_Toc179873024"/>
      <w:bookmarkStart w:id="2696" w:name="_Toc179877417"/>
      <w:bookmarkStart w:id="2697" w:name="_Toc179807050"/>
      <w:bookmarkStart w:id="2698" w:name="_Toc179812704"/>
      <w:bookmarkStart w:id="2699" w:name="_Toc179818404"/>
      <w:bookmarkStart w:id="2700" w:name="_Toc179824104"/>
      <w:bookmarkStart w:id="2701" w:name="_Toc179829779"/>
      <w:bookmarkStart w:id="2702" w:name="_Toc179861309"/>
      <w:bookmarkStart w:id="2703" w:name="_Toc179868632"/>
      <w:bookmarkStart w:id="2704" w:name="_Toc179873025"/>
      <w:bookmarkStart w:id="2705" w:name="_Toc179877418"/>
      <w:bookmarkStart w:id="2706" w:name="_Toc179807051"/>
      <w:bookmarkStart w:id="2707" w:name="_Toc179812705"/>
      <w:bookmarkStart w:id="2708" w:name="_Toc179818405"/>
      <w:bookmarkStart w:id="2709" w:name="_Toc179824105"/>
      <w:bookmarkStart w:id="2710" w:name="_Toc179829780"/>
      <w:bookmarkStart w:id="2711" w:name="_Toc179861310"/>
      <w:bookmarkStart w:id="2712" w:name="_Toc179868633"/>
      <w:bookmarkStart w:id="2713" w:name="_Toc179873026"/>
      <w:bookmarkStart w:id="2714" w:name="_Toc179877419"/>
      <w:bookmarkStart w:id="2715" w:name="_Toc179807052"/>
      <w:bookmarkStart w:id="2716" w:name="_Toc179812706"/>
      <w:bookmarkStart w:id="2717" w:name="_Toc179818406"/>
      <w:bookmarkStart w:id="2718" w:name="_Toc179824106"/>
      <w:bookmarkStart w:id="2719" w:name="_Toc179829781"/>
      <w:bookmarkStart w:id="2720" w:name="_Toc179861311"/>
      <w:bookmarkStart w:id="2721" w:name="_Toc179868634"/>
      <w:bookmarkStart w:id="2722" w:name="_Toc179873027"/>
      <w:bookmarkStart w:id="2723" w:name="_Toc179877420"/>
      <w:bookmarkStart w:id="2724" w:name="_Toc179807053"/>
      <w:bookmarkStart w:id="2725" w:name="_Toc179812707"/>
      <w:bookmarkStart w:id="2726" w:name="_Toc179818407"/>
      <w:bookmarkStart w:id="2727" w:name="_Toc179824107"/>
      <w:bookmarkStart w:id="2728" w:name="_Toc179829782"/>
      <w:bookmarkStart w:id="2729" w:name="_Toc179861312"/>
      <w:bookmarkStart w:id="2730" w:name="_Toc179868635"/>
      <w:bookmarkStart w:id="2731" w:name="_Toc179873028"/>
      <w:bookmarkStart w:id="2732" w:name="_Toc179877421"/>
      <w:bookmarkStart w:id="2733" w:name="_Toc179807054"/>
      <w:bookmarkStart w:id="2734" w:name="_Toc179812708"/>
      <w:bookmarkStart w:id="2735" w:name="_Toc179818408"/>
      <w:bookmarkStart w:id="2736" w:name="_Toc179824108"/>
      <w:bookmarkStart w:id="2737" w:name="_Toc179829783"/>
      <w:bookmarkStart w:id="2738" w:name="_Toc179861313"/>
      <w:bookmarkStart w:id="2739" w:name="_Toc179868636"/>
      <w:bookmarkStart w:id="2740" w:name="_Toc179873029"/>
      <w:bookmarkStart w:id="2741" w:name="_Toc179877422"/>
      <w:bookmarkStart w:id="2742" w:name="_Toc179807055"/>
      <w:bookmarkStart w:id="2743" w:name="_Toc179812709"/>
      <w:bookmarkStart w:id="2744" w:name="_Toc179818409"/>
      <w:bookmarkStart w:id="2745" w:name="_Toc179824109"/>
      <w:bookmarkStart w:id="2746" w:name="_Toc179829784"/>
      <w:bookmarkStart w:id="2747" w:name="_Toc179861314"/>
      <w:bookmarkStart w:id="2748" w:name="_Toc179868637"/>
      <w:bookmarkStart w:id="2749" w:name="_Toc179873030"/>
      <w:bookmarkStart w:id="2750" w:name="_Toc179877423"/>
      <w:bookmarkStart w:id="2751" w:name="_Toc179807056"/>
      <w:bookmarkStart w:id="2752" w:name="_Toc179812710"/>
      <w:bookmarkStart w:id="2753" w:name="_Toc179818410"/>
      <w:bookmarkStart w:id="2754" w:name="_Toc179824110"/>
      <w:bookmarkStart w:id="2755" w:name="_Toc179829785"/>
      <w:bookmarkStart w:id="2756" w:name="_Toc179861315"/>
      <w:bookmarkStart w:id="2757" w:name="_Toc179868638"/>
      <w:bookmarkStart w:id="2758" w:name="_Toc179873031"/>
      <w:bookmarkStart w:id="2759" w:name="_Toc179877424"/>
      <w:bookmarkStart w:id="2760" w:name="_Toc179807057"/>
      <w:bookmarkStart w:id="2761" w:name="_Toc179812711"/>
      <w:bookmarkStart w:id="2762" w:name="_Toc179818411"/>
      <w:bookmarkStart w:id="2763" w:name="_Toc179824111"/>
      <w:bookmarkStart w:id="2764" w:name="_Toc179829786"/>
      <w:bookmarkStart w:id="2765" w:name="_Toc179861316"/>
      <w:bookmarkStart w:id="2766" w:name="_Toc179868639"/>
      <w:bookmarkStart w:id="2767" w:name="_Toc179873032"/>
      <w:bookmarkStart w:id="2768" w:name="_Toc179877425"/>
      <w:bookmarkStart w:id="2769" w:name="_Toc179807058"/>
      <w:bookmarkStart w:id="2770" w:name="_Toc179812712"/>
      <w:bookmarkStart w:id="2771" w:name="_Toc179818412"/>
      <w:bookmarkStart w:id="2772" w:name="_Toc179824112"/>
      <w:bookmarkStart w:id="2773" w:name="_Toc179829787"/>
      <w:bookmarkStart w:id="2774" w:name="_Toc179861317"/>
      <w:bookmarkStart w:id="2775" w:name="_Toc179868640"/>
      <w:bookmarkStart w:id="2776" w:name="_Toc179873033"/>
      <w:bookmarkStart w:id="2777" w:name="_Toc179877426"/>
      <w:bookmarkStart w:id="2778" w:name="_Toc179807059"/>
      <w:bookmarkStart w:id="2779" w:name="_Toc179812713"/>
      <w:bookmarkStart w:id="2780" w:name="_Toc179818413"/>
      <w:bookmarkStart w:id="2781" w:name="_Toc179824113"/>
      <w:bookmarkStart w:id="2782" w:name="_Toc179829788"/>
      <w:bookmarkStart w:id="2783" w:name="_Toc179861318"/>
      <w:bookmarkStart w:id="2784" w:name="_Toc179868641"/>
      <w:bookmarkStart w:id="2785" w:name="_Toc179873034"/>
      <w:bookmarkStart w:id="2786" w:name="_Toc179877427"/>
      <w:bookmarkStart w:id="2787" w:name="_Toc179807060"/>
      <w:bookmarkStart w:id="2788" w:name="_Toc179812714"/>
      <w:bookmarkStart w:id="2789" w:name="_Toc179818414"/>
      <w:bookmarkStart w:id="2790" w:name="_Toc179824114"/>
      <w:bookmarkStart w:id="2791" w:name="_Toc179829789"/>
      <w:bookmarkStart w:id="2792" w:name="_Toc179861319"/>
      <w:bookmarkStart w:id="2793" w:name="_Toc179868642"/>
      <w:bookmarkStart w:id="2794" w:name="_Toc179873035"/>
      <w:bookmarkStart w:id="2795" w:name="_Toc179877428"/>
      <w:bookmarkStart w:id="2796" w:name="_Toc179807061"/>
      <w:bookmarkStart w:id="2797" w:name="_Toc179812715"/>
      <w:bookmarkStart w:id="2798" w:name="_Toc179818415"/>
      <w:bookmarkStart w:id="2799" w:name="_Toc179824115"/>
      <w:bookmarkStart w:id="2800" w:name="_Toc179829790"/>
      <w:bookmarkStart w:id="2801" w:name="_Toc179861320"/>
      <w:bookmarkStart w:id="2802" w:name="_Toc179868643"/>
      <w:bookmarkStart w:id="2803" w:name="_Toc179873036"/>
      <w:bookmarkStart w:id="2804" w:name="_Toc179877429"/>
      <w:bookmarkStart w:id="2805" w:name="_Toc179807069"/>
      <w:bookmarkStart w:id="2806" w:name="_Toc179812723"/>
      <w:bookmarkStart w:id="2807" w:name="_Toc179818423"/>
      <w:bookmarkStart w:id="2808" w:name="_Toc179824123"/>
      <w:bookmarkStart w:id="2809" w:name="_Toc179829798"/>
      <w:bookmarkStart w:id="2810" w:name="_Toc179861328"/>
      <w:bookmarkStart w:id="2811" w:name="_Toc179868651"/>
      <w:bookmarkStart w:id="2812" w:name="_Toc179873044"/>
      <w:bookmarkStart w:id="2813" w:name="_Toc179877437"/>
      <w:bookmarkStart w:id="2814" w:name="_Toc179807075"/>
      <w:bookmarkStart w:id="2815" w:name="_Toc179812729"/>
      <w:bookmarkStart w:id="2816" w:name="_Toc179818429"/>
      <w:bookmarkStart w:id="2817" w:name="_Toc179824129"/>
      <w:bookmarkStart w:id="2818" w:name="_Toc179829804"/>
      <w:bookmarkStart w:id="2819" w:name="_Toc179861334"/>
      <w:bookmarkStart w:id="2820" w:name="_Toc179868657"/>
      <w:bookmarkStart w:id="2821" w:name="_Toc179873050"/>
      <w:bookmarkStart w:id="2822" w:name="_Toc179877443"/>
      <w:bookmarkStart w:id="2823" w:name="_Toc179807091"/>
      <w:bookmarkStart w:id="2824" w:name="_Toc179812745"/>
      <w:bookmarkStart w:id="2825" w:name="_Toc179818445"/>
      <w:bookmarkStart w:id="2826" w:name="_Toc179824145"/>
      <w:bookmarkStart w:id="2827" w:name="_Toc179829820"/>
      <w:bookmarkStart w:id="2828" w:name="_Toc179861350"/>
      <w:bookmarkStart w:id="2829" w:name="_Toc179868673"/>
      <w:bookmarkStart w:id="2830" w:name="_Toc179873066"/>
      <w:bookmarkStart w:id="2831" w:name="_Toc179877459"/>
      <w:bookmarkStart w:id="2832" w:name="_Toc179807099"/>
      <w:bookmarkStart w:id="2833" w:name="_Toc179812753"/>
      <w:bookmarkStart w:id="2834" w:name="_Toc179818453"/>
      <w:bookmarkStart w:id="2835" w:name="_Toc179824153"/>
      <w:bookmarkStart w:id="2836" w:name="_Toc179829828"/>
      <w:bookmarkStart w:id="2837" w:name="_Toc179861358"/>
      <w:bookmarkStart w:id="2838" w:name="_Toc179868681"/>
      <w:bookmarkStart w:id="2839" w:name="_Toc179873074"/>
      <w:bookmarkStart w:id="2840" w:name="_Toc179877467"/>
      <w:bookmarkStart w:id="2841" w:name="_Toc179807107"/>
      <w:bookmarkStart w:id="2842" w:name="_Toc179812761"/>
      <w:bookmarkStart w:id="2843" w:name="_Toc179818461"/>
      <w:bookmarkStart w:id="2844" w:name="_Toc179824161"/>
      <w:bookmarkStart w:id="2845" w:name="_Toc179829836"/>
      <w:bookmarkStart w:id="2846" w:name="_Toc179861366"/>
      <w:bookmarkStart w:id="2847" w:name="_Toc179868689"/>
      <w:bookmarkStart w:id="2848" w:name="_Toc179873082"/>
      <w:bookmarkStart w:id="2849" w:name="_Toc179877475"/>
      <w:bookmarkStart w:id="2850" w:name="_Toc179807108"/>
      <w:bookmarkStart w:id="2851" w:name="_Toc179812762"/>
      <w:bookmarkStart w:id="2852" w:name="_Toc179818462"/>
      <w:bookmarkStart w:id="2853" w:name="_Toc179824162"/>
      <w:bookmarkStart w:id="2854" w:name="_Toc179829837"/>
      <w:bookmarkStart w:id="2855" w:name="_Toc179861367"/>
      <w:bookmarkStart w:id="2856" w:name="_Toc179868690"/>
      <w:bookmarkStart w:id="2857" w:name="_Toc179873083"/>
      <w:bookmarkStart w:id="2858" w:name="_Toc179877476"/>
      <w:bookmarkStart w:id="2859" w:name="_Toc179807109"/>
      <w:bookmarkStart w:id="2860" w:name="_Toc179812763"/>
      <w:bookmarkStart w:id="2861" w:name="_Toc179818463"/>
      <w:bookmarkStart w:id="2862" w:name="_Toc179824163"/>
      <w:bookmarkStart w:id="2863" w:name="_Toc179829838"/>
      <w:bookmarkStart w:id="2864" w:name="_Toc179861368"/>
      <w:bookmarkStart w:id="2865" w:name="_Toc179868691"/>
      <w:bookmarkStart w:id="2866" w:name="_Toc179873084"/>
      <w:bookmarkStart w:id="2867" w:name="_Toc179877477"/>
      <w:bookmarkStart w:id="2868" w:name="_Toc179807110"/>
      <w:bookmarkStart w:id="2869" w:name="_Toc179812764"/>
      <w:bookmarkStart w:id="2870" w:name="_Toc179818464"/>
      <w:bookmarkStart w:id="2871" w:name="_Toc179824164"/>
      <w:bookmarkStart w:id="2872" w:name="_Toc179829839"/>
      <w:bookmarkStart w:id="2873" w:name="_Toc179861369"/>
      <w:bookmarkStart w:id="2874" w:name="_Toc179868692"/>
      <w:bookmarkStart w:id="2875" w:name="_Toc179873085"/>
      <w:bookmarkStart w:id="2876" w:name="_Toc179877478"/>
      <w:bookmarkStart w:id="2877" w:name="_Toc179807111"/>
      <w:bookmarkStart w:id="2878" w:name="_Toc179812765"/>
      <w:bookmarkStart w:id="2879" w:name="_Toc179818465"/>
      <w:bookmarkStart w:id="2880" w:name="_Toc179824165"/>
      <w:bookmarkStart w:id="2881" w:name="_Toc179829840"/>
      <w:bookmarkStart w:id="2882" w:name="_Toc179861370"/>
      <w:bookmarkStart w:id="2883" w:name="_Toc179868693"/>
      <w:bookmarkStart w:id="2884" w:name="_Toc179873086"/>
      <w:bookmarkStart w:id="2885" w:name="_Toc179877479"/>
      <w:bookmarkStart w:id="2886" w:name="_Toc179807112"/>
      <w:bookmarkStart w:id="2887" w:name="_Toc179812766"/>
      <w:bookmarkStart w:id="2888" w:name="_Toc179818466"/>
      <w:bookmarkStart w:id="2889" w:name="_Toc179824166"/>
      <w:bookmarkStart w:id="2890" w:name="_Toc179829841"/>
      <w:bookmarkStart w:id="2891" w:name="_Toc179861371"/>
      <w:bookmarkStart w:id="2892" w:name="_Toc179868694"/>
      <w:bookmarkStart w:id="2893" w:name="_Toc179873087"/>
      <w:bookmarkStart w:id="2894" w:name="_Toc179877480"/>
      <w:bookmarkStart w:id="2895" w:name="_Toc179807113"/>
      <w:bookmarkStart w:id="2896" w:name="_Toc179812767"/>
      <w:bookmarkStart w:id="2897" w:name="_Toc179818467"/>
      <w:bookmarkStart w:id="2898" w:name="_Toc179824167"/>
      <w:bookmarkStart w:id="2899" w:name="_Toc179829842"/>
      <w:bookmarkStart w:id="2900" w:name="_Toc179861372"/>
      <w:bookmarkStart w:id="2901" w:name="_Toc179868695"/>
      <w:bookmarkStart w:id="2902" w:name="_Toc179873088"/>
      <w:bookmarkStart w:id="2903" w:name="_Toc179877481"/>
      <w:bookmarkStart w:id="2904" w:name="_Toc179807114"/>
      <w:bookmarkStart w:id="2905" w:name="_Toc179812768"/>
      <w:bookmarkStart w:id="2906" w:name="_Toc179818468"/>
      <w:bookmarkStart w:id="2907" w:name="_Toc179824168"/>
      <w:bookmarkStart w:id="2908" w:name="_Toc179829843"/>
      <w:bookmarkStart w:id="2909" w:name="_Toc179861373"/>
      <w:bookmarkStart w:id="2910" w:name="_Toc179868696"/>
      <w:bookmarkStart w:id="2911" w:name="_Toc179873089"/>
      <w:bookmarkStart w:id="2912" w:name="_Toc179877482"/>
      <w:bookmarkStart w:id="2913" w:name="_Toc179807121"/>
      <w:bookmarkStart w:id="2914" w:name="_Toc179812775"/>
      <w:bookmarkStart w:id="2915" w:name="_Toc179818475"/>
      <w:bookmarkStart w:id="2916" w:name="_Toc179824175"/>
      <w:bookmarkStart w:id="2917" w:name="_Toc179829850"/>
      <w:bookmarkStart w:id="2918" w:name="_Toc179861380"/>
      <w:bookmarkStart w:id="2919" w:name="_Toc179868703"/>
      <w:bookmarkStart w:id="2920" w:name="_Toc179873096"/>
      <w:bookmarkStart w:id="2921" w:name="_Toc179877489"/>
      <w:bookmarkStart w:id="2922" w:name="_Toc179807127"/>
      <w:bookmarkStart w:id="2923" w:name="_Toc179812781"/>
      <w:bookmarkStart w:id="2924" w:name="_Toc179818481"/>
      <w:bookmarkStart w:id="2925" w:name="_Toc179824181"/>
      <w:bookmarkStart w:id="2926" w:name="_Toc179829856"/>
      <w:bookmarkStart w:id="2927" w:name="_Toc179861386"/>
      <w:bookmarkStart w:id="2928" w:name="_Toc179868709"/>
      <w:bookmarkStart w:id="2929" w:name="_Toc179873102"/>
      <w:bookmarkStart w:id="2930" w:name="_Toc179877495"/>
      <w:bookmarkStart w:id="2931" w:name="_Toc179807163"/>
      <w:bookmarkStart w:id="2932" w:name="_Toc179812817"/>
      <w:bookmarkStart w:id="2933" w:name="_Toc179818517"/>
      <w:bookmarkStart w:id="2934" w:name="_Toc179824217"/>
      <w:bookmarkStart w:id="2935" w:name="_Toc179829892"/>
      <w:bookmarkStart w:id="2936" w:name="_Toc179861422"/>
      <w:bookmarkStart w:id="2937" w:name="_Toc179868745"/>
      <w:bookmarkStart w:id="2938" w:name="_Toc179873138"/>
      <w:bookmarkStart w:id="2939" w:name="_Toc179877531"/>
      <w:bookmarkStart w:id="2940" w:name="_Toc179807169"/>
      <w:bookmarkStart w:id="2941" w:name="_Toc179812823"/>
      <w:bookmarkStart w:id="2942" w:name="_Toc179818523"/>
      <w:bookmarkStart w:id="2943" w:name="_Toc179824223"/>
      <w:bookmarkStart w:id="2944" w:name="_Toc179829898"/>
      <w:bookmarkStart w:id="2945" w:name="_Toc179861428"/>
      <w:bookmarkStart w:id="2946" w:name="_Toc179868751"/>
      <w:bookmarkStart w:id="2947" w:name="_Toc179873144"/>
      <w:bookmarkStart w:id="2948" w:name="_Toc179877537"/>
      <w:bookmarkStart w:id="2949" w:name="_Toc179807175"/>
      <w:bookmarkStart w:id="2950" w:name="_Toc179812829"/>
      <w:bookmarkStart w:id="2951" w:name="_Toc179818529"/>
      <w:bookmarkStart w:id="2952" w:name="_Toc179824229"/>
      <w:bookmarkStart w:id="2953" w:name="_Toc179829904"/>
      <w:bookmarkStart w:id="2954" w:name="_Toc179861434"/>
      <w:bookmarkStart w:id="2955" w:name="_Toc179868757"/>
      <w:bookmarkStart w:id="2956" w:name="_Toc179873150"/>
      <w:bookmarkStart w:id="2957" w:name="_Toc179877543"/>
      <w:bookmarkStart w:id="2958" w:name="_Toc179807176"/>
      <w:bookmarkStart w:id="2959" w:name="_Toc179812830"/>
      <w:bookmarkStart w:id="2960" w:name="_Toc179818530"/>
      <w:bookmarkStart w:id="2961" w:name="_Toc179824230"/>
      <w:bookmarkStart w:id="2962" w:name="_Toc179829905"/>
      <w:bookmarkStart w:id="2963" w:name="_Toc179861435"/>
      <w:bookmarkStart w:id="2964" w:name="_Toc179868758"/>
      <w:bookmarkStart w:id="2965" w:name="_Toc179873151"/>
      <w:bookmarkStart w:id="2966" w:name="_Toc179877544"/>
      <w:bookmarkStart w:id="2967" w:name="_Toc179807177"/>
      <w:bookmarkStart w:id="2968" w:name="_Toc179812831"/>
      <w:bookmarkStart w:id="2969" w:name="_Toc179818531"/>
      <w:bookmarkStart w:id="2970" w:name="_Toc179824231"/>
      <w:bookmarkStart w:id="2971" w:name="_Toc179829906"/>
      <w:bookmarkStart w:id="2972" w:name="_Toc179861436"/>
      <w:bookmarkStart w:id="2973" w:name="_Toc179868759"/>
      <w:bookmarkStart w:id="2974" w:name="_Toc179873152"/>
      <w:bookmarkStart w:id="2975" w:name="_Toc179877545"/>
      <w:bookmarkStart w:id="2976" w:name="_Toc179807178"/>
      <w:bookmarkStart w:id="2977" w:name="_Toc179812832"/>
      <w:bookmarkStart w:id="2978" w:name="_Toc179818532"/>
      <w:bookmarkStart w:id="2979" w:name="_Toc179824232"/>
      <w:bookmarkStart w:id="2980" w:name="_Toc179829907"/>
      <w:bookmarkStart w:id="2981" w:name="_Toc179861437"/>
      <w:bookmarkStart w:id="2982" w:name="_Toc179868760"/>
      <w:bookmarkStart w:id="2983" w:name="_Toc179873153"/>
      <w:bookmarkStart w:id="2984" w:name="_Toc179877546"/>
      <w:bookmarkStart w:id="2985" w:name="_Toc179807179"/>
      <w:bookmarkStart w:id="2986" w:name="_Toc179812833"/>
      <w:bookmarkStart w:id="2987" w:name="_Toc179818533"/>
      <w:bookmarkStart w:id="2988" w:name="_Toc179824233"/>
      <w:bookmarkStart w:id="2989" w:name="_Toc179829908"/>
      <w:bookmarkStart w:id="2990" w:name="_Toc179861438"/>
      <w:bookmarkStart w:id="2991" w:name="_Toc179868761"/>
      <w:bookmarkStart w:id="2992" w:name="_Toc179873154"/>
      <w:bookmarkStart w:id="2993" w:name="_Toc179877547"/>
      <w:bookmarkStart w:id="2994" w:name="_Toc179807180"/>
      <w:bookmarkStart w:id="2995" w:name="_Toc179812834"/>
      <w:bookmarkStart w:id="2996" w:name="_Toc179818534"/>
      <w:bookmarkStart w:id="2997" w:name="_Toc179824234"/>
      <w:bookmarkStart w:id="2998" w:name="_Toc179829909"/>
      <w:bookmarkStart w:id="2999" w:name="_Toc179861439"/>
      <w:bookmarkStart w:id="3000" w:name="_Toc179868762"/>
      <w:bookmarkStart w:id="3001" w:name="_Toc179873155"/>
      <w:bookmarkStart w:id="3002" w:name="_Toc179877548"/>
      <w:bookmarkStart w:id="3003" w:name="_Toc179807181"/>
      <w:bookmarkStart w:id="3004" w:name="_Toc179812835"/>
      <w:bookmarkStart w:id="3005" w:name="_Toc179818535"/>
      <w:bookmarkStart w:id="3006" w:name="_Toc179824235"/>
      <w:bookmarkStart w:id="3007" w:name="_Toc179829910"/>
      <w:bookmarkStart w:id="3008" w:name="_Toc179861440"/>
      <w:bookmarkStart w:id="3009" w:name="_Toc179868763"/>
      <w:bookmarkStart w:id="3010" w:name="_Toc179873156"/>
      <w:bookmarkStart w:id="3011" w:name="_Toc179877549"/>
      <w:bookmarkStart w:id="3012" w:name="_Toc179807182"/>
      <w:bookmarkStart w:id="3013" w:name="_Toc179812836"/>
      <w:bookmarkStart w:id="3014" w:name="_Toc179818536"/>
      <w:bookmarkStart w:id="3015" w:name="_Toc179824236"/>
      <w:bookmarkStart w:id="3016" w:name="_Toc179829911"/>
      <w:bookmarkStart w:id="3017" w:name="_Toc179861441"/>
      <w:bookmarkStart w:id="3018" w:name="_Toc179868764"/>
      <w:bookmarkStart w:id="3019" w:name="_Toc179873157"/>
      <w:bookmarkStart w:id="3020" w:name="_Toc179877550"/>
      <w:bookmarkStart w:id="3021" w:name="_Toc179807183"/>
      <w:bookmarkStart w:id="3022" w:name="_Toc179812837"/>
      <w:bookmarkStart w:id="3023" w:name="_Toc179818537"/>
      <w:bookmarkStart w:id="3024" w:name="_Toc179824237"/>
      <w:bookmarkStart w:id="3025" w:name="_Toc179829912"/>
      <w:bookmarkStart w:id="3026" w:name="_Toc179861442"/>
      <w:bookmarkStart w:id="3027" w:name="_Toc179868765"/>
      <w:bookmarkStart w:id="3028" w:name="_Toc179873158"/>
      <w:bookmarkStart w:id="3029" w:name="_Toc179877551"/>
      <w:bookmarkStart w:id="3030" w:name="_Toc179807184"/>
      <w:bookmarkStart w:id="3031" w:name="_Toc179812838"/>
      <w:bookmarkStart w:id="3032" w:name="_Toc179818538"/>
      <w:bookmarkStart w:id="3033" w:name="_Toc179824238"/>
      <w:bookmarkStart w:id="3034" w:name="_Toc179829913"/>
      <w:bookmarkStart w:id="3035" w:name="_Toc179861443"/>
      <w:bookmarkStart w:id="3036" w:name="_Toc179868766"/>
      <w:bookmarkStart w:id="3037" w:name="_Toc179873159"/>
      <w:bookmarkStart w:id="3038" w:name="_Toc179877552"/>
      <w:bookmarkStart w:id="3039" w:name="_Toc179807185"/>
      <w:bookmarkStart w:id="3040" w:name="_Toc179812839"/>
      <w:bookmarkStart w:id="3041" w:name="_Toc179818539"/>
      <w:bookmarkStart w:id="3042" w:name="_Toc179824239"/>
      <w:bookmarkStart w:id="3043" w:name="_Toc179829914"/>
      <w:bookmarkStart w:id="3044" w:name="_Toc179861444"/>
      <w:bookmarkStart w:id="3045" w:name="_Toc179868767"/>
      <w:bookmarkStart w:id="3046" w:name="_Toc179873160"/>
      <w:bookmarkStart w:id="3047" w:name="_Toc179877553"/>
      <w:bookmarkStart w:id="3048" w:name="_Toc179807186"/>
      <w:bookmarkStart w:id="3049" w:name="_Toc179812840"/>
      <w:bookmarkStart w:id="3050" w:name="_Toc179818540"/>
      <w:bookmarkStart w:id="3051" w:name="_Toc179824240"/>
      <w:bookmarkStart w:id="3052" w:name="_Toc179829915"/>
      <w:bookmarkStart w:id="3053" w:name="_Toc179861445"/>
      <w:bookmarkStart w:id="3054" w:name="_Toc179868768"/>
      <w:bookmarkStart w:id="3055" w:name="_Toc179873161"/>
      <w:bookmarkStart w:id="3056" w:name="_Toc179877554"/>
      <w:bookmarkStart w:id="3057" w:name="_Toc179807187"/>
      <w:bookmarkStart w:id="3058" w:name="_Toc179812841"/>
      <w:bookmarkStart w:id="3059" w:name="_Toc179818541"/>
      <w:bookmarkStart w:id="3060" w:name="_Toc179824241"/>
      <w:bookmarkStart w:id="3061" w:name="_Toc179829916"/>
      <w:bookmarkStart w:id="3062" w:name="_Toc179861446"/>
      <w:bookmarkStart w:id="3063" w:name="_Toc179868769"/>
      <w:bookmarkStart w:id="3064" w:name="_Toc179873162"/>
      <w:bookmarkStart w:id="3065" w:name="_Toc179877555"/>
      <w:bookmarkStart w:id="3066" w:name="_Toc179807188"/>
      <w:bookmarkStart w:id="3067" w:name="_Toc179812842"/>
      <w:bookmarkStart w:id="3068" w:name="_Toc179818542"/>
      <w:bookmarkStart w:id="3069" w:name="_Toc179824242"/>
      <w:bookmarkStart w:id="3070" w:name="_Toc179829917"/>
      <w:bookmarkStart w:id="3071" w:name="_Toc179861447"/>
      <w:bookmarkStart w:id="3072" w:name="_Toc179868770"/>
      <w:bookmarkStart w:id="3073" w:name="_Toc179873163"/>
      <w:bookmarkStart w:id="3074" w:name="_Toc179877556"/>
      <w:bookmarkStart w:id="3075" w:name="_Toc179807189"/>
      <w:bookmarkStart w:id="3076" w:name="_Toc179812843"/>
      <w:bookmarkStart w:id="3077" w:name="_Toc179818543"/>
      <w:bookmarkStart w:id="3078" w:name="_Toc179824243"/>
      <w:bookmarkStart w:id="3079" w:name="_Toc179829918"/>
      <w:bookmarkStart w:id="3080" w:name="_Toc179861448"/>
      <w:bookmarkStart w:id="3081" w:name="_Toc179868771"/>
      <w:bookmarkStart w:id="3082" w:name="_Toc179873164"/>
      <w:bookmarkStart w:id="3083" w:name="_Toc179877557"/>
      <w:bookmarkStart w:id="3084" w:name="_Toc179807190"/>
      <w:bookmarkStart w:id="3085" w:name="_Toc179812844"/>
      <w:bookmarkStart w:id="3086" w:name="_Toc179818544"/>
      <w:bookmarkStart w:id="3087" w:name="_Toc179824244"/>
      <w:bookmarkStart w:id="3088" w:name="_Toc179829919"/>
      <w:bookmarkStart w:id="3089" w:name="_Toc179861449"/>
      <w:bookmarkStart w:id="3090" w:name="_Toc179868772"/>
      <w:bookmarkStart w:id="3091" w:name="_Toc179873165"/>
      <w:bookmarkStart w:id="3092" w:name="_Toc179877558"/>
      <w:bookmarkStart w:id="3093" w:name="_Toc179807191"/>
      <w:bookmarkStart w:id="3094" w:name="_Toc179812845"/>
      <w:bookmarkStart w:id="3095" w:name="_Toc179818545"/>
      <w:bookmarkStart w:id="3096" w:name="_Toc179824245"/>
      <w:bookmarkStart w:id="3097" w:name="_Toc179829920"/>
      <w:bookmarkStart w:id="3098" w:name="_Toc179861450"/>
      <w:bookmarkStart w:id="3099" w:name="_Toc179868773"/>
      <w:bookmarkStart w:id="3100" w:name="_Toc179873166"/>
      <w:bookmarkStart w:id="3101" w:name="_Toc179877559"/>
      <w:bookmarkStart w:id="3102" w:name="_Toc179807192"/>
      <w:bookmarkStart w:id="3103" w:name="_Toc179812846"/>
      <w:bookmarkStart w:id="3104" w:name="_Toc179818546"/>
      <w:bookmarkStart w:id="3105" w:name="_Toc179824246"/>
      <w:bookmarkStart w:id="3106" w:name="_Toc179829921"/>
      <w:bookmarkStart w:id="3107" w:name="_Toc179861451"/>
      <w:bookmarkStart w:id="3108" w:name="_Toc179868774"/>
      <w:bookmarkStart w:id="3109" w:name="_Toc179873167"/>
      <w:bookmarkStart w:id="3110" w:name="_Toc179877560"/>
      <w:bookmarkStart w:id="3111" w:name="_Toc179807193"/>
      <w:bookmarkStart w:id="3112" w:name="_Toc179812847"/>
      <w:bookmarkStart w:id="3113" w:name="_Toc179818547"/>
      <w:bookmarkStart w:id="3114" w:name="_Toc179824247"/>
      <w:bookmarkStart w:id="3115" w:name="_Toc179829922"/>
      <w:bookmarkStart w:id="3116" w:name="_Toc179861452"/>
      <w:bookmarkStart w:id="3117" w:name="_Toc179868775"/>
      <w:bookmarkStart w:id="3118" w:name="_Toc179873168"/>
      <w:bookmarkStart w:id="3119" w:name="_Toc179877561"/>
      <w:bookmarkStart w:id="3120" w:name="_Toc179807194"/>
      <w:bookmarkStart w:id="3121" w:name="_Toc179812848"/>
      <w:bookmarkStart w:id="3122" w:name="_Toc179818548"/>
      <w:bookmarkStart w:id="3123" w:name="_Toc179824248"/>
      <w:bookmarkStart w:id="3124" w:name="_Toc179829923"/>
      <w:bookmarkStart w:id="3125" w:name="_Toc179861453"/>
      <w:bookmarkStart w:id="3126" w:name="_Toc179868776"/>
      <w:bookmarkStart w:id="3127" w:name="_Toc179873169"/>
      <w:bookmarkStart w:id="3128" w:name="_Toc179877562"/>
      <w:bookmarkStart w:id="3129" w:name="_Toc179807195"/>
      <w:bookmarkStart w:id="3130" w:name="_Toc179812849"/>
      <w:bookmarkStart w:id="3131" w:name="_Toc179818549"/>
      <w:bookmarkStart w:id="3132" w:name="_Toc179824249"/>
      <w:bookmarkStart w:id="3133" w:name="_Toc179829924"/>
      <w:bookmarkStart w:id="3134" w:name="_Toc179861454"/>
      <w:bookmarkStart w:id="3135" w:name="_Toc179868777"/>
      <w:bookmarkStart w:id="3136" w:name="_Toc179873170"/>
      <w:bookmarkStart w:id="3137" w:name="_Toc179877563"/>
      <w:bookmarkStart w:id="3138" w:name="_Toc179807196"/>
      <w:bookmarkStart w:id="3139" w:name="_Toc179812850"/>
      <w:bookmarkStart w:id="3140" w:name="_Toc179818550"/>
      <w:bookmarkStart w:id="3141" w:name="_Toc179824250"/>
      <w:bookmarkStart w:id="3142" w:name="_Toc179829925"/>
      <w:bookmarkStart w:id="3143" w:name="_Toc179861455"/>
      <w:bookmarkStart w:id="3144" w:name="_Toc179868778"/>
      <w:bookmarkStart w:id="3145" w:name="_Toc179873171"/>
      <w:bookmarkStart w:id="3146" w:name="_Toc179877564"/>
      <w:bookmarkStart w:id="3147" w:name="_Toc179807197"/>
      <w:bookmarkStart w:id="3148" w:name="_Toc179812851"/>
      <w:bookmarkStart w:id="3149" w:name="_Toc179818551"/>
      <w:bookmarkStart w:id="3150" w:name="_Toc179824251"/>
      <w:bookmarkStart w:id="3151" w:name="_Toc179829926"/>
      <w:bookmarkStart w:id="3152" w:name="_Toc179861456"/>
      <w:bookmarkStart w:id="3153" w:name="_Toc179868779"/>
      <w:bookmarkStart w:id="3154" w:name="_Toc179873172"/>
      <w:bookmarkStart w:id="3155" w:name="_Toc179877565"/>
      <w:bookmarkStart w:id="3156" w:name="_Toc179807198"/>
      <w:bookmarkStart w:id="3157" w:name="_Toc179812852"/>
      <w:bookmarkStart w:id="3158" w:name="_Toc179818552"/>
      <w:bookmarkStart w:id="3159" w:name="_Toc179824252"/>
      <w:bookmarkStart w:id="3160" w:name="_Toc179829927"/>
      <w:bookmarkStart w:id="3161" w:name="_Toc179861457"/>
      <w:bookmarkStart w:id="3162" w:name="_Toc179868780"/>
      <w:bookmarkStart w:id="3163" w:name="_Toc179873173"/>
      <w:bookmarkStart w:id="3164" w:name="_Toc179877566"/>
      <w:bookmarkStart w:id="3165" w:name="_Toc179807199"/>
      <w:bookmarkStart w:id="3166" w:name="_Toc179812853"/>
      <w:bookmarkStart w:id="3167" w:name="_Toc179818553"/>
      <w:bookmarkStart w:id="3168" w:name="_Toc179824253"/>
      <w:bookmarkStart w:id="3169" w:name="_Toc179829928"/>
      <w:bookmarkStart w:id="3170" w:name="_Toc179861458"/>
      <w:bookmarkStart w:id="3171" w:name="_Toc179868781"/>
      <w:bookmarkStart w:id="3172" w:name="_Toc179873174"/>
      <w:bookmarkStart w:id="3173" w:name="_Toc179877567"/>
      <w:bookmarkStart w:id="3174" w:name="_Toc179807200"/>
      <w:bookmarkStart w:id="3175" w:name="_Toc179812854"/>
      <w:bookmarkStart w:id="3176" w:name="_Toc179818554"/>
      <w:bookmarkStart w:id="3177" w:name="_Toc179824254"/>
      <w:bookmarkStart w:id="3178" w:name="_Toc179829929"/>
      <w:bookmarkStart w:id="3179" w:name="_Toc179861459"/>
      <w:bookmarkStart w:id="3180" w:name="_Toc179868782"/>
      <w:bookmarkStart w:id="3181" w:name="_Toc179873175"/>
      <w:bookmarkStart w:id="3182" w:name="_Toc179877568"/>
      <w:bookmarkStart w:id="3183" w:name="_Toc179807201"/>
      <w:bookmarkStart w:id="3184" w:name="_Toc179812855"/>
      <w:bookmarkStart w:id="3185" w:name="_Toc179818555"/>
      <w:bookmarkStart w:id="3186" w:name="_Toc179824255"/>
      <w:bookmarkStart w:id="3187" w:name="_Toc179829930"/>
      <w:bookmarkStart w:id="3188" w:name="_Toc179861460"/>
      <w:bookmarkStart w:id="3189" w:name="_Toc179868783"/>
      <w:bookmarkStart w:id="3190" w:name="_Toc179873176"/>
      <w:bookmarkStart w:id="3191" w:name="_Toc179877569"/>
      <w:bookmarkStart w:id="3192" w:name="_Toc179807202"/>
      <w:bookmarkStart w:id="3193" w:name="_Toc179812856"/>
      <w:bookmarkStart w:id="3194" w:name="_Toc179818556"/>
      <w:bookmarkStart w:id="3195" w:name="_Toc179824256"/>
      <w:bookmarkStart w:id="3196" w:name="_Toc179829931"/>
      <w:bookmarkStart w:id="3197" w:name="_Toc179861461"/>
      <w:bookmarkStart w:id="3198" w:name="_Toc179868784"/>
      <w:bookmarkStart w:id="3199" w:name="_Toc179873177"/>
      <w:bookmarkStart w:id="3200" w:name="_Toc179877570"/>
      <w:bookmarkStart w:id="3201" w:name="_Toc179807203"/>
      <w:bookmarkStart w:id="3202" w:name="_Toc179812857"/>
      <w:bookmarkStart w:id="3203" w:name="_Toc179818557"/>
      <w:bookmarkStart w:id="3204" w:name="_Toc179824257"/>
      <w:bookmarkStart w:id="3205" w:name="_Toc179829932"/>
      <w:bookmarkStart w:id="3206" w:name="_Toc179861462"/>
      <w:bookmarkStart w:id="3207" w:name="_Toc179868785"/>
      <w:bookmarkStart w:id="3208" w:name="_Toc179873178"/>
      <w:bookmarkStart w:id="3209" w:name="_Toc179877571"/>
      <w:bookmarkStart w:id="3210" w:name="_Toc179807204"/>
      <w:bookmarkStart w:id="3211" w:name="_Toc179812858"/>
      <w:bookmarkStart w:id="3212" w:name="_Toc179818558"/>
      <w:bookmarkStart w:id="3213" w:name="_Toc179824258"/>
      <w:bookmarkStart w:id="3214" w:name="_Toc179829933"/>
      <w:bookmarkStart w:id="3215" w:name="_Toc179861463"/>
      <w:bookmarkStart w:id="3216" w:name="_Toc179868786"/>
      <w:bookmarkStart w:id="3217" w:name="_Toc179873179"/>
      <w:bookmarkStart w:id="3218" w:name="_Toc179877572"/>
      <w:bookmarkStart w:id="3219" w:name="_Toc179807205"/>
      <w:bookmarkStart w:id="3220" w:name="_Toc179812859"/>
      <w:bookmarkStart w:id="3221" w:name="_Toc179818559"/>
      <w:bookmarkStart w:id="3222" w:name="_Toc179824259"/>
      <w:bookmarkStart w:id="3223" w:name="_Toc179829934"/>
      <w:bookmarkStart w:id="3224" w:name="_Toc179861464"/>
      <w:bookmarkStart w:id="3225" w:name="_Toc179868787"/>
      <w:bookmarkStart w:id="3226" w:name="_Toc179873180"/>
      <w:bookmarkStart w:id="3227" w:name="_Toc179877573"/>
      <w:bookmarkStart w:id="3228" w:name="_Toc179807206"/>
      <w:bookmarkStart w:id="3229" w:name="_Toc179812860"/>
      <w:bookmarkStart w:id="3230" w:name="_Toc179818560"/>
      <w:bookmarkStart w:id="3231" w:name="_Toc179824260"/>
      <w:bookmarkStart w:id="3232" w:name="_Toc179829935"/>
      <w:bookmarkStart w:id="3233" w:name="_Toc179861465"/>
      <w:bookmarkStart w:id="3234" w:name="_Toc179868788"/>
      <w:bookmarkStart w:id="3235" w:name="_Toc179873181"/>
      <w:bookmarkStart w:id="3236" w:name="_Toc179877574"/>
      <w:bookmarkStart w:id="3237" w:name="_Toc179807207"/>
      <w:bookmarkStart w:id="3238" w:name="_Toc179812861"/>
      <w:bookmarkStart w:id="3239" w:name="_Toc179818561"/>
      <w:bookmarkStart w:id="3240" w:name="_Toc179824261"/>
      <w:bookmarkStart w:id="3241" w:name="_Toc179829936"/>
      <w:bookmarkStart w:id="3242" w:name="_Toc179861466"/>
      <w:bookmarkStart w:id="3243" w:name="_Toc179868789"/>
      <w:bookmarkStart w:id="3244" w:name="_Toc179873182"/>
      <w:bookmarkStart w:id="3245" w:name="_Toc179877575"/>
      <w:bookmarkStart w:id="3246" w:name="_Toc179807208"/>
      <w:bookmarkStart w:id="3247" w:name="_Toc179812862"/>
      <w:bookmarkStart w:id="3248" w:name="_Toc179818562"/>
      <w:bookmarkStart w:id="3249" w:name="_Toc179824262"/>
      <w:bookmarkStart w:id="3250" w:name="_Toc179829937"/>
      <w:bookmarkStart w:id="3251" w:name="_Toc179861467"/>
      <w:bookmarkStart w:id="3252" w:name="_Toc179868790"/>
      <w:bookmarkStart w:id="3253" w:name="_Toc179873183"/>
      <w:bookmarkStart w:id="3254" w:name="_Toc179877576"/>
      <w:bookmarkStart w:id="3255" w:name="_Toc179807209"/>
      <w:bookmarkStart w:id="3256" w:name="_Toc179812863"/>
      <w:bookmarkStart w:id="3257" w:name="_Toc179818563"/>
      <w:bookmarkStart w:id="3258" w:name="_Toc179824263"/>
      <w:bookmarkStart w:id="3259" w:name="_Toc179829938"/>
      <w:bookmarkStart w:id="3260" w:name="_Toc179861468"/>
      <w:bookmarkStart w:id="3261" w:name="_Toc179868791"/>
      <w:bookmarkStart w:id="3262" w:name="_Toc179873184"/>
      <w:bookmarkStart w:id="3263" w:name="_Toc179877577"/>
      <w:bookmarkStart w:id="3264" w:name="_Toc179807210"/>
      <w:bookmarkStart w:id="3265" w:name="_Toc179812864"/>
      <w:bookmarkStart w:id="3266" w:name="_Toc179818564"/>
      <w:bookmarkStart w:id="3267" w:name="_Toc179824264"/>
      <w:bookmarkStart w:id="3268" w:name="_Toc179829939"/>
      <w:bookmarkStart w:id="3269" w:name="_Toc179861469"/>
      <w:bookmarkStart w:id="3270" w:name="_Toc179868792"/>
      <w:bookmarkStart w:id="3271" w:name="_Toc179873185"/>
      <w:bookmarkStart w:id="3272" w:name="_Toc179877578"/>
      <w:bookmarkStart w:id="3273" w:name="_Toc179807211"/>
      <w:bookmarkStart w:id="3274" w:name="_Toc179812865"/>
      <w:bookmarkStart w:id="3275" w:name="_Toc179818565"/>
      <w:bookmarkStart w:id="3276" w:name="_Toc179824265"/>
      <w:bookmarkStart w:id="3277" w:name="_Toc179829940"/>
      <w:bookmarkStart w:id="3278" w:name="_Toc179861470"/>
      <w:bookmarkStart w:id="3279" w:name="_Toc179868793"/>
      <w:bookmarkStart w:id="3280" w:name="_Toc179873186"/>
      <w:bookmarkStart w:id="3281" w:name="_Toc179877579"/>
      <w:bookmarkStart w:id="3282" w:name="_Toc179807212"/>
      <w:bookmarkStart w:id="3283" w:name="_Toc179812866"/>
      <w:bookmarkStart w:id="3284" w:name="_Toc179818566"/>
      <w:bookmarkStart w:id="3285" w:name="_Toc179824266"/>
      <w:bookmarkStart w:id="3286" w:name="_Toc179829941"/>
      <w:bookmarkStart w:id="3287" w:name="_Toc179861471"/>
      <w:bookmarkStart w:id="3288" w:name="_Toc179868794"/>
      <w:bookmarkStart w:id="3289" w:name="_Toc179873187"/>
      <w:bookmarkStart w:id="3290" w:name="_Toc179877580"/>
      <w:bookmarkStart w:id="3291" w:name="_Toc179807213"/>
      <w:bookmarkStart w:id="3292" w:name="_Toc179812867"/>
      <w:bookmarkStart w:id="3293" w:name="_Toc179818567"/>
      <w:bookmarkStart w:id="3294" w:name="_Toc179824267"/>
      <w:bookmarkStart w:id="3295" w:name="_Toc179829942"/>
      <w:bookmarkStart w:id="3296" w:name="_Toc179861472"/>
      <w:bookmarkStart w:id="3297" w:name="_Toc179868795"/>
      <w:bookmarkStart w:id="3298" w:name="_Toc179873188"/>
      <w:bookmarkStart w:id="3299" w:name="_Toc179877581"/>
      <w:bookmarkStart w:id="3300" w:name="_Toc179807214"/>
      <w:bookmarkStart w:id="3301" w:name="_Toc179812868"/>
      <w:bookmarkStart w:id="3302" w:name="_Toc179818568"/>
      <w:bookmarkStart w:id="3303" w:name="_Toc179824268"/>
      <w:bookmarkStart w:id="3304" w:name="_Toc179829943"/>
      <w:bookmarkStart w:id="3305" w:name="_Toc179861473"/>
      <w:bookmarkStart w:id="3306" w:name="_Toc179868796"/>
      <w:bookmarkStart w:id="3307" w:name="_Toc179873189"/>
      <w:bookmarkStart w:id="3308" w:name="_Toc179877582"/>
      <w:bookmarkStart w:id="3309" w:name="_Toc179807215"/>
      <w:bookmarkStart w:id="3310" w:name="_Toc179812869"/>
      <w:bookmarkStart w:id="3311" w:name="_Toc179818569"/>
      <w:bookmarkStart w:id="3312" w:name="_Toc179824269"/>
      <w:bookmarkStart w:id="3313" w:name="_Toc179829944"/>
      <w:bookmarkStart w:id="3314" w:name="_Toc179861474"/>
      <w:bookmarkStart w:id="3315" w:name="_Toc179868797"/>
      <w:bookmarkStart w:id="3316" w:name="_Toc179873190"/>
      <w:bookmarkStart w:id="3317" w:name="_Toc179877583"/>
      <w:bookmarkStart w:id="3318" w:name="_Toc96704906"/>
      <w:bookmarkStart w:id="3319" w:name="_Toc130225967"/>
      <w:bookmarkStart w:id="3320" w:name="_Toc64983158"/>
      <w:bookmarkStart w:id="3321" w:name="_Toc179812870"/>
      <w:bookmarkStart w:id="3322" w:name="_Toc179818570"/>
      <w:bookmarkStart w:id="3323" w:name="_Toc179824270"/>
      <w:bookmarkStart w:id="3324" w:name="_Toc179829945"/>
      <w:bookmarkStart w:id="3325" w:name="_Toc179861475"/>
      <w:bookmarkStart w:id="3326" w:name="_Toc179868798"/>
      <w:bookmarkStart w:id="3327" w:name="_Toc179873191"/>
      <w:bookmarkStart w:id="3328" w:name="_Toc179877584"/>
      <w:bookmarkStart w:id="3329" w:name="_Toc179880314"/>
      <w:bookmarkStart w:id="3330" w:name="_Toc190339883"/>
      <w:bookmarkStart w:id="3331" w:name="_Toc190340634"/>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r>
        <w:t>Intangible assets</w:t>
      </w:r>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p>
    <w:p w14:paraId="02A6CB55" w14:textId="77777777" w:rsidR="003719CD" w:rsidRDefault="003719CD" w:rsidP="007D536F">
      <w:pPr>
        <w:pStyle w:val="TableUnits"/>
      </w:pPr>
      <w:r>
        <w:t>($ thousand)</w:t>
      </w:r>
    </w:p>
    <w:tbl>
      <w:tblPr>
        <w:tblStyle w:val="DTFTable"/>
        <w:tblW w:w="9645" w:type="dxa"/>
        <w:tblLayout w:type="fixed"/>
        <w:tblLook w:val="0620" w:firstRow="1" w:lastRow="0" w:firstColumn="0" w:lastColumn="0" w:noHBand="1" w:noVBand="1"/>
      </w:tblPr>
      <w:tblGrid>
        <w:gridCol w:w="1502"/>
        <w:gridCol w:w="5788"/>
        <w:gridCol w:w="90"/>
        <w:gridCol w:w="1260"/>
        <w:gridCol w:w="39"/>
        <w:gridCol w:w="966"/>
      </w:tblGrid>
      <w:tr w:rsidR="00182709" w14:paraId="0AAE2123" w14:textId="77777777" w:rsidTr="002519F8">
        <w:trPr>
          <w:cnfStyle w:val="100000000000" w:firstRow="1" w:lastRow="0" w:firstColumn="0" w:lastColumn="0" w:oddVBand="0" w:evenVBand="0" w:oddHBand="0" w:evenHBand="0" w:firstRowFirstColumn="0" w:firstRowLastColumn="0" w:lastRowFirstColumn="0" w:lastRowLastColumn="0"/>
          <w:trHeight w:val="453"/>
          <w:tblHeader/>
        </w:trPr>
        <w:tc>
          <w:tcPr>
            <w:tcW w:w="1502" w:type="dxa"/>
            <w:tcBorders>
              <w:top w:val="nil"/>
              <w:bottom w:val="nil"/>
            </w:tcBorders>
            <w:shd w:val="clear" w:color="auto" w:fill="FFFFFF" w:themeFill="background1"/>
          </w:tcPr>
          <w:p w14:paraId="3F319753" w14:textId="77777777" w:rsidR="00182709" w:rsidRDefault="0044097C">
            <w:pPr>
              <w:keepNext/>
              <w:jc w:val="left"/>
            </w:pPr>
            <w:r>
              <w:rPr>
                <w:color w:val="4472C4"/>
                <w:sz w:val="13"/>
              </w:rPr>
              <w:t>Source reference</w:t>
            </w:r>
          </w:p>
        </w:tc>
        <w:tc>
          <w:tcPr>
            <w:tcW w:w="5788" w:type="dxa"/>
          </w:tcPr>
          <w:p w14:paraId="6C872058" w14:textId="77777777" w:rsidR="00182709" w:rsidRDefault="00182709">
            <w:pPr>
              <w:keepNext/>
              <w:jc w:val="left"/>
            </w:pPr>
          </w:p>
        </w:tc>
        <w:tc>
          <w:tcPr>
            <w:tcW w:w="1350" w:type="dxa"/>
            <w:gridSpan w:val="2"/>
          </w:tcPr>
          <w:p w14:paraId="2BC6CE50" w14:textId="77777777" w:rsidR="009822C8" w:rsidRDefault="009822C8" w:rsidP="009822C8">
            <w:pPr>
              <w:keepNext/>
            </w:pPr>
            <w:r>
              <w:t>Computer software</w:t>
            </w:r>
          </w:p>
        </w:tc>
        <w:tc>
          <w:tcPr>
            <w:tcW w:w="1005" w:type="dxa"/>
            <w:gridSpan w:val="2"/>
          </w:tcPr>
          <w:p w14:paraId="0FFA0EEE" w14:textId="77777777" w:rsidR="009822C8" w:rsidRDefault="009822C8" w:rsidP="002519F8">
            <w:pPr>
              <w:keepNext/>
            </w:pPr>
            <w:r>
              <w:t>Total</w:t>
            </w:r>
          </w:p>
        </w:tc>
      </w:tr>
      <w:tr w:rsidR="00182709" w14:paraId="39491D2C" w14:textId="77777777" w:rsidTr="002519F8">
        <w:trPr>
          <w:cnfStyle w:val="100000000000" w:firstRow="1" w:lastRow="0" w:firstColumn="0" w:lastColumn="0" w:oddVBand="0" w:evenVBand="0" w:oddHBand="0" w:evenHBand="0" w:firstRowFirstColumn="0" w:firstRowLastColumn="0" w:lastRowFirstColumn="0" w:lastRowLastColumn="0"/>
          <w:trHeight w:val="267"/>
          <w:tblHeader/>
        </w:trPr>
        <w:tc>
          <w:tcPr>
            <w:tcW w:w="1502" w:type="dxa"/>
            <w:tcBorders>
              <w:top w:val="nil"/>
              <w:bottom w:val="nil"/>
            </w:tcBorders>
            <w:shd w:val="clear" w:color="auto" w:fill="FFFFFF" w:themeFill="background1"/>
          </w:tcPr>
          <w:p w14:paraId="5539E41A" w14:textId="77777777" w:rsidR="00182709" w:rsidRDefault="00182709">
            <w:pPr>
              <w:keepNext/>
              <w:jc w:val="left"/>
            </w:pPr>
          </w:p>
        </w:tc>
        <w:tc>
          <w:tcPr>
            <w:tcW w:w="5788" w:type="dxa"/>
          </w:tcPr>
          <w:p w14:paraId="28F08F9D" w14:textId="77777777" w:rsidR="00182709" w:rsidRDefault="00182709">
            <w:pPr>
              <w:keepNext/>
              <w:jc w:val="left"/>
            </w:pPr>
          </w:p>
        </w:tc>
        <w:tc>
          <w:tcPr>
            <w:tcW w:w="1389" w:type="dxa"/>
            <w:gridSpan w:val="3"/>
          </w:tcPr>
          <w:p w14:paraId="2FC24F88" w14:textId="77777777" w:rsidR="00182709" w:rsidRDefault="0044097C">
            <w:pPr>
              <w:keepNext/>
            </w:pPr>
            <w:r>
              <w:t>20X2</w:t>
            </w:r>
          </w:p>
        </w:tc>
        <w:tc>
          <w:tcPr>
            <w:tcW w:w="966" w:type="dxa"/>
          </w:tcPr>
          <w:p w14:paraId="4580CA17" w14:textId="77777777" w:rsidR="00182709" w:rsidRDefault="0044097C">
            <w:pPr>
              <w:keepNext/>
            </w:pPr>
            <w:r>
              <w:t>20X2</w:t>
            </w:r>
          </w:p>
        </w:tc>
      </w:tr>
      <w:tr w:rsidR="00182709" w14:paraId="0CBB3A43" w14:textId="77777777" w:rsidTr="002519F8">
        <w:trPr>
          <w:trHeight w:val="221"/>
        </w:trPr>
        <w:tc>
          <w:tcPr>
            <w:tcW w:w="1502" w:type="dxa"/>
          </w:tcPr>
          <w:p w14:paraId="44F0F2E2" w14:textId="77777777" w:rsidR="00182709" w:rsidRDefault="00182709">
            <w:pPr>
              <w:jc w:val="left"/>
            </w:pPr>
          </w:p>
        </w:tc>
        <w:tc>
          <w:tcPr>
            <w:tcW w:w="5878" w:type="dxa"/>
            <w:gridSpan w:val="2"/>
          </w:tcPr>
          <w:p w14:paraId="6AA29008" w14:textId="77777777" w:rsidR="00182709" w:rsidRDefault="0044097C">
            <w:pPr>
              <w:jc w:val="left"/>
            </w:pPr>
            <w:r>
              <w:rPr>
                <w:b/>
              </w:rPr>
              <w:t>Gross carrying amount</w:t>
            </w:r>
          </w:p>
        </w:tc>
        <w:tc>
          <w:tcPr>
            <w:tcW w:w="1299" w:type="dxa"/>
            <w:gridSpan w:val="2"/>
          </w:tcPr>
          <w:p w14:paraId="797C6B21" w14:textId="77777777" w:rsidR="00182709" w:rsidRDefault="00182709"/>
        </w:tc>
        <w:tc>
          <w:tcPr>
            <w:tcW w:w="966" w:type="dxa"/>
          </w:tcPr>
          <w:p w14:paraId="2B42CCFF" w14:textId="77777777" w:rsidR="00182709" w:rsidRDefault="00182709"/>
        </w:tc>
      </w:tr>
      <w:tr w:rsidR="00182709" w14:paraId="083D0DD4" w14:textId="77777777" w:rsidTr="002519F8">
        <w:trPr>
          <w:trHeight w:val="20"/>
        </w:trPr>
        <w:tc>
          <w:tcPr>
            <w:tcW w:w="1502" w:type="dxa"/>
          </w:tcPr>
          <w:p w14:paraId="05B6E446" w14:textId="06108348" w:rsidR="00182709" w:rsidRDefault="0007383E">
            <w:pPr>
              <w:jc w:val="left"/>
            </w:pPr>
            <w:r>
              <w:rPr>
                <w:color w:val="4472C4"/>
                <w:sz w:val="13"/>
              </w:rPr>
              <w:t>AASB </w:t>
            </w:r>
            <w:r w:rsidR="00A43950">
              <w:rPr>
                <w:color w:val="4472C4"/>
                <w:sz w:val="13"/>
              </w:rPr>
              <w:t>1060.137 (c)</w:t>
            </w:r>
          </w:p>
        </w:tc>
        <w:tc>
          <w:tcPr>
            <w:tcW w:w="5878" w:type="dxa"/>
            <w:gridSpan w:val="2"/>
          </w:tcPr>
          <w:p w14:paraId="5460134A" w14:textId="77777777" w:rsidR="00182709" w:rsidRDefault="0044097C">
            <w:pPr>
              <w:jc w:val="left"/>
            </w:pPr>
            <w:r>
              <w:rPr>
                <w:b/>
              </w:rPr>
              <w:t>Opening balance</w:t>
            </w:r>
          </w:p>
        </w:tc>
        <w:tc>
          <w:tcPr>
            <w:tcW w:w="1299" w:type="dxa"/>
            <w:gridSpan w:val="2"/>
          </w:tcPr>
          <w:p w14:paraId="04D0F120" w14:textId="77777777" w:rsidR="00182709" w:rsidRPr="00706101" w:rsidRDefault="0044097C">
            <w:r w:rsidRPr="00706101">
              <w:rPr>
                <w:b/>
              </w:rPr>
              <w:t>12 295</w:t>
            </w:r>
          </w:p>
        </w:tc>
        <w:tc>
          <w:tcPr>
            <w:tcW w:w="966" w:type="dxa"/>
          </w:tcPr>
          <w:p w14:paraId="6456BB10" w14:textId="39C098F7" w:rsidR="00182709" w:rsidRPr="00706101" w:rsidRDefault="0044097C">
            <w:r w:rsidRPr="00706101">
              <w:rPr>
                <w:b/>
              </w:rPr>
              <w:t>12 295</w:t>
            </w:r>
          </w:p>
        </w:tc>
      </w:tr>
      <w:tr w:rsidR="00825F31" w14:paraId="48641AF4" w14:textId="77777777" w:rsidTr="002519F8">
        <w:trPr>
          <w:trHeight w:val="20"/>
        </w:trPr>
        <w:tc>
          <w:tcPr>
            <w:tcW w:w="1502" w:type="dxa"/>
          </w:tcPr>
          <w:p w14:paraId="294820B6" w14:textId="20C262C3" w:rsidR="00825F31" w:rsidRDefault="0007383E" w:rsidP="00825F31">
            <w:pPr>
              <w:jc w:val="left"/>
            </w:pPr>
            <w:r>
              <w:rPr>
                <w:color w:val="4472C4"/>
                <w:sz w:val="13"/>
              </w:rPr>
              <w:t>AASB </w:t>
            </w:r>
            <w:r w:rsidR="00825F31">
              <w:rPr>
                <w:color w:val="4472C4"/>
                <w:sz w:val="13"/>
              </w:rPr>
              <w:t>1060.137 (e)(i)</w:t>
            </w:r>
          </w:p>
        </w:tc>
        <w:tc>
          <w:tcPr>
            <w:tcW w:w="5878" w:type="dxa"/>
            <w:gridSpan w:val="2"/>
          </w:tcPr>
          <w:p w14:paraId="4F1B9D6A" w14:textId="77777777" w:rsidR="00825F31" w:rsidRDefault="00825F31" w:rsidP="00825F31">
            <w:pPr>
              <w:jc w:val="left"/>
            </w:pPr>
            <w:r>
              <w:t>Additions</w:t>
            </w:r>
          </w:p>
        </w:tc>
        <w:tc>
          <w:tcPr>
            <w:tcW w:w="1299" w:type="dxa"/>
            <w:gridSpan w:val="2"/>
          </w:tcPr>
          <w:p w14:paraId="7172C74B" w14:textId="40D69B5A" w:rsidR="00825F31" w:rsidRDefault="00825F31" w:rsidP="00825F31">
            <w:r w:rsidRPr="00A7279E">
              <w:t>2</w:t>
            </w:r>
            <w:r w:rsidR="003E3065">
              <w:rPr>
                <w:rFonts w:hint="eastAsia"/>
                <w:lang w:eastAsia="zh-CN"/>
              </w:rPr>
              <w:t xml:space="preserve"> </w:t>
            </w:r>
            <w:r w:rsidRPr="00A7279E">
              <w:t>655</w:t>
            </w:r>
          </w:p>
        </w:tc>
        <w:tc>
          <w:tcPr>
            <w:tcW w:w="966" w:type="dxa"/>
          </w:tcPr>
          <w:p w14:paraId="5231F5E9" w14:textId="596B35B1" w:rsidR="00825F31" w:rsidRDefault="00825F31" w:rsidP="00825F31">
            <w:r w:rsidRPr="00A7279E">
              <w:t>2</w:t>
            </w:r>
            <w:r w:rsidR="003E3065">
              <w:rPr>
                <w:rFonts w:hint="eastAsia"/>
                <w:lang w:eastAsia="zh-CN"/>
              </w:rPr>
              <w:t xml:space="preserve"> </w:t>
            </w:r>
            <w:r w:rsidRPr="00A7279E">
              <w:t>655</w:t>
            </w:r>
          </w:p>
        </w:tc>
      </w:tr>
      <w:tr w:rsidR="00825F31" w14:paraId="6062869C" w14:textId="77777777" w:rsidTr="002519F8">
        <w:trPr>
          <w:trHeight w:val="20"/>
        </w:trPr>
        <w:tc>
          <w:tcPr>
            <w:tcW w:w="1502" w:type="dxa"/>
          </w:tcPr>
          <w:p w14:paraId="436ACFF7" w14:textId="0D7F6A24" w:rsidR="00825F31" w:rsidRDefault="0007383E" w:rsidP="00825F31">
            <w:pPr>
              <w:jc w:val="left"/>
            </w:pPr>
            <w:r>
              <w:rPr>
                <w:color w:val="4472C4"/>
                <w:sz w:val="13"/>
              </w:rPr>
              <w:t>AASB </w:t>
            </w:r>
            <w:r w:rsidR="00825F31">
              <w:rPr>
                <w:color w:val="4472C4"/>
                <w:sz w:val="13"/>
              </w:rPr>
              <w:t>1060.137 (e)(i)</w:t>
            </w:r>
          </w:p>
        </w:tc>
        <w:tc>
          <w:tcPr>
            <w:tcW w:w="5878" w:type="dxa"/>
            <w:gridSpan w:val="2"/>
          </w:tcPr>
          <w:p w14:paraId="73B921F3" w14:textId="77777777" w:rsidR="00825F31" w:rsidRDefault="00825F31" w:rsidP="00825F31">
            <w:pPr>
              <w:jc w:val="left"/>
            </w:pPr>
            <w:r>
              <w:t>Additions from internal development</w:t>
            </w:r>
          </w:p>
        </w:tc>
        <w:tc>
          <w:tcPr>
            <w:tcW w:w="1299" w:type="dxa"/>
            <w:gridSpan w:val="2"/>
          </w:tcPr>
          <w:p w14:paraId="205864B6" w14:textId="38D93DA3" w:rsidR="00825F31" w:rsidRDefault="00825F31" w:rsidP="00825F31">
            <w:r w:rsidRPr="00A7279E">
              <w:t>631</w:t>
            </w:r>
          </w:p>
        </w:tc>
        <w:tc>
          <w:tcPr>
            <w:tcW w:w="966" w:type="dxa"/>
          </w:tcPr>
          <w:p w14:paraId="2B410D3D" w14:textId="011E6173" w:rsidR="00825F31" w:rsidRDefault="00825F31" w:rsidP="00825F31">
            <w:r w:rsidRPr="00A7279E">
              <w:t>631</w:t>
            </w:r>
          </w:p>
        </w:tc>
      </w:tr>
      <w:tr w:rsidR="00825F31" w14:paraId="78846AD4" w14:textId="77777777" w:rsidTr="002519F8">
        <w:trPr>
          <w:trHeight w:val="20"/>
        </w:trPr>
        <w:tc>
          <w:tcPr>
            <w:tcW w:w="1502" w:type="dxa"/>
          </w:tcPr>
          <w:p w14:paraId="4C85DEE9" w14:textId="62099A50" w:rsidR="00825F31" w:rsidRDefault="0007383E" w:rsidP="00825F31">
            <w:pPr>
              <w:jc w:val="left"/>
            </w:pPr>
            <w:r>
              <w:rPr>
                <w:color w:val="4472C4"/>
                <w:sz w:val="13"/>
              </w:rPr>
              <w:t>AASB </w:t>
            </w:r>
            <w:r w:rsidR="00825F31">
              <w:rPr>
                <w:color w:val="4472C4"/>
                <w:sz w:val="13"/>
              </w:rPr>
              <w:t>1060.137 (c)</w:t>
            </w:r>
          </w:p>
        </w:tc>
        <w:tc>
          <w:tcPr>
            <w:tcW w:w="5878" w:type="dxa"/>
            <w:gridSpan w:val="2"/>
          </w:tcPr>
          <w:p w14:paraId="46C57679" w14:textId="77777777" w:rsidR="00825F31" w:rsidRDefault="00825F31" w:rsidP="00825F31">
            <w:pPr>
              <w:jc w:val="left"/>
            </w:pPr>
            <w:r>
              <w:rPr>
                <w:b/>
              </w:rPr>
              <w:t>Closing balance</w:t>
            </w:r>
          </w:p>
        </w:tc>
        <w:tc>
          <w:tcPr>
            <w:tcW w:w="1299" w:type="dxa"/>
            <w:gridSpan w:val="2"/>
          </w:tcPr>
          <w:p w14:paraId="205ED407" w14:textId="11FC0167" w:rsidR="00825F31" w:rsidRPr="002A0038" w:rsidRDefault="00825F31" w:rsidP="00825F31">
            <w:pPr>
              <w:rPr>
                <w:b/>
                <w:bCs/>
              </w:rPr>
            </w:pPr>
            <w:r w:rsidRPr="002A0038">
              <w:rPr>
                <w:b/>
                <w:bCs/>
              </w:rPr>
              <w:t>15</w:t>
            </w:r>
            <w:r w:rsidR="003E3065">
              <w:rPr>
                <w:rFonts w:hint="eastAsia"/>
                <w:b/>
                <w:bCs/>
                <w:lang w:eastAsia="zh-CN"/>
              </w:rPr>
              <w:t xml:space="preserve"> </w:t>
            </w:r>
            <w:r w:rsidRPr="002A0038">
              <w:rPr>
                <w:b/>
                <w:bCs/>
              </w:rPr>
              <w:t>581</w:t>
            </w:r>
          </w:p>
        </w:tc>
        <w:tc>
          <w:tcPr>
            <w:tcW w:w="966" w:type="dxa"/>
          </w:tcPr>
          <w:p w14:paraId="171F5078" w14:textId="0BCE991B" w:rsidR="00825F31" w:rsidRPr="002A0038" w:rsidRDefault="00825F31" w:rsidP="00825F31">
            <w:pPr>
              <w:rPr>
                <w:b/>
                <w:bCs/>
              </w:rPr>
            </w:pPr>
            <w:r w:rsidRPr="002A0038">
              <w:rPr>
                <w:b/>
                <w:bCs/>
              </w:rPr>
              <w:t>15</w:t>
            </w:r>
            <w:r w:rsidR="003E3065">
              <w:rPr>
                <w:rFonts w:hint="eastAsia"/>
                <w:b/>
                <w:bCs/>
                <w:lang w:eastAsia="zh-CN"/>
              </w:rPr>
              <w:t xml:space="preserve"> </w:t>
            </w:r>
            <w:r w:rsidRPr="002A0038">
              <w:rPr>
                <w:b/>
                <w:bCs/>
              </w:rPr>
              <w:t>581</w:t>
            </w:r>
          </w:p>
        </w:tc>
      </w:tr>
      <w:tr w:rsidR="00182709" w14:paraId="5B573F4F" w14:textId="77777777" w:rsidTr="002519F8">
        <w:trPr>
          <w:trHeight w:val="20"/>
        </w:trPr>
        <w:tc>
          <w:tcPr>
            <w:tcW w:w="1502" w:type="dxa"/>
          </w:tcPr>
          <w:p w14:paraId="0B034712" w14:textId="03A8E71E" w:rsidR="00182709" w:rsidRDefault="0044097C">
            <w:pPr>
              <w:jc w:val="left"/>
            </w:pPr>
            <w:r>
              <w:rPr>
                <w:color w:val="4472C4"/>
                <w:sz w:val="13"/>
              </w:rPr>
              <w:t>FRD 109</w:t>
            </w:r>
          </w:p>
        </w:tc>
        <w:tc>
          <w:tcPr>
            <w:tcW w:w="5878" w:type="dxa"/>
            <w:gridSpan w:val="2"/>
          </w:tcPr>
          <w:p w14:paraId="17CA415A" w14:textId="3FC2C840" w:rsidR="00182709" w:rsidRDefault="0044097C">
            <w:pPr>
              <w:jc w:val="left"/>
            </w:pPr>
            <w:r>
              <w:rPr>
                <w:b/>
              </w:rPr>
              <w:t>Accumulated amortisation and impairment</w:t>
            </w:r>
          </w:p>
        </w:tc>
        <w:tc>
          <w:tcPr>
            <w:tcW w:w="1299" w:type="dxa"/>
            <w:gridSpan w:val="2"/>
          </w:tcPr>
          <w:p w14:paraId="4539DBEF" w14:textId="77777777" w:rsidR="00182709" w:rsidRDefault="00182709"/>
        </w:tc>
        <w:tc>
          <w:tcPr>
            <w:tcW w:w="966" w:type="dxa"/>
          </w:tcPr>
          <w:p w14:paraId="28B39CE2" w14:textId="77777777" w:rsidR="00182709" w:rsidRDefault="00182709"/>
        </w:tc>
      </w:tr>
      <w:tr w:rsidR="003A1497" w14:paraId="5555D236" w14:textId="77777777" w:rsidTr="00E51206">
        <w:trPr>
          <w:trHeight w:val="20"/>
        </w:trPr>
        <w:tc>
          <w:tcPr>
            <w:tcW w:w="0" w:type="dxa"/>
            <w:tcBorders>
              <w:bottom w:val="nil"/>
            </w:tcBorders>
          </w:tcPr>
          <w:p w14:paraId="3D24B34F" w14:textId="77777777" w:rsidR="003A1497" w:rsidRDefault="003A1497" w:rsidP="003A1497">
            <w:pPr>
              <w:jc w:val="left"/>
            </w:pPr>
          </w:p>
        </w:tc>
        <w:tc>
          <w:tcPr>
            <w:tcW w:w="0" w:type="dxa"/>
            <w:gridSpan w:val="2"/>
            <w:tcBorders>
              <w:bottom w:val="nil"/>
            </w:tcBorders>
          </w:tcPr>
          <w:p w14:paraId="43FFAFF8" w14:textId="77777777" w:rsidR="003A1497" w:rsidRDefault="003A1497" w:rsidP="003A1497">
            <w:pPr>
              <w:jc w:val="left"/>
            </w:pPr>
            <w:r>
              <w:rPr>
                <w:b/>
              </w:rPr>
              <w:t>Opening balance</w:t>
            </w:r>
          </w:p>
        </w:tc>
        <w:tc>
          <w:tcPr>
            <w:tcW w:w="0" w:type="dxa"/>
            <w:gridSpan w:val="2"/>
            <w:tcBorders>
              <w:bottom w:val="nil"/>
            </w:tcBorders>
          </w:tcPr>
          <w:p w14:paraId="430EA7DE" w14:textId="0FD45C5C" w:rsidR="003A1497" w:rsidRPr="002A0038" w:rsidRDefault="003A1497" w:rsidP="003A1497">
            <w:pPr>
              <w:rPr>
                <w:b/>
                <w:bCs/>
              </w:rPr>
            </w:pPr>
            <w:r w:rsidRPr="002A0038">
              <w:rPr>
                <w:b/>
                <w:bCs/>
              </w:rPr>
              <w:t>(2</w:t>
            </w:r>
            <w:r w:rsidR="003E3065">
              <w:rPr>
                <w:rFonts w:hint="eastAsia"/>
                <w:b/>
                <w:bCs/>
                <w:lang w:eastAsia="zh-CN"/>
              </w:rPr>
              <w:t xml:space="preserve"> </w:t>
            </w:r>
            <w:r w:rsidRPr="002A0038">
              <w:rPr>
                <w:b/>
                <w:bCs/>
              </w:rPr>
              <w:t>848)</w:t>
            </w:r>
          </w:p>
        </w:tc>
        <w:tc>
          <w:tcPr>
            <w:tcW w:w="0" w:type="dxa"/>
            <w:tcBorders>
              <w:bottom w:val="nil"/>
            </w:tcBorders>
          </w:tcPr>
          <w:p w14:paraId="6331FCD0" w14:textId="60E80041" w:rsidR="003A1497" w:rsidRPr="002A0038" w:rsidRDefault="003A1497" w:rsidP="003A1497">
            <w:pPr>
              <w:rPr>
                <w:b/>
                <w:bCs/>
              </w:rPr>
            </w:pPr>
            <w:r w:rsidRPr="002A0038">
              <w:rPr>
                <w:b/>
                <w:bCs/>
              </w:rPr>
              <w:t>(2</w:t>
            </w:r>
            <w:r w:rsidR="003E3065">
              <w:rPr>
                <w:rFonts w:hint="eastAsia"/>
                <w:b/>
                <w:bCs/>
                <w:lang w:eastAsia="zh-CN"/>
              </w:rPr>
              <w:t xml:space="preserve"> </w:t>
            </w:r>
            <w:r w:rsidRPr="002A0038">
              <w:rPr>
                <w:b/>
                <w:bCs/>
              </w:rPr>
              <w:t>848)</w:t>
            </w:r>
          </w:p>
        </w:tc>
      </w:tr>
      <w:tr w:rsidR="003A1497" w14:paraId="0423BA9A" w14:textId="77777777" w:rsidTr="00E51206">
        <w:trPr>
          <w:trHeight w:val="20"/>
        </w:trPr>
        <w:tc>
          <w:tcPr>
            <w:tcW w:w="0" w:type="dxa"/>
            <w:tcBorders>
              <w:bottom w:val="nil"/>
            </w:tcBorders>
          </w:tcPr>
          <w:p w14:paraId="586E451F" w14:textId="1E7C1ACF" w:rsidR="003A1497" w:rsidRDefault="0007383E" w:rsidP="003A1497">
            <w:pPr>
              <w:jc w:val="left"/>
            </w:pPr>
            <w:r>
              <w:rPr>
                <w:color w:val="4472C4"/>
                <w:sz w:val="13"/>
              </w:rPr>
              <w:t>AASB </w:t>
            </w:r>
            <w:r w:rsidR="003A1497">
              <w:rPr>
                <w:color w:val="4472C4"/>
                <w:sz w:val="13"/>
              </w:rPr>
              <w:t>1060.137 (e)(v)</w:t>
            </w:r>
          </w:p>
        </w:tc>
        <w:tc>
          <w:tcPr>
            <w:tcW w:w="0" w:type="dxa"/>
            <w:gridSpan w:val="2"/>
            <w:tcBorders>
              <w:bottom w:val="nil"/>
            </w:tcBorders>
          </w:tcPr>
          <w:p w14:paraId="195E987F" w14:textId="77777777" w:rsidR="003A1497" w:rsidRDefault="003A1497" w:rsidP="003A1497">
            <w:pPr>
              <w:jc w:val="left"/>
            </w:pPr>
            <w:r>
              <w:t xml:space="preserve">Amortisation of intangible produced assets </w:t>
            </w:r>
            <w:r>
              <w:rPr>
                <w:vertAlign w:val="superscript"/>
              </w:rPr>
              <w:t>(a)</w:t>
            </w:r>
          </w:p>
        </w:tc>
        <w:tc>
          <w:tcPr>
            <w:tcW w:w="0" w:type="dxa"/>
            <w:gridSpan w:val="2"/>
            <w:tcBorders>
              <w:bottom w:val="nil"/>
            </w:tcBorders>
          </w:tcPr>
          <w:p w14:paraId="5D0CF8A2" w14:textId="2EB5AAE5" w:rsidR="003A1497" w:rsidRDefault="003A1497" w:rsidP="003A1497">
            <w:r w:rsidRPr="00735C5A">
              <w:t>(1</w:t>
            </w:r>
            <w:r w:rsidR="003E3065">
              <w:rPr>
                <w:rFonts w:hint="eastAsia"/>
                <w:lang w:eastAsia="zh-CN"/>
              </w:rPr>
              <w:t xml:space="preserve"> </w:t>
            </w:r>
            <w:r w:rsidRPr="00735C5A">
              <w:t>471)</w:t>
            </w:r>
          </w:p>
        </w:tc>
        <w:tc>
          <w:tcPr>
            <w:tcW w:w="0" w:type="dxa"/>
            <w:tcBorders>
              <w:bottom w:val="nil"/>
            </w:tcBorders>
          </w:tcPr>
          <w:p w14:paraId="246B72D2" w14:textId="0A69DB47" w:rsidR="003A1497" w:rsidRDefault="003A1497" w:rsidP="003A1497">
            <w:r w:rsidRPr="00735C5A">
              <w:t>(1</w:t>
            </w:r>
            <w:r w:rsidR="003E3065">
              <w:rPr>
                <w:rFonts w:hint="eastAsia"/>
                <w:lang w:eastAsia="zh-CN"/>
              </w:rPr>
              <w:t xml:space="preserve"> </w:t>
            </w:r>
            <w:r w:rsidRPr="00735C5A">
              <w:t>471)</w:t>
            </w:r>
          </w:p>
        </w:tc>
      </w:tr>
      <w:tr w:rsidR="00182709" w14:paraId="585EC82B" w14:textId="77777777" w:rsidTr="00E51206">
        <w:trPr>
          <w:trHeight w:val="20"/>
        </w:trPr>
        <w:tc>
          <w:tcPr>
            <w:tcW w:w="0" w:type="dxa"/>
            <w:tcBorders>
              <w:top w:val="nil"/>
              <w:right w:val="nil"/>
            </w:tcBorders>
          </w:tcPr>
          <w:p w14:paraId="69BA4C15" w14:textId="6EDADF69" w:rsidR="00182709" w:rsidRDefault="0007383E">
            <w:pPr>
              <w:jc w:val="left"/>
            </w:pPr>
            <w:r>
              <w:rPr>
                <w:color w:val="4472C4"/>
                <w:sz w:val="13"/>
              </w:rPr>
              <w:t>AASB </w:t>
            </w:r>
            <w:r w:rsidR="00CD543D">
              <w:rPr>
                <w:color w:val="4472C4"/>
                <w:sz w:val="13"/>
              </w:rPr>
              <w:t>1060.137 (e)(v)</w:t>
            </w:r>
          </w:p>
        </w:tc>
        <w:tc>
          <w:tcPr>
            <w:tcW w:w="0" w:type="dxa"/>
            <w:gridSpan w:val="2"/>
            <w:tcBorders>
              <w:top w:val="nil"/>
              <w:left w:val="nil"/>
              <w:bottom w:val="nil"/>
              <w:right w:val="nil"/>
            </w:tcBorders>
          </w:tcPr>
          <w:p w14:paraId="2B05ACEE" w14:textId="084BED1E" w:rsidR="00182709" w:rsidRDefault="0044097C">
            <w:pPr>
              <w:jc w:val="left"/>
              <w:rPr>
                <w:lang w:eastAsia="zh-CN"/>
              </w:rPr>
            </w:pPr>
            <w:r>
              <w:t>Amortisation of intangible non‑produced</w:t>
            </w:r>
            <w:r w:rsidR="00640028">
              <w:rPr>
                <w:rFonts w:hint="eastAsia"/>
                <w:lang w:eastAsia="zh-CN"/>
              </w:rPr>
              <w:t xml:space="preserve"> </w:t>
            </w:r>
            <w:r w:rsidR="00640028">
              <w:t xml:space="preserve">assets </w:t>
            </w:r>
            <w:r w:rsidR="00640028">
              <w:rPr>
                <w:vertAlign w:val="superscript"/>
              </w:rPr>
              <w:t>(a)</w:t>
            </w:r>
          </w:p>
        </w:tc>
        <w:tc>
          <w:tcPr>
            <w:tcW w:w="0" w:type="dxa"/>
            <w:gridSpan w:val="2"/>
            <w:tcBorders>
              <w:top w:val="nil"/>
              <w:left w:val="nil"/>
              <w:bottom w:val="nil"/>
              <w:right w:val="nil"/>
            </w:tcBorders>
          </w:tcPr>
          <w:p w14:paraId="13C7DE23" w14:textId="77777777" w:rsidR="00182709" w:rsidRDefault="0044097C">
            <w:r>
              <w:t>..</w:t>
            </w:r>
          </w:p>
        </w:tc>
        <w:tc>
          <w:tcPr>
            <w:tcW w:w="0" w:type="dxa"/>
            <w:tcBorders>
              <w:top w:val="nil"/>
              <w:left w:val="nil"/>
              <w:bottom w:val="nil"/>
              <w:right w:val="nil"/>
            </w:tcBorders>
          </w:tcPr>
          <w:p w14:paraId="531C0430" w14:textId="77777777" w:rsidR="00182709" w:rsidRDefault="0044097C">
            <w:r>
              <w:t>..</w:t>
            </w:r>
          </w:p>
        </w:tc>
      </w:tr>
      <w:tr w:rsidR="00640028" w14:paraId="1155549E" w14:textId="77777777" w:rsidTr="002519F8">
        <w:trPr>
          <w:trHeight w:val="20"/>
        </w:trPr>
        <w:tc>
          <w:tcPr>
            <w:tcW w:w="1502" w:type="dxa"/>
          </w:tcPr>
          <w:p w14:paraId="79A8FBBB" w14:textId="36FD6CF7" w:rsidR="00640028" w:rsidRDefault="0007383E" w:rsidP="00640028">
            <w:pPr>
              <w:jc w:val="left"/>
            </w:pPr>
            <w:r>
              <w:rPr>
                <w:color w:val="4472C4"/>
                <w:sz w:val="13"/>
              </w:rPr>
              <w:t>AASB </w:t>
            </w:r>
            <w:r w:rsidR="00640028">
              <w:rPr>
                <w:color w:val="4472C4"/>
                <w:sz w:val="13"/>
              </w:rPr>
              <w:t>1060.137 (e)(vi)</w:t>
            </w:r>
          </w:p>
        </w:tc>
        <w:tc>
          <w:tcPr>
            <w:tcW w:w="5878" w:type="dxa"/>
            <w:gridSpan w:val="2"/>
          </w:tcPr>
          <w:p w14:paraId="62CE3642" w14:textId="77777777" w:rsidR="00640028" w:rsidRDefault="00640028" w:rsidP="00640028">
            <w:pPr>
              <w:jc w:val="left"/>
            </w:pPr>
            <w:r>
              <w:t xml:space="preserve">Impairment losses charged to net result </w:t>
            </w:r>
            <w:r>
              <w:rPr>
                <w:vertAlign w:val="superscript"/>
              </w:rPr>
              <w:t>(b)</w:t>
            </w:r>
          </w:p>
        </w:tc>
        <w:tc>
          <w:tcPr>
            <w:tcW w:w="1299" w:type="dxa"/>
            <w:gridSpan w:val="2"/>
          </w:tcPr>
          <w:p w14:paraId="1C046F99" w14:textId="7B5EDCB3" w:rsidR="00640028" w:rsidRDefault="00640028" w:rsidP="00640028">
            <w:r w:rsidRPr="005D4A1F">
              <w:t>(2</w:t>
            </w:r>
            <w:r w:rsidR="003E3065">
              <w:rPr>
                <w:rFonts w:hint="eastAsia"/>
                <w:lang w:eastAsia="zh-CN"/>
              </w:rPr>
              <w:t xml:space="preserve"> </w:t>
            </w:r>
            <w:r w:rsidRPr="005D4A1F">
              <w:t>010)</w:t>
            </w:r>
          </w:p>
        </w:tc>
        <w:tc>
          <w:tcPr>
            <w:tcW w:w="966" w:type="dxa"/>
          </w:tcPr>
          <w:p w14:paraId="5B96241B" w14:textId="0145A7C8" w:rsidR="00640028" w:rsidRDefault="00640028" w:rsidP="00640028">
            <w:r w:rsidRPr="005D4A1F">
              <w:t>(2</w:t>
            </w:r>
            <w:r w:rsidR="003E3065">
              <w:rPr>
                <w:rFonts w:hint="eastAsia"/>
                <w:lang w:eastAsia="zh-CN"/>
              </w:rPr>
              <w:t xml:space="preserve"> </w:t>
            </w:r>
            <w:r w:rsidRPr="005D4A1F">
              <w:t>010)</w:t>
            </w:r>
          </w:p>
        </w:tc>
      </w:tr>
      <w:tr w:rsidR="00182709" w14:paraId="135C4D1E" w14:textId="77777777" w:rsidTr="002519F8">
        <w:trPr>
          <w:trHeight w:val="20"/>
        </w:trPr>
        <w:tc>
          <w:tcPr>
            <w:tcW w:w="1502" w:type="dxa"/>
          </w:tcPr>
          <w:p w14:paraId="119BDAB0" w14:textId="38D2D51B" w:rsidR="00182709" w:rsidRDefault="0007383E">
            <w:pPr>
              <w:jc w:val="left"/>
            </w:pPr>
            <w:r>
              <w:rPr>
                <w:color w:val="4472C4"/>
                <w:sz w:val="13"/>
              </w:rPr>
              <w:t>AASB </w:t>
            </w:r>
            <w:r w:rsidR="00AE48F3">
              <w:rPr>
                <w:color w:val="4472C4"/>
                <w:sz w:val="13"/>
              </w:rPr>
              <w:t>1060.137 (e)(vi)</w:t>
            </w:r>
          </w:p>
        </w:tc>
        <w:tc>
          <w:tcPr>
            <w:tcW w:w="5878" w:type="dxa"/>
            <w:gridSpan w:val="2"/>
          </w:tcPr>
          <w:p w14:paraId="232148A3" w14:textId="77777777" w:rsidR="00182709" w:rsidRDefault="0044097C">
            <w:pPr>
              <w:jc w:val="left"/>
            </w:pPr>
            <w:r>
              <w:t>Reversals of impairment losses charged to net result</w:t>
            </w:r>
          </w:p>
        </w:tc>
        <w:tc>
          <w:tcPr>
            <w:tcW w:w="1299" w:type="dxa"/>
            <w:gridSpan w:val="2"/>
          </w:tcPr>
          <w:p w14:paraId="4EEC5F9E" w14:textId="77777777" w:rsidR="00182709" w:rsidRDefault="0044097C">
            <w:r>
              <w:t>..</w:t>
            </w:r>
          </w:p>
        </w:tc>
        <w:tc>
          <w:tcPr>
            <w:tcW w:w="966" w:type="dxa"/>
          </w:tcPr>
          <w:p w14:paraId="403DDF64" w14:textId="77777777" w:rsidR="00182709" w:rsidRDefault="0044097C">
            <w:r>
              <w:t>..</w:t>
            </w:r>
          </w:p>
        </w:tc>
      </w:tr>
      <w:tr w:rsidR="00640028" w14:paraId="3E651B18" w14:textId="77777777" w:rsidTr="002519F8">
        <w:trPr>
          <w:trHeight w:val="20"/>
        </w:trPr>
        <w:tc>
          <w:tcPr>
            <w:tcW w:w="1502" w:type="dxa"/>
          </w:tcPr>
          <w:p w14:paraId="5707363D" w14:textId="204DD448" w:rsidR="00640028" w:rsidRDefault="0007383E" w:rsidP="00640028">
            <w:pPr>
              <w:jc w:val="left"/>
            </w:pPr>
            <w:r>
              <w:rPr>
                <w:color w:val="4472C4"/>
                <w:sz w:val="13"/>
              </w:rPr>
              <w:t>AASB </w:t>
            </w:r>
            <w:r w:rsidR="00640028">
              <w:rPr>
                <w:color w:val="4472C4"/>
                <w:sz w:val="13"/>
              </w:rPr>
              <w:t>1060.137 (c)</w:t>
            </w:r>
          </w:p>
        </w:tc>
        <w:tc>
          <w:tcPr>
            <w:tcW w:w="5878" w:type="dxa"/>
            <w:gridSpan w:val="2"/>
            <w:tcBorders>
              <w:bottom w:val="single" w:sz="12" w:space="0" w:color="auto"/>
            </w:tcBorders>
          </w:tcPr>
          <w:p w14:paraId="4AB8A0CB" w14:textId="77777777" w:rsidR="00640028" w:rsidRDefault="00640028" w:rsidP="00640028">
            <w:pPr>
              <w:jc w:val="left"/>
            </w:pPr>
            <w:r>
              <w:rPr>
                <w:b/>
              </w:rPr>
              <w:t>Closing balance</w:t>
            </w:r>
          </w:p>
        </w:tc>
        <w:tc>
          <w:tcPr>
            <w:tcW w:w="1299" w:type="dxa"/>
            <w:gridSpan w:val="2"/>
            <w:tcBorders>
              <w:bottom w:val="single" w:sz="12" w:space="0" w:color="auto"/>
            </w:tcBorders>
          </w:tcPr>
          <w:p w14:paraId="27FD7566" w14:textId="0FCFDF89" w:rsidR="00640028" w:rsidRPr="002A0038" w:rsidRDefault="00640028" w:rsidP="00640028">
            <w:pPr>
              <w:rPr>
                <w:b/>
                <w:bCs/>
              </w:rPr>
            </w:pPr>
            <w:r w:rsidRPr="002A0038">
              <w:rPr>
                <w:b/>
                <w:bCs/>
              </w:rPr>
              <w:t>(6</w:t>
            </w:r>
            <w:r w:rsidR="003E3065">
              <w:rPr>
                <w:rFonts w:hint="eastAsia"/>
                <w:b/>
                <w:bCs/>
                <w:lang w:eastAsia="zh-CN"/>
              </w:rPr>
              <w:t xml:space="preserve"> </w:t>
            </w:r>
            <w:r w:rsidRPr="002A0038">
              <w:rPr>
                <w:b/>
                <w:bCs/>
              </w:rPr>
              <w:t>329)</w:t>
            </w:r>
          </w:p>
        </w:tc>
        <w:tc>
          <w:tcPr>
            <w:tcW w:w="966" w:type="dxa"/>
            <w:tcBorders>
              <w:bottom w:val="single" w:sz="12" w:space="0" w:color="auto"/>
            </w:tcBorders>
          </w:tcPr>
          <w:p w14:paraId="6CBC5493" w14:textId="34BF44FD" w:rsidR="00640028" w:rsidRPr="002A0038" w:rsidRDefault="00640028" w:rsidP="00640028">
            <w:pPr>
              <w:rPr>
                <w:b/>
                <w:bCs/>
              </w:rPr>
            </w:pPr>
            <w:r w:rsidRPr="002A0038">
              <w:rPr>
                <w:b/>
                <w:bCs/>
              </w:rPr>
              <w:t>(6</w:t>
            </w:r>
            <w:r w:rsidR="003E3065">
              <w:rPr>
                <w:rFonts w:hint="eastAsia"/>
                <w:b/>
                <w:bCs/>
                <w:lang w:eastAsia="zh-CN"/>
              </w:rPr>
              <w:t xml:space="preserve"> </w:t>
            </w:r>
            <w:r w:rsidRPr="002A0038">
              <w:rPr>
                <w:b/>
                <w:bCs/>
              </w:rPr>
              <w:t>329)</w:t>
            </w:r>
          </w:p>
        </w:tc>
      </w:tr>
      <w:tr w:rsidR="00640028" w14:paraId="20D192CF" w14:textId="77777777" w:rsidTr="002519F8">
        <w:trPr>
          <w:trHeight w:val="221"/>
        </w:trPr>
        <w:tc>
          <w:tcPr>
            <w:tcW w:w="1502" w:type="dxa"/>
            <w:tcBorders>
              <w:bottom w:val="nil"/>
            </w:tcBorders>
          </w:tcPr>
          <w:p w14:paraId="47CD2E00" w14:textId="77777777" w:rsidR="00640028" w:rsidRDefault="00640028" w:rsidP="00640028">
            <w:pPr>
              <w:jc w:val="left"/>
            </w:pPr>
          </w:p>
        </w:tc>
        <w:tc>
          <w:tcPr>
            <w:tcW w:w="5878" w:type="dxa"/>
            <w:gridSpan w:val="2"/>
          </w:tcPr>
          <w:p w14:paraId="256A9E61" w14:textId="77777777" w:rsidR="00640028" w:rsidRDefault="00640028" w:rsidP="00640028">
            <w:pPr>
              <w:jc w:val="left"/>
            </w:pPr>
            <w:r>
              <w:rPr>
                <w:b/>
              </w:rPr>
              <w:t>Net book value at end of financial year</w:t>
            </w:r>
          </w:p>
        </w:tc>
        <w:tc>
          <w:tcPr>
            <w:tcW w:w="1299" w:type="dxa"/>
            <w:gridSpan w:val="2"/>
          </w:tcPr>
          <w:p w14:paraId="064AA3B1" w14:textId="28C67CEC" w:rsidR="00640028" w:rsidRPr="002A0038" w:rsidRDefault="00640028" w:rsidP="00640028">
            <w:pPr>
              <w:rPr>
                <w:b/>
                <w:bCs/>
              </w:rPr>
            </w:pPr>
            <w:r w:rsidRPr="002A0038">
              <w:rPr>
                <w:b/>
                <w:bCs/>
              </w:rPr>
              <w:t>9</w:t>
            </w:r>
            <w:r w:rsidR="003E3065">
              <w:rPr>
                <w:rFonts w:hint="eastAsia"/>
                <w:b/>
                <w:bCs/>
                <w:lang w:eastAsia="zh-CN"/>
              </w:rPr>
              <w:t xml:space="preserve"> </w:t>
            </w:r>
            <w:r w:rsidRPr="002A0038">
              <w:rPr>
                <w:b/>
                <w:bCs/>
              </w:rPr>
              <w:t>252</w:t>
            </w:r>
          </w:p>
        </w:tc>
        <w:tc>
          <w:tcPr>
            <w:tcW w:w="966" w:type="dxa"/>
          </w:tcPr>
          <w:p w14:paraId="73ABCA22" w14:textId="61B3297F" w:rsidR="00640028" w:rsidRPr="002A0038" w:rsidRDefault="00640028" w:rsidP="00640028">
            <w:pPr>
              <w:rPr>
                <w:b/>
                <w:bCs/>
              </w:rPr>
            </w:pPr>
            <w:r w:rsidRPr="002A0038">
              <w:rPr>
                <w:b/>
                <w:bCs/>
              </w:rPr>
              <w:t>9</w:t>
            </w:r>
            <w:r w:rsidR="003E3065">
              <w:rPr>
                <w:rFonts w:hint="eastAsia"/>
                <w:b/>
                <w:bCs/>
                <w:lang w:eastAsia="zh-CN"/>
              </w:rPr>
              <w:t xml:space="preserve"> </w:t>
            </w:r>
            <w:r w:rsidRPr="002A0038">
              <w:rPr>
                <w:b/>
                <w:bCs/>
              </w:rPr>
              <w:t>252</w:t>
            </w:r>
          </w:p>
        </w:tc>
      </w:tr>
    </w:tbl>
    <w:p w14:paraId="76D4AAEE" w14:textId="77777777" w:rsidR="003719CD" w:rsidRDefault="003719CD" w:rsidP="007D536F">
      <w:pPr>
        <w:pStyle w:val="Note"/>
      </w:pPr>
      <w:r>
        <w:t xml:space="preserve">Notes: </w:t>
      </w:r>
    </w:p>
    <w:p w14:paraId="57AE6C23" w14:textId="72C31D01" w:rsidR="003719CD" w:rsidRDefault="003719CD" w:rsidP="007D536F">
      <w:pPr>
        <w:pStyle w:val="Note"/>
      </w:pPr>
      <w:r>
        <w:t>(a)</w:t>
      </w:r>
      <w:r>
        <w:tab/>
        <w:t>The consumption of intangible produced assets is included in ‘depreciation</w:t>
      </w:r>
      <w:r w:rsidR="0032329F">
        <w:t xml:space="preserve"> and amortisation</w:t>
      </w:r>
      <w:r>
        <w:t>’ line item, where the consumption of the intangible non-produced assets is included in ‘net gain/(loss) on non-financial assets’ line item on the comprehensive operating statement.</w:t>
      </w:r>
      <w:r w:rsidR="00B530FF" w:rsidRPr="00B530FF">
        <w:rPr>
          <w:rStyle w:val="Reference"/>
        </w:rPr>
        <w:t xml:space="preserve"> </w:t>
      </w:r>
      <w:r w:rsidR="00B530FF" w:rsidRPr="002A0038">
        <w:rPr>
          <w:rStyle w:val="Reference"/>
          <w:sz w:val="12"/>
          <w:szCs w:val="14"/>
        </w:rPr>
        <w:t>[</w:t>
      </w:r>
      <w:r w:rsidR="0007383E">
        <w:rPr>
          <w:rStyle w:val="Reference"/>
          <w:sz w:val="12"/>
          <w:szCs w:val="14"/>
        </w:rPr>
        <w:t>AASB </w:t>
      </w:r>
      <w:r w:rsidR="00B530FF" w:rsidRPr="002A0038">
        <w:rPr>
          <w:rStyle w:val="Reference"/>
          <w:sz w:val="12"/>
          <w:szCs w:val="14"/>
        </w:rPr>
        <w:t>1</w:t>
      </w:r>
      <w:r w:rsidR="00B530FF" w:rsidRPr="002A0038">
        <w:rPr>
          <w:rStyle w:val="Reference"/>
          <w:sz w:val="12"/>
          <w:szCs w:val="14"/>
          <w:lang w:eastAsia="zh-CN"/>
        </w:rPr>
        <w:t>060</w:t>
      </w:r>
      <w:r w:rsidR="00B530FF" w:rsidRPr="002A0038">
        <w:rPr>
          <w:rStyle w:val="Reference"/>
          <w:sz w:val="12"/>
          <w:szCs w:val="14"/>
        </w:rPr>
        <w:t>.</w:t>
      </w:r>
      <w:r w:rsidR="00B530FF" w:rsidRPr="002A0038">
        <w:rPr>
          <w:rStyle w:val="Reference"/>
          <w:sz w:val="12"/>
          <w:szCs w:val="14"/>
          <w:lang w:eastAsia="zh-CN"/>
        </w:rPr>
        <w:t>137 (</w:t>
      </w:r>
      <w:r w:rsidR="00B530FF">
        <w:rPr>
          <w:rStyle w:val="Reference"/>
          <w:rFonts w:hint="eastAsia"/>
          <w:sz w:val="12"/>
          <w:szCs w:val="14"/>
          <w:lang w:eastAsia="zh-CN"/>
        </w:rPr>
        <w:t>d</w:t>
      </w:r>
      <w:r w:rsidR="00B530FF" w:rsidRPr="002A0038">
        <w:rPr>
          <w:rStyle w:val="Reference"/>
          <w:sz w:val="12"/>
          <w:szCs w:val="14"/>
          <w:lang w:eastAsia="zh-CN"/>
        </w:rPr>
        <w:t>)</w:t>
      </w:r>
      <w:r w:rsidR="00B530FF" w:rsidRPr="002A0038">
        <w:rPr>
          <w:rStyle w:val="Reference"/>
          <w:sz w:val="12"/>
          <w:szCs w:val="14"/>
        </w:rPr>
        <w:t>]</w:t>
      </w:r>
    </w:p>
    <w:p w14:paraId="48BD9B17" w14:textId="65E45EE8" w:rsidR="001F2260" w:rsidRDefault="003719CD" w:rsidP="002A0038">
      <w:pPr>
        <w:pStyle w:val="Note"/>
      </w:pPr>
      <w:r>
        <w:t>(b)</w:t>
      </w:r>
      <w:r>
        <w:tab/>
        <w:t>Impairment losses are included in the line item ‘net gain/(loss) on non-financial assets’ in the comprehensive operating statement. Due to the development of the Series Z software as discussed below, it was determined that the existing software will be phased out over the next year and as such, an impairment loss was recognised for the period based on its recoverable amount, which was determined on fair value less costs to sell using market prices.</w:t>
      </w:r>
    </w:p>
    <w:p w14:paraId="2E7EFCC2" w14:textId="77777777" w:rsidR="002519F8" w:rsidRPr="002519F8" w:rsidRDefault="002519F8" w:rsidP="002A0038">
      <w:pPr>
        <w:pStyle w:val="Note"/>
      </w:pPr>
    </w:p>
    <w:p w14:paraId="4281F980" w14:textId="0231BA1D" w:rsidR="003719CD" w:rsidRDefault="003719CD" w:rsidP="007D536F">
      <w:pPr>
        <w:pStyle w:val="Heading3"/>
      </w:pPr>
      <w:bookmarkStart w:id="3332" w:name="_Toc179812871"/>
      <w:bookmarkStart w:id="3333" w:name="_Toc179818571"/>
      <w:bookmarkStart w:id="3334" w:name="_Toc179824271"/>
      <w:bookmarkStart w:id="3335" w:name="_Toc179829946"/>
      <w:bookmarkStart w:id="3336" w:name="_Toc179861476"/>
      <w:r>
        <w:t>Initial recognition</w:t>
      </w:r>
      <w:bookmarkEnd w:id="3332"/>
      <w:bookmarkEnd w:id="3333"/>
      <w:bookmarkEnd w:id="3334"/>
      <w:bookmarkEnd w:id="3335"/>
      <w:bookmarkEnd w:id="3336"/>
    </w:p>
    <w:p w14:paraId="0F4D87E8" w14:textId="3370F9E1" w:rsidR="003719CD" w:rsidRDefault="003719CD" w:rsidP="00DC39DE">
      <w:r w:rsidRPr="00685BCF">
        <w:rPr>
          <w:b/>
          <w:bCs/>
        </w:rPr>
        <w:t>Purchased intangible assets</w:t>
      </w:r>
      <w:r>
        <w:t xml:space="preserve"> are initially recognised at cost. When the recognition criteria in </w:t>
      </w:r>
      <w:r w:rsidR="0007383E">
        <w:t>AASB </w:t>
      </w:r>
      <w:r>
        <w:t xml:space="preserve">138 </w:t>
      </w:r>
      <w:r w:rsidRPr="00697B8B">
        <w:rPr>
          <w:i/>
          <w:iCs/>
        </w:rPr>
        <w:t>Intangible Assets</w:t>
      </w:r>
      <w:r>
        <w:t xml:space="preserve"> is met, internally generated intangible assets are recognised at cost. Subsequently, intangible assets with finite useful lives are carried at cost less accumulated amortisation and accumulated impairment losses. Depreciation and amortisation begin when the asset is available for use, that is, when it is in the location and condition necessary for it to be capable of operating in the manner intended by management. </w:t>
      </w:r>
      <w:r w:rsidRPr="002B2E6E">
        <w:rPr>
          <w:rStyle w:val="Reference"/>
        </w:rPr>
        <w:t>[</w:t>
      </w:r>
      <w:r w:rsidR="0007383E">
        <w:rPr>
          <w:rStyle w:val="Reference"/>
        </w:rPr>
        <w:t>AASB </w:t>
      </w:r>
      <w:r w:rsidRPr="002B2E6E">
        <w:rPr>
          <w:rStyle w:val="Reference"/>
        </w:rPr>
        <w:t>138.74</w:t>
      </w:r>
      <w:r w:rsidR="00991B14">
        <w:rPr>
          <w:rStyle w:val="Reference"/>
        </w:rPr>
        <w:t>;</w:t>
      </w:r>
      <w:r w:rsidRPr="002B2E6E">
        <w:rPr>
          <w:rStyle w:val="Reference"/>
        </w:rPr>
        <w:t xml:space="preserve"> FRD 109]</w:t>
      </w:r>
    </w:p>
    <w:p w14:paraId="2C63920B" w14:textId="5F76611F" w:rsidR="003719CD" w:rsidRDefault="003719CD" w:rsidP="00DC39DE">
      <w:r>
        <w:t xml:space="preserve">An </w:t>
      </w:r>
      <w:r w:rsidRPr="00685BCF">
        <w:rPr>
          <w:b/>
          <w:bCs/>
        </w:rPr>
        <w:t>internally generated intangible asset</w:t>
      </w:r>
      <w:r>
        <w:t xml:space="preserve"> arising from development (or from the development phase of an internal project) is recognised if, and only if, </w:t>
      </w:r>
      <w:proofErr w:type="gramStart"/>
      <w:r>
        <w:t>all of</w:t>
      </w:r>
      <w:proofErr w:type="gramEnd"/>
      <w:r>
        <w:t xml:space="preserve"> the following are demonstrated</w:t>
      </w:r>
      <w:r w:rsidR="008D43CC">
        <w:t>, including</w:t>
      </w:r>
      <w:r w:rsidR="004B6EE9">
        <w:t>:</w:t>
      </w:r>
    </w:p>
    <w:p w14:paraId="02E683C5" w14:textId="38E1CCC1" w:rsidR="003719CD" w:rsidRDefault="003719CD" w:rsidP="002A0038">
      <w:pPr>
        <w:pStyle w:val="ListBullet"/>
        <w:numPr>
          <w:ilvl w:val="0"/>
          <w:numId w:val="370"/>
        </w:numPr>
      </w:pPr>
      <w:r>
        <w:t>the technical feasibility of completing the intangible asset so that it will be available for use or sale</w:t>
      </w:r>
    </w:p>
    <w:p w14:paraId="6059D2E3" w14:textId="4978CAA7" w:rsidR="003719CD" w:rsidRDefault="003719CD" w:rsidP="002A0038">
      <w:pPr>
        <w:pStyle w:val="ListBullet"/>
        <w:numPr>
          <w:ilvl w:val="0"/>
          <w:numId w:val="370"/>
        </w:numPr>
      </w:pPr>
      <w:r>
        <w:t>an intention to complete the intangible asset and use or sell it</w:t>
      </w:r>
    </w:p>
    <w:p w14:paraId="70FC42C1" w14:textId="3A0332FF" w:rsidR="003719CD" w:rsidRDefault="003719CD" w:rsidP="002A0038">
      <w:pPr>
        <w:pStyle w:val="ListBullet"/>
        <w:numPr>
          <w:ilvl w:val="0"/>
          <w:numId w:val="370"/>
        </w:numPr>
      </w:pPr>
      <w:r>
        <w:t>the ability to use or sell the intangible asset</w:t>
      </w:r>
    </w:p>
    <w:p w14:paraId="1899D35D" w14:textId="27C841AC" w:rsidR="003719CD" w:rsidRDefault="003719CD" w:rsidP="002A0038">
      <w:pPr>
        <w:pStyle w:val="ListBullet"/>
        <w:numPr>
          <w:ilvl w:val="0"/>
          <w:numId w:val="370"/>
        </w:numPr>
      </w:pPr>
      <w:r>
        <w:t>the intangible asset will generate probable future economic benefits</w:t>
      </w:r>
    </w:p>
    <w:p w14:paraId="604E43F7" w14:textId="488C1F94" w:rsidR="003719CD" w:rsidRDefault="003719CD" w:rsidP="002A0038">
      <w:pPr>
        <w:pStyle w:val="ListBullet"/>
        <w:numPr>
          <w:ilvl w:val="0"/>
          <w:numId w:val="370"/>
        </w:numPr>
      </w:pPr>
      <w:r>
        <w:t>the availability of adequate technical, financial and other resources to complete the development and to use or sell the intangible asset</w:t>
      </w:r>
    </w:p>
    <w:p w14:paraId="359248E0" w14:textId="7478ABD3" w:rsidR="003719CD" w:rsidRDefault="003719CD" w:rsidP="002A0038">
      <w:pPr>
        <w:pStyle w:val="ListBullet"/>
        <w:numPr>
          <w:ilvl w:val="0"/>
          <w:numId w:val="370"/>
        </w:numPr>
      </w:pPr>
      <w:r>
        <w:t xml:space="preserve">the ability to measure reliably the expenditure attributable to the intangible asset during its development. </w:t>
      </w:r>
      <w:r w:rsidRPr="00E14F16">
        <w:rPr>
          <w:rStyle w:val="Reference"/>
        </w:rPr>
        <w:t>[</w:t>
      </w:r>
      <w:r w:rsidR="0007383E">
        <w:rPr>
          <w:rStyle w:val="Reference"/>
        </w:rPr>
        <w:t>AASB </w:t>
      </w:r>
      <w:r w:rsidRPr="00E14F16">
        <w:rPr>
          <w:rStyle w:val="Reference"/>
        </w:rPr>
        <w:t>138.57]</w:t>
      </w:r>
    </w:p>
    <w:p w14:paraId="45393967" w14:textId="77777777" w:rsidR="003719CD" w:rsidRDefault="003719CD" w:rsidP="007D536F">
      <w:pPr>
        <w:pStyle w:val="Heading3"/>
      </w:pPr>
      <w:bookmarkStart w:id="3337" w:name="_Toc179812872"/>
      <w:bookmarkStart w:id="3338" w:name="_Toc179818572"/>
      <w:bookmarkStart w:id="3339" w:name="_Toc179824272"/>
      <w:bookmarkStart w:id="3340" w:name="_Toc179829947"/>
      <w:bookmarkStart w:id="3341" w:name="_Toc179861477"/>
      <w:r>
        <w:t>Subsequent measurement</w:t>
      </w:r>
      <w:bookmarkEnd w:id="3337"/>
      <w:bookmarkEnd w:id="3338"/>
      <w:bookmarkEnd w:id="3339"/>
      <w:bookmarkEnd w:id="3340"/>
      <w:bookmarkEnd w:id="3341"/>
    </w:p>
    <w:p w14:paraId="3F5BF4E4" w14:textId="54FF24C9" w:rsidR="003719CD" w:rsidRPr="00CC1247" w:rsidRDefault="003719CD" w:rsidP="00DC39DE">
      <w:pPr>
        <w:rPr>
          <w:lang w:eastAsia="zh-CN"/>
        </w:rPr>
      </w:pPr>
      <w:r w:rsidRPr="00CC1247">
        <w:t>Intangible produced assets with finite useful lives are amortised as an ‘expense from transactions’ on a straight-line basis over their useful lives.</w:t>
      </w:r>
      <w:r w:rsidR="009A6856" w:rsidRPr="00CC1247">
        <w:rPr>
          <w:rFonts w:hint="eastAsia"/>
          <w:lang w:eastAsia="zh-CN"/>
        </w:rPr>
        <w:t xml:space="preserve"> </w:t>
      </w:r>
      <w:r w:rsidR="00F77B00" w:rsidRPr="00CC1247">
        <w:rPr>
          <w:rStyle w:val="Reference"/>
        </w:rPr>
        <w:t>[</w:t>
      </w:r>
      <w:r w:rsidR="0007383E">
        <w:rPr>
          <w:rStyle w:val="Reference"/>
        </w:rPr>
        <w:t>AASB </w:t>
      </w:r>
      <w:r w:rsidR="00F77B00" w:rsidRPr="00CC1247">
        <w:rPr>
          <w:rStyle w:val="Reference"/>
        </w:rPr>
        <w:t>1</w:t>
      </w:r>
      <w:r w:rsidR="00F77B00" w:rsidRPr="00CC1247">
        <w:rPr>
          <w:rStyle w:val="Reference"/>
          <w:rFonts w:hint="eastAsia"/>
          <w:lang w:eastAsia="zh-CN"/>
        </w:rPr>
        <w:t>060</w:t>
      </w:r>
      <w:r w:rsidR="00F77B00" w:rsidRPr="00CC1247">
        <w:rPr>
          <w:rStyle w:val="Reference"/>
        </w:rPr>
        <w:t>.</w:t>
      </w:r>
      <w:r w:rsidR="00F77B00" w:rsidRPr="00CC1247">
        <w:rPr>
          <w:rStyle w:val="Reference"/>
          <w:rFonts w:hint="eastAsia"/>
          <w:lang w:eastAsia="zh-CN"/>
        </w:rPr>
        <w:t>137</w:t>
      </w:r>
      <w:r w:rsidR="00CC35E9" w:rsidRPr="00CC1247">
        <w:rPr>
          <w:rStyle w:val="Reference"/>
          <w:rFonts w:hint="eastAsia"/>
          <w:lang w:eastAsia="zh-CN"/>
        </w:rPr>
        <w:t xml:space="preserve"> (b)</w:t>
      </w:r>
      <w:r w:rsidR="00F77B00" w:rsidRPr="00CC1247">
        <w:rPr>
          <w:rStyle w:val="Reference"/>
        </w:rPr>
        <w:t>]</w:t>
      </w:r>
      <w:r w:rsidR="00F77B00" w:rsidRPr="00CC1247">
        <w:rPr>
          <w:rStyle w:val="Reference"/>
          <w:rFonts w:hint="eastAsia"/>
          <w:lang w:eastAsia="zh-CN"/>
        </w:rPr>
        <w:t xml:space="preserve"> </w:t>
      </w:r>
      <w:r w:rsidRPr="00CC1247">
        <w:t>Produced intangible assets have useful lives of between three and five years.</w:t>
      </w:r>
      <w:r w:rsidR="00CC35E9" w:rsidRPr="00CC1247">
        <w:rPr>
          <w:rFonts w:hint="eastAsia"/>
          <w:lang w:eastAsia="zh-CN"/>
        </w:rPr>
        <w:t xml:space="preserve"> </w:t>
      </w:r>
      <w:r w:rsidR="00CC35E9" w:rsidRPr="00CC1247">
        <w:rPr>
          <w:rStyle w:val="Reference"/>
        </w:rPr>
        <w:t>[</w:t>
      </w:r>
      <w:r w:rsidR="0007383E">
        <w:rPr>
          <w:rStyle w:val="Reference"/>
        </w:rPr>
        <w:t>AASB </w:t>
      </w:r>
      <w:r w:rsidR="00CC35E9" w:rsidRPr="00CC1247">
        <w:rPr>
          <w:rStyle w:val="Reference"/>
        </w:rPr>
        <w:t>1</w:t>
      </w:r>
      <w:r w:rsidR="00CC35E9" w:rsidRPr="00CC1247">
        <w:rPr>
          <w:rStyle w:val="Reference"/>
          <w:rFonts w:hint="eastAsia"/>
          <w:lang w:eastAsia="zh-CN"/>
        </w:rPr>
        <w:t>060</w:t>
      </w:r>
      <w:r w:rsidR="00CC35E9" w:rsidRPr="00CC1247">
        <w:rPr>
          <w:rStyle w:val="Reference"/>
        </w:rPr>
        <w:t>.</w:t>
      </w:r>
      <w:r w:rsidR="00CC35E9" w:rsidRPr="00CC1247">
        <w:rPr>
          <w:rStyle w:val="Reference"/>
          <w:rFonts w:hint="eastAsia"/>
          <w:lang w:eastAsia="zh-CN"/>
        </w:rPr>
        <w:t>137 (a)</w:t>
      </w:r>
      <w:r w:rsidR="00CC35E9" w:rsidRPr="00CC1247">
        <w:rPr>
          <w:rStyle w:val="Reference"/>
        </w:rPr>
        <w:t>]</w:t>
      </w:r>
    </w:p>
    <w:p w14:paraId="45CEABD0" w14:textId="37BD3788" w:rsidR="003719CD" w:rsidRDefault="003719CD" w:rsidP="00DC39DE">
      <w:r w:rsidRPr="00CC1247">
        <w:t>Intangible non-produced assets with finite</w:t>
      </w:r>
      <w:r>
        <w:t xml:space="preserve"> lives are amortised as an ‘other economic flow’ on a straight-line basis over their useful lives. </w:t>
      </w:r>
      <w:r w:rsidR="00CC1247" w:rsidRPr="00E14F16">
        <w:rPr>
          <w:rStyle w:val="Reference"/>
        </w:rPr>
        <w:t>[</w:t>
      </w:r>
      <w:r w:rsidR="0007383E">
        <w:rPr>
          <w:rStyle w:val="Reference"/>
        </w:rPr>
        <w:t>AASB </w:t>
      </w:r>
      <w:r w:rsidR="00CC1247" w:rsidRPr="00E14F16">
        <w:rPr>
          <w:rStyle w:val="Reference"/>
        </w:rPr>
        <w:t>1</w:t>
      </w:r>
      <w:r w:rsidR="00CC1247">
        <w:rPr>
          <w:rStyle w:val="Reference"/>
          <w:rFonts w:hint="eastAsia"/>
          <w:lang w:eastAsia="zh-CN"/>
        </w:rPr>
        <w:t>060</w:t>
      </w:r>
      <w:r w:rsidR="00CC1247" w:rsidRPr="00E14F16">
        <w:rPr>
          <w:rStyle w:val="Reference"/>
        </w:rPr>
        <w:t>.</w:t>
      </w:r>
      <w:r w:rsidR="00CC1247">
        <w:rPr>
          <w:rStyle w:val="Reference"/>
          <w:rFonts w:hint="eastAsia"/>
          <w:lang w:eastAsia="zh-CN"/>
        </w:rPr>
        <w:t>137 (b)</w:t>
      </w:r>
      <w:r w:rsidR="00CC1247" w:rsidRPr="00E14F16">
        <w:rPr>
          <w:rStyle w:val="Reference"/>
        </w:rPr>
        <w:t>]</w:t>
      </w:r>
      <w:r w:rsidR="00CC1247">
        <w:rPr>
          <w:rStyle w:val="Reference"/>
          <w:rFonts w:hint="eastAsia"/>
          <w:lang w:eastAsia="zh-CN"/>
        </w:rPr>
        <w:t xml:space="preserve"> </w:t>
      </w:r>
      <w:r>
        <w:t xml:space="preserve">The amortisation period is three to five years. </w:t>
      </w:r>
      <w:r w:rsidR="009A6856" w:rsidRPr="00E14F16">
        <w:rPr>
          <w:rStyle w:val="Reference"/>
        </w:rPr>
        <w:t>[</w:t>
      </w:r>
      <w:r w:rsidR="0007383E">
        <w:rPr>
          <w:rStyle w:val="Reference"/>
        </w:rPr>
        <w:t>AASB </w:t>
      </w:r>
      <w:r w:rsidR="009A6856" w:rsidRPr="00E14F16">
        <w:rPr>
          <w:rStyle w:val="Reference"/>
        </w:rPr>
        <w:t>1</w:t>
      </w:r>
      <w:r w:rsidR="009A6856">
        <w:rPr>
          <w:rStyle w:val="Reference"/>
          <w:rFonts w:hint="eastAsia"/>
          <w:lang w:eastAsia="zh-CN"/>
        </w:rPr>
        <w:t>060</w:t>
      </w:r>
      <w:r w:rsidR="009A6856" w:rsidRPr="00E14F16">
        <w:rPr>
          <w:rStyle w:val="Reference"/>
        </w:rPr>
        <w:t>.</w:t>
      </w:r>
      <w:r w:rsidR="009A6856">
        <w:rPr>
          <w:rStyle w:val="Reference"/>
          <w:rFonts w:hint="eastAsia"/>
          <w:lang w:eastAsia="zh-CN"/>
        </w:rPr>
        <w:t>137 (a)</w:t>
      </w:r>
      <w:r w:rsidR="009A6856" w:rsidRPr="00E14F16">
        <w:rPr>
          <w:rStyle w:val="Reference"/>
        </w:rPr>
        <w:t>]</w:t>
      </w:r>
    </w:p>
    <w:p w14:paraId="7DBF998A" w14:textId="77777777" w:rsidR="003719CD" w:rsidRDefault="003719CD" w:rsidP="007D536F">
      <w:pPr>
        <w:pStyle w:val="Heading3"/>
      </w:pPr>
      <w:bookmarkStart w:id="3342" w:name="_Toc179812873"/>
      <w:bookmarkStart w:id="3343" w:name="_Toc179818573"/>
      <w:bookmarkStart w:id="3344" w:name="_Toc179824273"/>
      <w:bookmarkStart w:id="3345" w:name="_Toc179829948"/>
      <w:bookmarkStart w:id="3346" w:name="_Toc179861478"/>
      <w:r>
        <w:t>Impairment of intangible assets</w:t>
      </w:r>
      <w:bookmarkEnd w:id="3342"/>
      <w:bookmarkEnd w:id="3343"/>
      <w:bookmarkEnd w:id="3344"/>
      <w:bookmarkEnd w:id="3345"/>
      <w:bookmarkEnd w:id="3346"/>
    </w:p>
    <w:p w14:paraId="3A724775" w14:textId="573A4D45" w:rsidR="003719CD" w:rsidRDefault="003719CD" w:rsidP="00DC39DE">
      <w:r>
        <w:t>Intangible assets with finite useful lives are tested for impairment whenever an indication of impairment is identified.</w:t>
      </w:r>
    </w:p>
    <w:p w14:paraId="31926920" w14:textId="77777777" w:rsidR="003719CD" w:rsidRDefault="003719CD" w:rsidP="007D536F">
      <w:pPr>
        <w:pStyle w:val="Heading3"/>
      </w:pPr>
      <w:bookmarkStart w:id="3347" w:name="_Toc179812874"/>
      <w:bookmarkStart w:id="3348" w:name="_Toc179818574"/>
      <w:bookmarkStart w:id="3349" w:name="_Toc179824274"/>
      <w:bookmarkStart w:id="3350" w:name="_Toc179829949"/>
      <w:bookmarkStart w:id="3351" w:name="_Toc179861479"/>
      <w:r>
        <w:t>Significant intangible assets</w:t>
      </w:r>
      <w:bookmarkEnd w:id="3347"/>
      <w:bookmarkEnd w:id="3348"/>
      <w:bookmarkEnd w:id="3349"/>
      <w:bookmarkEnd w:id="3350"/>
      <w:bookmarkEnd w:id="3351"/>
      <w:r>
        <w:t xml:space="preserve"> </w:t>
      </w:r>
    </w:p>
    <w:p w14:paraId="58D7CB36" w14:textId="4E54C167" w:rsidR="003719CD" w:rsidRDefault="006B48BC">
      <w:pPr>
        <w:rPr>
          <w:rStyle w:val="Reference"/>
        </w:rPr>
      </w:pPr>
      <w:r>
        <w:t>TV</w:t>
      </w:r>
      <w:r w:rsidR="003719CD">
        <w:t xml:space="preserve"> has capitalised software development expenditure for the development of its Series Z technology software. The carrying amount of the capitalised software development </w:t>
      </w:r>
      <w:r w:rsidR="003719CD" w:rsidRPr="00706101">
        <w:t>expenditure is $</w:t>
      </w:r>
      <w:r w:rsidR="00326495" w:rsidRPr="002A0038">
        <w:rPr>
          <w:lang w:eastAsia="zh-CN"/>
        </w:rPr>
        <w:t>9</w:t>
      </w:r>
      <w:r w:rsidR="003719CD" w:rsidRPr="00706101">
        <w:t>.</w:t>
      </w:r>
      <w:r w:rsidR="005B6E83" w:rsidRPr="002A0038">
        <w:rPr>
          <w:lang w:eastAsia="zh-CN"/>
        </w:rPr>
        <w:t>25</w:t>
      </w:r>
      <w:r w:rsidR="003719CD" w:rsidRPr="00706101">
        <w:t xml:space="preserve"> million (</w:t>
      </w:r>
      <w:fldSimple w:instr="DOCPROPERTY  YearPrevious  \* MERGEFORMAT">
        <w:r w:rsidR="0054242A">
          <w:t>20X1</w:t>
        </w:r>
      </w:fldSimple>
      <w:r w:rsidR="003719CD" w:rsidRPr="00706101">
        <w:t>: $9.4</w:t>
      </w:r>
      <w:r w:rsidR="005B6E83" w:rsidRPr="002A0038">
        <w:rPr>
          <w:lang w:eastAsia="zh-CN"/>
        </w:rPr>
        <w:t>5</w:t>
      </w:r>
      <w:r w:rsidR="001F2260" w:rsidRPr="00706101">
        <w:t> </w:t>
      </w:r>
      <w:r w:rsidR="003719CD" w:rsidRPr="00706101">
        <w:t>million). Its useful life is five years and w</w:t>
      </w:r>
      <w:r w:rsidR="003719CD">
        <w:t xml:space="preserve">ill be fully amortised in </w:t>
      </w:r>
      <w:r w:rsidR="003A385F">
        <w:t>20</w:t>
      </w:r>
      <w:r w:rsidR="003A385F">
        <w:rPr>
          <w:rFonts w:hint="eastAsia"/>
          <w:lang w:eastAsia="zh-CN"/>
        </w:rPr>
        <w:t>X</w:t>
      </w:r>
      <w:r w:rsidR="004351C2">
        <w:rPr>
          <w:rFonts w:hint="eastAsia"/>
          <w:lang w:eastAsia="zh-CN"/>
        </w:rPr>
        <w:t>6</w:t>
      </w:r>
      <w:r w:rsidR="003719CD">
        <w:t xml:space="preserve">. </w:t>
      </w:r>
      <w:r w:rsidR="00F44C7A">
        <w:rPr>
          <w:rStyle w:val="Reference"/>
        </w:rPr>
        <w:t>[</w:t>
      </w:r>
      <w:r w:rsidR="0007383E">
        <w:rPr>
          <w:rStyle w:val="Reference"/>
        </w:rPr>
        <w:t>AASB </w:t>
      </w:r>
      <w:r w:rsidR="00DE32F9">
        <w:rPr>
          <w:rStyle w:val="Reference"/>
        </w:rPr>
        <w:t>1060.138(a)]</w:t>
      </w:r>
    </w:p>
    <w:p w14:paraId="46FC8FCE" w14:textId="74ECC2E4" w:rsidR="001F2260" w:rsidRDefault="001F2260" w:rsidP="002A0038">
      <w:pPr>
        <w:rPr>
          <w:rFonts w:asciiTheme="majorHAnsi" w:eastAsiaTheme="majorEastAsia" w:hAnsiTheme="majorHAnsi" w:cstheme="majorBidi"/>
          <w:b/>
          <w:bCs/>
          <w:iCs/>
          <w:color w:val="FFFFFF" w:themeColor="background1"/>
          <w:sz w:val="20"/>
          <w:szCs w:val="24"/>
        </w:rPr>
      </w:pPr>
    </w:p>
    <w:p w14:paraId="18458238" w14:textId="2C835FBD" w:rsidR="003719CD" w:rsidRDefault="003719CD" w:rsidP="007D536F">
      <w:pPr>
        <w:pStyle w:val="GuidanceBlockHeading"/>
      </w:pPr>
      <w:bookmarkStart w:id="3352" w:name="_Toc179812875"/>
      <w:bookmarkStart w:id="3353" w:name="_Toc179818575"/>
      <w:bookmarkStart w:id="3354" w:name="_Toc179824275"/>
      <w:r>
        <w:t>Guidance – Intangible assets</w:t>
      </w:r>
      <w:bookmarkEnd w:id="3352"/>
      <w:bookmarkEnd w:id="3353"/>
      <w:bookmarkEnd w:id="3354"/>
    </w:p>
    <w:p w14:paraId="4CF38737" w14:textId="45F46CC9" w:rsidR="00854BAC" w:rsidRPr="00DE1C51" w:rsidRDefault="00854BAC" w:rsidP="002A0038">
      <w:pPr>
        <w:pStyle w:val="GuidanceHeading"/>
        <w:spacing w:before="120" w:after="0"/>
      </w:pPr>
      <w:r w:rsidRPr="002A0038">
        <w:rPr>
          <w:b w:val="0"/>
          <w:sz w:val="18"/>
        </w:rPr>
        <w:t>An entity shall disclose the following for each class of intangible assets</w:t>
      </w:r>
      <w:r w:rsidR="00284317">
        <w:rPr>
          <w:b w:val="0"/>
          <w:sz w:val="18"/>
        </w:rPr>
        <w:t>, including</w:t>
      </w:r>
      <w:r w:rsidRPr="002A0038">
        <w:rPr>
          <w:b w:val="0"/>
          <w:sz w:val="18"/>
        </w:rPr>
        <w:t>:</w:t>
      </w:r>
    </w:p>
    <w:p w14:paraId="3597334E" w14:textId="21A0F6B2" w:rsidR="00854BAC" w:rsidRPr="002A0038" w:rsidRDefault="00854BAC" w:rsidP="002A0038">
      <w:pPr>
        <w:pStyle w:val="ListParagraph"/>
        <w:numPr>
          <w:ilvl w:val="0"/>
          <w:numId w:val="334"/>
        </w:numPr>
        <w:spacing w:before="40" w:line="264" w:lineRule="auto"/>
        <w:ind w:left="357" w:hanging="357"/>
        <w:rPr>
          <w:color w:val="4472C4" w:themeColor="accent1"/>
        </w:rPr>
      </w:pPr>
      <w:r w:rsidRPr="002A0038">
        <w:rPr>
          <w:color w:val="4472C4" w:themeColor="accent1"/>
        </w:rPr>
        <w:t>the useful lives or the amortisation rates used</w:t>
      </w:r>
    </w:p>
    <w:p w14:paraId="04980783" w14:textId="3724CA34" w:rsidR="00854BAC" w:rsidRPr="002A0038" w:rsidRDefault="00854BAC" w:rsidP="002A0038">
      <w:pPr>
        <w:pStyle w:val="ListParagraph"/>
        <w:numPr>
          <w:ilvl w:val="0"/>
          <w:numId w:val="334"/>
        </w:numPr>
        <w:spacing w:before="40" w:line="264" w:lineRule="auto"/>
        <w:ind w:left="357" w:hanging="357"/>
        <w:rPr>
          <w:color w:val="4472C4" w:themeColor="accent1"/>
        </w:rPr>
      </w:pPr>
      <w:r w:rsidRPr="002A0038">
        <w:rPr>
          <w:color w:val="4472C4" w:themeColor="accent1"/>
        </w:rPr>
        <w:t>the amortisation methods used</w:t>
      </w:r>
    </w:p>
    <w:p w14:paraId="55FFE64F" w14:textId="196E07EE" w:rsidR="00854BAC" w:rsidRPr="002A0038" w:rsidRDefault="00854BAC" w:rsidP="002A0038">
      <w:pPr>
        <w:pStyle w:val="ListParagraph"/>
        <w:numPr>
          <w:ilvl w:val="0"/>
          <w:numId w:val="334"/>
        </w:numPr>
        <w:spacing w:before="40" w:line="264" w:lineRule="auto"/>
        <w:ind w:left="357" w:hanging="357"/>
        <w:rPr>
          <w:color w:val="4472C4" w:themeColor="accent1"/>
        </w:rPr>
      </w:pPr>
      <w:r w:rsidRPr="002A0038">
        <w:rPr>
          <w:color w:val="4472C4" w:themeColor="accent1"/>
        </w:rPr>
        <w:t>the gross carrying amount and any accumulated amortisation (aggregated with accumulated</w:t>
      </w:r>
      <w:r w:rsidRPr="002A0038">
        <w:rPr>
          <w:color w:val="4472C4" w:themeColor="accent1"/>
          <w:lang w:eastAsia="zh-CN"/>
        </w:rPr>
        <w:t xml:space="preserve"> </w:t>
      </w:r>
      <w:r w:rsidRPr="002A0038">
        <w:rPr>
          <w:color w:val="4472C4" w:themeColor="accent1"/>
        </w:rPr>
        <w:t>impairment losses) at the beginning and end of the reporting period</w:t>
      </w:r>
    </w:p>
    <w:p w14:paraId="6F8D71B6" w14:textId="2D33038A" w:rsidR="00854BAC" w:rsidRPr="002A0038" w:rsidRDefault="00854BAC" w:rsidP="002A0038">
      <w:pPr>
        <w:pStyle w:val="ListParagraph"/>
        <w:numPr>
          <w:ilvl w:val="0"/>
          <w:numId w:val="334"/>
        </w:numPr>
        <w:spacing w:before="40" w:line="264" w:lineRule="auto"/>
        <w:ind w:left="357" w:hanging="357"/>
        <w:rPr>
          <w:color w:val="4472C4" w:themeColor="accent1"/>
        </w:rPr>
      </w:pPr>
      <w:r w:rsidRPr="002A0038">
        <w:rPr>
          <w:color w:val="4472C4" w:themeColor="accent1"/>
        </w:rPr>
        <w:t>the line item(s) in the statement of profit or loss and other comprehensive income (if presented),</w:t>
      </w:r>
      <w:r w:rsidRPr="002A0038">
        <w:rPr>
          <w:color w:val="4472C4" w:themeColor="accent1"/>
          <w:lang w:eastAsia="zh-CN"/>
        </w:rPr>
        <w:t xml:space="preserve"> </w:t>
      </w:r>
      <w:r w:rsidRPr="002A0038">
        <w:rPr>
          <w:color w:val="4472C4" w:themeColor="accent1"/>
        </w:rPr>
        <w:t>the statement of profit or loss and the statement of comprehensive income (if presented), or the</w:t>
      </w:r>
      <w:r w:rsidRPr="002A0038">
        <w:rPr>
          <w:color w:val="4472C4" w:themeColor="accent1"/>
          <w:lang w:eastAsia="zh-CN"/>
        </w:rPr>
        <w:t xml:space="preserve"> </w:t>
      </w:r>
      <w:r w:rsidRPr="002A0038">
        <w:rPr>
          <w:color w:val="4472C4" w:themeColor="accent1"/>
        </w:rPr>
        <w:t>combined statement of income and retained earnings (if presented) in which any amortisation of</w:t>
      </w:r>
      <w:r w:rsidRPr="002A0038">
        <w:rPr>
          <w:color w:val="4472C4" w:themeColor="accent1"/>
          <w:lang w:eastAsia="zh-CN"/>
        </w:rPr>
        <w:t xml:space="preserve"> </w:t>
      </w:r>
      <w:r w:rsidRPr="002A0038">
        <w:rPr>
          <w:color w:val="4472C4" w:themeColor="accent1"/>
        </w:rPr>
        <w:t>intangible assets is included</w:t>
      </w:r>
    </w:p>
    <w:p w14:paraId="4500BDE1" w14:textId="27715D08" w:rsidR="00854BAC" w:rsidRPr="002A0038" w:rsidRDefault="00854BAC" w:rsidP="002A0038">
      <w:pPr>
        <w:pStyle w:val="ListParagraph"/>
        <w:numPr>
          <w:ilvl w:val="0"/>
          <w:numId w:val="334"/>
        </w:numPr>
        <w:spacing w:before="40" w:line="264" w:lineRule="auto"/>
        <w:ind w:left="357" w:hanging="357"/>
        <w:rPr>
          <w:color w:val="4472C4" w:themeColor="accent1"/>
        </w:rPr>
      </w:pPr>
      <w:r w:rsidRPr="002A0038">
        <w:rPr>
          <w:color w:val="4472C4" w:themeColor="accent1"/>
        </w:rPr>
        <w:t>a reconciliation of the carrying amount at the beginning and end of the reporting period, showing</w:t>
      </w:r>
      <w:r w:rsidRPr="002A0038">
        <w:rPr>
          <w:color w:val="4472C4" w:themeColor="accent1"/>
          <w:lang w:eastAsia="zh-CN"/>
        </w:rPr>
        <w:t xml:space="preserve"> </w:t>
      </w:r>
      <w:r w:rsidRPr="002A0038">
        <w:rPr>
          <w:color w:val="4472C4" w:themeColor="accent1"/>
        </w:rPr>
        <w:t>separately:</w:t>
      </w:r>
    </w:p>
    <w:p w14:paraId="48814631" w14:textId="191B82F4" w:rsidR="00854BAC" w:rsidRPr="002A0038" w:rsidRDefault="00854BAC" w:rsidP="002A0038">
      <w:pPr>
        <w:pStyle w:val="ListParagraph"/>
        <w:numPr>
          <w:ilvl w:val="0"/>
          <w:numId w:val="335"/>
        </w:numPr>
        <w:spacing w:before="40" w:line="264" w:lineRule="auto"/>
        <w:ind w:left="697" w:hanging="357"/>
        <w:rPr>
          <w:color w:val="4472C4" w:themeColor="accent1"/>
        </w:rPr>
      </w:pPr>
      <w:r w:rsidRPr="002A0038">
        <w:rPr>
          <w:color w:val="4472C4" w:themeColor="accent1"/>
        </w:rPr>
        <w:t>additions</w:t>
      </w:r>
    </w:p>
    <w:p w14:paraId="0898EC22" w14:textId="1DF1F3A5" w:rsidR="00854BAC" w:rsidRPr="002A0038" w:rsidRDefault="00854BAC" w:rsidP="002A0038">
      <w:pPr>
        <w:pStyle w:val="ListParagraph"/>
        <w:numPr>
          <w:ilvl w:val="0"/>
          <w:numId w:val="335"/>
        </w:numPr>
        <w:spacing w:before="40" w:line="264" w:lineRule="auto"/>
        <w:ind w:left="697" w:hanging="357"/>
        <w:rPr>
          <w:color w:val="4472C4" w:themeColor="accent1"/>
        </w:rPr>
      </w:pPr>
      <w:r w:rsidRPr="002A0038">
        <w:rPr>
          <w:color w:val="4472C4" w:themeColor="accent1"/>
        </w:rPr>
        <w:t>assets classified as held for sale or included in a disposal group classified as held for sale</w:t>
      </w:r>
      <w:r w:rsidRPr="002A0038">
        <w:rPr>
          <w:color w:val="4472C4" w:themeColor="accent1"/>
          <w:lang w:eastAsia="zh-CN"/>
        </w:rPr>
        <w:t xml:space="preserve"> </w:t>
      </w:r>
      <w:r w:rsidRPr="002A0038">
        <w:rPr>
          <w:color w:val="4472C4" w:themeColor="accent1"/>
        </w:rPr>
        <w:t xml:space="preserve">in accordance with </w:t>
      </w:r>
      <w:r w:rsidR="0007383E">
        <w:rPr>
          <w:color w:val="4472C4" w:themeColor="accent1"/>
        </w:rPr>
        <w:t>AASB </w:t>
      </w:r>
      <w:r w:rsidRPr="002A0038">
        <w:rPr>
          <w:color w:val="4472C4" w:themeColor="accent1"/>
        </w:rPr>
        <w:t>5 and other disposals</w:t>
      </w:r>
    </w:p>
    <w:p w14:paraId="6DA78FEB" w14:textId="4ECA8045" w:rsidR="00854BAC" w:rsidRPr="002A0038" w:rsidRDefault="00854BAC" w:rsidP="002A0038">
      <w:pPr>
        <w:pStyle w:val="ListParagraph"/>
        <w:numPr>
          <w:ilvl w:val="0"/>
          <w:numId w:val="335"/>
        </w:numPr>
        <w:spacing w:before="40" w:line="264" w:lineRule="auto"/>
        <w:ind w:left="697" w:hanging="357"/>
        <w:rPr>
          <w:color w:val="4472C4" w:themeColor="accent1"/>
        </w:rPr>
      </w:pPr>
      <w:r w:rsidRPr="002A0038">
        <w:rPr>
          <w:color w:val="4472C4" w:themeColor="accent1"/>
        </w:rPr>
        <w:t>acquisitions through business combinations</w:t>
      </w:r>
    </w:p>
    <w:p w14:paraId="24841862" w14:textId="77354178" w:rsidR="00854BAC" w:rsidRPr="002A0038" w:rsidRDefault="00854BAC" w:rsidP="002A0038">
      <w:pPr>
        <w:pStyle w:val="ListParagraph"/>
        <w:numPr>
          <w:ilvl w:val="0"/>
          <w:numId w:val="335"/>
        </w:numPr>
        <w:spacing w:before="40" w:line="264" w:lineRule="auto"/>
        <w:ind w:left="697" w:hanging="357"/>
        <w:rPr>
          <w:color w:val="4472C4" w:themeColor="accent1"/>
        </w:rPr>
      </w:pPr>
      <w:r w:rsidRPr="002A0038">
        <w:rPr>
          <w:color w:val="4472C4" w:themeColor="accent1"/>
        </w:rPr>
        <w:t xml:space="preserve">increases or decreases resulting from revaluations under </w:t>
      </w:r>
      <w:r w:rsidR="0007383E">
        <w:rPr>
          <w:color w:val="4472C4" w:themeColor="accent1"/>
        </w:rPr>
        <w:t>AASB </w:t>
      </w:r>
      <w:r w:rsidRPr="002A0038">
        <w:rPr>
          <w:color w:val="4472C4" w:themeColor="accent1"/>
        </w:rPr>
        <w:t>138 and from</w:t>
      </w:r>
      <w:r w:rsidRPr="002A0038">
        <w:rPr>
          <w:color w:val="4472C4" w:themeColor="accent1"/>
          <w:lang w:eastAsia="zh-CN"/>
        </w:rPr>
        <w:t xml:space="preserve"> </w:t>
      </w:r>
      <w:r w:rsidRPr="002A0038">
        <w:rPr>
          <w:color w:val="4472C4" w:themeColor="accent1"/>
        </w:rPr>
        <w:t>impairment losses recognised or reversed in other comprehensive income in accordance</w:t>
      </w:r>
      <w:r w:rsidRPr="002A0038">
        <w:rPr>
          <w:color w:val="4472C4" w:themeColor="accent1"/>
          <w:lang w:eastAsia="zh-CN"/>
        </w:rPr>
        <w:t xml:space="preserve"> </w:t>
      </w:r>
      <w:r w:rsidRPr="002A0038">
        <w:rPr>
          <w:color w:val="4472C4" w:themeColor="accent1"/>
        </w:rPr>
        <w:t xml:space="preserve">with </w:t>
      </w:r>
      <w:r w:rsidR="0007383E">
        <w:rPr>
          <w:color w:val="4472C4" w:themeColor="accent1"/>
        </w:rPr>
        <w:t>AASB </w:t>
      </w:r>
      <w:r w:rsidRPr="002A0038">
        <w:rPr>
          <w:color w:val="4472C4" w:themeColor="accent1"/>
        </w:rPr>
        <w:t>136</w:t>
      </w:r>
    </w:p>
    <w:p w14:paraId="7AA82E68" w14:textId="417CA2FB" w:rsidR="00854BAC" w:rsidRPr="002A0038" w:rsidRDefault="00854BAC" w:rsidP="002A0038">
      <w:pPr>
        <w:pStyle w:val="ListParagraph"/>
        <w:numPr>
          <w:ilvl w:val="0"/>
          <w:numId w:val="335"/>
        </w:numPr>
        <w:spacing w:before="40" w:line="264" w:lineRule="auto"/>
        <w:ind w:left="697" w:hanging="357"/>
        <w:rPr>
          <w:color w:val="4472C4" w:themeColor="accent1"/>
        </w:rPr>
      </w:pPr>
      <w:r w:rsidRPr="002A0038">
        <w:rPr>
          <w:color w:val="4472C4" w:themeColor="accent1"/>
        </w:rPr>
        <w:t>amortisation</w:t>
      </w:r>
    </w:p>
    <w:p w14:paraId="7AB24B5D" w14:textId="739BE88C" w:rsidR="00854BAC" w:rsidRPr="002A0038" w:rsidRDefault="00854BAC" w:rsidP="002A0038">
      <w:pPr>
        <w:pStyle w:val="ListParagraph"/>
        <w:numPr>
          <w:ilvl w:val="0"/>
          <w:numId w:val="335"/>
        </w:numPr>
        <w:spacing w:before="40" w:line="264" w:lineRule="auto"/>
        <w:ind w:left="697" w:hanging="357"/>
        <w:rPr>
          <w:color w:val="4472C4" w:themeColor="accent1"/>
        </w:rPr>
      </w:pPr>
      <w:r w:rsidRPr="002A0038">
        <w:rPr>
          <w:color w:val="4472C4" w:themeColor="accent1"/>
        </w:rPr>
        <w:t xml:space="preserve">impairment losses recognised or reversed in profit or loss in accordance with </w:t>
      </w:r>
      <w:r w:rsidR="0007383E">
        <w:rPr>
          <w:color w:val="4472C4" w:themeColor="accent1"/>
        </w:rPr>
        <w:t>AASB </w:t>
      </w:r>
      <w:r w:rsidRPr="002A0038">
        <w:rPr>
          <w:color w:val="4472C4" w:themeColor="accent1"/>
        </w:rPr>
        <w:t>136;</w:t>
      </w:r>
      <w:r w:rsidRPr="002A0038">
        <w:rPr>
          <w:color w:val="4472C4" w:themeColor="accent1"/>
          <w:lang w:eastAsia="zh-CN"/>
        </w:rPr>
        <w:t xml:space="preserve"> </w:t>
      </w:r>
      <w:r w:rsidRPr="002A0038">
        <w:rPr>
          <w:color w:val="4472C4" w:themeColor="accent1"/>
        </w:rPr>
        <w:t>and</w:t>
      </w:r>
    </w:p>
    <w:p w14:paraId="2502374E" w14:textId="162BADB3" w:rsidR="00854BAC" w:rsidRPr="002A0038" w:rsidRDefault="00854BAC" w:rsidP="002A0038">
      <w:pPr>
        <w:pStyle w:val="ListParagraph"/>
        <w:numPr>
          <w:ilvl w:val="0"/>
          <w:numId w:val="335"/>
        </w:numPr>
        <w:spacing w:before="40" w:line="264" w:lineRule="auto"/>
        <w:ind w:left="697" w:hanging="357"/>
        <w:rPr>
          <w:color w:val="4472C4" w:themeColor="accent1"/>
        </w:rPr>
      </w:pPr>
      <w:r w:rsidRPr="002A0038">
        <w:rPr>
          <w:color w:val="4472C4" w:themeColor="accent1"/>
        </w:rPr>
        <w:t>other changes.</w:t>
      </w:r>
    </w:p>
    <w:p w14:paraId="52B1C3B1" w14:textId="75F9558F" w:rsidR="00854BAC" w:rsidRDefault="00854BAC" w:rsidP="002A0038">
      <w:pPr>
        <w:spacing w:before="40" w:after="0"/>
        <w:rPr>
          <w:rStyle w:val="Guidance"/>
          <w:lang w:eastAsia="zh-CN"/>
        </w:rPr>
      </w:pPr>
      <w:r w:rsidRPr="00854BAC">
        <w:rPr>
          <w:color w:val="4472C4" w:themeColor="accent1"/>
        </w:rPr>
        <w:t>This reconciliation need not be presented for prior periods.</w:t>
      </w:r>
      <w:r w:rsidR="00D969FF">
        <w:rPr>
          <w:rFonts w:hint="eastAsia"/>
          <w:color w:val="4472C4" w:themeColor="accent1"/>
          <w:lang w:eastAsia="zh-CN"/>
        </w:rPr>
        <w:t xml:space="preserve"> </w:t>
      </w:r>
      <w:r w:rsidR="00D969FF" w:rsidRPr="000D2760">
        <w:rPr>
          <w:rStyle w:val="Reference"/>
        </w:rPr>
        <w:t>[</w:t>
      </w:r>
      <w:r w:rsidR="0007383E">
        <w:rPr>
          <w:rStyle w:val="Reference"/>
        </w:rPr>
        <w:t>AASB </w:t>
      </w:r>
      <w:r w:rsidR="00D969FF">
        <w:rPr>
          <w:rStyle w:val="Reference"/>
        </w:rPr>
        <w:t>1060.1</w:t>
      </w:r>
      <w:r w:rsidR="00D969FF">
        <w:rPr>
          <w:rStyle w:val="Reference"/>
          <w:rFonts w:hint="eastAsia"/>
          <w:lang w:eastAsia="zh-CN"/>
        </w:rPr>
        <w:t>37</w:t>
      </w:r>
      <w:r w:rsidR="00D969FF">
        <w:rPr>
          <w:rStyle w:val="Reference"/>
        </w:rPr>
        <w:t>]</w:t>
      </w:r>
    </w:p>
    <w:p w14:paraId="45780BA0" w14:textId="77777777" w:rsidR="00D64908" w:rsidRPr="00DE1C51" w:rsidRDefault="00D64908" w:rsidP="002A0038">
      <w:pPr>
        <w:pStyle w:val="GuidanceHeading"/>
        <w:spacing w:before="120" w:after="0"/>
        <w:rPr>
          <w:rStyle w:val="Guidance"/>
          <w:b w:val="0"/>
          <w:bCs/>
          <w:sz w:val="18"/>
          <w:szCs w:val="16"/>
        </w:rPr>
      </w:pPr>
      <w:r w:rsidRPr="002A0038">
        <w:rPr>
          <w:rStyle w:val="Guidance"/>
          <w:b w:val="0"/>
          <w:bCs/>
          <w:sz w:val="18"/>
          <w:szCs w:val="16"/>
        </w:rPr>
        <w:t>An entity shall also disclose:</w:t>
      </w:r>
    </w:p>
    <w:p w14:paraId="4CB1DD04" w14:textId="65853E83" w:rsidR="00D64908" w:rsidRPr="002A0038" w:rsidRDefault="00D64908" w:rsidP="002A0038">
      <w:pPr>
        <w:pStyle w:val="GuidanceHeading"/>
        <w:numPr>
          <w:ilvl w:val="0"/>
          <w:numId w:val="374"/>
        </w:numPr>
        <w:spacing w:before="40" w:after="0"/>
        <w:ind w:left="357" w:hanging="357"/>
        <w:rPr>
          <w:rStyle w:val="Guidance"/>
          <w:b w:val="0"/>
          <w:bCs/>
          <w:sz w:val="18"/>
          <w:szCs w:val="16"/>
        </w:rPr>
      </w:pPr>
      <w:r w:rsidRPr="002A0038">
        <w:rPr>
          <w:rStyle w:val="Guidance"/>
          <w:b w:val="0"/>
          <w:bCs/>
          <w:sz w:val="18"/>
          <w:szCs w:val="16"/>
        </w:rPr>
        <w:t>a description, the carrying amount and remaining amortisation period of any individual intangible</w:t>
      </w:r>
      <w:r w:rsidRPr="002A0038">
        <w:rPr>
          <w:rStyle w:val="Guidance"/>
          <w:b w:val="0"/>
          <w:bCs/>
          <w:sz w:val="18"/>
          <w:szCs w:val="16"/>
          <w:lang w:eastAsia="zh-CN"/>
        </w:rPr>
        <w:t xml:space="preserve"> </w:t>
      </w:r>
      <w:r w:rsidRPr="002A0038">
        <w:rPr>
          <w:rStyle w:val="Guidance"/>
          <w:b w:val="0"/>
          <w:bCs/>
          <w:sz w:val="18"/>
          <w:szCs w:val="16"/>
        </w:rPr>
        <w:t>asset that is material to the entity’s financial statements</w:t>
      </w:r>
    </w:p>
    <w:p w14:paraId="5C3D93FD" w14:textId="309E91D0" w:rsidR="00D64908" w:rsidRPr="002A0038" w:rsidRDefault="00D64908" w:rsidP="002A0038">
      <w:pPr>
        <w:pStyle w:val="GuidanceHeading"/>
        <w:numPr>
          <w:ilvl w:val="0"/>
          <w:numId w:val="374"/>
        </w:numPr>
        <w:spacing w:before="40" w:after="0"/>
        <w:ind w:left="357" w:hanging="357"/>
        <w:rPr>
          <w:rStyle w:val="Guidance"/>
          <w:b w:val="0"/>
          <w:bCs/>
          <w:sz w:val="18"/>
          <w:szCs w:val="16"/>
        </w:rPr>
      </w:pPr>
      <w:r w:rsidRPr="002A0038">
        <w:rPr>
          <w:rStyle w:val="Guidance"/>
          <w:b w:val="0"/>
          <w:bCs/>
          <w:sz w:val="18"/>
          <w:szCs w:val="16"/>
        </w:rPr>
        <w:t>for intangible assets acquired by way of a government grant and initially recognised at fair value</w:t>
      </w:r>
      <w:r w:rsidRPr="002A0038">
        <w:rPr>
          <w:rStyle w:val="Guidance"/>
          <w:b w:val="0"/>
          <w:bCs/>
          <w:sz w:val="18"/>
          <w:szCs w:val="16"/>
          <w:lang w:eastAsia="zh-CN"/>
        </w:rPr>
        <w:t xml:space="preserve"> </w:t>
      </w:r>
      <w:r w:rsidRPr="002A0038">
        <w:rPr>
          <w:rStyle w:val="Guidance"/>
          <w:b w:val="0"/>
          <w:bCs/>
          <w:sz w:val="18"/>
          <w:szCs w:val="16"/>
        </w:rPr>
        <w:t xml:space="preserve">(see paragraph 44 of </w:t>
      </w:r>
      <w:r w:rsidR="0007383E">
        <w:rPr>
          <w:rStyle w:val="Guidance"/>
          <w:b w:val="0"/>
          <w:bCs/>
          <w:sz w:val="18"/>
          <w:szCs w:val="16"/>
        </w:rPr>
        <w:t>AASB </w:t>
      </w:r>
      <w:r w:rsidRPr="002A0038">
        <w:rPr>
          <w:rStyle w:val="Guidance"/>
          <w:b w:val="0"/>
          <w:bCs/>
          <w:sz w:val="18"/>
          <w:szCs w:val="16"/>
        </w:rPr>
        <w:t>138):</w:t>
      </w:r>
    </w:p>
    <w:p w14:paraId="416343DA" w14:textId="0A1087D9" w:rsidR="00D64908" w:rsidRPr="002A0038" w:rsidRDefault="00D64908" w:rsidP="002A0038">
      <w:pPr>
        <w:pStyle w:val="GuidanceHeading"/>
        <w:numPr>
          <w:ilvl w:val="0"/>
          <w:numId w:val="375"/>
        </w:numPr>
        <w:spacing w:before="40" w:after="0"/>
        <w:ind w:left="697" w:hanging="357"/>
        <w:rPr>
          <w:rStyle w:val="Guidance"/>
          <w:b w:val="0"/>
          <w:bCs/>
          <w:sz w:val="18"/>
          <w:szCs w:val="16"/>
        </w:rPr>
      </w:pPr>
      <w:r w:rsidRPr="002A0038">
        <w:rPr>
          <w:rStyle w:val="Guidance"/>
          <w:b w:val="0"/>
          <w:bCs/>
          <w:sz w:val="18"/>
          <w:szCs w:val="16"/>
        </w:rPr>
        <w:t>the fair value initially recognised for these assets; and</w:t>
      </w:r>
    </w:p>
    <w:p w14:paraId="182ECE1A" w14:textId="373833B9" w:rsidR="00D64908" w:rsidRPr="002A0038" w:rsidRDefault="00D64908" w:rsidP="002A0038">
      <w:pPr>
        <w:pStyle w:val="GuidanceHeading"/>
        <w:numPr>
          <w:ilvl w:val="0"/>
          <w:numId w:val="375"/>
        </w:numPr>
        <w:spacing w:before="40" w:after="0"/>
        <w:ind w:left="697" w:hanging="357"/>
        <w:rPr>
          <w:rStyle w:val="Guidance"/>
          <w:b w:val="0"/>
          <w:bCs/>
          <w:sz w:val="18"/>
          <w:szCs w:val="16"/>
        </w:rPr>
      </w:pPr>
      <w:r w:rsidRPr="002A0038">
        <w:rPr>
          <w:rStyle w:val="Guidance"/>
          <w:b w:val="0"/>
          <w:bCs/>
          <w:sz w:val="18"/>
          <w:szCs w:val="16"/>
        </w:rPr>
        <w:t xml:space="preserve">their carrying </w:t>
      </w:r>
      <w:proofErr w:type="gramStart"/>
      <w:r w:rsidRPr="002A0038">
        <w:rPr>
          <w:rStyle w:val="Guidance"/>
          <w:b w:val="0"/>
          <w:bCs/>
          <w:sz w:val="18"/>
          <w:szCs w:val="16"/>
        </w:rPr>
        <w:t>amounts;</w:t>
      </w:r>
      <w:proofErr w:type="gramEnd"/>
    </w:p>
    <w:p w14:paraId="23A00547" w14:textId="43BC24CC" w:rsidR="00D64908" w:rsidRPr="002A0038" w:rsidRDefault="00D64908" w:rsidP="002A0038">
      <w:pPr>
        <w:pStyle w:val="GuidanceHeading"/>
        <w:numPr>
          <w:ilvl w:val="0"/>
          <w:numId w:val="374"/>
        </w:numPr>
        <w:spacing w:before="40" w:after="0"/>
        <w:ind w:left="357" w:hanging="357"/>
        <w:rPr>
          <w:rStyle w:val="Guidance"/>
          <w:b w:val="0"/>
          <w:bCs/>
          <w:sz w:val="18"/>
          <w:szCs w:val="16"/>
        </w:rPr>
      </w:pPr>
      <w:r w:rsidRPr="002A0038">
        <w:rPr>
          <w:rStyle w:val="Guidance"/>
          <w:b w:val="0"/>
          <w:bCs/>
          <w:sz w:val="18"/>
          <w:szCs w:val="16"/>
        </w:rPr>
        <w:t>the existence and carrying amounts of intangible assets to which the entity has restricted title or</w:t>
      </w:r>
      <w:r w:rsidRPr="002A0038">
        <w:rPr>
          <w:rStyle w:val="Guidance"/>
          <w:b w:val="0"/>
          <w:bCs/>
          <w:sz w:val="18"/>
          <w:szCs w:val="16"/>
          <w:lang w:eastAsia="zh-CN"/>
        </w:rPr>
        <w:t xml:space="preserve"> </w:t>
      </w:r>
      <w:r w:rsidRPr="002A0038">
        <w:rPr>
          <w:rStyle w:val="Guidance"/>
          <w:b w:val="0"/>
          <w:bCs/>
          <w:sz w:val="18"/>
          <w:szCs w:val="16"/>
        </w:rPr>
        <w:t>that are pledged as security for liabilities</w:t>
      </w:r>
    </w:p>
    <w:p w14:paraId="78C8B3BA" w14:textId="6D5F825E" w:rsidR="00D64908" w:rsidRPr="002A0038" w:rsidRDefault="00D64908" w:rsidP="002A0038">
      <w:pPr>
        <w:pStyle w:val="GuidanceHeading"/>
        <w:numPr>
          <w:ilvl w:val="0"/>
          <w:numId w:val="374"/>
        </w:numPr>
        <w:spacing w:before="40" w:after="0"/>
        <w:ind w:left="357" w:hanging="357"/>
        <w:rPr>
          <w:rStyle w:val="Guidance"/>
          <w:sz w:val="18"/>
          <w:szCs w:val="16"/>
        </w:rPr>
      </w:pPr>
      <w:r w:rsidRPr="002A0038">
        <w:rPr>
          <w:rStyle w:val="Guidance"/>
          <w:b w:val="0"/>
          <w:bCs/>
          <w:sz w:val="18"/>
          <w:szCs w:val="16"/>
        </w:rPr>
        <w:t xml:space="preserve">the </w:t>
      </w:r>
      <w:proofErr w:type="gramStart"/>
      <w:r w:rsidRPr="002A0038">
        <w:rPr>
          <w:rStyle w:val="Guidance"/>
          <w:b w:val="0"/>
          <w:bCs/>
          <w:sz w:val="18"/>
          <w:szCs w:val="16"/>
        </w:rPr>
        <w:t>amount</w:t>
      </w:r>
      <w:proofErr w:type="gramEnd"/>
      <w:r w:rsidRPr="002A0038">
        <w:rPr>
          <w:rStyle w:val="Guidance"/>
          <w:b w:val="0"/>
          <w:bCs/>
          <w:sz w:val="18"/>
          <w:szCs w:val="16"/>
        </w:rPr>
        <w:t xml:space="preserve"> of contractual commitments for the acquisition of intangible assets</w:t>
      </w:r>
      <w:r w:rsidRPr="002A0038">
        <w:rPr>
          <w:rStyle w:val="Guidance"/>
          <w:sz w:val="18"/>
          <w:szCs w:val="16"/>
        </w:rPr>
        <w:t>.</w:t>
      </w:r>
      <w:r>
        <w:rPr>
          <w:rStyle w:val="Guidance"/>
          <w:rFonts w:hint="eastAsia"/>
          <w:sz w:val="18"/>
          <w:szCs w:val="16"/>
          <w:lang w:eastAsia="zh-CN"/>
        </w:rPr>
        <w:t xml:space="preserve"> </w:t>
      </w:r>
      <w:r w:rsidRPr="002A0038">
        <w:rPr>
          <w:rStyle w:val="Reference"/>
          <w:b w:val="0"/>
        </w:rPr>
        <w:t>[</w:t>
      </w:r>
      <w:r w:rsidR="0007383E">
        <w:rPr>
          <w:rStyle w:val="Reference"/>
          <w:b w:val="0"/>
        </w:rPr>
        <w:t>AASB </w:t>
      </w:r>
      <w:r w:rsidRPr="002A0038">
        <w:rPr>
          <w:rStyle w:val="Reference"/>
          <w:b w:val="0"/>
        </w:rPr>
        <w:t>1060.13</w:t>
      </w:r>
      <w:r>
        <w:rPr>
          <w:rStyle w:val="Reference"/>
          <w:rFonts w:hint="eastAsia"/>
          <w:b w:val="0"/>
          <w:lang w:eastAsia="zh-CN"/>
        </w:rPr>
        <w:t>8</w:t>
      </w:r>
      <w:r w:rsidRPr="002A0038">
        <w:rPr>
          <w:rStyle w:val="Reference"/>
          <w:b w:val="0"/>
        </w:rPr>
        <w:t>]</w:t>
      </w:r>
    </w:p>
    <w:p w14:paraId="743B4365" w14:textId="5649CB30" w:rsidR="003719CD" w:rsidRPr="00837B94" w:rsidRDefault="003719CD" w:rsidP="002A0038">
      <w:pPr>
        <w:spacing w:before="120" w:after="0"/>
        <w:rPr>
          <w:rStyle w:val="Guidance"/>
          <w:b/>
          <w:sz w:val="20"/>
        </w:rPr>
      </w:pPr>
      <w:r w:rsidRPr="00837B94">
        <w:rPr>
          <w:rStyle w:val="Guidance"/>
        </w:rPr>
        <w:t xml:space="preserve">An entity shall disclose, for an intangible asset assessed as having an indefinite useful life, the carrying amount of that asset and the reasons supporting the assessment of an indefinite useful life. In giving these reasons, the entity shall describe the factor(s) that played a significant role in determining that the asset has an indefinite useful life. </w:t>
      </w:r>
      <w:r w:rsidRPr="000D2760">
        <w:rPr>
          <w:rStyle w:val="Reference"/>
        </w:rPr>
        <w:t>[</w:t>
      </w:r>
      <w:r w:rsidR="0007383E">
        <w:rPr>
          <w:rStyle w:val="Reference"/>
        </w:rPr>
        <w:t>AASB </w:t>
      </w:r>
      <w:r w:rsidR="00A72E32">
        <w:rPr>
          <w:rStyle w:val="Reference"/>
        </w:rPr>
        <w:t>1060.141]</w:t>
      </w:r>
    </w:p>
    <w:bookmarkEnd w:id="2326"/>
    <w:p w14:paraId="738AF8D6" w14:textId="77777777" w:rsidR="003719CD" w:rsidRDefault="003719CD" w:rsidP="007D536F">
      <w:pPr>
        <w:pStyle w:val="GuidanceEnd"/>
      </w:pPr>
    </w:p>
    <w:p w14:paraId="66288D17" w14:textId="77777777" w:rsidR="00B63CF5" w:rsidRDefault="00B63CF5" w:rsidP="00A80494">
      <w:pPr>
        <w:pStyle w:val="Heading1numbered"/>
        <w:sectPr w:rsidR="00B63CF5" w:rsidSect="00B63CF5">
          <w:headerReference w:type="even" r:id="rId94"/>
          <w:headerReference w:type="default" r:id="rId95"/>
          <w:footerReference w:type="default" r:id="rId96"/>
          <w:footerReference w:type="first" r:id="rId97"/>
          <w:pgSz w:w="11906" w:h="16838" w:code="9"/>
          <w:pgMar w:top="1134" w:right="1134" w:bottom="1134" w:left="1134" w:header="624" w:footer="397" w:gutter="0"/>
          <w:cols w:space="708"/>
          <w:titlePg/>
          <w:docGrid w:linePitch="360"/>
        </w:sectPr>
      </w:pPr>
      <w:bookmarkStart w:id="3355" w:name="_Toc179807221"/>
      <w:bookmarkStart w:id="3356" w:name="_Toc179812876"/>
      <w:bookmarkStart w:id="3357" w:name="_Toc179818576"/>
      <w:bookmarkStart w:id="3358" w:name="_Toc179824276"/>
      <w:bookmarkStart w:id="3359" w:name="_Toc179829950"/>
      <w:bookmarkStart w:id="3360" w:name="_Toc179861480"/>
      <w:bookmarkStart w:id="3361" w:name="_Toc179866625"/>
      <w:bookmarkStart w:id="3362" w:name="_Toc179868799"/>
      <w:bookmarkStart w:id="3363" w:name="_Toc179873192"/>
      <w:bookmarkStart w:id="3364" w:name="_Toc179877585"/>
      <w:bookmarkStart w:id="3365" w:name="_Toc179807222"/>
      <w:bookmarkStart w:id="3366" w:name="_Toc179812877"/>
      <w:bookmarkStart w:id="3367" w:name="_Toc179818577"/>
      <w:bookmarkStart w:id="3368" w:name="_Toc179824277"/>
      <w:bookmarkStart w:id="3369" w:name="_Toc179829951"/>
      <w:bookmarkStart w:id="3370" w:name="_Toc179861481"/>
      <w:bookmarkStart w:id="3371" w:name="_Toc179866626"/>
      <w:bookmarkStart w:id="3372" w:name="_Toc179868800"/>
      <w:bookmarkStart w:id="3373" w:name="_Toc179873193"/>
      <w:bookmarkStart w:id="3374" w:name="_Toc179877586"/>
      <w:bookmarkStart w:id="3375" w:name="_Toc179807223"/>
      <w:bookmarkStart w:id="3376" w:name="_Toc179812878"/>
      <w:bookmarkStart w:id="3377" w:name="_Toc179818578"/>
      <w:bookmarkStart w:id="3378" w:name="_Toc179824278"/>
      <w:bookmarkStart w:id="3379" w:name="_Toc179829952"/>
      <w:bookmarkStart w:id="3380" w:name="_Toc179861482"/>
      <w:bookmarkStart w:id="3381" w:name="_Toc179866627"/>
      <w:bookmarkStart w:id="3382" w:name="_Toc179868801"/>
      <w:bookmarkStart w:id="3383" w:name="_Toc179873194"/>
      <w:bookmarkStart w:id="3384" w:name="_Toc179877587"/>
      <w:bookmarkStart w:id="3385" w:name="_Toc179807224"/>
      <w:bookmarkStart w:id="3386" w:name="_Toc179812879"/>
      <w:bookmarkStart w:id="3387" w:name="_Toc179818579"/>
      <w:bookmarkStart w:id="3388" w:name="_Toc179824279"/>
      <w:bookmarkStart w:id="3389" w:name="_Toc179829953"/>
      <w:bookmarkStart w:id="3390" w:name="_Toc179861483"/>
      <w:bookmarkStart w:id="3391" w:name="_Toc179866628"/>
      <w:bookmarkStart w:id="3392" w:name="_Toc179868802"/>
      <w:bookmarkStart w:id="3393" w:name="_Toc179873195"/>
      <w:bookmarkStart w:id="3394" w:name="_Toc179877588"/>
      <w:bookmarkStart w:id="3395" w:name="_Toc179807225"/>
      <w:bookmarkStart w:id="3396" w:name="_Toc179812880"/>
      <w:bookmarkStart w:id="3397" w:name="_Toc179818580"/>
      <w:bookmarkStart w:id="3398" w:name="_Toc179824280"/>
      <w:bookmarkStart w:id="3399" w:name="_Toc179829954"/>
      <w:bookmarkStart w:id="3400" w:name="_Toc179861484"/>
      <w:bookmarkStart w:id="3401" w:name="_Toc179866629"/>
      <w:bookmarkStart w:id="3402" w:name="_Toc179868803"/>
      <w:bookmarkStart w:id="3403" w:name="_Toc179873196"/>
      <w:bookmarkStart w:id="3404" w:name="_Toc179877589"/>
      <w:bookmarkStart w:id="3405" w:name="_Toc179807226"/>
      <w:bookmarkStart w:id="3406" w:name="_Toc179812881"/>
      <w:bookmarkStart w:id="3407" w:name="_Toc179818581"/>
      <w:bookmarkStart w:id="3408" w:name="_Toc179824281"/>
      <w:bookmarkStart w:id="3409" w:name="_Toc179829955"/>
      <w:bookmarkStart w:id="3410" w:name="_Toc179861485"/>
      <w:bookmarkStart w:id="3411" w:name="_Toc179866630"/>
      <w:bookmarkStart w:id="3412" w:name="_Toc179868804"/>
      <w:bookmarkStart w:id="3413" w:name="_Toc179873197"/>
      <w:bookmarkStart w:id="3414" w:name="_Toc179877590"/>
      <w:bookmarkStart w:id="3415" w:name="_Toc179807334"/>
      <w:bookmarkStart w:id="3416" w:name="_Toc179812989"/>
      <w:bookmarkStart w:id="3417" w:name="_Toc179818689"/>
      <w:bookmarkStart w:id="3418" w:name="_Toc179824389"/>
      <w:bookmarkStart w:id="3419" w:name="_Toc179830063"/>
      <w:bookmarkStart w:id="3420" w:name="_Toc179861593"/>
      <w:bookmarkStart w:id="3421" w:name="_Toc179866738"/>
      <w:bookmarkStart w:id="3422" w:name="_Toc179868912"/>
      <w:bookmarkStart w:id="3423" w:name="_Toc179873305"/>
      <w:bookmarkStart w:id="3424" w:name="_Toc179877698"/>
      <w:bookmarkStart w:id="3425" w:name="_Toc179807335"/>
      <w:bookmarkStart w:id="3426" w:name="_Toc179812990"/>
      <w:bookmarkStart w:id="3427" w:name="_Toc179818690"/>
      <w:bookmarkStart w:id="3428" w:name="_Toc179824390"/>
      <w:bookmarkStart w:id="3429" w:name="_Toc179830064"/>
      <w:bookmarkStart w:id="3430" w:name="_Toc179861594"/>
      <w:bookmarkStart w:id="3431" w:name="_Toc179866739"/>
      <w:bookmarkStart w:id="3432" w:name="_Toc179868913"/>
      <w:bookmarkStart w:id="3433" w:name="_Toc179873306"/>
      <w:bookmarkStart w:id="3434" w:name="_Toc179877699"/>
      <w:bookmarkStart w:id="3435" w:name="_Toc179807336"/>
      <w:bookmarkStart w:id="3436" w:name="_Toc179812991"/>
      <w:bookmarkStart w:id="3437" w:name="_Toc179818691"/>
      <w:bookmarkStart w:id="3438" w:name="_Toc179824391"/>
      <w:bookmarkStart w:id="3439" w:name="_Toc179830065"/>
      <w:bookmarkStart w:id="3440" w:name="_Toc179861595"/>
      <w:bookmarkStart w:id="3441" w:name="_Toc179866740"/>
      <w:bookmarkStart w:id="3442" w:name="_Toc179868914"/>
      <w:bookmarkStart w:id="3443" w:name="_Toc179873307"/>
      <w:bookmarkStart w:id="3444" w:name="_Toc179877700"/>
      <w:bookmarkStart w:id="3445" w:name="_Toc179807337"/>
      <w:bookmarkStart w:id="3446" w:name="_Toc179812992"/>
      <w:bookmarkStart w:id="3447" w:name="_Toc179818692"/>
      <w:bookmarkStart w:id="3448" w:name="_Toc179824392"/>
      <w:bookmarkStart w:id="3449" w:name="_Toc179830066"/>
      <w:bookmarkStart w:id="3450" w:name="_Toc179861596"/>
      <w:bookmarkStart w:id="3451" w:name="_Toc179866741"/>
      <w:bookmarkStart w:id="3452" w:name="_Toc179868915"/>
      <w:bookmarkStart w:id="3453" w:name="_Toc179873308"/>
      <w:bookmarkStart w:id="3454" w:name="_Toc179877701"/>
      <w:bookmarkStart w:id="3455" w:name="_Toc179807338"/>
      <w:bookmarkStart w:id="3456" w:name="_Toc179812993"/>
      <w:bookmarkStart w:id="3457" w:name="_Toc179818693"/>
      <w:bookmarkStart w:id="3458" w:name="_Toc179824393"/>
      <w:bookmarkStart w:id="3459" w:name="_Toc179830067"/>
      <w:bookmarkStart w:id="3460" w:name="_Toc179861597"/>
      <w:bookmarkStart w:id="3461" w:name="_Toc179866742"/>
      <w:bookmarkStart w:id="3462" w:name="_Toc179868916"/>
      <w:bookmarkStart w:id="3463" w:name="_Toc179873309"/>
      <w:bookmarkStart w:id="3464" w:name="_Toc179877702"/>
      <w:bookmarkStart w:id="3465" w:name="_Toc179807438"/>
      <w:bookmarkStart w:id="3466" w:name="_Toc179813093"/>
      <w:bookmarkStart w:id="3467" w:name="_Toc179818793"/>
      <w:bookmarkStart w:id="3468" w:name="_Toc179824493"/>
      <w:bookmarkStart w:id="3469" w:name="_Toc179830167"/>
      <w:bookmarkStart w:id="3470" w:name="_Toc179861697"/>
      <w:bookmarkStart w:id="3471" w:name="_Toc179866842"/>
      <w:bookmarkStart w:id="3472" w:name="_Toc179869016"/>
      <w:bookmarkStart w:id="3473" w:name="_Toc179873409"/>
      <w:bookmarkStart w:id="3474" w:name="_Toc179877802"/>
      <w:bookmarkStart w:id="3475" w:name="_Toc179807439"/>
      <w:bookmarkStart w:id="3476" w:name="_Toc179813094"/>
      <w:bookmarkStart w:id="3477" w:name="_Toc179818794"/>
      <w:bookmarkStart w:id="3478" w:name="_Toc179824494"/>
      <w:bookmarkStart w:id="3479" w:name="_Toc179830168"/>
      <w:bookmarkStart w:id="3480" w:name="_Toc179861698"/>
      <w:bookmarkStart w:id="3481" w:name="_Toc179866843"/>
      <w:bookmarkStart w:id="3482" w:name="_Toc179869017"/>
      <w:bookmarkStart w:id="3483" w:name="_Toc179873410"/>
      <w:bookmarkStart w:id="3484" w:name="_Toc179877803"/>
      <w:bookmarkStart w:id="3485" w:name="_Toc179807440"/>
      <w:bookmarkStart w:id="3486" w:name="_Toc179813095"/>
      <w:bookmarkStart w:id="3487" w:name="_Toc179818795"/>
      <w:bookmarkStart w:id="3488" w:name="_Toc179824495"/>
      <w:bookmarkStart w:id="3489" w:name="_Toc179830169"/>
      <w:bookmarkStart w:id="3490" w:name="_Toc179861699"/>
      <w:bookmarkStart w:id="3491" w:name="_Toc179866844"/>
      <w:bookmarkStart w:id="3492" w:name="_Toc179869018"/>
      <w:bookmarkStart w:id="3493" w:name="_Toc179873411"/>
      <w:bookmarkStart w:id="3494" w:name="_Toc179877804"/>
      <w:bookmarkStart w:id="3495" w:name="_Toc179807441"/>
      <w:bookmarkStart w:id="3496" w:name="_Toc179813096"/>
      <w:bookmarkStart w:id="3497" w:name="_Toc179818796"/>
      <w:bookmarkStart w:id="3498" w:name="_Toc179824496"/>
      <w:bookmarkStart w:id="3499" w:name="_Toc179830170"/>
      <w:bookmarkStart w:id="3500" w:name="_Toc179861700"/>
      <w:bookmarkStart w:id="3501" w:name="_Toc179866845"/>
      <w:bookmarkStart w:id="3502" w:name="_Toc179869019"/>
      <w:bookmarkStart w:id="3503" w:name="_Toc179873412"/>
      <w:bookmarkStart w:id="3504" w:name="_Toc179877805"/>
      <w:bookmarkStart w:id="3505" w:name="_Toc179807442"/>
      <w:bookmarkStart w:id="3506" w:name="_Toc179813097"/>
      <w:bookmarkStart w:id="3507" w:name="_Toc179818797"/>
      <w:bookmarkStart w:id="3508" w:name="_Toc179824497"/>
      <w:bookmarkStart w:id="3509" w:name="_Toc179830171"/>
      <w:bookmarkStart w:id="3510" w:name="_Toc179861701"/>
      <w:bookmarkStart w:id="3511" w:name="_Toc179866846"/>
      <w:bookmarkStart w:id="3512" w:name="_Toc179869020"/>
      <w:bookmarkStart w:id="3513" w:name="_Toc179873413"/>
      <w:bookmarkStart w:id="3514" w:name="_Toc179877806"/>
      <w:bookmarkStart w:id="3515" w:name="_Toc179807443"/>
      <w:bookmarkStart w:id="3516" w:name="_Toc179813098"/>
      <w:bookmarkStart w:id="3517" w:name="_Toc179818798"/>
      <w:bookmarkStart w:id="3518" w:name="_Toc179824498"/>
      <w:bookmarkStart w:id="3519" w:name="_Toc179830172"/>
      <w:bookmarkStart w:id="3520" w:name="_Toc179861702"/>
      <w:bookmarkStart w:id="3521" w:name="_Toc179866847"/>
      <w:bookmarkStart w:id="3522" w:name="_Toc179869021"/>
      <w:bookmarkStart w:id="3523" w:name="_Toc179873414"/>
      <w:bookmarkStart w:id="3524" w:name="_Toc179877807"/>
      <w:bookmarkStart w:id="3525" w:name="_Toc179807444"/>
      <w:bookmarkStart w:id="3526" w:name="_Toc179813099"/>
      <w:bookmarkStart w:id="3527" w:name="_Toc179818799"/>
      <w:bookmarkStart w:id="3528" w:name="_Toc179824499"/>
      <w:bookmarkStart w:id="3529" w:name="_Toc179830173"/>
      <w:bookmarkStart w:id="3530" w:name="_Toc179861703"/>
      <w:bookmarkStart w:id="3531" w:name="_Toc179866848"/>
      <w:bookmarkStart w:id="3532" w:name="_Toc179869022"/>
      <w:bookmarkStart w:id="3533" w:name="_Toc179873415"/>
      <w:bookmarkStart w:id="3534" w:name="_Toc179877808"/>
      <w:bookmarkStart w:id="3535" w:name="_Toc179807445"/>
      <w:bookmarkStart w:id="3536" w:name="_Toc179813100"/>
      <w:bookmarkStart w:id="3537" w:name="_Toc179818800"/>
      <w:bookmarkStart w:id="3538" w:name="_Toc179824500"/>
      <w:bookmarkStart w:id="3539" w:name="_Toc179830174"/>
      <w:bookmarkStart w:id="3540" w:name="_Toc179861704"/>
      <w:bookmarkStart w:id="3541" w:name="_Toc179866849"/>
      <w:bookmarkStart w:id="3542" w:name="_Toc179869023"/>
      <w:bookmarkStart w:id="3543" w:name="_Toc179873416"/>
      <w:bookmarkStart w:id="3544" w:name="_Toc179877809"/>
      <w:bookmarkStart w:id="3545" w:name="_Toc179807446"/>
      <w:bookmarkStart w:id="3546" w:name="_Toc179813101"/>
      <w:bookmarkStart w:id="3547" w:name="_Toc179818801"/>
      <w:bookmarkStart w:id="3548" w:name="_Toc179824501"/>
      <w:bookmarkStart w:id="3549" w:name="_Toc179830175"/>
      <w:bookmarkStart w:id="3550" w:name="_Toc179861705"/>
      <w:bookmarkStart w:id="3551" w:name="_Toc179866850"/>
      <w:bookmarkStart w:id="3552" w:name="_Toc179869024"/>
      <w:bookmarkStart w:id="3553" w:name="_Toc179873417"/>
      <w:bookmarkStart w:id="3554" w:name="_Toc179877810"/>
      <w:bookmarkStart w:id="3555" w:name="_Toc179807447"/>
      <w:bookmarkStart w:id="3556" w:name="_Toc179813102"/>
      <w:bookmarkStart w:id="3557" w:name="_Toc179818802"/>
      <w:bookmarkStart w:id="3558" w:name="_Toc179824502"/>
      <w:bookmarkStart w:id="3559" w:name="_Toc179830176"/>
      <w:bookmarkStart w:id="3560" w:name="_Toc179861706"/>
      <w:bookmarkStart w:id="3561" w:name="_Toc179866851"/>
      <w:bookmarkStart w:id="3562" w:name="_Toc179869025"/>
      <w:bookmarkStart w:id="3563" w:name="_Toc179873418"/>
      <w:bookmarkStart w:id="3564" w:name="_Toc179877811"/>
      <w:bookmarkStart w:id="3565" w:name="_Toc179807448"/>
      <w:bookmarkStart w:id="3566" w:name="_Toc179813103"/>
      <w:bookmarkStart w:id="3567" w:name="_Toc179818803"/>
      <w:bookmarkStart w:id="3568" w:name="_Toc179824503"/>
      <w:bookmarkStart w:id="3569" w:name="_Toc179830177"/>
      <w:bookmarkStart w:id="3570" w:name="_Toc179861707"/>
      <w:bookmarkStart w:id="3571" w:name="_Toc179866852"/>
      <w:bookmarkStart w:id="3572" w:name="_Toc179869026"/>
      <w:bookmarkStart w:id="3573" w:name="_Toc179873419"/>
      <w:bookmarkStart w:id="3574" w:name="_Toc179877812"/>
      <w:bookmarkStart w:id="3575" w:name="_Toc179807449"/>
      <w:bookmarkStart w:id="3576" w:name="_Toc179813104"/>
      <w:bookmarkStart w:id="3577" w:name="_Toc179818804"/>
      <w:bookmarkStart w:id="3578" w:name="_Toc179824504"/>
      <w:bookmarkStart w:id="3579" w:name="_Toc179830178"/>
      <w:bookmarkStart w:id="3580" w:name="_Toc179861708"/>
      <w:bookmarkStart w:id="3581" w:name="_Toc179866853"/>
      <w:bookmarkStart w:id="3582" w:name="_Toc179869027"/>
      <w:bookmarkStart w:id="3583" w:name="_Toc179873420"/>
      <w:bookmarkStart w:id="3584" w:name="_Toc179877813"/>
      <w:bookmarkStart w:id="3585" w:name="_Toc179813105"/>
      <w:bookmarkStart w:id="3586" w:name="_Toc179818805"/>
      <w:bookmarkStart w:id="3587" w:name="_Toc179824505"/>
      <w:bookmarkStart w:id="3588" w:name="_Toc179830179"/>
      <w:bookmarkStart w:id="3589" w:name="_Toc179861709"/>
      <w:bookmarkStart w:id="3590" w:name="_Toc179869028"/>
      <w:bookmarkStart w:id="3591" w:name="_Toc179873421"/>
      <w:bookmarkStart w:id="3592" w:name="_Toc179877814"/>
      <w:bookmarkStart w:id="3593" w:name="_Toc179880277"/>
      <w:bookmarkStart w:id="3594" w:name="_Toc179880315"/>
      <w:bookmarkStart w:id="3595" w:name="Section_5"/>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p>
    <w:p w14:paraId="268A52ED" w14:textId="77777777" w:rsidR="003719CD" w:rsidRDefault="003719CD" w:rsidP="00A80494">
      <w:pPr>
        <w:pStyle w:val="Heading1numbered"/>
      </w:pPr>
      <w:r>
        <w:t>OTHER ASSETS AND LIABILITIES</w:t>
      </w:r>
      <w:bookmarkEnd w:id="3585"/>
      <w:bookmarkEnd w:id="3586"/>
      <w:bookmarkEnd w:id="3587"/>
      <w:bookmarkEnd w:id="3588"/>
      <w:bookmarkEnd w:id="3589"/>
      <w:bookmarkEnd w:id="3590"/>
      <w:bookmarkEnd w:id="3591"/>
      <w:bookmarkEnd w:id="3592"/>
      <w:bookmarkEnd w:id="3593"/>
      <w:bookmarkEnd w:id="3594"/>
    </w:p>
    <w:p w14:paraId="40D12D9C" w14:textId="0874A6C6" w:rsidR="009B3701" w:rsidRPr="009B3701" w:rsidRDefault="009B3701" w:rsidP="009B3701">
      <w:pPr>
        <w:sectPr w:rsidR="009B3701" w:rsidRPr="009B3701" w:rsidSect="00B63CF5">
          <w:headerReference w:type="default" r:id="rId98"/>
          <w:headerReference w:type="first" r:id="rId99"/>
          <w:pgSz w:w="11906" w:h="16838" w:code="9"/>
          <w:pgMar w:top="1134" w:right="1134" w:bottom="1134" w:left="1134" w:header="624" w:footer="397" w:gutter="0"/>
          <w:cols w:space="708"/>
          <w:docGrid w:linePitch="360"/>
        </w:sectPr>
      </w:pPr>
    </w:p>
    <w:p w14:paraId="33CF8248" w14:textId="77777777" w:rsidR="003719CD" w:rsidRDefault="003719CD" w:rsidP="007D536F">
      <w:pPr>
        <w:pStyle w:val="Heading3"/>
      </w:pPr>
      <w:bookmarkStart w:id="3596" w:name="_Toc179813106"/>
      <w:bookmarkStart w:id="3597" w:name="_Toc179818806"/>
      <w:bookmarkStart w:id="3598" w:name="_Toc179824506"/>
      <w:bookmarkStart w:id="3599" w:name="_Toc179830180"/>
      <w:bookmarkStart w:id="3600" w:name="_Toc179861710"/>
      <w:r>
        <w:t>Introduction</w:t>
      </w:r>
      <w:bookmarkEnd w:id="3596"/>
      <w:bookmarkEnd w:id="3597"/>
      <w:bookmarkEnd w:id="3598"/>
      <w:bookmarkEnd w:id="3599"/>
      <w:bookmarkEnd w:id="3600"/>
    </w:p>
    <w:p w14:paraId="3AC5C379" w14:textId="026D9D1E" w:rsidR="003719CD" w:rsidRDefault="003719CD" w:rsidP="00DC39DE">
      <w:r>
        <w:t xml:space="preserve">This section sets out those assets and liabilities that arose from </w:t>
      </w:r>
      <w:r w:rsidR="006B48BC">
        <w:t>TV</w:t>
      </w:r>
      <w:r w:rsidRPr="00BE2BB0">
        <w:t>’s</w:t>
      </w:r>
      <w:r>
        <w:t xml:space="preserve"> controlled operations. </w:t>
      </w:r>
    </w:p>
    <w:p w14:paraId="4FE8BF17" w14:textId="77777777" w:rsidR="003719CD" w:rsidRDefault="003719CD" w:rsidP="00DC39DE">
      <w:r>
        <w:t xml:space="preserve"> </w:t>
      </w:r>
    </w:p>
    <w:p w14:paraId="2EF7AFCC" w14:textId="77777777" w:rsidR="003719CD" w:rsidRDefault="003719CD" w:rsidP="007D536F">
      <w:pPr>
        <w:pStyle w:val="Heading3"/>
      </w:pPr>
      <w:r>
        <w:br w:type="column"/>
      </w:r>
      <w:bookmarkStart w:id="3601" w:name="_Toc179813107"/>
      <w:bookmarkStart w:id="3602" w:name="_Toc179818807"/>
      <w:bookmarkStart w:id="3603" w:name="_Toc179824507"/>
      <w:bookmarkStart w:id="3604" w:name="_Toc179830181"/>
      <w:bookmarkStart w:id="3605" w:name="_Toc179861711"/>
      <w:r>
        <w:t>Structure</w:t>
      </w:r>
      <w:bookmarkEnd w:id="3601"/>
      <w:bookmarkEnd w:id="3602"/>
      <w:bookmarkEnd w:id="3603"/>
      <w:bookmarkEnd w:id="3604"/>
      <w:bookmarkEnd w:id="3605"/>
    </w:p>
    <w:p w14:paraId="60454789" w14:textId="5BAF6A0E" w:rsidR="00762BB8" w:rsidRDefault="00762BB8">
      <w:pPr>
        <w:pStyle w:val="TOC9"/>
        <w:rPr>
          <w:noProof/>
          <w:kern w:val="2"/>
          <w:sz w:val="24"/>
          <w:szCs w:val="24"/>
          <w14:ligatures w14:val="standardContextual"/>
        </w:rPr>
      </w:pPr>
      <w:r w:rsidRPr="00940E38">
        <w:fldChar w:fldCharType="begin"/>
      </w:r>
      <w:r w:rsidRPr="00940E38">
        <w:instrText xml:space="preserve"> TOC \h \z \t "Heading 2 </w:instrText>
      </w:r>
      <w:r>
        <w:instrText>numbered</w:instrText>
      </w:r>
      <w:r w:rsidRPr="00940E38">
        <w:instrText>,9" \b Section</w:instrText>
      </w:r>
      <w:r>
        <w:instrText>_5</w:instrText>
      </w:r>
      <w:r w:rsidRPr="00940E38">
        <w:instrText xml:space="preserve"> \* MERGEFORMAT </w:instrText>
      </w:r>
      <w:r w:rsidRPr="00940E38">
        <w:fldChar w:fldCharType="separate"/>
      </w:r>
      <w:hyperlink w:anchor="_Toc190340844" w:history="1">
        <w:r w:rsidRPr="0060167E">
          <w:rPr>
            <w:rStyle w:val="Hyperlink"/>
            <w:noProof/>
          </w:rPr>
          <w:t>5.1</w:t>
        </w:r>
        <w:r>
          <w:rPr>
            <w:noProof/>
            <w:kern w:val="2"/>
            <w:sz w:val="24"/>
            <w:szCs w:val="24"/>
            <w14:ligatures w14:val="standardContextual"/>
          </w:rPr>
          <w:tab/>
        </w:r>
        <w:r w:rsidRPr="0060167E">
          <w:rPr>
            <w:rStyle w:val="Hyperlink"/>
            <w:rFonts w:eastAsia="SimHei"/>
            <w:noProof/>
            <w:lang w:eastAsia="zh-CN"/>
          </w:rPr>
          <w:t>Other assets</w:t>
        </w:r>
        <w:r>
          <w:rPr>
            <w:noProof/>
            <w:webHidden/>
          </w:rPr>
          <w:tab/>
        </w:r>
        <w:r>
          <w:rPr>
            <w:noProof/>
            <w:webHidden/>
          </w:rPr>
          <w:fldChar w:fldCharType="begin"/>
        </w:r>
        <w:r>
          <w:rPr>
            <w:noProof/>
            <w:webHidden/>
          </w:rPr>
          <w:instrText xml:space="preserve"> PAGEREF _Toc190340844 \h </w:instrText>
        </w:r>
        <w:r>
          <w:rPr>
            <w:noProof/>
            <w:webHidden/>
          </w:rPr>
        </w:r>
        <w:r>
          <w:rPr>
            <w:noProof/>
            <w:webHidden/>
          </w:rPr>
          <w:fldChar w:fldCharType="separate"/>
        </w:r>
        <w:r w:rsidR="005B2815">
          <w:rPr>
            <w:noProof/>
            <w:webHidden/>
          </w:rPr>
          <w:t>38</w:t>
        </w:r>
        <w:r>
          <w:rPr>
            <w:noProof/>
            <w:webHidden/>
          </w:rPr>
          <w:fldChar w:fldCharType="end"/>
        </w:r>
      </w:hyperlink>
    </w:p>
    <w:p w14:paraId="5CD64F4D" w14:textId="11C2DC4E" w:rsidR="00762BB8" w:rsidRDefault="00762BB8">
      <w:pPr>
        <w:pStyle w:val="TOC9"/>
        <w:rPr>
          <w:noProof/>
          <w:kern w:val="2"/>
          <w:sz w:val="24"/>
          <w:szCs w:val="24"/>
          <w14:ligatures w14:val="standardContextual"/>
        </w:rPr>
      </w:pPr>
      <w:hyperlink w:anchor="_Toc190340845" w:history="1">
        <w:r w:rsidRPr="0060167E">
          <w:rPr>
            <w:rStyle w:val="Hyperlink"/>
            <w:noProof/>
          </w:rPr>
          <w:t>5.2</w:t>
        </w:r>
        <w:r>
          <w:rPr>
            <w:noProof/>
            <w:kern w:val="2"/>
            <w:sz w:val="24"/>
            <w:szCs w:val="24"/>
            <w14:ligatures w14:val="standardContextual"/>
          </w:rPr>
          <w:tab/>
        </w:r>
        <w:r w:rsidRPr="0060167E">
          <w:rPr>
            <w:rStyle w:val="Hyperlink"/>
            <w:noProof/>
          </w:rPr>
          <w:t>Other liabilities</w:t>
        </w:r>
        <w:r>
          <w:rPr>
            <w:noProof/>
            <w:webHidden/>
          </w:rPr>
          <w:tab/>
        </w:r>
        <w:r>
          <w:rPr>
            <w:noProof/>
            <w:webHidden/>
          </w:rPr>
          <w:fldChar w:fldCharType="begin"/>
        </w:r>
        <w:r>
          <w:rPr>
            <w:noProof/>
            <w:webHidden/>
          </w:rPr>
          <w:instrText xml:space="preserve"> PAGEREF _Toc190340845 \h </w:instrText>
        </w:r>
        <w:r>
          <w:rPr>
            <w:noProof/>
            <w:webHidden/>
          </w:rPr>
        </w:r>
        <w:r>
          <w:rPr>
            <w:noProof/>
            <w:webHidden/>
          </w:rPr>
          <w:fldChar w:fldCharType="separate"/>
        </w:r>
        <w:r w:rsidR="005B2815">
          <w:rPr>
            <w:noProof/>
            <w:webHidden/>
          </w:rPr>
          <w:t>40</w:t>
        </w:r>
        <w:r>
          <w:rPr>
            <w:noProof/>
            <w:webHidden/>
          </w:rPr>
          <w:fldChar w:fldCharType="end"/>
        </w:r>
      </w:hyperlink>
    </w:p>
    <w:p w14:paraId="24AD1278" w14:textId="32D8D7AE" w:rsidR="00762BB8" w:rsidRDefault="00762BB8">
      <w:pPr>
        <w:pStyle w:val="TOC9"/>
        <w:rPr>
          <w:noProof/>
          <w:kern w:val="2"/>
          <w:sz w:val="24"/>
          <w:szCs w:val="24"/>
          <w14:ligatures w14:val="standardContextual"/>
        </w:rPr>
      </w:pPr>
      <w:hyperlink w:anchor="_Toc190340846" w:history="1">
        <w:r w:rsidRPr="0060167E">
          <w:rPr>
            <w:rStyle w:val="Hyperlink"/>
            <w:noProof/>
          </w:rPr>
          <w:t>5.3</w:t>
        </w:r>
        <w:r>
          <w:rPr>
            <w:noProof/>
            <w:kern w:val="2"/>
            <w:sz w:val="24"/>
            <w:szCs w:val="24"/>
            <w14:ligatures w14:val="standardContextual"/>
          </w:rPr>
          <w:tab/>
        </w:r>
        <w:r w:rsidRPr="0060167E">
          <w:rPr>
            <w:rStyle w:val="Hyperlink"/>
            <w:noProof/>
          </w:rPr>
          <w:t>Inventories</w:t>
        </w:r>
        <w:r>
          <w:rPr>
            <w:noProof/>
            <w:webHidden/>
          </w:rPr>
          <w:tab/>
        </w:r>
        <w:r>
          <w:rPr>
            <w:noProof/>
            <w:webHidden/>
          </w:rPr>
          <w:fldChar w:fldCharType="begin"/>
        </w:r>
        <w:r>
          <w:rPr>
            <w:noProof/>
            <w:webHidden/>
          </w:rPr>
          <w:instrText xml:space="preserve"> PAGEREF _Toc190340846 \h </w:instrText>
        </w:r>
        <w:r>
          <w:rPr>
            <w:noProof/>
            <w:webHidden/>
          </w:rPr>
        </w:r>
        <w:r>
          <w:rPr>
            <w:noProof/>
            <w:webHidden/>
          </w:rPr>
          <w:fldChar w:fldCharType="separate"/>
        </w:r>
        <w:r w:rsidR="005B2815">
          <w:rPr>
            <w:noProof/>
            <w:webHidden/>
          </w:rPr>
          <w:t>42</w:t>
        </w:r>
        <w:r>
          <w:rPr>
            <w:noProof/>
            <w:webHidden/>
          </w:rPr>
          <w:fldChar w:fldCharType="end"/>
        </w:r>
      </w:hyperlink>
    </w:p>
    <w:p w14:paraId="1EAA42BD" w14:textId="7A81DE65" w:rsidR="00762BB8" w:rsidRDefault="00762BB8">
      <w:pPr>
        <w:pStyle w:val="TOC9"/>
        <w:rPr>
          <w:noProof/>
          <w:kern w:val="2"/>
          <w:sz w:val="24"/>
          <w:szCs w:val="24"/>
          <w14:ligatures w14:val="standardContextual"/>
        </w:rPr>
      </w:pPr>
      <w:hyperlink w:anchor="_Toc190340847" w:history="1">
        <w:r w:rsidRPr="0060167E">
          <w:rPr>
            <w:rStyle w:val="Hyperlink"/>
            <w:noProof/>
          </w:rPr>
          <w:t>5.4</w:t>
        </w:r>
        <w:r>
          <w:rPr>
            <w:noProof/>
            <w:kern w:val="2"/>
            <w:sz w:val="24"/>
            <w:szCs w:val="24"/>
            <w14:ligatures w14:val="standardContextual"/>
          </w:rPr>
          <w:tab/>
        </w:r>
        <w:r w:rsidRPr="0060167E">
          <w:rPr>
            <w:rStyle w:val="Hyperlink"/>
            <w:noProof/>
          </w:rPr>
          <w:t>Other non-financial assets</w:t>
        </w:r>
        <w:r>
          <w:rPr>
            <w:noProof/>
            <w:webHidden/>
          </w:rPr>
          <w:tab/>
        </w:r>
        <w:r>
          <w:rPr>
            <w:noProof/>
            <w:webHidden/>
          </w:rPr>
          <w:fldChar w:fldCharType="begin"/>
        </w:r>
        <w:r>
          <w:rPr>
            <w:noProof/>
            <w:webHidden/>
          </w:rPr>
          <w:instrText xml:space="preserve"> PAGEREF _Toc190340847 \h </w:instrText>
        </w:r>
        <w:r>
          <w:rPr>
            <w:noProof/>
            <w:webHidden/>
          </w:rPr>
        </w:r>
        <w:r>
          <w:rPr>
            <w:noProof/>
            <w:webHidden/>
          </w:rPr>
          <w:fldChar w:fldCharType="separate"/>
        </w:r>
        <w:r w:rsidR="005B2815">
          <w:rPr>
            <w:noProof/>
            <w:webHidden/>
          </w:rPr>
          <w:t>43</w:t>
        </w:r>
        <w:r>
          <w:rPr>
            <w:noProof/>
            <w:webHidden/>
          </w:rPr>
          <w:fldChar w:fldCharType="end"/>
        </w:r>
      </w:hyperlink>
    </w:p>
    <w:p w14:paraId="04CF0888" w14:textId="4E723ABD" w:rsidR="00762BB8" w:rsidRDefault="00762BB8">
      <w:pPr>
        <w:pStyle w:val="TOC9"/>
        <w:rPr>
          <w:noProof/>
          <w:kern w:val="2"/>
          <w:sz w:val="24"/>
          <w:szCs w:val="24"/>
          <w14:ligatures w14:val="standardContextual"/>
        </w:rPr>
      </w:pPr>
      <w:hyperlink w:anchor="_Toc190340848" w:history="1">
        <w:r w:rsidRPr="0060167E">
          <w:rPr>
            <w:rStyle w:val="Hyperlink"/>
            <w:noProof/>
          </w:rPr>
          <w:t>5.5</w:t>
        </w:r>
        <w:r>
          <w:rPr>
            <w:noProof/>
            <w:kern w:val="2"/>
            <w:sz w:val="24"/>
            <w:szCs w:val="24"/>
            <w14:ligatures w14:val="standardContextual"/>
          </w:rPr>
          <w:tab/>
        </w:r>
        <w:r w:rsidRPr="0060167E">
          <w:rPr>
            <w:rStyle w:val="Hyperlink"/>
            <w:noProof/>
          </w:rPr>
          <w:t>Other provisions</w:t>
        </w:r>
        <w:r>
          <w:rPr>
            <w:noProof/>
            <w:webHidden/>
          </w:rPr>
          <w:tab/>
        </w:r>
        <w:r>
          <w:rPr>
            <w:noProof/>
            <w:webHidden/>
          </w:rPr>
          <w:fldChar w:fldCharType="begin"/>
        </w:r>
        <w:r>
          <w:rPr>
            <w:noProof/>
            <w:webHidden/>
          </w:rPr>
          <w:instrText xml:space="preserve"> PAGEREF _Toc190340848 \h </w:instrText>
        </w:r>
        <w:r>
          <w:rPr>
            <w:noProof/>
            <w:webHidden/>
          </w:rPr>
        </w:r>
        <w:r>
          <w:rPr>
            <w:noProof/>
            <w:webHidden/>
          </w:rPr>
          <w:fldChar w:fldCharType="separate"/>
        </w:r>
        <w:r w:rsidR="005B2815">
          <w:rPr>
            <w:noProof/>
            <w:webHidden/>
          </w:rPr>
          <w:t>43</w:t>
        </w:r>
        <w:r>
          <w:rPr>
            <w:noProof/>
            <w:webHidden/>
          </w:rPr>
          <w:fldChar w:fldCharType="end"/>
        </w:r>
      </w:hyperlink>
    </w:p>
    <w:p w14:paraId="0292C300" w14:textId="3908580E" w:rsidR="00324A25" w:rsidRPr="00324A25" w:rsidRDefault="00762BB8" w:rsidP="00762BB8">
      <w:pPr>
        <w:pStyle w:val="TOC8"/>
        <w:rPr>
          <w:rStyle w:val="Hyperlink"/>
          <w:noProof/>
          <w:color w:val="auto"/>
          <w:u w:val="none"/>
        </w:rPr>
      </w:pPr>
      <w:r w:rsidRPr="00940E38">
        <w:fldChar w:fldCharType="end"/>
      </w:r>
    </w:p>
    <w:p w14:paraId="39481591" w14:textId="07BC689F" w:rsidR="003719CD" w:rsidRDefault="003719CD" w:rsidP="0077020E">
      <w:pPr>
        <w:pStyle w:val="TOC9"/>
      </w:pPr>
    </w:p>
    <w:p w14:paraId="1D703943" w14:textId="77777777" w:rsidR="003719CD" w:rsidRDefault="003719CD" w:rsidP="00DC39DE">
      <w:pPr>
        <w:sectPr w:rsidR="003719CD" w:rsidSect="000E2F05">
          <w:type w:val="continuous"/>
          <w:pgSz w:w="11906" w:h="16838" w:code="9"/>
          <w:pgMar w:top="1134" w:right="1134" w:bottom="1134" w:left="1134" w:header="624" w:footer="567" w:gutter="0"/>
          <w:cols w:num="2" w:space="708"/>
          <w:titlePg/>
          <w:docGrid w:linePitch="360"/>
        </w:sectPr>
      </w:pPr>
    </w:p>
    <w:p w14:paraId="75519428" w14:textId="73E838C1" w:rsidR="003719CD" w:rsidRDefault="003719CD" w:rsidP="007D536F">
      <w:pPr>
        <w:pStyle w:val="GuidanceBlockHeading"/>
      </w:pPr>
      <w:bookmarkStart w:id="3606" w:name="_Toc179813108"/>
      <w:bookmarkStart w:id="3607" w:name="_Toc179818808"/>
      <w:bookmarkStart w:id="3608" w:name="_Toc179824508"/>
      <w:r>
        <w:t>Guidance – Other asset and liability disclosures</w:t>
      </w:r>
      <w:bookmarkEnd w:id="3606"/>
      <w:bookmarkEnd w:id="3607"/>
      <w:bookmarkEnd w:id="3608"/>
    </w:p>
    <w:p w14:paraId="6C650BC8" w14:textId="7E7ED109" w:rsidR="003719CD" w:rsidRPr="00D878A0" w:rsidRDefault="00297BDE" w:rsidP="002A0038">
      <w:pPr>
        <w:spacing w:before="120" w:after="0"/>
        <w:rPr>
          <w:rStyle w:val="Guidance"/>
        </w:rPr>
      </w:pPr>
      <w:r w:rsidRPr="00297BDE">
        <w:rPr>
          <w:color w:val="4472C4" w:themeColor="accent1"/>
        </w:rPr>
        <w:t>An entity shall present current and non-current assets, and current and non-current liabilities, as separate</w:t>
      </w:r>
      <w:r>
        <w:rPr>
          <w:rFonts w:hint="eastAsia"/>
          <w:color w:val="4472C4" w:themeColor="accent1"/>
          <w:lang w:eastAsia="zh-CN"/>
        </w:rPr>
        <w:t xml:space="preserve"> </w:t>
      </w:r>
      <w:r w:rsidRPr="00297BDE">
        <w:rPr>
          <w:color w:val="4472C4" w:themeColor="accent1"/>
        </w:rPr>
        <w:t>classifications in its statement of financial position in accordance with paragraphs 38–41, except when a</w:t>
      </w:r>
      <w:r>
        <w:rPr>
          <w:rFonts w:hint="eastAsia"/>
          <w:color w:val="4472C4" w:themeColor="accent1"/>
          <w:lang w:eastAsia="zh-CN"/>
        </w:rPr>
        <w:t xml:space="preserve"> </w:t>
      </w:r>
      <w:r w:rsidRPr="00297BDE">
        <w:rPr>
          <w:color w:val="4472C4" w:themeColor="accent1"/>
        </w:rPr>
        <w:t>presentation based on liquidity provides information that is reliable and more relevant. When that exception</w:t>
      </w:r>
      <w:r>
        <w:rPr>
          <w:rFonts w:hint="eastAsia"/>
          <w:color w:val="4472C4" w:themeColor="accent1"/>
          <w:lang w:eastAsia="zh-CN"/>
        </w:rPr>
        <w:t xml:space="preserve"> </w:t>
      </w:r>
      <w:r w:rsidRPr="00297BDE">
        <w:rPr>
          <w:color w:val="4472C4" w:themeColor="accent1"/>
        </w:rPr>
        <w:t xml:space="preserve">applies, all assets and liabilities shall be presented in order of approximate liquidity (ascending </w:t>
      </w:r>
      <w:r w:rsidR="006C4F60" w:rsidRPr="00297BDE">
        <w:rPr>
          <w:color w:val="4472C4" w:themeColor="accent1"/>
        </w:rPr>
        <w:t>or descending</w:t>
      </w:r>
      <w:r w:rsidRPr="00297BDE">
        <w:rPr>
          <w:color w:val="4472C4" w:themeColor="accent1"/>
        </w:rPr>
        <w:t>).</w:t>
      </w:r>
      <w:r w:rsidR="00E06D37">
        <w:rPr>
          <w:color w:val="4472C4" w:themeColor="accent1"/>
        </w:rPr>
        <w:t xml:space="preserve"> </w:t>
      </w:r>
      <w:r w:rsidR="00985BBD">
        <w:rPr>
          <w:rStyle w:val="Reference"/>
        </w:rPr>
        <w:t>[</w:t>
      </w:r>
      <w:r w:rsidR="0007383E">
        <w:rPr>
          <w:rStyle w:val="Reference"/>
        </w:rPr>
        <w:t>AASB </w:t>
      </w:r>
      <w:r w:rsidR="00985BBD">
        <w:rPr>
          <w:rStyle w:val="Reference"/>
        </w:rPr>
        <w:t xml:space="preserve">1060.37] </w:t>
      </w:r>
    </w:p>
    <w:p w14:paraId="42315A23" w14:textId="77777777" w:rsidR="003719CD" w:rsidRDefault="003719CD" w:rsidP="007D536F">
      <w:pPr>
        <w:pStyle w:val="GuidanceEnd"/>
      </w:pPr>
    </w:p>
    <w:p w14:paraId="7A5BCAB3" w14:textId="7E42A1DE" w:rsidR="003719CD" w:rsidRDefault="002564A1" w:rsidP="00A80494">
      <w:pPr>
        <w:pStyle w:val="Heading2numbered"/>
      </w:pPr>
      <w:bookmarkStart w:id="3609" w:name="_Toc179813109"/>
      <w:bookmarkStart w:id="3610" w:name="_Toc179818809"/>
      <w:bookmarkStart w:id="3611" w:name="_Toc179824509"/>
      <w:bookmarkStart w:id="3612" w:name="_Toc179861712"/>
      <w:bookmarkStart w:id="3613" w:name="_Toc179869029"/>
      <w:bookmarkStart w:id="3614" w:name="_Toc179873422"/>
      <w:bookmarkStart w:id="3615" w:name="_Toc179877815"/>
      <w:bookmarkStart w:id="3616" w:name="_Toc96704919"/>
      <w:bookmarkStart w:id="3617" w:name="_Toc130225973"/>
      <w:bookmarkStart w:id="3618" w:name="_Toc64983448"/>
      <w:bookmarkStart w:id="3619" w:name="_Toc179880316"/>
      <w:bookmarkStart w:id="3620" w:name="_Toc190333089"/>
      <w:bookmarkStart w:id="3621" w:name="_Toc190340844"/>
      <w:r>
        <w:rPr>
          <w:rFonts w:eastAsia="SimHei"/>
          <w:lang w:eastAsia="zh-CN"/>
        </w:rPr>
        <w:t xml:space="preserve">Other </w:t>
      </w:r>
      <w:r w:rsidR="00907282">
        <w:rPr>
          <w:rFonts w:eastAsia="SimHei"/>
          <w:lang w:eastAsia="zh-CN"/>
        </w:rPr>
        <w:t>assets</w:t>
      </w:r>
      <w:bookmarkEnd w:id="3609"/>
      <w:bookmarkEnd w:id="3610"/>
      <w:bookmarkEnd w:id="3611"/>
      <w:bookmarkEnd w:id="3612"/>
      <w:bookmarkEnd w:id="3613"/>
      <w:bookmarkEnd w:id="3614"/>
      <w:bookmarkEnd w:id="3615"/>
      <w:bookmarkEnd w:id="3616"/>
      <w:bookmarkEnd w:id="3617"/>
      <w:bookmarkEnd w:id="3618"/>
      <w:bookmarkEnd w:id="3619"/>
      <w:bookmarkEnd w:id="3620"/>
      <w:bookmarkEnd w:id="3621"/>
    </w:p>
    <w:p w14:paraId="2E7C3B00" w14:textId="1F0F04C0" w:rsidR="003719CD" w:rsidRDefault="00110E4E" w:rsidP="002A0038">
      <w:pPr>
        <w:pStyle w:val="Heading3numbered"/>
        <w:tabs>
          <w:tab w:val="left" w:pos="318"/>
        </w:tabs>
      </w:pPr>
      <w:bookmarkStart w:id="3622" w:name="_Toc179813110"/>
      <w:bookmarkStart w:id="3623" w:name="_Toc179818810"/>
      <w:bookmarkStart w:id="3624" w:name="_Toc179824510"/>
      <w:bookmarkStart w:id="3625" w:name="_Toc179830183"/>
      <w:bookmarkStart w:id="3626" w:name="_Toc179861713"/>
      <w:r w:rsidRPr="002A0038">
        <w:t>Receivables</w:t>
      </w:r>
      <w:bookmarkEnd w:id="3622"/>
      <w:bookmarkEnd w:id="3623"/>
      <w:bookmarkEnd w:id="3624"/>
      <w:bookmarkEnd w:id="3625"/>
      <w:bookmarkEnd w:id="3626"/>
    </w:p>
    <w:p w14:paraId="0E4CB1AC" w14:textId="620BF23A" w:rsidR="00297BDE" w:rsidRDefault="0030760B" w:rsidP="002A0038">
      <w:pPr>
        <w:pStyle w:val="TableUnits"/>
        <w:tabs>
          <w:tab w:val="left" w:pos="318"/>
        </w:tabs>
      </w:pPr>
      <w:r>
        <w:t>($ thousand)</w:t>
      </w:r>
    </w:p>
    <w:tbl>
      <w:tblPr>
        <w:tblStyle w:val="DTFTable"/>
        <w:tblW w:w="9639" w:type="dxa"/>
        <w:tblLayout w:type="fixed"/>
        <w:tblLook w:val="0620" w:firstRow="1" w:lastRow="0" w:firstColumn="0" w:lastColumn="0" w:noHBand="1" w:noVBand="1"/>
      </w:tblPr>
      <w:tblGrid>
        <w:gridCol w:w="1349"/>
        <w:gridCol w:w="6558"/>
        <w:gridCol w:w="866"/>
        <w:gridCol w:w="866"/>
      </w:tblGrid>
      <w:tr w:rsidR="00182709" w14:paraId="33491951" w14:textId="77777777" w:rsidTr="002A0038">
        <w:trPr>
          <w:cnfStyle w:val="100000000000" w:firstRow="1" w:lastRow="0" w:firstColumn="0" w:lastColumn="0" w:oddVBand="0" w:evenVBand="0" w:oddHBand="0" w:evenHBand="0" w:firstRowFirstColumn="0" w:firstRowLastColumn="0" w:lastRowFirstColumn="0" w:lastRowLastColumn="0"/>
          <w:tblHeader/>
        </w:trPr>
        <w:tc>
          <w:tcPr>
            <w:tcW w:w="1349" w:type="dxa"/>
            <w:tcBorders>
              <w:top w:val="nil"/>
              <w:bottom w:val="nil"/>
            </w:tcBorders>
            <w:shd w:val="clear" w:color="auto" w:fill="FFFFFF" w:themeFill="background1"/>
          </w:tcPr>
          <w:p w14:paraId="573A26EC" w14:textId="77777777" w:rsidR="00182709" w:rsidRDefault="0044097C">
            <w:pPr>
              <w:keepNext/>
              <w:jc w:val="left"/>
            </w:pPr>
            <w:bookmarkStart w:id="3627" w:name="_Hlk183678461"/>
            <w:r>
              <w:rPr>
                <w:color w:val="4472C4"/>
                <w:sz w:val="13"/>
              </w:rPr>
              <w:t>Source reference</w:t>
            </w:r>
          </w:p>
        </w:tc>
        <w:tc>
          <w:tcPr>
            <w:tcW w:w="6558" w:type="dxa"/>
          </w:tcPr>
          <w:p w14:paraId="6CF3FD7B" w14:textId="77777777" w:rsidR="00182709" w:rsidRDefault="00182709">
            <w:pPr>
              <w:keepNext/>
              <w:jc w:val="left"/>
            </w:pPr>
          </w:p>
        </w:tc>
        <w:tc>
          <w:tcPr>
            <w:tcW w:w="866" w:type="dxa"/>
          </w:tcPr>
          <w:p w14:paraId="6750380A" w14:textId="77777777" w:rsidR="00182709" w:rsidRDefault="0044097C">
            <w:pPr>
              <w:keepNext/>
            </w:pPr>
            <w:r>
              <w:t>20X2</w:t>
            </w:r>
          </w:p>
        </w:tc>
        <w:tc>
          <w:tcPr>
            <w:tcW w:w="866" w:type="dxa"/>
          </w:tcPr>
          <w:p w14:paraId="0B82C841" w14:textId="77777777" w:rsidR="00182709" w:rsidRDefault="0044097C">
            <w:pPr>
              <w:keepNext/>
            </w:pPr>
            <w:r>
              <w:t>20X1</w:t>
            </w:r>
          </w:p>
        </w:tc>
      </w:tr>
      <w:tr w:rsidR="00182709" w14:paraId="4449DC04" w14:textId="77777777" w:rsidTr="002A0038">
        <w:trPr>
          <w:trHeight w:val="182"/>
        </w:trPr>
        <w:tc>
          <w:tcPr>
            <w:tcW w:w="1349" w:type="dxa"/>
          </w:tcPr>
          <w:p w14:paraId="165CF8A4" w14:textId="6E62449F" w:rsidR="00182709" w:rsidRDefault="0007383E">
            <w:pPr>
              <w:jc w:val="left"/>
            </w:pPr>
            <w:r>
              <w:rPr>
                <w:color w:val="4472C4"/>
                <w:sz w:val="13"/>
              </w:rPr>
              <w:t>AASB </w:t>
            </w:r>
            <w:r w:rsidR="00CF6112">
              <w:rPr>
                <w:color w:val="4472C4"/>
                <w:sz w:val="13"/>
              </w:rPr>
              <w:t>1060.44(b)</w:t>
            </w:r>
          </w:p>
        </w:tc>
        <w:tc>
          <w:tcPr>
            <w:tcW w:w="6558" w:type="dxa"/>
          </w:tcPr>
          <w:p w14:paraId="07BB789C" w14:textId="77777777" w:rsidR="00182709" w:rsidRDefault="0044097C">
            <w:pPr>
              <w:jc w:val="left"/>
            </w:pPr>
            <w:r>
              <w:rPr>
                <w:b/>
              </w:rPr>
              <w:t>Contractual</w:t>
            </w:r>
          </w:p>
        </w:tc>
        <w:tc>
          <w:tcPr>
            <w:tcW w:w="866" w:type="dxa"/>
          </w:tcPr>
          <w:p w14:paraId="3E0EA1A8" w14:textId="77777777" w:rsidR="00182709" w:rsidRDefault="00182709"/>
        </w:tc>
        <w:tc>
          <w:tcPr>
            <w:tcW w:w="866" w:type="dxa"/>
          </w:tcPr>
          <w:p w14:paraId="525C9195" w14:textId="77777777" w:rsidR="00182709" w:rsidRDefault="00182709"/>
        </w:tc>
      </w:tr>
      <w:tr w:rsidR="00E13411" w14:paraId="4663346C" w14:textId="77777777" w:rsidTr="002A0038">
        <w:tc>
          <w:tcPr>
            <w:tcW w:w="1349" w:type="dxa"/>
          </w:tcPr>
          <w:p w14:paraId="76ED6CA0" w14:textId="5D7FF71B" w:rsidR="00E13411" w:rsidRDefault="0007383E" w:rsidP="00E13411">
            <w:pPr>
              <w:jc w:val="left"/>
            </w:pPr>
            <w:r>
              <w:rPr>
                <w:color w:val="4472C4"/>
                <w:sz w:val="13"/>
              </w:rPr>
              <w:t>AASB </w:t>
            </w:r>
            <w:r w:rsidR="00161E69">
              <w:rPr>
                <w:color w:val="4472C4"/>
                <w:sz w:val="13"/>
              </w:rPr>
              <w:t>1060.</w:t>
            </w:r>
            <w:r w:rsidR="00161E69">
              <w:rPr>
                <w:color w:val="4472C4"/>
                <w:sz w:val="13"/>
                <w:lang w:eastAsia="zh-CN"/>
              </w:rPr>
              <w:t>113(b)</w:t>
            </w:r>
          </w:p>
        </w:tc>
        <w:tc>
          <w:tcPr>
            <w:tcW w:w="6558" w:type="dxa"/>
          </w:tcPr>
          <w:p w14:paraId="0D6D20AD" w14:textId="77777777" w:rsidR="00E13411" w:rsidRDefault="00E13411" w:rsidP="00E13411">
            <w:pPr>
              <w:jc w:val="left"/>
              <w:rPr>
                <w:lang w:eastAsia="zh-CN"/>
              </w:rPr>
            </w:pPr>
            <w:r>
              <w:t>Sale of goods and services</w:t>
            </w:r>
          </w:p>
        </w:tc>
        <w:tc>
          <w:tcPr>
            <w:tcW w:w="866" w:type="dxa"/>
            <w:vAlign w:val="center"/>
          </w:tcPr>
          <w:p w14:paraId="2E8B4BB7" w14:textId="777DA3AB" w:rsidR="00E13411" w:rsidRDefault="00E13411" w:rsidP="00E13411">
            <w:r>
              <w:rPr>
                <w:rFonts w:ascii="Arial" w:hAnsi="Arial" w:cs="Arial"/>
                <w:color w:val="000000"/>
                <w:szCs w:val="16"/>
              </w:rPr>
              <w:t>3</w:t>
            </w:r>
            <w:r w:rsidR="007835CF">
              <w:rPr>
                <w:rFonts w:ascii="Arial" w:hAnsi="Arial" w:cs="Arial"/>
                <w:color w:val="000000"/>
                <w:szCs w:val="16"/>
              </w:rPr>
              <w:t>6</w:t>
            </w:r>
            <w:r w:rsidR="003E3065">
              <w:rPr>
                <w:rFonts w:ascii="Arial" w:hAnsi="Arial" w:cs="Arial" w:hint="eastAsia"/>
                <w:color w:val="000000"/>
                <w:szCs w:val="16"/>
                <w:lang w:eastAsia="zh-CN"/>
              </w:rPr>
              <w:t xml:space="preserve"> </w:t>
            </w:r>
            <w:r w:rsidR="007835CF">
              <w:rPr>
                <w:rFonts w:ascii="Arial" w:hAnsi="Arial" w:cs="Arial"/>
                <w:color w:val="000000"/>
                <w:szCs w:val="16"/>
              </w:rPr>
              <w:t>231</w:t>
            </w:r>
          </w:p>
        </w:tc>
        <w:tc>
          <w:tcPr>
            <w:tcW w:w="866" w:type="dxa"/>
            <w:vAlign w:val="center"/>
          </w:tcPr>
          <w:p w14:paraId="30E46E2B" w14:textId="29FCC7AA" w:rsidR="00E13411" w:rsidRDefault="007835CF" w:rsidP="00E13411">
            <w:r>
              <w:rPr>
                <w:rFonts w:ascii="Arial" w:hAnsi="Arial" w:cs="Arial"/>
                <w:color w:val="000000"/>
                <w:szCs w:val="16"/>
              </w:rPr>
              <w:t>20 387</w:t>
            </w:r>
          </w:p>
        </w:tc>
      </w:tr>
      <w:tr w:rsidR="00182709" w14:paraId="1F25226A" w14:textId="77777777" w:rsidTr="002A0038">
        <w:tc>
          <w:tcPr>
            <w:tcW w:w="1349" w:type="dxa"/>
          </w:tcPr>
          <w:p w14:paraId="61FBE5E4" w14:textId="77777777" w:rsidR="00182709" w:rsidRDefault="00182709">
            <w:pPr>
              <w:jc w:val="left"/>
            </w:pPr>
          </w:p>
        </w:tc>
        <w:tc>
          <w:tcPr>
            <w:tcW w:w="6558" w:type="dxa"/>
          </w:tcPr>
          <w:p w14:paraId="17AF4268" w14:textId="77777777" w:rsidR="00182709" w:rsidRDefault="0044097C">
            <w:pPr>
              <w:jc w:val="left"/>
            </w:pPr>
            <w:r>
              <w:rPr>
                <w:b/>
              </w:rPr>
              <w:t>Statutory</w:t>
            </w:r>
          </w:p>
        </w:tc>
        <w:tc>
          <w:tcPr>
            <w:tcW w:w="866" w:type="dxa"/>
          </w:tcPr>
          <w:p w14:paraId="39935CCF" w14:textId="77777777" w:rsidR="00182709" w:rsidRDefault="00182709"/>
        </w:tc>
        <w:tc>
          <w:tcPr>
            <w:tcW w:w="866" w:type="dxa"/>
          </w:tcPr>
          <w:p w14:paraId="655C408C" w14:textId="77777777" w:rsidR="00182709" w:rsidRDefault="00182709"/>
        </w:tc>
      </w:tr>
      <w:tr w:rsidR="000812A1" w14:paraId="22D1C046" w14:textId="77777777" w:rsidTr="002A0038">
        <w:tc>
          <w:tcPr>
            <w:tcW w:w="1349" w:type="dxa"/>
          </w:tcPr>
          <w:p w14:paraId="265E4409" w14:textId="77777777" w:rsidR="000812A1" w:rsidRDefault="000812A1" w:rsidP="000812A1">
            <w:pPr>
              <w:jc w:val="left"/>
            </w:pPr>
          </w:p>
        </w:tc>
        <w:tc>
          <w:tcPr>
            <w:tcW w:w="6558" w:type="dxa"/>
          </w:tcPr>
          <w:p w14:paraId="0964C9F7" w14:textId="77777777" w:rsidR="000812A1" w:rsidRDefault="000812A1" w:rsidP="000812A1">
            <w:pPr>
              <w:jc w:val="left"/>
            </w:pPr>
            <w:r>
              <w:t>GST input tax credit recoverable</w:t>
            </w:r>
          </w:p>
        </w:tc>
        <w:tc>
          <w:tcPr>
            <w:tcW w:w="866" w:type="dxa"/>
            <w:vAlign w:val="center"/>
          </w:tcPr>
          <w:p w14:paraId="7AA4C126" w14:textId="61849800" w:rsidR="000812A1" w:rsidRDefault="000812A1" w:rsidP="000812A1">
            <w:r>
              <w:rPr>
                <w:rFonts w:ascii="Arial" w:hAnsi="Arial" w:cs="Arial"/>
                <w:color w:val="000000"/>
                <w:szCs w:val="16"/>
              </w:rPr>
              <w:t>34</w:t>
            </w:r>
          </w:p>
        </w:tc>
        <w:tc>
          <w:tcPr>
            <w:tcW w:w="866" w:type="dxa"/>
            <w:vAlign w:val="center"/>
          </w:tcPr>
          <w:p w14:paraId="1D92C665" w14:textId="36C830A3" w:rsidR="000812A1" w:rsidRDefault="000812A1" w:rsidP="000812A1">
            <w:r>
              <w:rPr>
                <w:rFonts w:ascii="Arial" w:hAnsi="Arial" w:cs="Arial"/>
                <w:color w:val="000000"/>
                <w:szCs w:val="16"/>
              </w:rPr>
              <w:t>50</w:t>
            </w:r>
          </w:p>
        </w:tc>
      </w:tr>
      <w:tr w:rsidR="000812A1" w14:paraId="31128DC1" w14:textId="77777777" w:rsidTr="002A0038">
        <w:tc>
          <w:tcPr>
            <w:tcW w:w="1349" w:type="dxa"/>
          </w:tcPr>
          <w:p w14:paraId="63C9FE04" w14:textId="77777777" w:rsidR="000812A1" w:rsidRDefault="000812A1" w:rsidP="000812A1">
            <w:pPr>
              <w:jc w:val="left"/>
            </w:pPr>
          </w:p>
        </w:tc>
        <w:tc>
          <w:tcPr>
            <w:tcW w:w="6558" w:type="dxa"/>
          </w:tcPr>
          <w:p w14:paraId="5722CF52" w14:textId="77777777" w:rsidR="000812A1" w:rsidRDefault="000812A1" w:rsidP="000812A1">
            <w:pPr>
              <w:jc w:val="left"/>
            </w:pPr>
            <w:r>
              <w:t>Fines and regulatory fees</w:t>
            </w:r>
          </w:p>
        </w:tc>
        <w:tc>
          <w:tcPr>
            <w:tcW w:w="866" w:type="dxa"/>
            <w:vAlign w:val="center"/>
          </w:tcPr>
          <w:p w14:paraId="6D785DE5" w14:textId="38FEA1A0" w:rsidR="000812A1" w:rsidRDefault="000812A1" w:rsidP="000812A1">
            <w:r>
              <w:rPr>
                <w:rFonts w:ascii="Arial" w:hAnsi="Arial" w:cs="Arial"/>
                <w:color w:val="000000"/>
                <w:szCs w:val="16"/>
              </w:rPr>
              <w:t>383</w:t>
            </w:r>
          </w:p>
        </w:tc>
        <w:tc>
          <w:tcPr>
            <w:tcW w:w="866" w:type="dxa"/>
            <w:vAlign w:val="center"/>
          </w:tcPr>
          <w:p w14:paraId="3DB7039E" w14:textId="1B8B4ABF" w:rsidR="000812A1" w:rsidRDefault="000812A1" w:rsidP="000812A1">
            <w:r>
              <w:rPr>
                <w:rFonts w:ascii="Arial" w:hAnsi="Arial" w:cs="Arial"/>
                <w:color w:val="000000"/>
                <w:szCs w:val="16"/>
              </w:rPr>
              <w:t>415</w:t>
            </w:r>
          </w:p>
        </w:tc>
      </w:tr>
      <w:tr w:rsidR="000812A1" w14:paraId="227820B6" w14:textId="77777777" w:rsidTr="002A0038">
        <w:tc>
          <w:tcPr>
            <w:tcW w:w="1349" w:type="dxa"/>
          </w:tcPr>
          <w:p w14:paraId="56C23387" w14:textId="77777777" w:rsidR="000812A1" w:rsidRDefault="000812A1" w:rsidP="000812A1">
            <w:pPr>
              <w:jc w:val="left"/>
            </w:pPr>
          </w:p>
        </w:tc>
        <w:tc>
          <w:tcPr>
            <w:tcW w:w="6558" w:type="dxa"/>
          </w:tcPr>
          <w:p w14:paraId="733F9669" w14:textId="77777777" w:rsidR="000812A1" w:rsidRDefault="000812A1" w:rsidP="000812A1">
            <w:pPr>
              <w:jc w:val="left"/>
            </w:pPr>
            <w:r>
              <w:rPr>
                <w:b/>
              </w:rPr>
              <w:t>Total receivables</w:t>
            </w:r>
          </w:p>
        </w:tc>
        <w:tc>
          <w:tcPr>
            <w:tcW w:w="866" w:type="dxa"/>
            <w:vAlign w:val="center"/>
          </w:tcPr>
          <w:p w14:paraId="697A2836" w14:textId="04A546BB" w:rsidR="000812A1" w:rsidRDefault="000812A1" w:rsidP="000812A1">
            <w:r>
              <w:rPr>
                <w:rFonts w:ascii="Arial" w:hAnsi="Arial" w:cs="Arial"/>
                <w:b/>
                <w:bCs/>
                <w:color w:val="000000"/>
                <w:szCs w:val="16"/>
              </w:rPr>
              <w:t>36</w:t>
            </w:r>
            <w:r w:rsidR="003E3065">
              <w:rPr>
                <w:rFonts w:ascii="Arial" w:hAnsi="Arial" w:cs="Arial" w:hint="eastAsia"/>
                <w:b/>
                <w:bCs/>
                <w:color w:val="000000"/>
                <w:szCs w:val="16"/>
                <w:lang w:eastAsia="zh-CN"/>
              </w:rPr>
              <w:t xml:space="preserve"> </w:t>
            </w:r>
            <w:r>
              <w:rPr>
                <w:rFonts w:ascii="Arial" w:hAnsi="Arial" w:cs="Arial"/>
                <w:b/>
                <w:bCs/>
                <w:color w:val="000000"/>
                <w:szCs w:val="16"/>
              </w:rPr>
              <w:t>0</w:t>
            </w:r>
            <w:r w:rsidR="003C1071">
              <w:rPr>
                <w:rFonts w:ascii="Arial" w:hAnsi="Arial" w:cs="Arial"/>
                <w:b/>
                <w:bCs/>
                <w:color w:val="000000"/>
                <w:szCs w:val="16"/>
                <w:lang w:eastAsia="zh-CN"/>
              </w:rPr>
              <w:t>4</w:t>
            </w:r>
            <w:r>
              <w:rPr>
                <w:rFonts w:ascii="Arial" w:hAnsi="Arial" w:cs="Arial"/>
                <w:b/>
                <w:bCs/>
                <w:color w:val="000000"/>
                <w:szCs w:val="16"/>
              </w:rPr>
              <w:t>5</w:t>
            </w:r>
          </w:p>
        </w:tc>
        <w:tc>
          <w:tcPr>
            <w:tcW w:w="866" w:type="dxa"/>
            <w:vAlign w:val="center"/>
          </w:tcPr>
          <w:p w14:paraId="0E659961" w14:textId="53972490" w:rsidR="000812A1" w:rsidRDefault="000812A1" w:rsidP="000812A1">
            <w:r>
              <w:rPr>
                <w:rFonts w:ascii="Arial" w:hAnsi="Arial" w:cs="Arial"/>
                <w:b/>
                <w:bCs/>
                <w:color w:val="000000"/>
                <w:szCs w:val="16"/>
              </w:rPr>
              <w:t>20</w:t>
            </w:r>
            <w:r w:rsidR="003E3065">
              <w:rPr>
                <w:rFonts w:ascii="Arial" w:hAnsi="Arial" w:cs="Arial" w:hint="eastAsia"/>
                <w:b/>
                <w:bCs/>
                <w:color w:val="000000"/>
                <w:szCs w:val="16"/>
                <w:lang w:eastAsia="zh-CN"/>
              </w:rPr>
              <w:t xml:space="preserve"> </w:t>
            </w:r>
            <w:r>
              <w:rPr>
                <w:rFonts w:ascii="Arial" w:hAnsi="Arial" w:cs="Arial"/>
                <w:b/>
                <w:bCs/>
                <w:color w:val="000000"/>
                <w:szCs w:val="16"/>
              </w:rPr>
              <w:t>5</w:t>
            </w:r>
            <w:r w:rsidR="003C1071">
              <w:rPr>
                <w:rFonts w:ascii="Arial" w:hAnsi="Arial" w:cs="Arial"/>
                <w:b/>
                <w:bCs/>
                <w:color w:val="000000"/>
                <w:szCs w:val="16"/>
                <w:lang w:eastAsia="zh-CN"/>
              </w:rPr>
              <w:t>2</w:t>
            </w:r>
            <w:r>
              <w:rPr>
                <w:rFonts w:ascii="Arial" w:hAnsi="Arial" w:cs="Arial"/>
                <w:b/>
                <w:bCs/>
                <w:color w:val="000000"/>
                <w:szCs w:val="16"/>
              </w:rPr>
              <w:t>5</w:t>
            </w:r>
          </w:p>
        </w:tc>
      </w:tr>
      <w:tr w:rsidR="00671D55" w14:paraId="0A33AF81" w14:textId="77777777" w:rsidTr="002A0038">
        <w:tc>
          <w:tcPr>
            <w:tcW w:w="1349" w:type="dxa"/>
          </w:tcPr>
          <w:p w14:paraId="76A38028" w14:textId="77777777" w:rsidR="00182709" w:rsidRDefault="00182709">
            <w:pPr>
              <w:jc w:val="left"/>
            </w:pPr>
          </w:p>
        </w:tc>
        <w:tc>
          <w:tcPr>
            <w:tcW w:w="6558" w:type="dxa"/>
          </w:tcPr>
          <w:p w14:paraId="79787943" w14:textId="77777777" w:rsidR="00182709" w:rsidRDefault="0044097C">
            <w:pPr>
              <w:jc w:val="left"/>
            </w:pPr>
            <w:r>
              <w:rPr>
                <w:i/>
              </w:rPr>
              <w:t>Represented by</w:t>
            </w:r>
          </w:p>
        </w:tc>
        <w:tc>
          <w:tcPr>
            <w:tcW w:w="866" w:type="dxa"/>
          </w:tcPr>
          <w:p w14:paraId="1DD0ED90" w14:textId="77777777" w:rsidR="00182709" w:rsidRDefault="00182709"/>
        </w:tc>
        <w:tc>
          <w:tcPr>
            <w:tcW w:w="866" w:type="dxa"/>
          </w:tcPr>
          <w:p w14:paraId="73366847" w14:textId="77777777" w:rsidR="00182709" w:rsidRDefault="00182709"/>
        </w:tc>
      </w:tr>
      <w:tr w:rsidR="001F607D" w14:paraId="7D155A27" w14:textId="77777777" w:rsidTr="002A0038">
        <w:tc>
          <w:tcPr>
            <w:tcW w:w="1349" w:type="dxa"/>
            <w:tcBorders>
              <w:bottom w:val="nil"/>
            </w:tcBorders>
          </w:tcPr>
          <w:p w14:paraId="2D330AB1" w14:textId="209055A8" w:rsidR="001F607D" w:rsidRDefault="0007383E" w:rsidP="001F607D">
            <w:pPr>
              <w:jc w:val="left"/>
            </w:pPr>
            <w:r>
              <w:rPr>
                <w:color w:val="4472C4"/>
                <w:sz w:val="13"/>
              </w:rPr>
              <w:t>AASB </w:t>
            </w:r>
            <w:r w:rsidR="001F607D">
              <w:rPr>
                <w:color w:val="4472C4"/>
                <w:sz w:val="13"/>
              </w:rPr>
              <w:t>1060.37</w:t>
            </w:r>
          </w:p>
        </w:tc>
        <w:tc>
          <w:tcPr>
            <w:tcW w:w="6558" w:type="dxa"/>
          </w:tcPr>
          <w:p w14:paraId="1A2E0391" w14:textId="77777777" w:rsidR="001F607D" w:rsidRDefault="001F607D" w:rsidP="001F607D">
            <w:pPr>
              <w:jc w:val="left"/>
            </w:pPr>
            <w:r>
              <w:t>Current receivables</w:t>
            </w:r>
          </w:p>
        </w:tc>
        <w:tc>
          <w:tcPr>
            <w:tcW w:w="866" w:type="dxa"/>
            <w:vAlign w:val="center"/>
          </w:tcPr>
          <w:p w14:paraId="724B8E4A" w14:textId="68627DBB" w:rsidR="001F607D" w:rsidRDefault="001F607D" w:rsidP="001F607D">
            <w:r>
              <w:rPr>
                <w:rFonts w:ascii="Arial" w:hAnsi="Arial" w:cs="Arial"/>
                <w:color w:val="000000"/>
                <w:szCs w:val="16"/>
              </w:rPr>
              <w:t>36</w:t>
            </w:r>
            <w:r w:rsidR="003E3065">
              <w:rPr>
                <w:rFonts w:ascii="Arial" w:hAnsi="Arial" w:cs="Arial" w:hint="eastAsia"/>
                <w:color w:val="000000"/>
                <w:szCs w:val="16"/>
                <w:lang w:eastAsia="zh-CN"/>
              </w:rPr>
              <w:t xml:space="preserve"> </w:t>
            </w:r>
            <w:r>
              <w:rPr>
                <w:rFonts w:ascii="Arial" w:hAnsi="Arial" w:cs="Arial"/>
                <w:color w:val="000000"/>
                <w:szCs w:val="16"/>
              </w:rPr>
              <w:t>0</w:t>
            </w:r>
            <w:r w:rsidR="003C1071">
              <w:rPr>
                <w:rFonts w:ascii="Arial" w:hAnsi="Arial" w:cs="Arial"/>
                <w:color w:val="000000"/>
                <w:szCs w:val="16"/>
                <w:lang w:eastAsia="zh-CN"/>
              </w:rPr>
              <w:t>0</w:t>
            </w:r>
            <w:r>
              <w:rPr>
                <w:rFonts w:ascii="Arial" w:hAnsi="Arial" w:cs="Arial"/>
                <w:color w:val="000000"/>
                <w:szCs w:val="16"/>
              </w:rPr>
              <w:t>0</w:t>
            </w:r>
          </w:p>
        </w:tc>
        <w:tc>
          <w:tcPr>
            <w:tcW w:w="866" w:type="dxa"/>
            <w:vAlign w:val="center"/>
          </w:tcPr>
          <w:p w14:paraId="579EAB10" w14:textId="257E4B79" w:rsidR="001F607D" w:rsidRDefault="001F607D" w:rsidP="001F607D">
            <w:r>
              <w:rPr>
                <w:rFonts w:ascii="Arial" w:hAnsi="Arial" w:cs="Arial"/>
                <w:color w:val="000000"/>
                <w:szCs w:val="16"/>
              </w:rPr>
              <w:t>20</w:t>
            </w:r>
            <w:r w:rsidR="003E3065">
              <w:rPr>
                <w:rFonts w:ascii="Arial" w:hAnsi="Arial" w:cs="Arial" w:hint="eastAsia"/>
                <w:color w:val="000000"/>
                <w:szCs w:val="16"/>
                <w:lang w:eastAsia="zh-CN"/>
              </w:rPr>
              <w:t xml:space="preserve"> </w:t>
            </w:r>
            <w:r>
              <w:rPr>
                <w:rFonts w:ascii="Arial" w:hAnsi="Arial" w:cs="Arial"/>
                <w:color w:val="000000"/>
                <w:szCs w:val="16"/>
              </w:rPr>
              <w:t>3</w:t>
            </w:r>
            <w:r w:rsidR="003C1071">
              <w:rPr>
                <w:rFonts w:ascii="Arial" w:hAnsi="Arial" w:cs="Arial"/>
                <w:color w:val="000000"/>
                <w:szCs w:val="16"/>
                <w:lang w:eastAsia="zh-CN"/>
              </w:rPr>
              <w:t>2</w:t>
            </w:r>
            <w:r>
              <w:rPr>
                <w:rFonts w:ascii="Arial" w:hAnsi="Arial" w:cs="Arial"/>
                <w:color w:val="000000"/>
                <w:szCs w:val="16"/>
              </w:rPr>
              <w:t>5</w:t>
            </w:r>
          </w:p>
        </w:tc>
      </w:tr>
      <w:tr w:rsidR="001F607D" w14:paraId="26CA2BA2" w14:textId="77777777" w:rsidTr="002A0038">
        <w:tc>
          <w:tcPr>
            <w:tcW w:w="1349" w:type="dxa"/>
            <w:tcBorders>
              <w:bottom w:val="nil"/>
            </w:tcBorders>
          </w:tcPr>
          <w:p w14:paraId="3730861A" w14:textId="24DFAB40" w:rsidR="001F607D" w:rsidRDefault="0007383E" w:rsidP="001F607D">
            <w:pPr>
              <w:jc w:val="left"/>
            </w:pPr>
            <w:r>
              <w:rPr>
                <w:color w:val="4472C4"/>
                <w:sz w:val="13"/>
              </w:rPr>
              <w:t>AASB </w:t>
            </w:r>
            <w:r w:rsidR="001F607D">
              <w:rPr>
                <w:color w:val="4472C4"/>
                <w:sz w:val="13"/>
              </w:rPr>
              <w:t>1060.37</w:t>
            </w:r>
          </w:p>
        </w:tc>
        <w:tc>
          <w:tcPr>
            <w:tcW w:w="6558" w:type="dxa"/>
          </w:tcPr>
          <w:p w14:paraId="5B9557B4" w14:textId="77777777" w:rsidR="001F607D" w:rsidRDefault="001F607D" w:rsidP="001F607D">
            <w:pPr>
              <w:jc w:val="left"/>
            </w:pPr>
            <w:r>
              <w:t>Non</w:t>
            </w:r>
            <w:r>
              <w:noBreakHyphen/>
              <w:t>current receivables</w:t>
            </w:r>
          </w:p>
        </w:tc>
        <w:tc>
          <w:tcPr>
            <w:tcW w:w="866" w:type="dxa"/>
            <w:vAlign w:val="center"/>
          </w:tcPr>
          <w:p w14:paraId="0B528071" w14:textId="75BF5648" w:rsidR="001F607D" w:rsidRDefault="001F607D" w:rsidP="001F607D">
            <w:r>
              <w:rPr>
                <w:rFonts w:ascii="Arial" w:hAnsi="Arial" w:cs="Arial"/>
                <w:color w:val="000000"/>
                <w:szCs w:val="16"/>
              </w:rPr>
              <w:t>45</w:t>
            </w:r>
          </w:p>
        </w:tc>
        <w:tc>
          <w:tcPr>
            <w:tcW w:w="866" w:type="dxa"/>
            <w:vAlign w:val="center"/>
          </w:tcPr>
          <w:p w14:paraId="77161FAD" w14:textId="485E0D9A" w:rsidR="001F607D" w:rsidRDefault="001F607D" w:rsidP="001F607D">
            <w:r>
              <w:rPr>
                <w:rFonts w:ascii="Arial" w:hAnsi="Arial" w:cs="Arial"/>
                <w:color w:val="000000"/>
                <w:szCs w:val="16"/>
              </w:rPr>
              <w:t>200</w:t>
            </w:r>
          </w:p>
        </w:tc>
      </w:tr>
    </w:tbl>
    <w:bookmarkEnd w:id="3627"/>
    <w:p w14:paraId="731C7C10" w14:textId="724156D0" w:rsidR="00336B72" w:rsidRDefault="00336B72" w:rsidP="00336B72">
      <w:r w:rsidRPr="005A611E">
        <w:rPr>
          <w:b/>
          <w:bCs/>
        </w:rPr>
        <w:t>Contractual receivables</w:t>
      </w:r>
      <w:r>
        <w:t xml:space="preserve"> are classified as financial instruments and categorised as ‘financial assets at amortised cost’. They are initially recognised at fair value plus any directly attributable transaction costs. TV holds the contractual receivables with the objective to collect the contractual cash flows and therefore subsequently measured at amortised cost using the effective interest method, less any impairment. </w:t>
      </w:r>
      <w:r w:rsidR="009143D2" w:rsidRPr="00574B54">
        <w:rPr>
          <w:rStyle w:val="Reference"/>
        </w:rPr>
        <w:t>[</w:t>
      </w:r>
      <w:r w:rsidR="0007383E">
        <w:rPr>
          <w:rStyle w:val="Reference"/>
        </w:rPr>
        <w:t>AASB </w:t>
      </w:r>
      <w:r w:rsidR="009143D2">
        <w:rPr>
          <w:rStyle w:val="Reference"/>
          <w:rFonts w:hint="eastAsia"/>
          <w:lang w:eastAsia="zh-CN"/>
        </w:rPr>
        <w:t>1060.112</w:t>
      </w:r>
      <w:r w:rsidR="009143D2" w:rsidRPr="00574B54">
        <w:rPr>
          <w:rStyle w:val="Reference"/>
        </w:rPr>
        <w:t>]</w:t>
      </w:r>
    </w:p>
    <w:p w14:paraId="7D20DB91" w14:textId="245441D9" w:rsidR="00B64F48" w:rsidRPr="008702FD" w:rsidRDefault="00336B72" w:rsidP="002A0038">
      <w:r w:rsidRPr="005A611E">
        <w:rPr>
          <w:b/>
          <w:bCs/>
        </w:rPr>
        <w:t>Statutory receivables</w:t>
      </w:r>
      <w:r>
        <w:t xml:space="preserve"> do not arise from contracts and are recognised and measured similarly to contractual receivables (except for impairment) but are not classified as financial instruments for disclosure purposes. </w:t>
      </w:r>
      <w:r w:rsidRPr="00D61F7E">
        <w:t xml:space="preserve">TV applies </w:t>
      </w:r>
      <w:r w:rsidR="0007383E">
        <w:t>AASB </w:t>
      </w:r>
      <w:r w:rsidRPr="00D61F7E">
        <w:t>9 for initial measurement of the statutory receivables and, as a result, statutory receivables are initially recognised at fair value plus any directly attributable transaction cost</w:t>
      </w:r>
      <w:r w:rsidRPr="00DE2FB2">
        <w:t>.</w:t>
      </w:r>
      <w:r w:rsidR="003E588B">
        <w:rPr>
          <w:rFonts w:hint="eastAsia"/>
          <w:lang w:eastAsia="zh-CN"/>
        </w:rPr>
        <w:t xml:space="preserve"> </w:t>
      </w:r>
      <w:r w:rsidR="003F14C6" w:rsidRPr="00574B54">
        <w:rPr>
          <w:rStyle w:val="Reference"/>
        </w:rPr>
        <w:t>[</w:t>
      </w:r>
      <w:r w:rsidR="0007383E">
        <w:rPr>
          <w:rStyle w:val="Reference"/>
        </w:rPr>
        <w:t>AASB </w:t>
      </w:r>
      <w:r w:rsidR="003F14C6">
        <w:rPr>
          <w:rStyle w:val="Reference"/>
          <w:rFonts w:hint="eastAsia"/>
          <w:lang w:eastAsia="zh-CN"/>
        </w:rPr>
        <w:t>1060.</w:t>
      </w:r>
      <w:r w:rsidR="000B0D9D">
        <w:rPr>
          <w:rStyle w:val="Reference"/>
          <w:lang w:eastAsia="zh-CN"/>
        </w:rPr>
        <w:t>230</w:t>
      </w:r>
      <w:r w:rsidR="007A354E">
        <w:rPr>
          <w:rStyle w:val="Reference"/>
          <w:lang w:eastAsia="zh-CN"/>
        </w:rPr>
        <w:t>, 231(a)</w:t>
      </w:r>
      <w:r w:rsidR="003F14C6" w:rsidRPr="00574B54">
        <w:rPr>
          <w:rStyle w:val="Reference"/>
        </w:rPr>
        <w:t>]</w:t>
      </w:r>
      <w:r w:rsidR="003F14C6">
        <w:rPr>
          <w:rStyle w:val="Reference"/>
          <w:rFonts w:hint="eastAsia"/>
          <w:lang w:eastAsia="zh-CN"/>
        </w:rPr>
        <w:t xml:space="preserve"> </w:t>
      </w:r>
    </w:p>
    <w:p w14:paraId="218C0FF8" w14:textId="04BFEE12" w:rsidR="002D7E1A" w:rsidRDefault="009F3A02" w:rsidP="00297BDE">
      <w:pPr>
        <w:pStyle w:val="Heading3numbered"/>
        <w:tabs>
          <w:tab w:val="left" w:pos="318"/>
        </w:tabs>
        <w:rPr>
          <w:rFonts w:eastAsia="SimHei"/>
          <w:lang w:eastAsia="zh-CN"/>
        </w:rPr>
      </w:pPr>
      <w:bookmarkStart w:id="3628" w:name="_Toc179813111"/>
      <w:bookmarkStart w:id="3629" w:name="_Toc179818811"/>
      <w:bookmarkStart w:id="3630" w:name="_Toc179824511"/>
      <w:bookmarkStart w:id="3631" w:name="_Toc179830184"/>
      <w:bookmarkStart w:id="3632" w:name="_Toc179861714"/>
      <w:r>
        <w:rPr>
          <w:rFonts w:eastAsia="SimHei"/>
          <w:lang w:eastAsia="zh-CN"/>
        </w:rPr>
        <w:t>Contract assets</w:t>
      </w:r>
    </w:p>
    <w:tbl>
      <w:tblPr>
        <w:tblStyle w:val="DTFTable"/>
        <w:tblW w:w="9639" w:type="dxa"/>
        <w:tblLayout w:type="fixed"/>
        <w:tblLook w:val="0620" w:firstRow="1" w:lastRow="0" w:firstColumn="0" w:lastColumn="0" w:noHBand="1" w:noVBand="1"/>
      </w:tblPr>
      <w:tblGrid>
        <w:gridCol w:w="1349"/>
        <w:gridCol w:w="6558"/>
        <w:gridCol w:w="866"/>
        <w:gridCol w:w="866"/>
      </w:tblGrid>
      <w:tr w:rsidR="009F3A02" w14:paraId="4C1B6C45" w14:textId="77777777">
        <w:trPr>
          <w:cnfStyle w:val="100000000000" w:firstRow="1" w:lastRow="0" w:firstColumn="0" w:lastColumn="0" w:oddVBand="0" w:evenVBand="0" w:oddHBand="0" w:evenHBand="0" w:firstRowFirstColumn="0" w:firstRowLastColumn="0" w:lastRowFirstColumn="0" w:lastRowLastColumn="0"/>
          <w:tblHeader/>
        </w:trPr>
        <w:tc>
          <w:tcPr>
            <w:tcW w:w="1349" w:type="dxa"/>
            <w:tcBorders>
              <w:top w:val="nil"/>
              <w:bottom w:val="nil"/>
            </w:tcBorders>
            <w:shd w:val="clear" w:color="auto" w:fill="FFFFFF" w:themeFill="background1"/>
          </w:tcPr>
          <w:p w14:paraId="5A6CA89B" w14:textId="77777777" w:rsidR="009F3A02" w:rsidRDefault="009F3A02">
            <w:pPr>
              <w:keepNext/>
              <w:jc w:val="left"/>
            </w:pPr>
            <w:r>
              <w:rPr>
                <w:color w:val="4472C4"/>
                <w:sz w:val="13"/>
              </w:rPr>
              <w:t>Source reference</w:t>
            </w:r>
          </w:p>
        </w:tc>
        <w:tc>
          <w:tcPr>
            <w:tcW w:w="6558" w:type="dxa"/>
          </w:tcPr>
          <w:p w14:paraId="158D3540" w14:textId="77777777" w:rsidR="009F3A02" w:rsidRDefault="009F3A02">
            <w:pPr>
              <w:keepNext/>
              <w:jc w:val="left"/>
            </w:pPr>
          </w:p>
        </w:tc>
        <w:tc>
          <w:tcPr>
            <w:tcW w:w="866" w:type="dxa"/>
          </w:tcPr>
          <w:p w14:paraId="6540A427" w14:textId="77777777" w:rsidR="009F3A02" w:rsidRDefault="009F3A02">
            <w:pPr>
              <w:keepNext/>
            </w:pPr>
            <w:r>
              <w:t>20X2</w:t>
            </w:r>
          </w:p>
        </w:tc>
        <w:tc>
          <w:tcPr>
            <w:tcW w:w="866" w:type="dxa"/>
          </w:tcPr>
          <w:p w14:paraId="7BE64614" w14:textId="77777777" w:rsidR="009F3A02" w:rsidRDefault="009F3A02">
            <w:pPr>
              <w:keepNext/>
            </w:pPr>
            <w:r>
              <w:t>20X1</w:t>
            </w:r>
          </w:p>
        </w:tc>
      </w:tr>
      <w:tr w:rsidR="009F3A02" w14:paraId="703C468D" w14:textId="77777777">
        <w:tc>
          <w:tcPr>
            <w:tcW w:w="1349" w:type="dxa"/>
          </w:tcPr>
          <w:p w14:paraId="6393FE8C" w14:textId="6C612DB1" w:rsidR="009F3A02" w:rsidRDefault="0007383E">
            <w:pPr>
              <w:jc w:val="left"/>
              <w:rPr>
                <w:lang w:eastAsia="zh-CN"/>
              </w:rPr>
            </w:pPr>
            <w:r>
              <w:rPr>
                <w:color w:val="4472C4"/>
                <w:sz w:val="13"/>
              </w:rPr>
              <w:t>AASB </w:t>
            </w:r>
            <w:r w:rsidR="009F3A02">
              <w:rPr>
                <w:color w:val="4472C4"/>
                <w:sz w:val="13"/>
              </w:rPr>
              <w:t>1</w:t>
            </w:r>
            <w:r w:rsidR="00E968AB">
              <w:rPr>
                <w:color w:val="4472C4"/>
                <w:sz w:val="13"/>
              </w:rPr>
              <w:t>5.105</w:t>
            </w:r>
          </w:p>
        </w:tc>
        <w:tc>
          <w:tcPr>
            <w:tcW w:w="6558" w:type="dxa"/>
          </w:tcPr>
          <w:p w14:paraId="3F991FA5" w14:textId="542DCD52" w:rsidR="009F3A02" w:rsidRDefault="009F3A02">
            <w:pPr>
              <w:jc w:val="left"/>
              <w:rPr>
                <w:b/>
                <w:lang w:eastAsia="zh-CN"/>
              </w:rPr>
            </w:pPr>
            <w:r w:rsidRPr="002A0038">
              <w:t>Contract assets</w:t>
            </w:r>
          </w:p>
        </w:tc>
        <w:tc>
          <w:tcPr>
            <w:tcW w:w="866" w:type="dxa"/>
          </w:tcPr>
          <w:p w14:paraId="705FCE29" w14:textId="77777777" w:rsidR="009F3A02" w:rsidRDefault="009F3A02">
            <w:pPr>
              <w:rPr>
                <w:lang w:eastAsia="zh-CN"/>
              </w:rPr>
            </w:pPr>
            <w:r>
              <w:rPr>
                <w:rFonts w:hint="eastAsia"/>
                <w:lang w:eastAsia="zh-CN"/>
              </w:rPr>
              <w:t>20</w:t>
            </w:r>
          </w:p>
        </w:tc>
        <w:tc>
          <w:tcPr>
            <w:tcW w:w="866" w:type="dxa"/>
          </w:tcPr>
          <w:p w14:paraId="2674F734" w14:textId="77777777" w:rsidR="009F3A02" w:rsidRDefault="009F3A02">
            <w:pPr>
              <w:rPr>
                <w:lang w:eastAsia="zh-CN"/>
              </w:rPr>
            </w:pPr>
            <w:r>
              <w:rPr>
                <w:rFonts w:hint="eastAsia"/>
                <w:lang w:eastAsia="zh-CN"/>
              </w:rPr>
              <w:t>20</w:t>
            </w:r>
          </w:p>
        </w:tc>
      </w:tr>
      <w:tr w:rsidR="009F3A02" w14:paraId="27005BE3" w14:textId="77777777">
        <w:tc>
          <w:tcPr>
            <w:tcW w:w="1349" w:type="dxa"/>
          </w:tcPr>
          <w:p w14:paraId="01FF462F" w14:textId="77777777" w:rsidR="009F3A02" w:rsidRDefault="009F3A02">
            <w:pPr>
              <w:jc w:val="left"/>
            </w:pPr>
          </w:p>
        </w:tc>
        <w:tc>
          <w:tcPr>
            <w:tcW w:w="6558" w:type="dxa"/>
          </w:tcPr>
          <w:p w14:paraId="393432EB" w14:textId="77777777" w:rsidR="009F3A02" w:rsidRDefault="009F3A02">
            <w:pPr>
              <w:jc w:val="left"/>
            </w:pPr>
            <w:r>
              <w:rPr>
                <w:i/>
              </w:rPr>
              <w:t>Represented by</w:t>
            </w:r>
          </w:p>
        </w:tc>
        <w:tc>
          <w:tcPr>
            <w:tcW w:w="866" w:type="dxa"/>
          </w:tcPr>
          <w:p w14:paraId="229243E8" w14:textId="77777777" w:rsidR="009F3A02" w:rsidRDefault="009F3A02"/>
        </w:tc>
        <w:tc>
          <w:tcPr>
            <w:tcW w:w="866" w:type="dxa"/>
          </w:tcPr>
          <w:p w14:paraId="6043E04A" w14:textId="77777777" w:rsidR="009F3A02" w:rsidRDefault="009F3A02"/>
        </w:tc>
      </w:tr>
      <w:tr w:rsidR="009F3A02" w14:paraId="2E317D56" w14:textId="77777777">
        <w:tc>
          <w:tcPr>
            <w:tcW w:w="1349" w:type="dxa"/>
            <w:tcBorders>
              <w:bottom w:val="nil"/>
            </w:tcBorders>
          </w:tcPr>
          <w:p w14:paraId="53D1E79C" w14:textId="3FE5299C" w:rsidR="009F3A02" w:rsidRDefault="0007383E">
            <w:pPr>
              <w:jc w:val="left"/>
            </w:pPr>
            <w:r>
              <w:rPr>
                <w:color w:val="4472C4"/>
                <w:sz w:val="13"/>
              </w:rPr>
              <w:t>AASB </w:t>
            </w:r>
            <w:r w:rsidR="009F3A02">
              <w:rPr>
                <w:color w:val="4472C4"/>
                <w:sz w:val="13"/>
              </w:rPr>
              <w:t>1060.37</w:t>
            </w:r>
          </w:p>
        </w:tc>
        <w:tc>
          <w:tcPr>
            <w:tcW w:w="6558" w:type="dxa"/>
          </w:tcPr>
          <w:p w14:paraId="36AF24D6" w14:textId="2C663326" w:rsidR="009F3A02" w:rsidRDefault="009F3A02">
            <w:pPr>
              <w:jc w:val="left"/>
              <w:rPr>
                <w:lang w:eastAsia="zh-CN"/>
              </w:rPr>
            </w:pPr>
            <w:r>
              <w:t xml:space="preserve">Current </w:t>
            </w:r>
            <w:r w:rsidR="00D67810">
              <w:rPr>
                <w:rFonts w:hint="eastAsia"/>
                <w:lang w:eastAsia="zh-CN"/>
              </w:rPr>
              <w:t>contract assets</w:t>
            </w:r>
          </w:p>
        </w:tc>
        <w:tc>
          <w:tcPr>
            <w:tcW w:w="866" w:type="dxa"/>
            <w:vAlign w:val="center"/>
          </w:tcPr>
          <w:p w14:paraId="7825056C" w14:textId="69C60870" w:rsidR="009F3A02" w:rsidRDefault="009F3A02">
            <w:r>
              <w:rPr>
                <w:rFonts w:ascii="Arial" w:hAnsi="Arial" w:cs="Arial" w:hint="eastAsia"/>
                <w:color w:val="000000"/>
                <w:szCs w:val="16"/>
                <w:lang w:eastAsia="zh-CN"/>
              </w:rPr>
              <w:t>2</w:t>
            </w:r>
            <w:r>
              <w:rPr>
                <w:rFonts w:ascii="Arial" w:hAnsi="Arial" w:cs="Arial"/>
                <w:color w:val="000000"/>
                <w:szCs w:val="16"/>
              </w:rPr>
              <w:t>0</w:t>
            </w:r>
          </w:p>
        </w:tc>
        <w:tc>
          <w:tcPr>
            <w:tcW w:w="866" w:type="dxa"/>
            <w:vAlign w:val="center"/>
          </w:tcPr>
          <w:p w14:paraId="3F4DFEB7" w14:textId="763D4E78" w:rsidR="009F3A02" w:rsidRDefault="003C1071">
            <w:r>
              <w:rPr>
                <w:rFonts w:ascii="Arial" w:hAnsi="Arial" w:cs="Arial"/>
                <w:color w:val="000000"/>
                <w:szCs w:val="16"/>
              </w:rPr>
              <w:t xml:space="preserve"> </w:t>
            </w:r>
            <w:r w:rsidR="009F3A02">
              <w:rPr>
                <w:rFonts w:ascii="Arial" w:hAnsi="Arial" w:cs="Arial"/>
                <w:color w:val="000000"/>
                <w:szCs w:val="16"/>
              </w:rPr>
              <w:t>20</w:t>
            </w:r>
          </w:p>
        </w:tc>
      </w:tr>
      <w:tr w:rsidR="009F3A02" w14:paraId="261ECFA2" w14:textId="77777777">
        <w:tc>
          <w:tcPr>
            <w:tcW w:w="1349" w:type="dxa"/>
            <w:tcBorders>
              <w:bottom w:val="nil"/>
            </w:tcBorders>
          </w:tcPr>
          <w:p w14:paraId="3BA21154" w14:textId="4A11CB03" w:rsidR="009F3A02" w:rsidRDefault="0007383E">
            <w:pPr>
              <w:jc w:val="left"/>
            </w:pPr>
            <w:r>
              <w:rPr>
                <w:color w:val="4472C4"/>
                <w:sz w:val="13"/>
              </w:rPr>
              <w:t>AASB </w:t>
            </w:r>
            <w:r w:rsidR="009F3A02">
              <w:rPr>
                <w:color w:val="4472C4"/>
                <w:sz w:val="13"/>
              </w:rPr>
              <w:t>1060.37</w:t>
            </w:r>
          </w:p>
        </w:tc>
        <w:tc>
          <w:tcPr>
            <w:tcW w:w="6558" w:type="dxa"/>
          </w:tcPr>
          <w:p w14:paraId="537F8920" w14:textId="74630115" w:rsidR="009F3A02" w:rsidRDefault="009F3A02">
            <w:pPr>
              <w:jc w:val="left"/>
            </w:pPr>
            <w:r>
              <w:t>Non</w:t>
            </w:r>
            <w:r>
              <w:noBreakHyphen/>
              <w:t xml:space="preserve">current </w:t>
            </w:r>
            <w:r w:rsidR="00D67810">
              <w:rPr>
                <w:rFonts w:hint="eastAsia"/>
                <w:lang w:eastAsia="zh-CN"/>
              </w:rPr>
              <w:t>contract asset</w:t>
            </w:r>
            <w:r>
              <w:t>s</w:t>
            </w:r>
          </w:p>
        </w:tc>
        <w:tc>
          <w:tcPr>
            <w:tcW w:w="866" w:type="dxa"/>
            <w:vAlign w:val="center"/>
          </w:tcPr>
          <w:p w14:paraId="5EBC60A6" w14:textId="4F910F5B" w:rsidR="009F3A02" w:rsidRDefault="003C1071">
            <w:r>
              <w:rPr>
                <w:rFonts w:ascii="Arial" w:hAnsi="Arial" w:cs="Arial"/>
                <w:color w:val="000000"/>
                <w:szCs w:val="16"/>
              </w:rPr>
              <w:t>..</w:t>
            </w:r>
          </w:p>
        </w:tc>
        <w:tc>
          <w:tcPr>
            <w:tcW w:w="866" w:type="dxa"/>
            <w:vAlign w:val="center"/>
          </w:tcPr>
          <w:p w14:paraId="7BD499D7" w14:textId="17CD6A98" w:rsidR="009F3A02" w:rsidRDefault="003C1071">
            <w:r>
              <w:rPr>
                <w:rFonts w:ascii="Arial" w:hAnsi="Arial" w:cs="Arial"/>
                <w:color w:val="000000"/>
                <w:szCs w:val="16"/>
              </w:rPr>
              <w:t>..</w:t>
            </w:r>
          </w:p>
        </w:tc>
      </w:tr>
    </w:tbl>
    <w:p w14:paraId="3AF0C5E1" w14:textId="56135D76" w:rsidR="009F3A02" w:rsidRPr="00E10CD7" w:rsidRDefault="009F3A02" w:rsidP="00E10CD7">
      <w:pPr>
        <w:rPr>
          <w:lang w:eastAsia="zh-CN"/>
        </w:rPr>
      </w:pPr>
      <w:r w:rsidRPr="009F3A02">
        <w:rPr>
          <w:lang w:eastAsia="zh-CN"/>
        </w:rPr>
        <w:t xml:space="preserve">Contract assets relate to TV’s right to consideration in exchange for services transferred to customers for works </w:t>
      </w:r>
      <w:proofErr w:type="gramStart"/>
      <w:r w:rsidRPr="009F3A02">
        <w:rPr>
          <w:lang w:eastAsia="zh-CN"/>
        </w:rPr>
        <w:t>completed, but</w:t>
      </w:r>
      <w:proofErr w:type="gramEnd"/>
      <w:r w:rsidRPr="009F3A02">
        <w:rPr>
          <w:lang w:eastAsia="zh-CN"/>
        </w:rPr>
        <w:t xml:space="preserve"> not yet billed at the reporting date. The contract assets are transferred to receivables when the rights become unconditional, at this time an invoice is issued. This usually occurs when TV issues an invoice to the customer. The balance of the contract assets </w:t>
      </w:r>
      <w:proofErr w:type="gramStart"/>
      <w:r w:rsidRPr="009F3A02">
        <w:rPr>
          <w:lang w:eastAsia="zh-CN"/>
        </w:rPr>
        <w:t>at</w:t>
      </w:r>
      <w:proofErr w:type="gramEnd"/>
      <w:r w:rsidRPr="009F3A02">
        <w:rPr>
          <w:lang w:eastAsia="zh-CN"/>
        </w:rPr>
        <w:t xml:space="preserve"> 30 June 20X2 was impacted by timing of the works completed by contractors and is not billable at this stage. The works are expected to be completed and recovered early next year.</w:t>
      </w:r>
    </w:p>
    <w:p w14:paraId="5AA64EF6" w14:textId="13182D3C" w:rsidR="00336B72" w:rsidRPr="00860991" w:rsidRDefault="00336B72" w:rsidP="00297BDE">
      <w:pPr>
        <w:pStyle w:val="Heading3numbered"/>
        <w:tabs>
          <w:tab w:val="left" w:pos="318"/>
        </w:tabs>
        <w:rPr>
          <w:rFonts w:eastAsia="SimHei"/>
          <w:lang w:eastAsia="zh-CN"/>
        </w:rPr>
      </w:pPr>
      <w:r w:rsidRPr="002A0038">
        <w:t>Impairment loss</w:t>
      </w:r>
      <w:bookmarkEnd w:id="3628"/>
      <w:bookmarkEnd w:id="3629"/>
      <w:bookmarkEnd w:id="3630"/>
      <w:bookmarkEnd w:id="3631"/>
      <w:bookmarkEnd w:id="3632"/>
    </w:p>
    <w:p w14:paraId="761307F6" w14:textId="03ED9FF4" w:rsidR="0030760B" w:rsidRPr="0030760B" w:rsidRDefault="0030760B" w:rsidP="002A0038">
      <w:pPr>
        <w:pStyle w:val="TableUnits"/>
      </w:pPr>
      <w:r>
        <w:t>($ thousand)</w:t>
      </w:r>
    </w:p>
    <w:tbl>
      <w:tblPr>
        <w:tblStyle w:val="DTFTable"/>
        <w:tblW w:w="9639" w:type="dxa"/>
        <w:tblLayout w:type="fixed"/>
        <w:tblLook w:val="0620" w:firstRow="1" w:lastRow="0" w:firstColumn="0" w:lastColumn="0" w:noHBand="1" w:noVBand="1"/>
      </w:tblPr>
      <w:tblGrid>
        <w:gridCol w:w="1839"/>
        <w:gridCol w:w="5107"/>
        <w:gridCol w:w="992"/>
        <w:gridCol w:w="1701"/>
      </w:tblGrid>
      <w:tr w:rsidR="00860991" w14:paraId="6BF5A62A" w14:textId="77777777" w:rsidTr="00E10CD7">
        <w:trPr>
          <w:cnfStyle w:val="100000000000" w:firstRow="1" w:lastRow="0" w:firstColumn="0" w:lastColumn="0" w:oddVBand="0" w:evenVBand="0" w:oddHBand="0" w:evenHBand="0" w:firstRowFirstColumn="0" w:firstRowLastColumn="0" w:lastRowFirstColumn="0" w:lastRowLastColumn="0"/>
          <w:tblHeader/>
        </w:trPr>
        <w:tc>
          <w:tcPr>
            <w:tcW w:w="0" w:type="dxa"/>
            <w:tcBorders>
              <w:top w:val="nil"/>
              <w:bottom w:val="nil"/>
            </w:tcBorders>
            <w:shd w:val="clear" w:color="auto" w:fill="FFFFFF" w:themeFill="background1"/>
          </w:tcPr>
          <w:p w14:paraId="2C362A5B" w14:textId="77777777" w:rsidR="00757F3B" w:rsidRDefault="00757F3B">
            <w:pPr>
              <w:keepNext/>
              <w:jc w:val="left"/>
            </w:pPr>
            <w:r>
              <w:rPr>
                <w:color w:val="4472C4"/>
                <w:sz w:val="13"/>
              </w:rPr>
              <w:t>Source reference</w:t>
            </w:r>
          </w:p>
        </w:tc>
        <w:tc>
          <w:tcPr>
            <w:tcW w:w="5107" w:type="dxa"/>
          </w:tcPr>
          <w:p w14:paraId="3503BEE6" w14:textId="77777777" w:rsidR="00757F3B" w:rsidRDefault="00757F3B">
            <w:pPr>
              <w:keepNext/>
              <w:jc w:val="left"/>
            </w:pPr>
          </w:p>
        </w:tc>
        <w:tc>
          <w:tcPr>
            <w:tcW w:w="992" w:type="dxa"/>
          </w:tcPr>
          <w:p w14:paraId="6BBF4F39" w14:textId="77777777" w:rsidR="00757F3B" w:rsidRDefault="00757F3B">
            <w:pPr>
              <w:keepNext/>
            </w:pPr>
            <w:r>
              <w:t>20X2</w:t>
            </w:r>
          </w:p>
        </w:tc>
        <w:tc>
          <w:tcPr>
            <w:tcW w:w="0" w:type="dxa"/>
          </w:tcPr>
          <w:p w14:paraId="254F3D76" w14:textId="77777777" w:rsidR="00757F3B" w:rsidRDefault="00757F3B">
            <w:pPr>
              <w:keepNext/>
            </w:pPr>
            <w:r>
              <w:t>20X1</w:t>
            </w:r>
          </w:p>
        </w:tc>
      </w:tr>
      <w:tr w:rsidR="00757F3B" w14:paraId="6ED425FA" w14:textId="77777777" w:rsidTr="00E10CD7">
        <w:tc>
          <w:tcPr>
            <w:tcW w:w="0" w:type="dxa"/>
          </w:tcPr>
          <w:p w14:paraId="49F49257" w14:textId="1EDB7AFE" w:rsidR="00757F3B" w:rsidRDefault="00757F3B">
            <w:pPr>
              <w:jc w:val="left"/>
              <w:rPr>
                <w:lang w:eastAsia="zh-CN"/>
              </w:rPr>
            </w:pPr>
          </w:p>
        </w:tc>
        <w:tc>
          <w:tcPr>
            <w:tcW w:w="5107" w:type="dxa"/>
          </w:tcPr>
          <w:p w14:paraId="469F01D3" w14:textId="37A3D251" w:rsidR="00757F3B" w:rsidRDefault="00757F3B">
            <w:pPr>
              <w:jc w:val="left"/>
              <w:rPr>
                <w:lang w:eastAsia="zh-CN"/>
              </w:rPr>
            </w:pPr>
            <w:r>
              <w:rPr>
                <w:rFonts w:hint="eastAsia"/>
                <w:b/>
                <w:lang w:eastAsia="zh-CN"/>
              </w:rPr>
              <w:t>Impairment loss</w:t>
            </w:r>
          </w:p>
        </w:tc>
        <w:tc>
          <w:tcPr>
            <w:tcW w:w="992" w:type="dxa"/>
          </w:tcPr>
          <w:p w14:paraId="5D15DCE8" w14:textId="77777777" w:rsidR="00757F3B" w:rsidRDefault="00757F3B"/>
        </w:tc>
        <w:tc>
          <w:tcPr>
            <w:tcW w:w="0" w:type="dxa"/>
          </w:tcPr>
          <w:p w14:paraId="2AC8A7A5" w14:textId="77777777" w:rsidR="00757F3B" w:rsidRDefault="00757F3B"/>
        </w:tc>
      </w:tr>
      <w:tr w:rsidR="003C00C9" w14:paraId="3BC7B812" w14:textId="77777777" w:rsidTr="00E10CD7">
        <w:tc>
          <w:tcPr>
            <w:tcW w:w="0" w:type="dxa"/>
            <w:tcBorders>
              <w:bottom w:val="nil"/>
            </w:tcBorders>
          </w:tcPr>
          <w:p w14:paraId="5DD11F11" w14:textId="261672CD" w:rsidR="003C00C9" w:rsidRDefault="0007383E" w:rsidP="003C00C9">
            <w:pPr>
              <w:jc w:val="left"/>
            </w:pPr>
            <w:r>
              <w:rPr>
                <w:color w:val="4472C4"/>
                <w:sz w:val="13"/>
              </w:rPr>
              <w:t>AASB </w:t>
            </w:r>
            <w:r w:rsidR="003C00C9">
              <w:rPr>
                <w:color w:val="4472C4"/>
                <w:sz w:val="13"/>
              </w:rPr>
              <w:t>1060.</w:t>
            </w:r>
            <w:r w:rsidR="003C00C9">
              <w:rPr>
                <w:rFonts w:hint="eastAsia"/>
                <w:color w:val="4472C4"/>
                <w:sz w:val="13"/>
                <w:lang w:eastAsia="zh-CN"/>
              </w:rPr>
              <w:t>97</w:t>
            </w:r>
            <w:r w:rsidR="00EA7B7F">
              <w:rPr>
                <w:color w:val="4472C4"/>
                <w:sz w:val="13"/>
                <w:lang w:eastAsia="zh-CN"/>
              </w:rPr>
              <w:t>, 119(c)</w:t>
            </w:r>
          </w:p>
        </w:tc>
        <w:tc>
          <w:tcPr>
            <w:tcW w:w="5107" w:type="dxa"/>
          </w:tcPr>
          <w:p w14:paraId="3AA1A8CA" w14:textId="529013BF" w:rsidR="003C00C9" w:rsidRDefault="003C00C9" w:rsidP="003C00C9">
            <w:pPr>
              <w:jc w:val="left"/>
              <w:rPr>
                <w:lang w:eastAsia="zh-CN"/>
              </w:rPr>
            </w:pPr>
            <w:r>
              <w:rPr>
                <w:rFonts w:hint="eastAsia"/>
                <w:lang w:eastAsia="zh-CN"/>
              </w:rPr>
              <w:t>Impairment loss on contractual receivables</w:t>
            </w:r>
          </w:p>
        </w:tc>
        <w:tc>
          <w:tcPr>
            <w:tcW w:w="992" w:type="dxa"/>
            <w:vAlign w:val="center"/>
          </w:tcPr>
          <w:p w14:paraId="66D53083" w14:textId="41496736" w:rsidR="003C00C9" w:rsidRPr="00E10CD7" w:rsidRDefault="003C00C9" w:rsidP="003C00C9">
            <w:pPr>
              <w:rPr>
                <w:i/>
              </w:rPr>
            </w:pPr>
          </w:p>
        </w:tc>
        <w:tc>
          <w:tcPr>
            <w:tcW w:w="0" w:type="dxa"/>
            <w:vAlign w:val="center"/>
          </w:tcPr>
          <w:p w14:paraId="1BB2F758" w14:textId="3809527E" w:rsidR="003C00C9" w:rsidRPr="00E10CD7" w:rsidRDefault="003C00C9" w:rsidP="003C00C9">
            <w:pPr>
              <w:rPr>
                <w:i/>
              </w:rPr>
            </w:pPr>
          </w:p>
        </w:tc>
      </w:tr>
      <w:tr w:rsidR="00983BCB" w14:paraId="1A1AF741" w14:textId="77777777" w:rsidTr="00BC4C40">
        <w:tc>
          <w:tcPr>
            <w:tcW w:w="1839" w:type="dxa"/>
            <w:tcBorders>
              <w:bottom w:val="nil"/>
            </w:tcBorders>
          </w:tcPr>
          <w:p w14:paraId="4E0123E9" w14:textId="77777777" w:rsidR="00983BCB" w:rsidRDefault="00983BCB" w:rsidP="00983BCB">
            <w:pPr>
              <w:rPr>
                <w:color w:val="4472C4"/>
                <w:sz w:val="13"/>
              </w:rPr>
            </w:pPr>
          </w:p>
        </w:tc>
        <w:tc>
          <w:tcPr>
            <w:tcW w:w="5107" w:type="dxa"/>
          </w:tcPr>
          <w:p w14:paraId="1CCB7C4F" w14:textId="55F258CC" w:rsidR="00983BCB" w:rsidRDefault="00983BCB" w:rsidP="00E10CD7">
            <w:pPr>
              <w:ind w:right="320"/>
              <w:jc w:val="center"/>
              <w:rPr>
                <w:lang w:eastAsia="zh-CN"/>
              </w:rPr>
            </w:pPr>
            <w:r>
              <w:rPr>
                <w:i/>
                <w:iCs/>
                <w:lang w:eastAsia="zh-CN"/>
              </w:rPr>
              <w:t xml:space="preserve"> </w:t>
            </w:r>
            <w:r w:rsidRPr="00A36438">
              <w:rPr>
                <w:i/>
                <w:iCs/>
                <w:lang w:eastAsia="zh-CN"/>
              </w:rPr>
              <w:t xml:space="preserve">From transactions       </w:t>
            </w:r>
            <w:r>
              <w:rPr>
                <w:i/>
                <w:iCs/>
                <w:lang w:eastAsia="zh-CN"/>
              </w:rPr>
              <w:t xml:space="preserve">                                             Note 3.3</w:t>
            </w:r>
          </w:p>
        </w:tc>
        <w:tc>
          <w:tcPr>
            <w:tcW w:w="992" w:type="dxa"/>
            <w:vAlign w:val="center"/>
          </w:tcPr>
          <w:p w14:paraId="456CB44C" w14:textId="2E77D303" w:rsidR="00983BCB" w:rsidRPr="00A36438" w:rsidRDefault="00983BCB" w:rsidP="00983BCB">
            <w:pPr>
              <w:rPr>
                <w:rFonts w:ascii="Arial" w:hAnsi="Arial" w:cs="Arial"/>
                <w:i/>
                <w:iCs/>
                <w:color w:val="000000"/>
                <w:szCs w:val="16"/>
              </w:rPr>
            </w:pPr>
            <w:r w:rsidRPr="00A36438">
              <w:rPr>
                <w:rFonts w:ascii="Arial" w:hAnsi="Arial" w:cs="Arial"/>
                <w:i/>
                <w:iCs/>
                <w:color w:val="000000"/>
                <w:szCs w:val="16"/>
              </w:rPr>
              <w:t>(60</w:t>
            </w:r>
            <w:r>
              <w:rPr>
                <w:rFonts w:ascii="Arial" w:hAnsi="Arial" w:cs="Arial"/>
                <w:i/>
                <w:iCs/>
                <w:color w:val="000000"/>
                <w:szCs w:val="16"/>
              </w:rPr>
              <w:t>0</w:t>
            </w:r>
            <w:r w:rsidRPr="00A36438">
              <w:rPr>
                <w:rFonts w:ascii="Arial" w:hAnsi="Arial" w:cs="Arial"/>
                <w:i/>
                <w:iCs/>
                <w:color w:val="000000"/>
                <w:szCs w:val="16"/>
              </w:rPr>
              <w:t>)</w:t>
            </w:r>
          </w:p>
        </w:tc>
        <w:tc>
          <w:tcPr>
            <w:tcW w:w="1701" w:type="dxa"/>
            <w:vAlign w:val="center"/>
          </w:tcPr>
          <w:p w14:paraId="764D9A07" w14:textId="45E6E073" w:rsidR="00983BCB" w:rsidRPr="00A36438" w:rsidRDefault="00983BCB" w:rsidP="00983BCB">
            <w:pPr>
              <w:rPr>
                <w:rFonts w:ascii="Arial" w:hAnsi="Arial" w:cs="Arial"/>
                <w:i/>
                <w:iCs/>
                <w:color w:val="000000"/>
                <w:szCs w:val="16"/>
              </w:rPr>
            </w:pPr>
            <w:r w:rsidRPr="00A36438">
              <w:rPr>
                <w:rFonts w:ascii="Arial" w:hAnsi="Arial" w:cs="Arial"/>
                <w:i/>
                <w:iCs/>
                <w:color w:val="000000"/>
                <w:szCs w:val="16"/>
              </w:rPr>
              <w:t>(32</w:t>
            </w:r>
            <w:r>
              <w:rPr>
                <w:rFonts w:ascii="Arial" w:hAnsi="Arial" w:cs="Arial"/>
                <w:i/>
                <w:iCs/>
                <w:color w:val="000000"/>
                <w:szCs w:val="16"/>
              </w:rPr>
              <w:t>0</w:t>
            </w:r>
            <w:r w:rsidRPr="00A36438">
              <w:rPr>
                <w:rFonts w:ascii="Arial" w:hAnsi="Arial" w:cs="Arial"/>
                <w:i/>
                <w:iCs/>
                <w:color w:val="000000"/>
                <w:szCs w:val="16"/>
              </w:rPr>
              <w:t>)</w:t>
            </w:r>
          </w:p>
        </w:tc>
      </w:tr>
      <w:tr w:rsidR="00983BCB" w14:paraId="282CCC3C" w14:textId="77777777" w:rsidTr="00E10CD7">
        <w:tc>
          <w:tcPr>
            <w:tcW w:w="0" w:type="dxa"/>
            <w:tcBorders>
              <w:bottom w:val="nil"/>
            </w:tcBorders>
          </w:tcPr>
          <w:p w14:paraId="1FD13212" w14:textId="77777777" w:rsidR="00983BCB" w:rsidRDefault="00983BCB" w:rsidP="00983BCB">
            <w:pPr>
              <w:rPr>
                <w:color w:val="4472C4"/>
                <w:sz w:val="13"/>
              </w:rPr>
            </w:pPr>
          </w:p>
        </w:tc>
        <w:tc>
          <w:tcPr>
            <w:tcW w:w="5107" w:type="dxa"/>
          </w:tcPr>
          <w:p w14:paraId="377AA7D8" w14:textId="3A10391F" w:rsidR="00983BCB" w:rsidRDefault="00983BCB" w:rsidP="00E10CD7">
            <w:pPr>
              <w:ind w:right="320"/>
              <w:jc w:val="left"/>
              <w:rPr>
                <w:lang w:eastAsia="zh-CN"/>
              </w:rPr>
            </w:pPr>
            <w:r>
              <w:rPr>
                <w:i/>
                <w:iCs/>
                <w:lang w:eastAsia="zh-CN"/>
              </w:rPr>
              <w:t xml:space="preserve">      </w:t>
            </w:r>
            <w:r w:rsidRPr="00A36438">
              <w:rPr>
                <w:i/>
                <w:iCs/>
                <w:lang w:eastAsia="zh-CN"/>
              </w:rPr>
              <w:t>In other economic flow</w:t>
            </w:r>
            <w:r>
              <w:rPr>
                <w:i/>
                <w:iCs/>
                <w:lang w:eastAsia="zh-CN"/>
              </w:rPr>
              <w:t xml:space="preserve">                                             Note 8.2</w:t>
            </w:r>
          </w:p>
        </w:tc>
        <w:tc>
          <w:tcPr>
            <w:tcW w:w="992" w:type="dxa"/>
            <w:vAlign w:val="center"/>
          </w:tcPr>
          <w:p w14:paraId="7785D1FF" w14:textId="2A977316" w:rsidR="00983BCB" w:rsidRDefault="00983BCB" w:rsidP="00983BCB">
            <w:pPr>
              <w:rPr>
                <w:rFonts w:ascii="Arial" w:hAnsi="Arial" w:cs="Arial"/>
                <w:color w:val="000000"/>
                <w:szCs w:val="16"/>
              </w:rPr>
            </w:pPr>
            <w:r w:rsidRPr="00A36438">
              <w:rPr>
                <w:rFonts w:ascii="Arial" w:hAnsi="Arial" w:cs="Arial"/>
                <w:i/>
                <w:iCs/>
                <w:color w:val="000000"/>
                <w:szCs w:val="16"/>
              </w:rPr>
              <w:t>(603)</w:t>
            </w:r>
          </w:p>
        </w:tc>
        <w:tc>
          <w:tcPr>
            <w:tcW w:w="0" w:type="dxa"/>
            <w:vAlign w:val="center"/>
          </w:tcPr>
          <w:p w14:paraId="63D61D3E" w14:textId="0F26DE26" w:rsidR="00983BCB" w:rsidRDefault="00983BCB" w:rsidP="00983BCB">
            <w:pPr>
              <w:rPr>
                <w:rFonts w:ascii="Arial" w:hAnsi="Arial" w:cs="Arial"/>
                <w:color w:val="000000"/>
                <w:szCs w:val="16"/>
              </w:rPr>
            </w:pPr>
            <w:r w:rsidRPr="00A36438">
              <w:rPr>
                <w:rFonts w:ascii="Arial" w:hAnsi="Arial" w:cs="Arial"/>
                <w:i/>
                <w:iCs/>
                <w:color w:val="000000"/>
                <w:szCs w:val="16"/>
              </w:rPr>
              <w:t>(327)</w:t>
            </w:r>
          </w:p>
        </w:tc>
      </w:tr>
      <w:tr w:rsidR="003C00C9" w14:paraId="17E52871" w14:textId="77777777" w:rsidTr="00E10CD7">
        <w:tc>
          <w:tcPr>
            <w:tcW w:w="0" w:type="dxa"/>
            <w:tcBorders>
              <w:bottom w:val="nil"/>
            </w:tcBorders>
          </w:tcPr>
          <w:p w14:paraId="77ED60DA" w14:textId="775A1224" w:rsidR="003C00C9" w:rsidRDefault="0007383E" w:rsidP="003C00C9">
            <w:pPr>
              <w:jc w:val="left"/>
            </w:pPr>
            <w:r>
              <w:rPr>
                <w:color w:val="4472C4"/>
                <w:sz w:val="13"/>
              </w:rPr>
              <w:t>AASB </w:t>
            </w:r>
            <w:r w:rsidR="003C00C9">
              <w:rPr>
                <w:color w:val="4472C4"/>
                <w:sz w:val="13"/>
              </w:rPr>
              <w:t>1060.</w:t>
            </w:r>
            <w:r w:rsidR="003C00C9">
              <w:rPr>
                <w:rFonts w:hint="eastAsia"/>
                <w:color w:val="4472C4"/>
                <w:sz w:val="13"/>
                <w:lang w:eastAsia="zh-CN"/>
              </w:rPr>
              <w:t>97</w:t>
            </w:r>
            <w:r w:rsidR="001A1AF7">
              <w:rPr>
                <w:color w:val="4472C4"/>
                <w:sz w:val="13"/>
                <w:lang w:eastAsia="zh-CN"/>
              </w:rPr>
              <w:t>, 231(a)</w:t>
            </w:r>
          </w:p>
        </w:tc>
        <w:tc>
          <w:tcPr>
            <w:tcW w:w="5107" w:type="dxa"/>
          </w:tcPr>
          <w:p w14:paraId="68A994FC" w14:textId="484F8DD7" w:rsidR="003C00C9" w:rsidRDefault="003C00C9" w:rsidP="003C00C9">
            <w:pPr>
              <w:jc w:val="left"/>
            </w:pPr>
            <w:r>
              <w:rPr>
                <w:rFonts w:hint="eastAsia"/>
                <w:lang w:eastAsia="zh-CN"/>
              </w:rPr>
              <w:t>Impairment loss on statutory receivables</w:t>
            </w:r>
          </w:p>
        </w:tc>
        <w:tc>
          <w:tcPr>
            <w:tcW w:w="992" w:type="dxa"/>
          </w:tcPr>
          <w:p w14:paraId="4CC5893F" w14:textId="251CB79C" w:rsidR="003C00C9" w:rsidRDefault="003C00C9" w:rsidP="003C00C9">
            <w:r w:rsidRPr="00BF30CE">
              <w:t>..</w:t>
            </w:r>
          </w:p>
        </w:tc>
        <w:tc>
          <w:tcPr>
            <w:tcW w:w="0" w:type="dxa"/>
          </w:tcPr>
          <w:p w14:paraId="512F1FD6" w14:textId="660AE9AA" w:rsidR="003C00C9" w:rsidRDefault="003C00C9" w:rsidP="003C00C9">
            <w:r w:rsidRPr="00BF30CE">
              <w:t>..</w:t>
            </w:r>
          </w:p>
        </w:tc>
      </w:tr>
      <w:tr w:rsidR="003C00C9" w14:paraId="597142B3" w14:textId="77777777" w:rsidTr="00E10CD7">
        <w:tc>
          <w:tcPr>
            <w:tcW w:w="0" w:type="dxa"/>
            <w:tcBorders>
              <w:bottom w:val="nil"/>
            </w:tcBorders>
          </w:tcPr>
          <w:p w14:paraId="6F64B536" w14:textId="4B81F476" w:rsidR="003C00C9" w:rsidRDefault="0007383E" w:rsidP="002A0038">
            <w:pPr>
              <w:jc w:val="left"/>
            </w:pPr>
            <w:r>
              <w:rPr>
                <w:color w:val="4472C4"/>
                <w:sz w:val="13"/>
              </w:rPr>
              <w:t>AASB </w:t>
            </w:r>
            <w:r w:rsidR="003C00C9">
              <w:rPr>
                <w:rFonts w:hint="eastAsia"/>
                <w:color w:val="4472C4"/>
                <w:sz w:val="13"/>
                <w:lang w:eastAsia="zh-CN"/>
              </w:rPr>
              <w:t>15.107;</w:t>
            </w:r>
            <w:r w:rsidR="003C00C9">
              <w:rPr>
                <w:color w:val="4472C4"/>
                <w:sz w:val="13"/>
              </w:rPr>
              <w:t>1060.</w:t>
            </w:r>
            <w:r w:rsidR="003C00C9">
              <w:rPr>
                <w:rFonts w:hint="eastAsia"/>
                <w:color w:val="4472C4"/>
                <w:sz w:val="13"/>
                <w:lang w:eastAsia="zh-CN"/>
              </w:rPr>
              <w:t>97</w:t>
            </w:r>
          </w:p>
        </w:tc>
        <w:tc>
          <w:tcPr>
            <w:tcW w:w="5107" w:type="dxa"/>
          </w:tcPr>
          <w:p w14:paraId="0588C771" w14:textId="58CAC49B" w:rsidR="003C00C9" w:rsidRDefault="003C00C9" w:rsidP="002A0038">
            <w:pPr>
              <w:jc w:val="left"/>
              <w:rPr>
                <w:lang w:eastAsia="zh-CN"/>
              </w:rPr>
            </w:pPr>
            <w:r>
              <w:rPr>
                <w:rFonts w:hint="eastAsia"/>
                <w:lang w:eastAsia="zh-CN"/>
              </w:rPr>
              <w:t>Impairment loss on contract assets</w:t>
            </w:r>
          </w:p>
        </w:tc>
        <w:tc>
          <w:tcPr>
            <w:tcW w:w="992" w:type="dxa"/>
          </w:tcPr>
          <w:p w14:paraId="6B57E00A" w14:textId="365B81F9" w:rsidR="003C00C9" w:rsidRDefault="003C00C9" w:rsidP="003C00C9">
            <w:r w:rsidRPr="00BF30CE">
              <w:t>..</w:t>
            </w:r>
          </w:p>
        </w:tc>
        <w:tc>
          <w:tcPr>
            <w:tcW w:w="0" w:type="dxa"/>
          </w:tcPr>
          <w:p w14:paraId="253ABCFF" w14:textId="2E143EF1" w:rsidR="003C00C9" w:rsidRDefault="003C00C9" w:rsidP="003C00C9">
            <w:r w:rsidRPr="00BF30CE">
              <w:t>..</w:t>
            </w:r>
          </w:p>
        </w:tc>
      </w:tr>
    </w:tbl>
    <w:p w14:paraId="3ACDA327" w14:textId="33D5030A" w:rsidR="00336B72" w:rsidRDefault="00336B72" w:rsidP="00336B72">
      <w:pPr>
        <w:rPr>
          <w:lang w:eastAsia="zh-CN"/>
        </w:rPr>
      </w:pPr>
      <w:r>
        <w:rPr>
          <w:rFonts w:hint="eastAsia"/>
          <w:lang w:eastAsia="zh-CN"/>
        </w:rPr>
        <w:t xml:space="preserve">In </w:t>
      </w:r>
      <w:r>
        <w:rPr>
          <w:lang w:eastAsia="zh-CN"/>
        </w:rPr>
        <w:t>accordance</w:t>
      </w:r>
      <w:r>
        <w:rPr>
          <w:rFonts w:hint="eastAsia"/>
          <w:lang w:eastAsia="zh-CN"/>
        </w:rPr>
        <w:t xml:space="preserve"> </w:t>
      </w:r>
      <w:proofErr w:type="gramStart"/>
      <w:r w:rsidR="00B255B5">
        <w:rPr>
          <w:rFonts w:hint="eastAsia"/>
          <w:lang w:eastAsia="zh-CN"/>
        </w:rPr>
        <w:t>to</w:t>
      </w:r>
      <w:proofErr w:type="gramEnd"/>
      <w:r>
        <w:rPr>
          <w:rFonts w:hint="eastAsia"/>
          <w:lang w:eastAsia="zh-CN"/>
        </w:rPr>
        <w:t xml:space="preserve"> FRD 114 </w:t>
      </w:r>
      <w:r w:rsidRPr="00F83FE7">
        <w:rPr>
          <w:rFonts w:hint="eastAsia"/>
          <w:i/>
          <w:iCs/>
          <w:lang w:eastAsia="zh-CN"/>
        </w:rPr>
        <w:t>Financial Instrument</w:t>
      </w:r>
      <w:r>
        <w:rPr>
          <w:rFonts w:hint="eastAsia"/>
          <w:lang w:eastAsia="zh-CN"/>
        </w:rPr>
        <w:t>, a</w:t>
      </w:r>
      <w:r w:rsidRPr="002424FD">
        <w:rPr>
          <w:lang w:eastAsia="zh-CN"/>
        </w:rPr>
        <w:t>ll entities shall apply the simplified approach, which requires the loss allowance</w:t>
      </w:r>
      <w:r w:rsidR="006B3083">
        <w:rPr>
          <w:lang w:eastAsia="zh-CN"/>
        </w:rPr>
        <w:t xml:space="preserve"> to</w:t>
      </w:r>
      <w:r w:rsidRPr="002424FD">
        <w:rPr>
          <w:lang w:eastAsia="zh-CN"/>
        </w:rPr>
        <w:t xml:space="preserve"> always be measured at an amount equal to lifetime expected credit losses for all trade receivables, lease receivables and statutory receivables. </w:t>
      </w:r>
    </w:p>
    <w:p w14:paraId="362D1A81" w14:textId="4508FD00" w:rsidR="003B7EFD" w:rsidRDefault="007D17A2">
      <w:pPr>
        <w:keepLines w:val="0"/>
      </w:pPr>
      <w:r w:rsidRPr="002A0038">
        <w:t xml:space="preserve">The loss allowances for receivables and contract assets are based on assumptions about risk of default and expected loss rates. The expected loss rates applied as </w:t>
      </w:r>
      <w:proofErr w:type="gramStart"/>
      <w:r w:rsidRPr="002A0038">
        <w:t>at</w:t>
      </w:r>
      <w:proofErr w:type="gramEnd"/>
      <w:r w:rsidRPr="002A0038">
        <w:t xml:space="preserve"> 30 June 20</w:t>
      </w:r>
      <w:r>
        <w:rPr>
          <w:rFonts w:hint="eastAsia"/>
          <w:lang w:eastAsia="zh-CN"/>
        </w:rPr>
        <w:t>X</w:t>
      </w:r>
      <w:r w:rsidRPr="002A0038">
        <w:t>2 vary from 1</w:t>
      </w:r>
      <w:r w:rsidR="00E06D37">
        <w:t xml:space="preserve"> per cent</w:t>
      </w:r>
      <w:r w:rsidRPr="002A0038">
        <w:t xml:space="preserve"> for receivables that are more than 30 days past due to 44</w:t>
      </w:r>
      <w:r w:rsidR="00E06D37">
        <w:t xml:space="preserve"> per cent</w:t>
      </w:r>
      <w:r w:rsidRPr="002A0038">
        <w:t xml:space="preserve"> for receivables that are more than 120 days past due (30 June 20</w:t>
      </w:r>
      <w:r>
        <w:rPr>
          <w:rFonts w:hint="eastAsia"/>
          <w:lang w:eastAsia="zh-CN"/>
        </w:rPr>
        <w:t>X</w:t>
      </w:r>
      <w:r w:rsidRPr="002A0038">
        <w:t>1 – from 1</w:t>
      </w:r>
      <w:r w:rsidR="00FC05F5">
        <w:t xml:space="preserve"> per cent</w:t>
      </w:r>
      <w:r w:rsidRPr="002A0038">
        <w:t xml:space="preserve"> to 40</w:t>
      </w:r>
      <w:r w:rsidR="00FC05F5">
        <w:t xml:space="preserve"> per cent</w:t>
      </w:r>
      <w:r w:rsidRPr="002A0038">
        <w:t>).</w:t>
      </w:r>
      <w:r w:rsidR="003F14C6">
        <w:rPr>
          <w:rFonts w:hint="eastAsia"/>
          <w:lang w:eastAsia="zh-CN"/>
        </w:rPr>
        <w:t xml:space="preserve"> </w:t>
      </w:r>
      <w:r w:rsidR="003F14C6" w:rsidRPr="00574B54">
        <w:rPr>
          <w:rStyle w:val="Reference"/>
        </w:rPr>
        <w:t>[</w:t>
      </w:r>
      <w:r w:rsidR="0007383E">
        <w:rPr>
          <w:rStyle w:val="Reference"/>
        </w:rPr>
        <w:t>AASB </w:t>
      </w:r>
      <w:r w:rsidR="003F14C6">
        <w:rPr>
          <w:rStyle w:val="Reference"/>
          <w:rFonts w:hint="eastAsia"/>
          <w:lang w:eastAsia="zh-CN"/>
        </w:rPr>
        <w:t>1060.</w:t>
      </w:r>
      <w:r w:rsidR="005A36E0">
        <w:rPr>
          <w:rStyle w:val="Reference"/>
          <w:rFonts w:hint="eastAsia"/>
          <w:lang w:eastAsia="zh-CN"/>
        </w:rPr>
        <w:t>97</w:t>
      </w:r>
      <w:r w:rsidR="003F14C6" w:rsidRPr="00574B54">
        <w:rPr>
          <w:rStyle w:val="Reference"/>
        </w:rPr>
        <w:t>]</w:t>
      </w:r>
    </w:p>
    <w:p w14:paraId="1D296403" w14:textId="72E24CE2" w:rsidR="006F101F" w:rsidRPr="00FD79BE" w:rsidRDefault="006F101F" w:rsidP="006F101F">
      <w:pPr>
        <w:pStyle w:val="Heading5"/>
      </w:pPr>
      <w:bookmarkStart w:id="3633" w:name="_Toc179813112"/>
      <w:bookmarkStart w:id="3634" w:name="_Toc179818812"/>
      <w:bookmarkStart w:id="3635" w:name="_Toc179824512"/>
      <w:r w:rsidRPr="00E57964">
        <w:rPr>
          <w:b/>
          <w:i w:val="0"/>
          <w:sz w:val="22"/>
          <w:szCs w:val="24"/>
        </w:rPr>
        <w:t>Impairment of financial assets</w:t>
      </w:r>
      <w:r>
        <w:t xml:space="preserve"> </w:t>
      </w:r>
      <w:r w:rsidRPr="00636491">
        <w:rPr>
          <w:rStyle w:val="Reference"/>
          <w:b/>
          <w:bCs/>
          <w:i w:val="0"/>
          <w:iCs/>
        </w:rPr>
        <w:t>[</w:t>
      </w:r>
      <w:r w:rsidR="0007383E">
        <w:rPr>
          <w:rStyle w:val="Reference"/>
          <w:b/>
          <w:bCs/>
          <w:i w:val="0"/>
          <w:iCs/>
        </w:rPr>
        <w:t>AASB </w:t>
      </w:r>
      <w:r w:rsidRPr="00636491">
        <w:rPr>
          <w:rStyle w:val="Reference"/>
          <w:rFonts w:eastAsia="SimHei"/>
          <w:b/>
          <w:bCs/>
          <w:i w:val="0"/>
          <w:iCs/>
          <w:lang w:eastAsia="zh-CN"/>
        </w:rPr>
        <w:t>1060.112]</w:t>
      </w:r>
      <w:bookmarkEnd w:id="3633"/>
      <w:bookmarkEnd w:id="3634"/>
      <w:bookmarkEnd w:id="3635"/>
    </w:p>
    <w:p w14:paraId="57EE8BDF" w14:textId="4F3B105F" w:rsidR="006F101F" w:rsidRDefault="006F101F" w:rsidP="006F101F">
      <w:r>
        <w:t xml:space="preserve">TV records the allowance for expected credit loss for the relevant financial instruments applying </w:t>
      </w:r>
      <w:r w:rsidR="0007383E">
        <w:t>AASB </w:t>
      </w:r>
      <w:r>
        <w:t>9’s Expected Credit Loss approach. TV’s contractual receivables</w:t>
      </w:r>
      <w:r w:rsidR="001B63B8">
        <w:rPr>
          <w:rFonts w:hint="eastAsia"/>
          <w:lang w:eastAsia="zh-CN"/>
        </w:rPr>
        <w:t xml:space="preserve"> and statutory receivable</w:t>
      </w:r>
      <w:r w:rsidR="007B0B81">
        <w:rPr>
          <w:rFonts w:hint="eastAsia"/>
          <w:lang w:eastAsia="zh-CN"/>
        </w:rPr>
        <w:t>s</w:t>
      </w:r>
      <w:r w:rsidR="00B80B3D">
        <w:rPr>
          <w:rFonts w:hint="eastAsia"/>
          <w:lang w:eastAsia="zh-CN"/>
        </w:rPr>
        <w:t xml:space="preserve"> are s</w:t>
      </w:r>
      <w:r w:rsidR="00B80B3D">
        <w:t xml:space="preserve">ubject to </w:t>
      </w:r>
      <w:r w:rsidR="0007383E">
        <w:t>AASB </w:t>
      </w:r>
      <w:r w:rsidR="00B80B3D">
        <w:t>9 impairment assessment</w:t>
      </w:r>
      <w:r>
        <w:t xml:space="preserve">. </w:t>
      </w:r>
      <w:r w:rsidRPr="00574B54">
        <w:rPr>
          <w:rStyle w:val="Reference"/>
        </w:rPr>
        <w:t>[</w:t>
      </w:r>
      <w:r w:rsidR="0007383E">
        <w:rPr>
          <w:rStyle w:val="Reference"/>
        </w:rPr>
        <w:t>AASB </w:t>
      </w:r>
      <w:r w:rsidRPr="00574B54">
        <w:rPr>
          <w:rStyle w:val="Reference"/>
        </w:rPr>
        <w:t>9.5.5.1</w:t>
      </w:r>
      <w:r w:rsidR="00283AF2">
        <w:rPr>
          <w:rStyle w:val="Reference"/>
        </w:rPr>
        <w:t>, FRD 114.4.3</w:t>
      </w:r>
      <w:r w:rsidRPr="00574B54">
        <w:rPr>
          <w:rStyle w:val="Reference"/>
        </w:rPr>
        <w:t>]</w:t>
      </w:r>
    </w:p>
    <w:p w14:paraId="7578E078" w14:textId="5D1587FC" w:rsidR="006F101F" w:rsidRDefault="00142E2C" w:rsidP="006F101F">
      <w:r>
        <w:t>C</w:t>
      </w:r>
      <w:r w:rsidR="006F101F">
        <w:t xml:space="preserve">ontract assets recognised applying </w:t>
      </w:r>
      <w:r w:rsidR="0007383E">
        <w:t>AASB </w:t>
      </w:r>
      <w:r w:rsidR="006F101F">
        <w:t xml:space="preserve">15 also subject to impairment </w:t>
      </w:r>
      <w:r w:rsidR="00F9560F">
        <w:t xml:space="preserve">requirements of </w:t>
      </w:r>
      <w:r w:rsidR="0007383E">
        <w:t>AASB </w:t>
      </w:r>
      <w:r w:rsidR="00F9560F">
        <w:t xml:space="preserve">9 </w:t>
      </w:r>
      <w:r w:rsidR="006F101F">
        <w:t xml:space="preserve">however it is immaterial. </w:t>
      </w:r>
      <w:r w:rsidR="006F101F" w:rsidRPr="00574B54">
        <w:rPr>
          <w:rStyle w:val="Reference"/>
        </w:rPr>
        <w:t>[</w:t>
      </w:r>
      <w:r w:rsidR="0007383E">
        <w:rPr>
          <w:rStyle w:val="Reference"/>
        </w:rPr>
        <w:t>AASB </w:t>
      </w:r>
      <w:r w:rsidR="006F101F" w:rsidRPr="00574B54">
        <w:rPr>
          <w:rStyle w:val="Reference"/>
        </w:rPr>
        <w:t>9.5.5.1]</w:t>
      </w:r>
    </w:p>
    <w:p w14:paraId="39486277" w14:textId="77777777" w:rsidR="006F101F" w:rsidRPr="001B2F1F" w:rsidRDefault="006F101F" w:rsidP="006F101F">
      <w:pPr>
        <w:pStyle w:val="Heading6"/>
        <w:numPr>
          <w:ilvl w:val="0"/>
          <w:numId w:val="0"/>
        </w:numPr>
        <w:ind w:left="1152" w:hanging="1152"/>
      </w:pPr>
      <w:bookmarkStart w:id="3636" w:name="_Toc179813113"/>
      <w:bookmarkStart w:id="3637" w:name="_Toc179818813"/>
      <w:bookmarkStart w:id="3638" w:name="_Toc179824513"/>
      <w:r w:rsidRPr="00636491">
        <w:rPr>
          <w:b/>
          <w:bCs/>
          <w:iCs/>
          <w:color w:val="auto"/>
        </w:rPr>
        <w:t>Contractual receivables at amortised cost</w:t>
      </w:r>
      <w:bookmarkEnd w:id="3636"/>
      <w:bookmarkEnd w:id="3637"/>
      <w:bookmarkEnd w:id="3638"/>
    </w:p>
    <w:p w14:paraId="28F64746" w14:textId="3F59FDE5" w:rsidR="006F101F" w:rsidRDefault="006F101F" w:rsidP="006F101F">
      <w:r>
        <w:t xml:space="preserve">TV applies </w:t>
      </w:r>
      <w:r w:rsidR="00E21246">
        <w:t xml:space="preserve">the </w:t>
      </w:r>
      <w:r w:rsidR="0007383E">
        <w:t>AASB </w:t>
      </w:r>
      <w:r>
        <w:t>9 simplified approach for all contractual receivables to measure expected credit losses using a lifetime expected loss allowance based on the assumptions about risk of default and expected loss rates. TV has grouped contractual receivables on shared credit risk characteristics and days past due and select</w:t>
      </w:r>
      <w:r w:rsidR="00E21246">
        <w:t>ed</w:t>
      </w:r>
      <w:r>
        <w:t xml:space="preserve"> the expected credit loss rate based on TV’s </w:t>
      </w:r>
      <w:proofErr w:type="gramStart"/>
      <w:r>
        <w:t>past history</w:t>
      </w:r>
      <w:proofErr w:type="gramEnd"/>
      <w:r>
        <w:t xml:space="preserve">, existing market conditions, as well as forward looking estimates at the end of the financial year. </w:t>
      </w:r>
      <w:r w:rsidR="0096458B" w:rsidRPr="00574B54">
        <w:rPr>
          <w:rStyle w:val="Reference"/>
        </w:rPr>
        <w:t>[</w:t>
      </w:r>
      <w:r w:rsidR="0007383E">
        <w:rPr>
          <w:rStyle w:val="Reference"/>
        </w:rPr>
        <w:t>AASB </w:t>
      </w:r>
      <w:r w:rsidR="0096458B">
        <w:rPr>
          <w:rStyle w:val="Reference"/>
          <w:rFonts w:hint="eastAsia"/>
          <w:lang w:eastAsia="zh-CN"/>
        </w:rPr>
        <w:t>1060.9</w:t>
      </w:r>
      <w:r w:rsidR="005A36E0">
        <w:rPr>
          <w:rStyle w:val="Reference"/>
          <w:rFonts w:hint="eastAsia"/>
          <w:lang w:eastAsia="zh-CN"/>
        </w:rPr>
        <w:t>7</w:t>
      </w:r>
      <w:r w:rsidR="0096458B" w:rsidRPr="00574B54">
        <w:rPr>
          <w:rStyle w:val="Reference"/>
        </w:rPr>
        <w:t>]</w:t>
      </w:r>
    </w:p>
    <w:p w14:paraId="0B190C51" w14:textId="23F23AEC" w:rsidR="006F101F" w:rsidRDefault="006F101F" w:rsidP="006F101F">
      <w:r>
        <w:t>Credit loss allowance is classified as other economic flows in the net result</w:t>
      </w:r>
      <w:r w:rsidR="0080362D">
        <w:t xml:space="preserve"> (refer to </w:t>
      </w:r>
      <w:r w:rsidR="00BA03D1">
        <w:t>N</w:t>
      </w:r>
      <w:r w:rsidR="0080362D">
        <w:t xml:space="preserve">ote 8.2). </w:t>
      </w:r>
      <w:r>
        <w:t>Contractual receivables are written off when there is no reasonable expectation of recovery and impairment losses are classified as a transaction expense. Subsequent recoveries of amounts previously written off are credited against the same line item.</w:t>
      </w:r>
    </w:p>
    <w:p w14:paraId="4EC13416" w14:textId="6C34FB6E" w:rsidR="006F101F" w:rsidRDefault="006F101F" w:rsidP="006F101F">
      <w:pPr>
        <w:pStyle w:val="Heading6"/>
        <w:numPr>
          <w:ilvl w:val="0"/>
          <w:numId w:val="0"/>
        </w:numPr>
        <w:ind w:left="1152" w:hanging="1152"/>
      </w:pPr>
      <w:bookmarkStart w:id="3639" w:name="_Toc179813114"/>
      <w:bookmarkStart w:id="3640" w:name="_Toc179818814"/>
      <w:bookmarkStart w:id="3641" w:name="_Toc179824514"/>
      <w:r w:rsidRPr="00636491">
        <w:rPr>
          <w:b/>
          <w:bCs/>
          <w:iCs/>
          <w:color w:val="auto"/>
        </w:rPr>
        <w:t>Statutory receivables</w:t>
      </w:r>
      <w:r>
        <w:rPr>
          <w:rFonts w:eastAsia="SimHei" w:hint="eastAsia"/>
          <w:b/>
          <w:bCs/>
          <w:iCs/>
          <w:color w:val="auto"/>
          <w:lang w:eastAsia="zh-CN"/>
        </w:rPr>
        <w:t xml:space="preserve"> </w:t>
      </w:r>
      <w:r w:rsidRPr="00636491">
        <w:rPr>
          <w:b/>
          <w:bCs/>
          <w:iCs/>
          <w:color w:val="auto"/>
        </w:rPr>
        <w:t>at amortised cost</w:t>
      </w:r>
      <w:bookmarkEnd w:id="3639"/>
      <w:bookmarkEnd w:id="3640"/>
      <w:bookmarkEnd w:id="3641"/>
    </w:p>
    <w:p w14:paraId="14725103" w14:textId="35116E8B" w:rsidR="006F101F" w:rsidRDefault="0096458B">
      <w:pPr>
        <w:rPr>
          <w:rStyle w:val="Reference"/>
        </w:rPr>
      </w:pPr>
      <w:r>
        <w:rPr>
          <w:rFonts w:hint="eastAsia"/>
          <w:lang w:eastAsia="zh-CN"/>
        </w:rPr>
        <w:t>T</w:t>
      </w:r>
      <w:r w:rsidR="006F101F">
        <w:t xml:space="preserve">he statutory receivables are considered to have low credit risk, </w:t>
      </w:r>
      <w:proofErr w:type="gramStart"/>
      <w:r w:rsidR="006F101F">
        <w:t>taking into account</w:t>
      </w:r>
      <w:proofErr w:type="gramEnd"/>
      <w:r w:rsidR="006F101F">
        <w:t xml:space="preserve"> the counterparty’s credit rating, risk of default and capacity to meet contractual cash flow obligations in the near term. As the result, the loss allowance recognised for these financial assets during the period was limited to 12 months of expected losses. No loss allowance has been recognised. </w:t>
      </w:r>
      <w:r w:rsidRPr="00574B54">
        <w:rPr>
          <w:rStyle w:val="Reference"/>
        </w:rPr>
        <w:t>[</w:t>
      </w:r>
      <w:r w:rsidR="0007383E">
        <w:rPr>
          <w:rStyle w:val="Reference"/>
        </w:rPr>
        <w:t>AASB </w:t>
      </w:r>
      <w:r>
        <w:rPr>
          <w:rStyle w:val="Reference"/>
          <w:rFonts w:hint="eastAsia"/>
          <w:lang w:eastAsia="zh-CN"/>
        </w:rPr>
        <w:t>1060.</w:t>
      </w:r>
      <w:r w:rsidR="0017434D">
        <w:rPr>
          <w:rStyle w:val="Reference"/>
          <w:lang w:eastAsia="zh-CN"/>
        </w:rPr>
        <w:t>230-231</w:t>
      </w:r>
      <w:r w:rsidRPr="00574B54">
        <w:rPr>
          <w:rStyle w:val="Reference"/>
        </w:rPr>
        <w:t>]</w:t>
      </w:r>
    </w:p>
    <w:p w14:paraId="52E5C20A" w14:textId="77777777" w:rsidR="00F26C84" w:rsidRPr="002A0038" w:rsidRDefault="00F26C84" w:rsidP="002A0038">
      <w:pPr>
        <w:rPr>
          <w:szCs w:val="20"/>
        </w:rPr>
      </w:pPr>
    </w:p>
    <w:p w14:paraId="179A0797" w14:textId="354C8841" w:rsidR="003719CD" w:rsidRDefault="003719CD" w:rsidP="007D536F">
      <w:pPr>
        <w:pStyle w:val="GuidanceBlockHeading"/>
      </w:pPr>
      <w:bookmarkStart w:id="3642" w:name="_Toc179813115"/>
      <w:bookmarkStart w:id="3643" w:name="_Toc179818815"/>
      <w:bookmarkStart w:id="3644" w:name="_Toc179824515"/>
      <w:r>
        <w:t>Guidance – Receivables</w:t>
      </w:r>
      <w:bookmarkEnd w:id="3642"/>
      <w:bookmarkEnd w:id="3643"/>
      <w:bookmarkEnd w:id="3644"/>
    </w:p>
    <w:p w14:paraId="00416EAA" w14:textId="113D46D9" w:rsidR="009D37C2" w:rsidRPr="002A0038" w:rsidRDefault="009D37C2" w:rsidP="002A0038">
      <w:pPr>
        <w:spacing w:before="120" w:after="0"/>
        <w:rPr>
          <w:rStyle w:val="Guidance"/>
          <w:b/>
          <w:lang w:eastAsia="zh-CN"/>
        </w:rPr>
      </w:pPr>
      <w:r w:rsidRPr="002A0038">
        <w:rPr>
          <w:rStyle w:val="Guidance"/>
        </w:rPr>
        <w:t>An entity shall disclose, either in the statement of financial position or in the notes, further subclassifications</w:t>
      </w:r>
      <w:r>
        <w:rPr>
          <w:rStyle w:val="Guidance"/>
          <w:rFonts w:hint="eastAsia"/>
          <w:lang w:eastAsia="zh-CN"/>
        </w:rPr>
        <w:t xml:space="preserve"> </w:t>
      </w:r>
      <w:r w:rsidRPr="002A0038">
        <w:rPr>
          <w:rStyle w:val="Guidance"/>
        </w:rPr>
        <w:t>of the line items presented, classified in a manner appropriate to the entity’s operation. This includes for</w:t>
      </w:r>
      <w:r>
        <w:rPr>
          <w:rStyle w:val="Guidance"/>
          <w:rFonts w:hint="eastAsia"/>
          <w:lang w:eastAsia="zh-CN"/>
        </w:rPr>
        <w:t xml:space="preserve"> </w:t>
      </w:r>
      <w:r w:rsidRPr="002A0038">
        <w:rPr>
          <w:rStyle w:val="Guidance"/>
        </w:rPr>
        <w:t>example</w:t>
      </w:r>
      <w:r w:rsidR="00474210">
        <w:rPr>
          <w:rStyle w:val="Guidance"/>
          <w:rFonts w:hint="eastAsia"/>
          <w:lang w:eastAsia="zh-CN"/>
        </w:rPr>
        <w:t xml:space="preserve"> </w:t>
      </w:r>
      <w:r w:rsidR="00474210" w:rsidRPr="00474210">
        <w:rPr>
          <w:color w:val="4472C4" w:themeColor="accent1"/>
          <w:lang w:eastAsia="zh-CN"/>
        </w:rPr>
        <w:t>trade and other receivables showing separately amounts due from related parties, amounts due from</w:t>
      </w:r>
      <w:r w:rsidR="00474210">
        <w:rPr>
          <w:rFonts w:hint="eastAsia"/>
          <w:color w:val="4472C4" w:themeColor="accent1"/>
          <w:lang w:eastAsia="zh-CN"/>
        </w:rPr>
        <w:t xml:space="preserve"> </w:t>
      </w:r>
      <w:r w:rsidR="00474210" w:rsidRPr="00474210">
        <w:rPr>
          <w:color w:val="4472C4" w:themeColor="accent1"/>
          <w:lang w:eastAsia="zh-CN"/>
        </w:rPr>
        <w:t>other parties and contract assets from contracts with customers</w:t>
      </w:r>
      <w:r w:rsidR="00474210">
        <w:rPr>
          <w:rFonts w:hint="eastAsia"/>
          <w:color w:val="4472C4" w:themeColor="accent1"/>
          <w:lang w:eastAsia="zh-CN"/>
        </w:rPr>
        <w:t xml:space="preserve">. </w:t>
      </w:r>
      <w:r w:rsidR="00474210" w:rsidRPr="003913A2">
        <w:rPr>
          <w:rStyle w:val="Reference"/>
        </w:rPr>
        <w:t>[</w:t>
      </w:r>
      <w:r w:rsidR="0007383E">
        <w:rPr>
          <w:rStyle w:val="Reference"/>
        </w:rPr>
        <w:t>AASB </w:t>
      </w:r>
      <w:r w:rsidR="00474210" w:rsidRPr="003913A2">
        <w:rPr>
          <w:rStyle w:val="Reference"/>
        </w:rPr>
        <w:t>1</w:t>
      </w:r>
      <w:r w:rsidR="00474210">
        <w:rPr>
          <w:rStyle w:val="Reference"/>
          <w:rFonts w:hint="eastAsia"/>
          <w:lang w:eastAsia="zh-CN"/>
        </w:rPr>
        <w:t>060</w:t>
      </w:r>
      <w:r w:rsidR="00474210" w:rsidRPr="003913A2">
        <w:rPr>
          <w:rStyle w:val="Reference"/>
        </w:rPr>
        <w:t>.</w:t>
      </w:r>
      <w:r w:rsidR="00474210">
        <w:rPr>
          <w:rStyle w:val="Reference"/>
          <w:rFonts w:hint="eastAsia"/>
          <w:lang w:eastAsia="zh-CN"/>
        </w:rPr>
        <w:t>44 (b)</w:t>
      </w:r>
      <w:r w:rsidR="00474210" w:rsidRPr="003913A2">
        <w:rPr>
          <w:rStyle w:val="Reference"/>
        </w:rPr>
        <w:t>]</w:t>
      </w:r>
    </w:p>
    <w:p w14:paraId="5E429400" w14:textId="77777777" w:rsidR="005A36E0" w:rsidRPr="00335763" w:rsidRDefault="005A36E0" w:rsidP="002A0038">
      <w:pPr>
        <w:spacing w:before="120" w:after="0"/>
        <w:rPr>
          <w:color w:val="4472C4" w:themeColor="accent1"/>
          <w:lang w:eastAsia="zh-CN"/>
        </w:rPr>
      </w:pPr>
      <w:r w:rsidRPr="00335763">
        <w:rPr>
          <w:color w:val="4472C4" w:themeColor="accent1"/>
          <w:lang w:eastAsia="zh-CN"/>
        </w:rPr>
        <w:t>An entity shall disclose in the notes information about the key assumptions concerning the future, and other</w:t>
      </w:r>
      <w:r>
        <w:rPr>
          <w:rFonts w:hint="eastAsia"/>
          <w:color w:val="4472C4" w:themeColor="accent1"/>
          <w:lang w:eastAsia="zh-CN"/>
        </w:rPr>
        <w:t xml:space="preserve"> </w:t>
      </w:r>
      <w:r w:rsidRPr="00335763">
        <w:rPr>
          <w:color w:val="4472C4" w:themeColor="accent1"/>
          <w:lang w:eastAsia="zh-CN"/>
        </w:rPr>
        <w:t>key sources of estimation uncertainty at the reporting date, that have a significant risk of causing a material</w:t>
      </w:r>
      <w:r>
        <w:rPr>
          <w:rFonts w:hint="eastAsia"/>
          <w:color w:val="4472C4" w:themeColor="accent1"/>
          <w:lang w:eastAsia="zh-CN"/>
        </w:rPr>
        <w:t xml:space="preserve"> </w:t>
      </w:r>
      <w:r w:rsidRPr="00335763">
        <w:rPr>
          <w:color w:val="4472C4" w:themeColor="accent1"/>
          <w:lang w:eastAsia="zh-CN"/>
        </w:rPr>
        <w:t>adjustment to the carrying amounts of assets and liabilities within the next financial year. In respect of those</w:t>
      </w:r>
      <w:r>
        <w:rPr>
          <w:rFonts w:hint="eastAsia"/>
          <w:color w:val="4472C4" w:themeColor="accent1"/>
          <w:lang w:eastAsia="zh-CN"/>
        </w:rPr>
        <w:t xml:space="preserve"> </w:t>
      </w:r>
      <w:r w:rsidRPr="00335763">
        <w:rPr>
          <w:color w:val="4472C4" w:themeColor="accent1"/>
          <w:lang w:eastAsia="zh-CN"/>
        </w:rPr>
        <w:t>assets and liabilities, the notes shall include details of:</w:t>
      </w:r>
    </w:p>
    <w:p w14:paraId="3B34B811" w14:textId="2B1E8021" w:rsidR="005A36E0" w:rsidRPr="00F8321C" w:rsidRDefault="005A36E0" w:rsidP="002A0038">
      <w:pPr>
        <w:pStyle w:val="ListParagraph"/>
        <w:numPr>
          <w:ilvl w:val="0"/>
          <w:numId w:val="336"/>
        </w:numPr>
        <w:spacing w:before="40" w:line="264" w:lineRule="auto"/>
        <w:ind w:left="357" w:hanging="357"/>
        <w:rPr>
          <w:color w:val="4472C4" w:themeColor="accent1"/>
          <w:lang w:eastAsia="zh-CN"/>
        </w:rPr>
      </w:pPr>
      <w:r w:rsidRPr="00F8321C">
        <w:rPr>
          <w:color w:val="4472C4" w:themeColor="accent1"/>
          <w:lang w:eastAsia="zh-CN"/>
        </w:rPr>
        <w:t>their nature</w:t>
      </w:r>
    </w:p>
    <w:p w14:paraId="3E92A20F" w14:textId="32326444" w:rsidR="005A36E0" w:rsidRPr="00435454" w:rsidRDefault="005A36E0" w:rsidP="002A0038">
      <w:pPr>
        <w:pStyle w:val="ListParagraph"/>
        <w:numPr>
          <w:ilvl w:val="0"/>
          <w:numId w:val="336"/>
        </w:numPr>
        <w:spacing w:before="40" w:line="264" w:lineRule="auto"/>
        <w:ind w:left="357" w:hanging="357"/>
        <w:rPr>
          <w:rStyle w:val="Guidance"/>
          <w:lang w:eastAsia="zh-CN"/>
        </w:rPr>
      </w:pPr>
      <w:r w:rsidRPr="00F8321C">
        <w:rPr>
          <w:color w:val="4472C4" w:themeColor="accent1"/>
          <w:lang w:eastAsia="zh-CN"/>
        </w:rPr>
        <w:t>their carrying amount as at the end of the reporting period.</w:t>
      </w:r>
      <w:r>
        <w:rPr>
          <w:rFonts w:hint="eastAsia"/>
          <w:color w:val="4472C4" w:themeColor="accent1"/>
          <w:lang w:eastAsia="zh-CN"/>
        </w:rPr>
        <w:t xml:space="preserve"> </w:t>
      </w:r>
      <w:r w:rsidRPr="00574B54">
        <w:rPr>
          <w:rStyle w:val="Reference"/>
        </w:rPr>
        <w:t>[</w:t>
      </w:r>
      <w:r w:rsidR="0007383E">
        <w:rPr>
          <w:rStyle w:val="Reference"/>
        </w:rPr>
        <w:t>AASB </w:t>
      </w:r>
      <w:r>
        <w:rPr>
          <w:rStyle w:val="Reference"/>
          <w:rFonts w:hint="eastAsia"/>
          <w:lang w:eastAsia="zh-CN"/>
        </w:rPr>
        <w:t>1060.97</w:t>
      </w:r>
      <w:r w:rsidRPr="00574B54">
        <w:rPr>
          <w:rStyle w:val="Reference"/>
        </w:rPr>
        <w:t>]</w:t>
      </w:r>
    </w:p>
    <w:p w14:paraId="30F513B5" w14:textId="77777777" w:rsidR="000410A1" w:rsidRPr="002A0038" w:rsidRDefault="000410A1" w:rsidP="00F26C84">
      <w:pPr>
        <w:keepNext/>
        <w:spacing w:before="120" w:after="0"/>
        <w:rPr>
          <w:rStyle w:val="Guidance"/>
          <w:b/>
          <w:sz w:val="20"/>
          <w:szCs w:val="20"/>
        </w:rPr>
      </w:pPr>
      <w:r w:rsidRPr="002A0038">
        <w:rPr>
          <w:rStyle w:val="Guidance"/>
          <w:b/>
          <w:sz w:val="20"/>
          <w:szCs w:val="20"/>
        </w:rPr>
        <w:t xml:space="preserve">Accounting policy disclosure – financial instrument </w:t>
      </w:r>
    </w:p>
    <w:p w14:paraId="144633A2" w14:textId="171BCF46" w:rsidR="000410A1" w:rsidRPr="002A0038" w:rsidRDefault="000410A1" w:rsidP="002A0038">
      <w:pPr>
        <w:spacing w:before="120" w:after="0"/>
        <w:rPr>
          <w:rStyle w:val="Guidance"/>
          <w:color w:val="C00000"/>
          <w:sz w:val="16"/>
        </w:rPr>
      </w:pPr>
      <w:r w:rsidRPr="002D2277">
        <w:rPr>
          <w:rStyle w:val="Guidance"/>
        </w:rPr>
        <w:t>An entity shall disclose material accounting policy information. Information about the measurement basis (or bases) for financial instruments used in preparing the financial statements is expected to be material accounting policy information.</w:t>
      </w:r>
      <w:r>
        <w:rPr>
          <w:rStyle w:val="Guidance"/>
          <w:rFonts w:hint="eastAsia"/>
          <w:lang w:eastAsia="zh-CN"/>
        </w:rPr>
        <w:t xml:space="preserve"> </w:t>
      </w:r>
      <w:r w:rsidRPr="00574B54">
        <w:rPr>
          <w:rStyle w:val="Reference"/>
        </w:rPr>
        <w:t>[</w:t>
      </w:r>
      <w:r w:rsidR="0007383E">
        <w:rPr>
          <w:rStyle w:val="Reference"/>
        </w:rPr>
        <w:t>AASB </w:t>
      </w:r>
      <w:r>
        <w:rPr>
          <w:rStyle w:val="Reference"/>
          <w:rFonts w:hint="eastAsia"/>
          <w:lang w:eastAsia="zh-CN"/>
        </w:rPr>
        <w:t>1060.112</w:t>
      </w:r>
      <w:r w:rsidRPr="00574B54">
        <w:rPr>
          <w:rStyle w:val="Reference"/>
        </w:rPr>
        <w:t>]</w:t>
      </w:r>
    </w:p>
    <w:p w14:paraId="225375F9" w14:textId="0DB882D9" w:rsidR="002D714B" w:rsidRPr="002A0038" w:rsidRDefault="002D714B" w:rsidP="002A0038">
      <w:pPr>
        <w:keepNext/>
        <w:spacing w:before="120" w:after="0"/>
        <w:rPr>
          <w:b/>
          <w:bCs/>
          <w:color w:val="4472C4" w:themeColor="accent1"/>
          <w:sz w:val="20"/>
          <w:szCs w:val="20"/>
        </w:rPr>
      </w:pPr>
      <w:r w:rsidRPr="002A0038">
        <w:rPr>
          <w:b/>
          <w:bCs/>
          <w:color w:val="4472C4" w:themeColor="accent1"/>
          <w:sz w:val="20"/>
          <w:szCs w:val="20"/>
        </w:rPr>
        <w:t>Disclosures relating to performance obligations satisfied over time</w:t>
      </w:r>
      <w:r w:rsidR="002E740C" w:rsidRPr="002A0038">
        <w:rPr>
          <w:b/>
          <w:color w:val="4472C4" w:themeColor="accent1"/>
          <w:sz w:val="20"/>
          <w:szCs w:val="20"/>
        </w:rPr>
        <w:t xml:space="preserve"> </w:t>
      </w:r>
    </w:p>
    <w:p w14:paraId="062D1341" w14:textId="04A62774" w:rsidR="00EE7947" w:rsidRPr="00542C51" w:rsidRDefault="002E740C" w:rsidP="002A0038">
      <w:pPr>
        <w:spacing w:before="120" w:after="0"/>
      </w:pPr>
      <w:r w:rsidRPr="00354212">
        <w:rPr>
          <w:color w:val="4472C4" w:themeColor="accent1"/>
        </w:rPr>
        <w:t>An entity shall disclose the closing balances of contract assets and contract liabilities from contracts with customers, if not otherwise separately presented or disclosed.</w:t>
      </w:r>
      <w:r w:rsidR="00EE7947" w:rsidRPr="00EE7947">
        <w:rPr>
          <w:rStyle w:val="Reference"/>
        </w:rPr>
        <w:t xml:space="preserve"> </w:t>
      </w:r>
      <w:r w:rsidR="00EE7947">
        <w:rPr>
          <w:rStyle w:val="Reference"/>
        </w:rPr>
        <w:t>[</w:t>
      </w:r>
      <w:r w:rsidR="0007383E">
        <w:rPr>
          <w:rStyle w:val="Reference"/>
        </w:rPr>
        <w:t>AASB </w:t>
      </w:r>
      <w:r w:rsidR="00EE7947">
        <w:rPr>
          <w:rStyle w:val="Reference"/>
        </w:rPr>
        <w:t>1060.159]</w:t>
      </w:r>
    </w:p>
    <w:p w14:paraId="01D94B93" w14:textId="77777777" w:rsidR="006D006C" w:rsidRPr="002A0038" w:rsidRDefault="006D006C" w:rsidP="002A0038">
      <w:pPr>
        <w:keepNext/>
        <w:spacing w:before="120" w:after="0"/>
        <w:rPr>
          <w:rStyle w:val="Guidance"/>
          <w:b/>
          <w:sz w:val="20"/>
          <w:szCs w:val="20"/>
        </w:rPr>
      </w:pPr>
      <w:r w:rsidRPr="002A0038">
        <w:rPr>
          <w:rStyle w:val="Guidance"/>
          <w:b/>
          <w:sz w:val="20"/>
          <w:szCs w:val="20"/>
        </w:rPr>
        <w:t>Contract assets and contract liabilities</w:t>
      </w:r>
    </w:p>
    <w:p w14:paraId="2CC6B303" w14:textId="08335D66" w:rsidR="006D006C" w:rsidRDefault="006D006C" w:rsidP="002A0038">
      <w:pPr>
        <w:spacing w:before="120" w:after="0"/>
        <w:rPr>
          <w:rStyle w:val="Reference"/>
        </w:rPr>
      </w:pPr>
      <w:r w:rsidRPr="00AC0E64">
        <w:rPr>
          <w:color w:val="4472C4" w:themeColor="accent1"/>
        </w:rPr>
        <w:t xml:space="preserve">An impairment of a contract asset shall be measured, presented and disclosed on the same basis as a financial asset that is within the scope of </w:t>
      </w:r>
      <w:r w:rsidR="0007383E">
        <w:rPr>
          <w:color w:val="4472C4" w:themeColor="accent1"/>
        </w:rPr>
        <w:t>AASB </w:t>
      </w:r>
      <w:r w:rsidRPr="00AC0E64">
        <w:rPr>
          <w:color w:val="4472C4" w:themeColor="accent1"/>
        </w:rPr>
        <w:t>9</w:t>
      </w:r>
      <w:r w:rsidR="00F26C84">
        <w:rPr>
          <w:color w:val="4472C4" w:themeColor="accent1"/>
        </w:rPr>
        <w:t xml:space="preserve"> </w:t>
      </w:r>
      <w:r w:rsidR="00F26C84" w:rsidRPr="002A0038">
        <w:rPr>
          <w:i/>
          <w:iCs/>
          <w:color w:val="4472C4" w:themeColor="accent1"/>
        </w:rPr>
        <w:t>Financial Instruments</w:t>
      </w:r>
      <w:r>
        <w:rPr>
          <w:rFonts w:hint="eastAsia"/>
          <w:color w:val="4472C4" w:themeColor="accent1"/>
          <w:lang w:eastAsia="zh-CN"/>
        </w:rPr>
        <w:t xml:space="preserve">. </w:t>
      </w:r>
      <w:r w:rsidRPr="003913A2">
        <w:rPr>
          <w:rStyle w:val="Reference"/>
        </w:rPr>
        <w:t>[</w:t>
      </w:r>
      <w:r w:rsidR="0007383E">
        <w:rPr>
          <w:rStyle w:val="Reference"/>
        </w:rPr>
        <w:t>AASB </w:t>
      </w:r>
      <w:r w:rsidRPr="003913A2">
        <w:rPr>
          <w:rStyle w:val="Reference"/>
        </w:rPr>
        <w:t>15.107]</w:t>
      </w:r>
    </w:p>
    <w:p w14:paraId="64197251" w14:textId="253945A6" w:rsidR="007A354E" w:rsidRPr="00E10CD7" w:rsidRDefault="007A354E" w:rsidP="007A354E">
      <w:pPr>
        <w:keepNext/>
        <w:spacing w:before="120" w:after="0"/>
        <w:rPr>
          <w:rStyle w:val="Guidance"/>
          <w:b/>
          <w:sz w:val="20"/>
          <w:szCs w:val="20"/>
        </w:rPr>
      </w:pPr>
      <w:r w:rsidRPr="00AA512A">
        <w:rPr>
          <w:rStyle w:val="Guidance"/>
          <w:b/>
          <w:sz w:val="20"/>
          <w:szCs w:val="20"/>
        </w:rPr>
        <w:t>Non-contractual income arising from statutory requirements</w:t>
      </w:r>
    </w:p>
    <w:p w14:paraId="04D17E7D" w14:textId="5B6E7B8B" w:rsidR="00D2069F" w:rsidRDefault="00D2069F" w:rsidP="00D2069F">
      <w:pPr>
        <w:spacing w:before="120" w:after="0"/>
        <w:rPr>
          <w:rStyle w:val="Reference"/>
        </w:rPr>
      </w:pPr>
      <w:r w:rsidRPr="00AA512A">
        <w:rPr>
          <w:color w:val="4472C4" w:themeColor="accent1"/>
        </w:rPr>
        <w:t>An entity shall disclose income arising from statutory requirements (such as taxes, rates and fines) recognised during the period, disaggregated into categories that reflect how the nature and amount of income (and the resultant cash flows) are affected by economic factors.</w:t>
      </w:r>
      <w:r>
        <w:t xml:space="preserve"> </w:t>
      </w:r>
      <w:r w:rsidRPr="003913A2">
        <w:rPr>
          <w:rStyle w:val="Reference"/>
        </w:rPr>
        <w:t>[</w:t>
      </w:r>
      <w:r w:rsidR="0007383E">
        <w:rPr>
          <w:rStyle w:val="Reference"/>
        </w:rPr>
        <w:t>AASB </w:t>
      </w:r>
      <w:r w:rsidRPr="003913A2">
        <w:rPr>
          <w:rStyle w:val="Reference"/>
        </w:rPr>
        <w:t>1</w:t>
      </w:r>
      <w:r>
        <w:rPr>
          <w:rStyle w:val="Reference"/>
        </w:rPr>
        <w:t>060</w:t>
      </w:r>
      <w:r w:rsidRPr="003913A2">
        <w:rPr>
          <w:rStyle w:val="Reference"/>
        </w:rPr>
        <w:t>.</w:t>
      </w:r>
      <w:r>
        <w:rPr>
          <w:rStyle w:val="Reference"/>
        </w:rPr>
        <w:t>230</w:t>
      </w:r>
      <w:r w:rsidRPr="003913A2">
        <w:rPr>
          <w:rStyle w:val="Reference"/>
        </w:rPr>
        <w:t>]</w:t>
      </w:r>
    </w:p>
    <w:p w14:paraId="23535711" w14:textId="152204A4" w:rsidR="007A354E" w:rsidRPr="00AA512A" w:rsidRDefault="006E04EF" w:rsidP="00AA512A">
      <w:pPr>
        <w:spacing w:before="120" w:after="0"/>
        <w:rPr>
          <w:color w:val="4472C4" w:themeColor="accent1"/>
        </w:rPr>
      </w:pPr>
      <w:r w:rsidRPr="00AA512A">
        <w:rPr>
          <w:color w:val="4472C4" w:themeColor="accent1"/>
        </w:rPr>
        <w:t xml:space="preserve">To meet the objective in paragraph 226, an entity shall consider disclosing information about assets and liabilities recognised at the reporting date in accordance with </w:t>
      </w:r>
      <w:r w:rsidR="0007383E">
        <w:rPr>
          <w:color w:val="4472C4" w:themeColor="accent1"/>
        </w:rPr>
        <w:t>AASB </w:t>
      </w:r>
      <w:r w:rsidRPr="00AA512A">
        <w:rPr>
          <w:color w:val="4472C4" w:themeColor="accent1"/>
        </w:rPr>
        <w:t xml:space="preserve">1058 </w:t>
      </w:r>
      <w:r w:rsidRPr="00AA512A">
        <w:rPr>
          <w:i/>
          <w:iCs/>
          <w:color w:val="4472C4" w:themeColor="accent1"/>
        </w:rPr>
        <w:t>Income of Not-for-Profit Entities</w:t>
      </w:r>
      <w:r w:rsidRPr="00AA512A">
        <w:rPr>
          <w:color w:val="4472C4" w:themeColor="accent1"/>
        </w:rPr>
        <w:t>, including the amounts of:</w:t>
      </w:r>
    </w:p>
    <w:p w14:paraId="44CE4C99" w14:textId="3419F3BD" w:rsidR="006E04EF" w:rsidRPr="006E04EF" w:rsidRDefault="006E04EF" w:rsidP="00E10CD7">
      <w:pPr>
        <w:keepNext/>
        <w:spacing w:before="40" w:after="0"/>
        <w:ind w:left="357" w:hanging="357"/>
      </w:pPr>
      <w:r w:rsidRPr="00AA512A">
        <w:rPr>
          <w:color w:val="4472C4" w:themeColor="accent1"/>
        </w:rPr>
        <w:t xml:space="preserve">(a)   receivables that are not a financial asset as defined in </w:t>
      </w:r>
      <w:r w:rsidR="0007383E">
        <w:rPr>
          <w:color w:val="4472C4" w:themeColor="accent1"/>
        </w:rPr>
        <w:t>AASB </w:t>
      </w:r>
      <w:r w:rsidRPr="00AA512A">
        <w:rPr>
          <w:color w:val="4472C4" w:themeColor="accent1"/>
        </w:rPr>
        <w:t>132 (</w:t>
      </w:r>
      <w:r w:rsidR="00AA512A" w:rsidRPr="00AA512A">
        <w:rPr>
          <w:color w:val="4472C4" w:themeColor="accent1"/>
        </w:rPr>
        <w:t>e.g.</w:t>
      </w:r>
      <w:r w:rsidRPr="00AA512A">
        <w:rPr>
          <w:color w:val="4472C4" w:themeColor="accent1"/>
        </w:rPr>
        <w:t xml:space="preserve"> income tax receivable from a taxpayer), and:</w:t>
      </w:r>
    </w:p>
    <w:p w14:paraId="395D5064" w14:textId="4C26430F" w:rsidR="006E04EF" w:rsidRPr="00AA512A" w:rsidRDefault="006E04EF" w:rsidP="00E10CD7">
      <w:pPr>
        <w:keepNext/>
        <w:spacing w:before="40" w:after="0"/>
        <w:ind w:left="697" w:hanging="357"/>
        <w:rPr>
          <w:color w:val="4472C4" w:themeColor="accent1"/>
        </w:rPr>
      </w:pPr>
      <w:r w:rsidRPr="00AA512A">
        <w:rPr>
          <w:color w:val="4472C4" w:themeColor="accent1"/>
        </w:rPr>
        <w:t>(i) interest income recognised in relation to such receivables during the period</w:t>
      </w:r>
    </w:p>
    <w:p w14:paraId="4BE1D8C1" w14:textId="77777777" w:rsidR="006E04EF" w:rsidRPr="00AA512A" w:rsidRDefault="006E04EF" w:rsidP="00E10CD7">
      <w:pPr>
        <w:keepNext/>
        <w:spacing w:before="40" w:after="0"/>
        <w:ind w:left="697" w:hanging="357"/>
        <w:rPr>
          <w:color w:val="4472C4" w:themeColor="accent1"/>
        </w:rPr>
      </w:pPr>
      <w:r w:rsidRPr="00AA512A">
        <w:rPr>
          <w:color w:val="4472C4" w:themeColor="accent1"/>
        </w:rPr>
        <w:t>(ii) impairment losses recognised in relation to such receivables during the period; and</w:t>
      </w:r>
    </w:p>
    <w:p w14:paraId="29798A75" w14:textId="6FF9EE7C" w:rsidR="006E04EF" w:rsidRPr="00E10CD7" w:rsidRDefault="006E04EF" w:rsidP="006E04EF">
      <w:pPr>
        <w:spacing w:before="120" w:after="0"/>
        <w:rPr>
          <w:color w:val="C00000"/>
          <w:sz w:val="16"/>
        </w:rPr>
      </w:pPr>
      <w:r w:rsidRPr="00AA512A">
        <w:rPr>
          <w:color w:val="4472C4" w:themeColor="accent1"/>
        </w:rPr>
        <w:t>(b)   financial liabilities relating to prepaid taxes or rates for which the taxable event has yet to occur, and the future period(s) to which those taxes or rates relate</w:t>
      </w:r>
      <w:r w:rsidRPr="006E04EF">
        <w:t>.</w:t>
      </w:r>
      <w:r>
        <w:t xml:space="preserve"> </w:t>
      </w:r>
      <w:r w:rsidRPr="003913A2">
        <w:rPr>
          <w:rStyle w:val="Reference"/>
        </w:rPr>
        <w:t>[</w:t>
      </w:r>
      <w:r w:rsidR="0007383E">
        <w:rPr>
          <w:rStyle w:val="Reference"/>
        </w:rPr>
        <w:t>AASB </w:t>
      </w:r>
      <w:r>
        <w:rPr>
          <w:rStyle w:val="Reference"/>
        </w:rPr>
        <w:t>1060.</w:t>
      </w:r>
      <w:r w:rsidR="00DC7067">
        <w:rPr>
          <w:rStyle w:val="Reference"/>
        </w:rPr>
        <w:t>231</w:t>
      </w:r>
      <w:r w:rsidRPr="003913A2">
        <w:rPr>
          <w:rStyle w:val="Reference"/>
        </w:rPr>
        <w:t>]</w:t>
      </w:r>
    </w:p>
    <w:p w14:paraId="1D394C6F" w14:textId="77777777" w:rsidR="00A11A49" w:rsidRDefault="00A11A49" w:rsidP="00A11A49">
      <w:pPr>
        <w:pStyle w:val="GuidanceEnd"/>
        <w:pBdr>
          <w:top w:val="single" w:sz="36" w:space="0" w:color="4472C4" w:themeColor="accent1"/>
        </w:pBdr>
      </w:pPr>
    </w:p>
    <w:p w14:paraId="628BE250" w14:textId="77777777" w:rsidR="003719CD" w:rsidRDefault="003719CD" w:rsidP="00210A42">
      <w:pPr>
        <w:pStyle w:val="Note"/>
      </w:pPr>
    </w:p>
    <w:p w14:paraId="28FC67D1" w14:textId="524BBD6A" w:rsidR="00907282" w:rsidRDefault="00907282" w:rsidP="00A80494">
      <w:pPr>
        <w:pStyle w:val="Heading2numbered"/>
      </w:pPr>
      <w:bookmarkStart w:id="3645" w:name="_Toc179813116"/>
      <w:bookmarkStart w:id="3646" w:name="_Toc179818816"/>
      <w:bookmarkStart w:id="3647" w:name="_Toc179824516"/>
      <w:bookmarkStart w:id="3648" w:name="_Toc179861715"/>
      <w:bookmarkStart w:id="3649" w:name="_Toc179869030"/>
      <w:bookmarkStart w:id="3650" w:name="_Toc179873423"/>
      <w:bookmarkStart w:id="3651" w:name="_Toc179877816"/>
      <w:bookmarkStart w:id="3652" w:name="_Toc179880317"/>
      <w:bookmarkStart w:id="3653" w:name="_Toc190333090"/>
      <w:bookmarkStart w:id="3654" w:name="_Toc190340845"/>
      <w:r>
        <w:t>Other liabilities</w:t>
      </w:r>
      <w:bookmarkStart w:id="3655" w:name="_Toc64983449"/>
      <w:bookmarkStart w:id="3656" w:name="_Toc96704920"/>
      <w:bookmarkStart w:id="3657" w:name="_Toc130225974"/>
      <w:bookmarkEnd w:id="3645"/>
      <w:bookmarkEnd w:id="3646"/>
      <w:bookmarkEnd w:id="3647"/>
      <w:bookmarkEnd w:id="3648"/>
      <w:bookmarkEnd w:id="3649"/>
      <w:bookmarkEnd w:id="3650"/>
      <w:bookmarkEnd w:id="3651"/>
      <w:bookmarkEnd w:id="3652"/>
      <w:bookmarkEnd w:id="3653"/>
      <w:bookmarkEnd w:id="3654"/>
    </w:p>
    <w:p w14:paraId="2B760B21" w14:textId="5798BAE0" w:rsidR="003719CD" w:rsidRDefault="003719CD" w:rsidP="00E10CD7">
      <w:pPr>
        <w:pStyle w:val="Heading3numbered"/>
      </w:pPr>
      <w:bookmarkStart w:id="3658" w:name="_Toc179813117"/>
      <w:bookmarkStart w:id="3659" w:name="_Toc179818817"/>
      <w:bookmarkStart w:id="3660" w:name="_Toc179824517"/>
      <w:bookmarkStart w:id="3661" w:name="_Toc179830186"/>
      <w:bookmarkStart w:id="3662" w:name="_Toc179861716"/>
      <w:r>
        <w:t>Payables</w:t>
      </w:r>
      <w:bookmarkEnd w:id="3655"/>
      <w:bookmarkEnd w:id="3656"/>
      <w:bookmarkEnd w:id="3657"/>
      <w:bookmarkEnd w:id="3658"/>
      <w:bookmarkEnd w:id="3659"/>
      <w:bookmarkEnd w:id="3660"/>
      <w:bookmarkEnd w:id="3661"/>
      <w:bookmarkEnd w:id="3662"/>
      <w:r w:rsidR="0053389D">
        <w:t xml:space="preserve"> </w:t>
      </w:r>
      <w:r w:rsidR="0053389D" w:rsidRPr="00E51206">
        <w:rPr>
          <w:color w:val="C00000"/>
          <w:sz w:val="20"/>
          <w:szCs w:val="22"/>
        </w:rPr>
        <w:t>[REVISED]</w:t>
      </w:r>
    </w:p>
    <w:p w14:paraId="6A95B253" w14:textId="77777777" w:rsidR="003719CD" w:rsidRDefault="003719CD" w:rsidP="00210A42">
      <w:pPr>
        <w:pStyle w:val="TableUnits"/>
        <w:spacing w:before="0"/>
      </w:pPr>
      <w:r>
        <w:t xml:space="preserve"> ($ thousand)</w:t>
      </w:r>
    </w:p>
    <w:tbl>
      <w:tblPr>
        <w:tblStyle w:val="DTFTable"/>
        <w:tblW w:w="9639" w:type="dxa"/>
        <w:tblLayout w:type="fixed"/>
        <w:tblLook w:val="0620" w:firstRow="1" w:lastRow="0" w:firstColumn="0" w:lastColumn="0" w:noHBand="1" w:noVBand="1"/>
      </w:tblPr>
      <w:tblGrid>
        <w:gridCol w:w="1349"/>
        <w:gridCol w:w="6558"/>
        <w:gridCol w:w="866"/>
        <w:gridCol w:w="866"/>
      </w:tblGrid>
      <w:tr w:rsidR="00182709" w14:paraId="55C5D504" w14:textId="77777777" w:rsidTr="002A0038">
        <w:trPr>
          <w:cnfStyle w:val="100000000000" w:firstRow="1" w:lastRow="0" w:firstColumn="0" w:lastColumn="0" w:oddVBand="0" w:evenVBand="0" w:oddHBand="0" w:evenHBand="0" w:firstRowFirstColumn="0" w:firstRowLastColumn="0" w:lastRowFirstColumn="0" w:lastRowLastColumn="0"/>
          <w:tblHeader/>
        </w:trPr>
        <w:tc>
          <w:tcPr>
            <w:tcW w:w="1349" w:type="dxa"/>
            <w:tcBorders>
              <w:top w:val="nil"/>
              <w:bottom w:val="nil"/>
            </w:tcBorders>
            <w:shd w:val="clear" w:color="auto" w:fill="FFFFFF" w:themeFill="background1"/>
          </w:tcPr>
          <w:p w14:paraId="1F173126" w14:textId="77777777" w:rsidR="00182709" w:rsidRDefault="0044097C">
            <w:pPr>
              <w:keepNext/>
              <w:jc w:val="left"/>
            </w:pPr>
            <w:r>
              <w:rPr>
                <w:color w:val="4472C4"/>
                <w:sz w:val="13"/>
              </w:rPr>
              <w:t>Source reference</w:t>
            </w:r>
          </w:p>
        </w:tc>
        <w:tc>
          <w:tcPr>
            <w:tcW w:w="6558" w:type="dxa"/>
          </w:tcPr>
          <w:p w14:paraId="57C53D5E" w14:textId="77777777" w:rsidR="00182709" w:rsidRDefault="00182709">
            <w:pPr>
              <w:keepNext/>
              <w:jc w:val="left"/>
            </w:pPr>
          </w:p>
        </w:tc>
        <w:tc>
          <w:tcPr>
            <w:tcW w:w="866" w:type="dxa"/>
          </w:tcPr>
          <w:p w14:paraId="44D032B0" w14:textId="77777777" w:rsidR="00182709" w:rsidRDefault="0044097C">
            <w:pPr>
              <w:keepNext/>
            </w:pPr>
            <w:r>
              <w:t>20X2</w:t>
            </w:r>
          </w:p>
        </w:tc>
        <w:tc>
          <w:tcPr>
            <w:tcW w:w="866" w:type="dxa"/>
          </w:tcPr>
          <w:p w14:paraId="0235673A" w14:textId="77777777" w:rsidR="00182709" w:rsidRDefault="0044097C">
            <w:pPr>
              <w:keepNext/>
            </w:pPr>
            <w:r>
              <w:t>20X1</w:t>
            </w:r>
          </w:p>
        </w:tc>
      </w:tr>
      <w:tr w:rsidR="00182709" w14:paraId="40BD2C09" w14:textId="77777777" w:rsidTr="002A0038">
        <w:tc>
          <w:tcPr>
            <w:tcW w:w="1349" w:type="dxa"/>
          </w:tcPr>
          <w:p w14:paraId="2189D618" w14:textId="77777777" w:rsidR="00182709" w:rsidRDefault="00182709">
            <w:pPr>
              <w:jc w:val="left"/>
            </w:pPr>
          </w:p>
        </w:tc>
        <w:tc>
          <w:tcPr>
            <w:tcW w:w="6558" w:type="dxa"/>
          </w:tcPr>
          <w:p w14:paraId="3FE726D1" w14:textId="0339CACF" w:rsidR="00182709" w:rsidRDefault="0044097C">
            <w:pPr>
              <w:jc w:val="left"/>
              <w:rPr>
                <w:lang w:eastAsia="zh-CN"/>
              </w:rPr>
            </w:pPr>
            <w:r>
              <w:rPr>
                <w:b/>
              </w:rPr>
              <w:t>Contractual</w:t>
            </w:r>
            <w:r w:rsidR="002214FB">
              <w:rPr>
                <w:rFonts w:hint="eastAsia"/>
                <w:b/>
                <w:lang w:eastAsia="zh-CN"/>
              </w:rPr>
              <w:t xml:space="preserve"> payables</w:t>
            </w:r>
          </w:p>
        </w:tc>
        <w:tc>
          <w:tcPr>
            <w:tcW w:w="866" w:type="dxa"/>
          </w:tcPr>
          <w:p w14:paraId="21C90070" w14:textId="77777777" w:rsidR="00182709" w:rsidRDefault="00182709"/>
        </w:tc>
        <w:tc>
          <w:tcPr>
            <w:tcW w:w="866" w:type="dxa"/>
          </w:tcPr>
          <w:p w14:paraId="37227A5E" w14:textId="77777777" w:rsidR="00182709" w:rsidRDefault="00182709"/>
        </w:tc>
      </w:tr>
      <w:tr w:rsidR="005619C9" w14:paraId="02F344CB" w14:textId="77777777" w:rsidTr="002A0038">
        <w:tc>
          <w:tcPr>
            <w:tcW w:w="1349" w:type="dxa"/>
          </w:tcPr>
          <w:p w14:paraId="344F1E7A" w14:textId="77777777" w:rsidR="005619C9" w:rsidRDefault="005619C9" w:rsidP="005619C9">
            <w:pPr>
              <w:jc w:val="left"/>
            </w:pPr>
          </w:p>
        </w:tc>
        <w:tc>
          <w:tcPr>
            <w:tcW w:w="6558" w:type="dxa"/>
          </w:tcPr>
          <w:p w14:paraId="5A50F38E" w14:textId="77777777" w:rsidR="005619C9" w:rsidRDefault="005619C9" w:rsidP="005619C9">
            <w:pPr>
              <w:jc w:val="left"/>
            </w:pPr>
            <w:r>
              <w:t>Supplies and services</w:t>
            </w:r>
          </w:p>
        </w:tc>
        <w:tc>
          <w:tcPr>
            <w:tcW w:w="866" w:type="dxa"/>
            <w:vAlign w:val="center"/>
          </w:tcPr>
          <w:p w14:paraId="6E9C6221" w14:textId="7CC2028C" w:rsidR="005619C9" w:rsidRDefault="005619C9" w:rsidP="005619C9">
            <w:r>
              <w:rPr>
                <w:rFonts w:ascii="Arial" w:hAnsi="Arial" w:cs="Arial"/>
                <w:color w:val="000000"/>
                <w:szCs w:val="16"/>
              </w:rPr>
              <w:t>23</w:t>
            </w:r>
            <w:r w:rsidR="003E3065">
              <w:rPr>
                <w:rFonts w:ascii="Arial" w:hAnsi="Arial" w:cs="Arial" w:hint="eastAsia"/>
                <w:color w:val="000000"/>
                <w:szCs w:val="16"/>
                <w:lang w:eastAsia="zh-CN"/>
              </w:rPr>
              <w:t xml:space="preserve"> </w:t>
            </w:r>
            <w:r>
              <w:rPr>
                <w:rFonts w:ascii="Arial" w:hAnsi="Arial" w:cs="Arial"/>
                <w:color w:val="000000"/>
                <w:szCs w:val="16"/>
              </w:rPr>
              <w:t>475</w:t>
            </w:r>
          </w:p>
        </w:tc>
        <w:tc>
          <w:tcPr>
            <w:tcW w:w="866" w:type="dxa"/>
            <w:vAlign w:val="center"/>
          </w:tcPr>
          <w:p w14:paraId="006D7A23" w14:textId="39E8A27B" w:rsidR="005619C9" w:rsidRDefault="005619C9" w:rsidP="005619C9">
            <w:r>
              <w:rPr>
                <w:rFonts w:ascii="Arial" w:hAnsi="Arial" w:cs="Arial"/>
                <w:color w:val="000000"/>
                <w:szCs w:val="16"/>
              </w:rPr>
              <w:t>31</w:t>
            </w:r>
            <w:r w:rsidR="003E3065">
              <w:rPr>
                <w:rFonts w:ascii="Arial" w:hAnsi="Arial" w:cs="Arial" w:hint="eastAsia"/>
                <w:color w:val="000000"/>
                <w:szCs w:val="16"/>
                <w:lang w:eastAsia="zh-CN"/>
              </w:rPr>
              <w:t xml:space="preserve"> </w:t>
            </w:r>
            <w:r>
              <w:rPr>
                <w:rFonts w:ascii="Arial" w:hAnsi="Arial" w:cs="Arial"/>
                <w:color w:val="000000"/>
                <w:szCs w:val="16"/>
              </w:rPr>
              <w:t>462</w:t>
            </w:r>
          </w:p>
        </w:tc>
      </w:tr>
      <w:tr w:rsidR="005619C9" w14:paraId="7F1A7941" w14:textId="77777777" w:rsidTr="002A0038">
        <w:tc>
          <w:tcPr>
            <w:tcW w:w="1349" w:type="dxa"/>
          </w:tcPr>
          <w:p w14:paraId="49A2DC70" w14:textId="77777777" w:rsidR="005619C9" w:rsidRDefault="005619C9" w:rsidP="005619C9">
            <w:pPr>
              <w:jc w:val="left"/>
            </w:pPr>
          </w:p>
        </w:tc>
        <w:tc>
          <w:tcPr>
            <w:tcW w:w="6558" w:type="dxa"/>
          </w:tcPr>
          <w:p w14:paraId="07EF9EFA" w14:textId="35959493" w:rsidR="005619C9" w:rsidRDefault="005619C9" w:rsidP="005619C9">
            <w:pPr>
              <w:jc w:val="left"/>
            </w:pPr>
            <w:r>
              <w:t>Amounts payable to government and agencies</w:t>
            </w:r>
          </w:p>
        </w:tc>
        <w:tc>
          <w:tcPr>
            <w:tcW w:w="866" w:type="dxa"/>
            <w:vAlign w:val="center"/>
          </w:tcPr>
          <w:p w14:paraId="0EB27F5E" w14:textId="2CAE18A2" w:rsidR="005619C9" w:rsidRDefault="005619C9" w:rsidP="005619C9">
            <w:r>
              <w:rPr>
                <w:rFonts w:ascii="Arial" w:hAnsi="Arial" w:cs="Arial"/>
                <w:color w:val="000000"/>
                <w:szCs w:val="16"/>
              </w:rPr>
              <w:t>10</w:t>
            </w:r>
            <w:r w:rsidR="003E3065">
              <w:rPr>
                <w:rFonts w:ascii="Arial" w:hAnsi="Arial" w:cs="Arial" w:hint="eastAsia"/>
                <w:color w:val="000000"/>
                <w:szCs w:val="16"/>
                <w:lang w:eastAsia="zh-CN"/>
              </w:rPr>
              <w:t xml:space="preserve"> </w:t>
            </w:r>
            <w:r>
              <w:rPr>
                <w:rFonts w:ascii="Arial" w:hAnsi="Arial" w:cs="Arial"/>
                <w:color w:val="000000"/>
                <w:szCs w:val="16"/>
              </w:rPr>
              <w:t>891</w:t>
            </w:r>
          </w:p>
        </w:tc>
        <w:tc>
          <w:tcPr>
            <w:tcW w:w="866" w:type="dxa"/>
            <w:vAlign w:val="center"/>
          </w:tcPr>
          <w:p w14:paraId="70CCE282" w14:textId="2DF3D16D" w:rsidR="005619C9" w:rsidRDefault="005619C9" w:rsidP="005619C9">
            <w:r>
              <w:rPr>
                <w:rFonts w:ascii="Arial" w:hAnsi="Arial" w:cs="Arial"/>
                <w:color w:val="000000"/>
                <w:szCs w:val="16"/>
              </w:rPr>
              <w:t>1</w:t>
            </w:r>
            <w:r w:rsidR="003E3065">
              <w:rPr>
                <w:rFonts w:ascii="Arial" w:hAnsi="Arial" w:cs="Arial" w:hint="eastAsia"/>
                <w:color w:val="000000"/>
                <w:szCs w:val="16"/>
                <w:lang w:eastAsia="zh-CN"/>
              </w:rPr>
              <w:t xml:space="preserve"> </w:t>
            </w:r>
            <w:r>
              <w:rPr>
                <w:rFonts w:ascii="Arial" w:hAnsi="Arial" w:cs="Arial"/>
                <w:color w:val="000000"/>
                <w:szCs w:val="16"/>
              </w:rPr>
              <w:t>796</w:t>
            </w:r>
          </w:p>
        </w:tc>
      </w:tr>
      <w:tr w:rsidR="005619C9" w14:paraId="4139B668" w14:textId="77777777" w:rsidTr="002A0038">
        <w:tc>
          <w:tcPr>
            <w:tcW w:w="1349" w:type="dxa"/>
          </w:tcPr>
          <w:p w14:paraId="35AA9F56" w14:textId="77777777" w:rsidR="005619C9" w:rsidRDefault="005619C9" w:rsidP="005619C9">
            <w:pPr>
              <w:jc w:val="left"/>
            </w:pPr>
          </w:p>
        </w:tc>
        <w:tc>
          <w:tcPr>
            <w:tcW w:w="6558" w:type="dxa"/>
          </w:tcPr>
          <w:p w14:paraId="6DAF6F4B" w14:textId="77777777" w:rsidR="005619C9" w:rsidRDefault="005619C9" w:rsidP="005619C9">
            <w:pPr>
              <w:jc w:val="left"/>
            </w:pPr>
            <w:r>
              <w:t>Unearned income</w:t>
            </w:r>
          </w:p>
        </w:tc>
        <w:tc>
          <w:tcPr>
            <w:tcW w:w="866" w:type="dxa"/>
            <w:vAlign w:val="center"/>
          </w:tcPr>
          <w:p w14:paraId="7E4D9444" w14:textId="7DB5FC84" w:rsidR="005619C9" w:rsidRDefault="005619C9" w:rsidP="005619C9">
            <w:r>
              <w:rPr>
                <w:rFonts w:ascii="Arial" w:hAnsi="Arial" w:cs="Arial"/>
                <w:color w:val="000000"/>
                <w:szCs w:val="16"/>
              </w:rPr>
              <w:t>1</w:t>
            </w:r>
            <w:r w:rsidR="003E3065">
              <w:rPr>
                <w:rFonts w:ascii="Arial" w:hAnsi="Arial" w:cs="Arial" w:hint="eastAsia"/>
                <w:color w:val="000000"/>
                <w:szCs w:val="16"/>
                <w:lang w:eastAsia="zh-CN"/>
              </w:rPr>
              <w:t xml:space="preserve"> </w:t>
            </w:r>
            <w:r>
              <w:rPr>
                <w:rFonts w:ascii="Arial" w:hAnsi="Arial" w:cs="Arial"/>
                <w:color w:val="000000"/>
                <w:szCs w:val="16"/>
              </w:rPr>
              <w:t>145</w:t>
            </w:r>
          </w:p>
        </w:tc>
        <w:tc>
          <w:tcPr>
            <w:tcW w:w="866" w:type="dxa"/>
            <w:vAlign w:val="center"/>
          </w:tcPr>
          <w:p w14:paraId="013DF702" w14:textId="63335B63" w:rsidR="005619C9" w:rsidRDefault="005619C9" w:rsidP="005619C9">
            <w:r>
              <w:rPr>
                <w:rFonts w:ascii="Arial" w:hAnsi="Arial" w:cs="Arial"/>
                <w:color w:val="000000"/>
                <w:szCs w:val="16"/>
              </w:rPr>
              <w:t>1</w:t>
            </w:r>
            <w:r w:rsidR="003E3065">
              <w:rPr>
                <w:rFonts w:ascii="Arial" w:hAnsi="Arial" w:cs="Arial" w:hint="eastAsia"/>
                <w:color w:val="000000"/>
                <w:szCs w:val="16"/>
                <w:lang w:eastAsia="zh-CN"/>
              </w:rPr>
              <w:t xml:space="preserve"> </w:t>
            </w:r>
            <w:r>
              <w:rPr>
                <w:rFonts w:ascii="Arial" w:hAnsi="Arial" w:cs="Arial"/>
                <w:color w:val="000000"/>
                <w:szCs w:val="16"/>
              </w:rPr>
              <w:t>990</w:t>
            </w:r>
          </w:p>
        </w:tc>
      </w:tr>
      <w:tr w:rsidR="00C27FB6" w14:paraId="0630E5FE" w14:textId="77777777" w:rsidTr="002A0038">
        <w:tc>
          <w:tcPr>
            <w:tcW w:w="1349" w:type="dxa"/>
          </w:tcPr>
          <w:p w14:paraId="55853DE5" w14:textId="77777777" w:rsidR="00C27FB6" w:rsidRDefault="00C27FB6" w:rsidP="00C27FB6">
            <w:pPr>
              <w:jc w:val="left"/>
            </w:pPr>
          </w:p>
        </w:tc>
        <w:tc>
          <w:tcPr>
            <w:tcW w:w="6558" w:type="dxa"/>
          </w:tcPr>
          <w:p w14:paraId="73A4566D" w14:textId="5182C950" w:rsidR="00C27FB6" w:rsidRDefault="00C27FB6" w:rsidP="00C27FB6">
            <w:pPr>
              <w:jc w:val="left"/>
            </w:pPr>
            <w:r>
              <w:t xml:space="preserve">Deferred capital grant </w:t>
            </w:r>
            <w:r w:rsidR="00981302">
              <w:t>income</w:t>
            </w:r>
          </w:p>
        </w:tc>
        <w:tc>
          <w:tcPr>
            <w:tcW w:w="866" w:type="dxa"/>
            <w:vAlign w:val="center"/>
          </w:tcPr>
          <w:p w14:paraId="02948472" w14:textId="4445D369" w:rsidR="00C27FB6" w:rsidRDefault="00C27FB6" w:rsidP="00C27FB6">
            <w:r>
              <w:rPr>
                <w:rFonts w:ascii="Arial" w:hAnsi="Arial" w:cs="Arial"/>
                <w:color w:val="000000"/>
                <w:szCs w:val="16"/>
              </w:rPr>
              <w:t>26</w:t>
            </w:r>
          </w:p>
        </w:tc>
        <w:tc>
          <w:tcPr>
            <w:tcW w:w="866" w:type="dxa"/>
            <w:vAlign w:val="center"/>
          </w:tcPr>
          <w:p w14:paraId="16A9ABCF" w14:textId="45CC32F1" w:rsidR="00C27FB6" w:rsidRDefault="00C27FB6" w:rsidP="00C27FB6">
            <w:r>
              <w:rPr>
                <w:rFonts w:ascii="Arial" w:hAnsi="Arial" w:cs="Arial"/>
                <w:color w:val="000000"/>
                <w:szCs w:val="16"/>
              </w:rPr>
              <w:t>13</w:t>
            </w:r>
          </w:p>
        </w:tc>
      </w:tr>
      <w:tr w:rsidR="00182709" w14:paraId="404EE61F" w14:textId="77777777" w:rsidTr="002A0038">
        <w:tc>
          <w:tcPr>
            <w:tcW w:w="1349" w:type="dxa"/>
          </w:tcPr>
          <w:p w14:paraId="05D341EC" w14:textId="77777777" w:rsidR="00182709" w:rsidRDefault="00182709">
            <w:pPr>
              <w:jc w:val="left"/>
            </w:pPr>
          </w:p>
        </w:tc>
        <w:tc>
          <w:tcPr>
            <w:tcW w:w="6558" w:type="dxa"/>
          </w:tcPr>
          <w:p w14:paraId="1494B568" w14:textId="556A1293" w:rsidR="00182709" w:rsidRDefault="0044097C">
            <w:pPr>
              <w:jc w:val="left"/>
              <w:rPr>
                <w:lang w:eastAsia="zh-CN"/>
              </w:rPr>
            </w:pPr>
            <w:r>
              <w:rPr>
                <w:b/>
              </w:rPr>
              <w:t>Statutory</w:t>
            </w:r>
            <w:r w:rsidR="002214FB">
              <w:rPr>
                <w:rFonts w:hint="eastAsia"/>
                <w:b/>
                <w:lang w:eastAsia="zh-CN"/>
              </w:rPr>
              <w:t xml:space="preserve"> payables</w:t>
            </w:r>
          </w:p>
        </w:tc>
        <w:tc>
          <w:tcPr>
            <w:tcW w:w="866" w:type="dxa"/>
          </w:tcPr>
          <w:p w14:paraId="280012E0" w14:textId="77777777" w:rsidR="00182709" w:rsidRDefault="00182709"/>
        </w:tc>
        <w:tc>
          <w:tcPr>
            <w:tcW w:w="866" w:type="dxa"/>
          </w:tcPr>
          <w:p w14:paraId="25E0E8C7" w14:textId="77777777" w:rsidR="00182709" w:rsidRDefault="00182709"/>
        </w:tc>
      </w:tr>
      <w:tr w:rsidR="00834D92" w14:paraId="102610FB" w14:textId="77777777" w:rsidTr="002A0038">
        <w:tc>
          <w:tcPr>
            <w:tcW w:w="1349" w:type="dxa"/>
          </w:tcPr>
          <w:p w14:paraId="2DDF0635" w14:textId="77777777" w:rsidR="00834D92" w:rsidRDefault="00834D92" w:rsidP="00834D92">
            <w:pPr>
              <w:jc w:val="left"/>
            </w:pPr>
          </w:p>
        </w:tc>
        <w:tc>
          <w:tcPr>
            <w:tcW w:w="6558" w:type="dxa"/>
          </w:tcPr>
          <w:p w14:paraId="5FFDFC03" w14:textId="77777777" w:rsidR="00834D92" w:rsidRDefault="00834D92" w:rsidP="00834D92">
            <w:pPr>
              <w:jc w:val="left"/>
            </w:pPr>
            <w:r>
              <w:t>FBT payable</w:t>
            </w:r>
          </w:p>
        </w:tc>
        <w:tc>
          <w:tcPr>
            <w:tcW w:w="866" w:type="dxa"/>
            <w:vAlign w:val="center"/>
          </w:tcPr>
          <w:p w14:paraId="2DB9FA59" w14:textId="45CB328C" w:rsidR="00834D92" w:rsidRDefault="00834D92" w:rsidP="00834D92">
            <w:r>
              <w:rPr>
                <w:rFonts w:ascii="Arial" w:hAnsi="Arial" w:cs="Arial"/>
                <w:color w:val="000000"/>
                <w:szCs w:val="16"/>
              </w:rPr>
              <w:t>82</w:t>
            </w:r>
          </w:p>
        </w:tc>
        <w:tc>
          <w:tcPr>
            <w:tcW w:w="866" w:type="dxa"/>
            <w:vAlign w:val="center"/>
          </w:tcPr>
          <w:p w14:paraId="52C5FA74" w14:textId="1F5F0D63" w:rsidR="00834D92" w:rsidRDefault="00834D92" w:rsidP="00834D92">
            <w:r>
              <w:rPr>
                <w:rFonts w:ascii="Arial" w:hAnsi="Arial" w:cs="Arial"/>
                <w:color w:val="000000"/>
                <w:szCs w:val="16"/>
              </w:rPr>
              <w:t>169</w:t>
            </w:r>
          </w:p>
        </w:tc>
      </w:tr>
      <w:tr w:rsidR="00834D92" w14:paraId="4E6FAEA2" w14:textId="77777777" w:rsidTr="002A0038">
        <w:tc>
          <w:tcPr>
            <w:tcW w:w="1349" w:type="dxa"/>
          </w:tcPr>
          <w:p w14:paraId="1F6622AF" w14:textId="77777777" w:rsidR="00834D92" w:rsidRDefault="00834D92" w:rsidP="00834D92">
            <w:pPr>
              <w:jc w:val="left"/>
            </w:pPr>
          </w:p>
        </w:tc>
        <w:tc>
          <w:tcPr>
            <w:tcW w:w="6558" w:type="dxa"/>
            <w:tcBorders>
              <w:bottom w:val="nil"/>
            </w:tcBorders>
          </w:tcPr>
          <w:p w14:paraId="2C4D6193" w14:textId="77777777" w:rsidR="00834D92" w:rsidRDefault="00834D92" w:rsidP="00834D92">
            <w:pPr>
              <w:jc w:val="left"/>
            </w:pPr>
            <w:r>
              <w:t>GST payable</w:t>
            </w:r>
          </w:p>
        </w:tc>
        <w:tc>
          <w:tcPr>
            <w:tcW w:w="866" w:type="dxa"/>
            <w:tcBorders>
              <w:bottom w:val="nil"/>
            </w:tcBorders>
            <w:vAlign w:val="center"/>
          </w:tcPr>
          <w:p w14:paraId="2FA5219D" w14:textId="1C91515B" w:rsidR="00834D92" w:rsidRDefault="00834D92" w:rsidP="00834D92">
            <w:r>
              <w:rPr>
                <w:rFonts w:ascii="Arial" w:hAnsi="Arial" w:cs="Arial"/>
                <w:color w:val="000000"/>
                <w:szCs w:val="16"/>
              </w:rPr>
              <w:t>108</w:t>
            </w:r>
          </w:p>
        </w:tc>
        <w:tc>
          <w:tcPr>
            <w:tcW w:w="866" w:type="dxa"/>
            <w:tcBorders>
              <w:bottom w:val="nil"/>
            </w:tcBorders>
            <w:vAlign w:val="center"/>
          </w:tcPr>
          <w:p w14:paraId="6D075C60" w14:textId="0DEAC0FD" w:rsidR="00834D92" w:rsidRDefault="00834D92" w:rsidP="00834D92">
            <w:r>
              <w:rPr>
                <w:rFonts w:ascii="Arial" w:hAnsi="Arial" w:cs="Arial"/>
                <w:color w:val="000000"/>
                <w:szCs w:val="16"/>
              </w:rPr>
              <w:t>225</w:t>
            </w:r>
          </w:p>
        </w:tc>
      </w:tr>
      <w:tr w:rsidR="00834D92" w14:paraId="02D3DEC6" w14:textId="77777777" w:rsidTr="002A0038">
        <w:tc>
          <w:tcPr>
            <w:tcW w:w="1349" w:type="dxa"/>
          </w:tcPr>
          <w:p w14:paraId="2D8B5C16" w14:textId="77777777" w:rsidR="00834D92" w:rsidRDefault="00834D92" w:rsidP="00834D92">
            <w:pPr>
              <w:jc w:val="left"/>
            </w:pPr>
          </w:p>
        </w:tc>
        <w:tc>
          <w:tcPr>
            <w:tcW w:w="6558" w:type="dxa"/>
            <w:tcBorders>
              <w:bottom w:val="nil"/>
            </w:tcBorders>
          </w:tcPr>
          <w:p w14:paraId="56588CA9" w14:textId="77777777" w:rsidR="00834D92" w:rsidRDefault="00834D92" w:rsidP="00834D92">
            <w:pPr>
              <w:jc w:val="left"/>
            </w:pPr>
            <w:r>
              <w:t>Other taxes payable</w:t>
            </w:r>
          </w:p>
        </w:tc>
        <w:tc>
          <w:tcPr>
            <w:tcW w:w="866" w:type="dxa"/>
            <w:tcBorders>
              <w:bottom w:val="nil"/>
            </w:tcBorders>
            <w:vAlign w:val="center"/>
          </w:tcPr>
          <w:p w14:paraId="1E1912FA" w14:textId="01FA74D8" w:rsidR="00834D92" w:rsidRDefault="00834D92" w:rsidP="00834D92">
            <w:r>
              <w:rPr>
                <w:rFonts w:ascii="Arial" w:hAnsi="Arial" w:cs="Arial"/>
                <w:color w:val="000000"/>
                <w:szCs w:val="16"/>
              </w:rPr>
              <w:t>82</w:t>
            </w:r>
          </w:p>
        </w:tc>
        <w:tc>
          <w:tcPr>
            <w:tcW w:w="866" w:type="dxa"/>
            <w:tcBorders>
              <w:bottom w:val="nil"/>
            </w:tcBorders>
            <w:vAlign w:val="center"/>
          </w:tcPr>
          <w:p w14:paraId="42F9C3A8" w14:textId="00612829" w:rsidR="00834D92" w:rsidRDefault="00834D92" w:rsidP="00834D92">
            <w:r>
              <w:rPr>
                <w:rFonts w:ascii="Arial" w:hAnsi="Arial" w:cs="Arial"/>
                <w:color w:val="000000"/>
                <w:szCs w:val="16"/>
              </w:rPr>
              <w:t>169</w:t>
            </w:r>
          </w:p>
        </w:tc>
      </w:tr>
      <w:tr w:rsidR="0090160E" w14:paraId="17EABCF2" w14:textId="77777777" w:rsidTr="002A0038">
        <w:tc>
          <w:tcPr>
            <w:tcW w:w="1349" w:type="dxa"/>
          </w:tcPr>
          <w:p w14:paraId="15160422" w14:textId="25943F89" w:rsidR="0090160E" w:rsidRDefault="0007383E" w:rsidP="0090160E">
            <w:pPr>
              <w:jc w:val="left"/>
            </w:pPr>
            <w:r>
              <w:rPr>
                <w:color w:val="4472C4"/>
                <w:sz w:val="13"/>
              </w:rPr>
              <w:t>AASB </w:t>
            </w:r>
            <w:r w:rsidR="009143BA">
              <w:rPr>
                <w:color w:val="4472C4"/>
                <w:sz w:val="13"/>
              </w:rPr>
              <w:t>1060.113(d)</w:t>
            </w:r>
          </w:p>
        </w:tc>
        <w:tc>
          <w:tcPr>
            <w:tcW w:w="6558" w:type="dxa"/>
            <w:tcBorders>
              <w:top w:val="single" w:sz="4" w:space="0" w:color="auto"/>
            </w:tcBorders>
          </w:tcPr>
          <w:p w14:paraId="08A95AA8" w14:textId="23DF95D6" w:rsidR="0090160E" w:rsidRDefault="0090160E" w:rsidP="0090160E">
            <w:pPr>
              <w:jc w:val="left"/>
              <w:rPr>
                <w:lang w:eastAsia="zh-CN"/>
              </w:rPr>
            </w:pPr>
            <w:r>
              <w:rPr>
                <w:b/>
              </w:rPr>
              <w:t>Total payables</w:t>
            </w:r>
            <w:r>
              <w:rPr>
                <w:rFonts w:hint="eastAsia"/>
                <w:b/>
                <w:lang w:eastAsia="zh-CN"/>
              </w:rPr>
              <w:t xml:space="preserve"> </w:t>
            </w:r>
          </w:p>
        </w:tc>
        <w:tc>
          <w:tcPr>
            <w:tcW w:w="866" w:type="dxa"/>
            <w:tcBorders>
              <w:top w:val="single" w:sz="4" w:space="0" w:color="auto"/>
            </w:tcBorders>
            <w:vAlign w:val="center"/>
          </w:tcPr>
          <w:p w14:paraId="6407A264" w14:textId="27A0A8CA" w:rsidR="0090160E" w:rsidRDefault="0090160E" w:rsidP="0090160E">
            <w:r>
              <w:rPr>
                <w:rFonts w:ascii="Arial" w:hAnsi="Arial" w:cs="Arial"/>
                <w:b/>
                <w:bCs/>
                <w:color w:val="000000"/>
                <w:szCs w:val="16"/>
              </w:rPr>
              <w:t>35</w:t>
            </w:r>
            <w:r w:rsidR="003E3065">
              <w:rPr>
                <w:rFonts w:ascii="Arial" w:hAnsi="Arial" w:cs="Arial" w:hint="eastAsia"/>
                <w:b/>
                <w:bCs/>
                <w:color w:val="000000"/>
                <w:szCs w:val="16"/>
                <w:lang w:eastAsia="zh-CN"/>
              </w:rPr>
              <w:t xml:space="preserve"> </w:t>
            </w:r>
            <w:r>
              <w:rPr>
                <w:rFonts w:ascii="Arial" w:hAnsi="Arial" w:cs="Arial"/>
                <w:b/>
                <w:bCs/>
                <w:color w:val="000000"/>
                <w:szCs w:val="16"/>
              </w:rPr>
              <w:t>8</w:t>
            </w:r>
            <w:r w:rsidR="00BD2CC7">
              <w:rPr>
                <w:rFonts w:ascii="Arial" w:hAnsi="Arial" w:cs="Arial"/>
                <w:b/>
                <w:bCs/>
                <w:color w:val="000000"/>
                <w:szCs w:val="16"/>
                <w:lang w:eastAsia="zh-CN"/>
              </w:rPr>
              <w:t>09</w:t>
            </w:r>
          </w:p>
        </w:tc>
        <w:tc>
          <w:tcPr>
            <w:tcW w:w="866" w:type="dxa"/>
            <w:tcBorders>
              <w:top w:val="single" w:sz="4" w:space="0" w:color="auto"/>
            </w:tcBorders>
            <w:vAlign w:val="center"/>
          </w:tcPr>
          <w:p w14:paraId="13EDBB7C" w14:textId="258E52F9" w:rsidR="0090160E" w:rsidRDefault="0090160E" w:rsidP="0090160E">
            <w:r>
              <w:rPr>
                <w:rFonts w:ascii="Arial" w:hAnsi="Arial" w:cs="Arial"/>
                <w:b/>
                <w:bCs/>
                <w:color w:val="000000"/>
                <w:szCs w:val="16"/>
              </w:rPr>
              <w:t>35</w:t>
            </w:r>
            <w:r w:rsidR="003E3065">
              <w:rPr>
                <w:rFonts w:ascii="Arial" w:hAnsi="Arial" w:cs="Arial" w:hint="eastAsia"/>
                <w:b/>
                <w:bCs/>
                <w:color w:val="000000"/>
                <w:szCs w:val="16"/>
                <w:lang w:eastAsia="zh-CN"/>
              </w:rPr>
              <w:t xml:space="preserve"> </w:t>
            </w:r>
            <w:r w:rsidR="00A87D3E">
              <w:rPr>
                <w:rFonts w:ascii="Arial" w:hAnsi="Arial" w:cs="Arial"/>
                <w:b/>
                <w:bCs/>
                <w:color w:val="000000"/>
                <w:szCs w:val="16"/>
                <w:lang w:eastAsia="zh-CN"/>
              </w:rPr>
              <w:t>8</w:t>
            </w:r>
            <w:r w:rsidR="00BD2CC7">
              <w:rPr>
                <w:rFonts w:ascii="Arial" w:hAnsi="Arial" w:cs="Arial"/>
                <w:b/>
                <w:bCs/>
                <w:color w:val="000000"/>
                <w:szCs w:val="16"/>
                <w:lang w:eastAsia="zh-CN"/>
              </w:rPr>
              <w:t>24</w:t>
            </w:r>
          </w:p>
        </w:tc>
      </w:tr>
      <w:tr w:rsidR="00671D55" w14:paraId="17FCACC3" w14:textId="77777777" w:rsidTr="002A0038">
        <w:tc>
          <w:tcPr>
            <w:tcW w:w="1349" w:type="dxa"/>
          </w:tcPr>
          <w:p w14:paraId="49211320" w14:textId="77777777" w:rsidR="00182709" w:rsidRDefault="00182709">
            <w:pPr>
              <w:jc w:val="left"/>
            </w:pPr>
          </w:p>
        </w:tc>
        <w:tc>
          <w:tcPr>
            <w:tcW w:w="6558" w:type="dxa"/>
          </w:tcPr>
          <w:p w14:paraId="14E79310" w14:textId="77777777" w:rsidR="00182709" w:rsidRDefault="0044097C">
            <w:pPr>
              <w:jc w:val="left"/>
            </w:pPr>
            <w:r>
              <w:rPr>
                <w:i/>
              </w:rPr>
              <w:t>Represented by:</w:t>
            </w:r>
          </w:p>
        </w:tc>
        <w:tc>
          <w:tcPr>
            <w:tcW w:w="866" w:type="dxa"/>
          </w:tcPr>
          <w:p w14:paraId="13017786" w14:textId="77777777" w:rsidR="00182709" w:rsidRDefault="00182709"/>
        </w:tc>
        <w:tc>
          <w:tcPr>
            <w:tcW w:w="866" w:type="dxa"/>
          </w:tcPr>
          <w:p w14:paraId="3A5317B0" w14:textId="77777777" w:rsidR="00182709" w:rsidRDefault="00182709"/>
        </w:tc>
      </w:tr>
      <w:tr w:rsidR="001C4F6D" w14:paraId="107C817A" w14:textId="77777777" w:rsidTr="002A0038">
        <w:tc>
          <w:tcPr>
            <w:tcW w:w="1349" w:type="dxa"/>
          </w:tcPr>
          <w:p w14:paraId="148BE553" w14:textId="5DF7D8D6" w:rsidR="001C4F6D" w:rsidRDefault="0007383E" w:rsidP="001C4F6D">
            <w:pPr>
              <w:jc w:val="left"/>
            </w:pPr>
            <w:r>
              <w:rPr>
                <w:color w:val="4472C4"/>
                <w:sz w:val="13"/>
              </w:rPr>
              <w:t>AASB </w:t>
            </w:r>
            <w:r w:rsidR="001C4F6D">
              <w:rPr>
                <w:color w:val="4472C4"/>
                <w:sz w:val="13"/>
              </w:rPr>
              <w:t>1060.37</w:t>
            </w:r>
          </w:p>
        </w:tc>
        <w:tc>
          <w:tcPr>
            <w:tcW w:w="6558" w:type="dxa"/>
          </w:tcPr>
          <w:p w14:paraId="55E962F0" w14:textId="75AB4FD1" w:rsidR="001C4F6D" w:rsidRDefault="001C4F6D" w:rsidP="001C4F6D">
            <w:pPr>
              <w:jc w:val="left"/>
              <w:rPr>
                <w:lang w:eastAsia="zh-CN"/>
              </w:rPr>
            </w:pPr>
            <w:r>
              <w:t>Current payables</w:t>
            </w:r>
            <w:r>
              <w:rPr>
                <w:rFonts w:hint="eastAsia"/>
                <w:lang w:eastAsia="zh-CN"/>
              </w:rPr>
              <w:t xml:space="preserve"> </w:t>
            </w:r>
          </w:p>
        </w:tc>
        <w:tc>
          <w:tcPr>
            <w:tcW w:w="866" w:type="dxa"/>
            <w:vAlign w:val="center"/>
          </w:tcPr>
          <w:p w14:paraId="75857D75" w14:textId="28C7FC76" w:rsidR="001C4F6D" w:rsidRPr="009B3C26" w:rsidRDefault="001C4F6D" w:rsidP="001C4F6D">
            <w:r>
              <w:rPr>
                <w:rFonts w:ascii="Arial" w:hAnsi="Arial" w:cs="Arial"/>
                <w:color w:val="000000"/>
                <w:szCs w:val="16"/>
              </w:rPr>
              <w:t>31</w:t>
            </w:r>
            <w:r w:rsidR="003E3065">
              <w:rPr>
                <w:rFonts w:ascii="Arial" w:hAnsi="Arial" w:cs="Arial" w:hint="eastAsia"/>
                <w:color w:val="000000"/>
                <w:szCs w:val="16"/>
                <w:lang w:eastAsia="zh-CN"/>
              </w:rPr>
              <w:t xml:space="preserve"> </w:t>
            </w:r>
            <w:r w:rsidR="00A87D3E">
              <w:rPr>
                <w:rFonts w:ascii="Arial" w:hAnsi="Arial" w:cs="Arial"/>
                <w:color w:val="000000"/>
                <w:szCs w:val="16"/>
                <w:lang w:eastAsia="zh-CN"/>
              </w:rPr>
              <w:t>0</w:t>
            </w:r>
            <w:r w:rsidR="0092141C">
              <w:rPr>
                <w:rFonts w:ascii="Arial" w:hAnsi="Arial" w:cs="Arial"/>
                <w:color w:val="000000"/>
                <w:szCs w:val="16"/>
                <w:lang w:eastAsia="zh-CN"/>
              </w:rPr>
              <w:t>25</w:t>
            </w:r>
          </w:p>
        </w:tc>
        <w:tc>
          <w:tcPr>
            <w:tcW w:w="866" w:type="dxa"/>
            <w:vAlign w:val="center"/>
          </w:tcPr>
          <w:p w14:paraId="1D2ADD67" w14:textId="26F129EF" w:rsidR="001C4F6D" w:rsidRPr="009B3C26" w:rsidRDefault="001C4F6D" w:rsidP="001C4F6D">
            <w:r>
              <w:rPr>
                <w:rFonts w:ascii="Arial" w:hAnsi="Arial" w:cs="Arial"/>
                <w:color w:val="000000"/>
                <w:szCs w:val="16"/>
              </w:rPr>
              <w:t>31</w:t>
            </w:r>
            <w:r w:rsidR="003E3065">
              <w:rPr>
                <w:rFonts w:ascii="Arial" w:hAnsi="Arial" w:cs="Arial" w:hint="eastAsia"/>
                <w:color w:val="000000"/>
                <w:szCs w:val="16"/>
                <w:lang w:eastAsia="zh-CN"/>
              </w:rPr>
              <w:t xml:space="preserve"> </w:t>
            </w:r>
            <w:r w:rsidR="00C06607">
              <w:rPr>
                <w:rFonts w:ascii="Arial" w:hAnsi="Arial" w:cs="Arial"/>
                <w:color w:val="000000"/>
                <w:szCs w:val="16"/>
                <w:lang w:eastAsia="zh-CN"/>
              </w:rPr>
              <w:t>5</w:t>
            </w:r>
            <w:r w:rsidR="0092141C">
              <w:rPr>
                <w:rFonts w:ascii="Arial" w:hAnsi="Arial" w:cs="Arial"/>
                <w:color w:val="000000"/>
                <w:szCs w:val="16"/>
                <w:lang w:eastAsia="zh-CN"/>
              </w:rPr>
              <w:t>20</w:t>
            </w:r>
          </w:p>
        </w:tc>
      </w:tr>
      <w:tr w:rsidR="001C4F6D" w14:paraId="6D794910" w14:textId="77777777" w:rsidTr="002A0038">
        <w:tc>
          <w:tcPr>
            <w:tcW w:w="1349" w:type="dxa"/>
            <w:tcBorders>
              <w:bottom w:val="nil"/>
            </w:tcBorders>
          </w:tcPr>
          <w:p w14:paraId="137FDC9F" w14:textId="1169A5A8" w:rsidR="001C4F6D" w:rsidRDefault="0007383E" w:rsidP="001C4F6D">
            <w:pPr>
              <w:jc w:val="left"/>
            </w:pPr>
            <w:r>
              <w:rPr>
                <w:color w:val="4472C4"/>
                <w:sz w:val="13"/>
              </w:rPr>
              <w:t>AASB </w:t>
            </w:r>
            <w:r w:rsidR="001C4F6D">
              <w:rPr>
                <w:color w:val="4472C4"/>
                <w:sz w:val="13"/>
              </w:rPr>
              <w:t>1060.37</w:t>
            </w:r>
          </w:p>
        </w:tc>
        <w:tc>
          <w:tcPr>
            <w:tcW w:w="6558" w:type="dxa"/>
            <w:tcBorders>
              <w:bottom w:val="single" w:sz="12" w:space="0" w:color="auto"/>
            </w:tcBorders>
          </w:tcPr>
          <w:p w14:paraId="2B3F7530" w14:textId="6E3AB6E8" w:rsidR="001C4F6D" w:rsidRDefault="001C4F6D" w:rsidP="001C4F6D">
            <w:pPr>
              <w:jc w:val="left"/>
              <w:rPr>
                <w:lang w:eastAsia="zh-CN"/>
              </w:rPr>
            </w:pPr>
            <w:r>
              <w:t>Non</w:t>
            </w:r>
            <w:r>
              <w:noBreakHyphen/>
              <w:t>current payables</w:t>
            </w:r>
            <w:r>
              <w:rPr>
                <w:rFonts w:hint="eastAsia"/>
                <w:lang w:eastAsia="zh-CN"/>
              </w:rPr>
              <w:t xml:space="preserve"> </w:t>
            </w:r>
          </w:p>
        </w:tc>
        <w:tc>
          <w:tcPr>
            <w:tcW w:w="866" w:type="dxa"/>
            <w:tcBorders>
              <w:bottom w:val="single" w:sz="12" w:space="0" w:color="auto"/>
            </w:tcBorders>
            <w:vAlign w:val="center"/>
          </w:tcPr>
          <w:p w14:paraId="3C7F7978" w14:textId="2BBC9F72" w:rsidR="001C4F6D" w:rsidRPr="009B3C26" w:rsidRDefault="001C4F6D" w:rsidP="001C4F6D">
            <w:r>
              <w:rPr>
                <w:rFonts w:ascii="Arial" w:hAnsi="Arial" w:cs="Arial"/>
                <w:color w:val="000000"/>
                <w:szCs w:val="16"/>
              </w:rPr>
              <w:t>4</w:t>
            </w:r>
            <w:r w:rsidR="003E3065">
              <w:rPr>
                <w:rFonts w:ascii="Arial" w:hAnsi="Arial" w:cs="Arial" w:hint="eastAsia"/>
                <w:color w:val="000000"/>
                <w:szCs w:val="16"/>
                <w:lang w:eastAsia="zh-CN"/>
              </w:rPr>
              <w:t xml:space="preserve"> </w:t>
            </w:r>
            <w:r>
              <w:rPr>
                <w:rFonts w:ascii="Arial" w:hAnsi="Arial" w:cs="Arial"/>
                <w:color w:val="000000"/>
                <w:szCs w:val="16"/>
              </w:rPr>
              <w:t>784</w:t>
            </w:r>
          </w:p>
        </w:tc>
        <w:tc>
          <w:tcPr>
            <w:tcW w:w="866" w:type="dxa"/>
            <w:tcBorders>
              <w:bottom w:val="single" w:sz="12" w:space="0" w:color="auto"/>
            </w:tcBorders>
            <w:vAlign w:val="center"/>
          </w:tcPr>
          <w:p w14:paraId="0163D1EE" w14:textId="7E3D9328" w:rsidR="001C4F6D" w:rsidRPr="009B3C26" w:rsidRDefault="001C4F6D" w:rsidP="001C4F6D">
            <w:r>
              <w:rPr>
                <w:rFonts w:ascii="Arial" w:hAnsi="Arial" w:cs="Arial"/>
                <w:color w:val="000000"/>
                <w:szCs w:val="16"/>
              </w:rPr>
              <w:t>4</w:t>
            </w:r>
            <w:r w:rsidR="003E3065">
              <w:rPr>
                <w:rFonts w:ascii="Arial" w:hAnsi="Arial" w:cs="Arial" w:hint="eastAsia"/>
                <w:color w:val="000000"/>
                <w:szCs w:val="16"/>
                <w:lang w:eastAsia="zh-CN"/>
              </w:rPr>
              <w:t xml:space="preserve"> </w:t>
            </w:r>
            <w:r>
              <w:rPr>
                <w:rFonts w:ascii="Arial" w:hAnsi="Arial" w:cs="Arial"/>
                <w:color w:val="000000"/>
                <w:szCs w:val="16"/>
              </w:rPr>
              <w:t>304</w:t>
            </w:r>
          </w:p>
        </w:tc>
      </w:tr>
    </w:tbl>
    <w:p w14:paraId="720ABDF4" w14:textId="77777777" w:rsidR="003719CD" w:rsidRDefault="003719CD" w:rsidP="00DC39DE">
      <w:r>
        <w:t>Payables consist of:</w:t>
      </w:r>
    </w:p>
    <w:p w14:paraId="21261CA0" w14:textId="5B84A9CE" w:rsidR="003719CD" w:rsidRDefault="008D43CC" w:rsidP="002A0038">
      <w:pPr>
        <w:pStyle w:val="ListBullet"/>
        <w:numPr>
          <w:ilvl w:val="0"/>
          <w:numId w:val="370"/>
        </w:numPr>
      </w:pPr>
      <w:r>
        <w:rPr>
          <w:b/>
          <w:bCs/>
        </w:rPr>
        <w:t>C</w:t>
      </w:r>
      <w:r w:rsidR="003719CD" w:rsidRPr="002C6C91">
        <w:rPr>
          <w:b/>
          <w:bCs/>
        </w:rPr>
        <w:t>ontractual payables</w:t>
      </w:r>
      <w:r w:rsidR="009876CF">
        <w:t>:</w:t>
      </w:r>
      <w:r w:rsidR="003719CD">
        <w:t xml:space="preserve"> </w:t>
      </w:r>
      <w:r w:rsidR="007667F2">
        <w:t>C</w:t>
      </w:r>
      <w:r w:rsidR="003719CD">
        <w:t xml:space="preserve">lassified as financial instruments and measured at amortised cost. </w:t>
      </w:r>
      <w:r w:rsidR="004B62A6" w:rsidRPr="00574B54">
        <w:rPr>
          <w:rStyle w:val="Reference"/>
        </w:rPr>
        <w:t>[</w:t>
      </w:r>
      <w:r w:rsidR="0007383E">
        <w:rPr>
          <w:rStyle w:val="Reference"/>
        </w:rPr>
        <w:t>AASB </w:t>
      </w:r>
      <w:r w:rsidR="004B62A6">
        <w:rPr>
          <w:rStyle w:val="Reference"/>
          <w:rFonts w:hint="eastAsia"/>
          <w:lang w:eastAsia="zh-CN"/>
        </w:rPr>
        <w:t>1060.112</w:t>
      </w:r>
      <w:r w:rsidR="004B62A6" w:rsidRPr="00574B54">
        <w:rPr>
          <w:rStyle w:val="Reference"/>
        </w:rPr>
        <w:t>]</w:t>
      </w:r>
      <w:r w:rsidR="004B62A6">
        <w:rPr>
          <w:rStyle w:val="Reference"/>
        </w:rPr>
        <w:t xml:space="preserve"> </w:t>
      </w:r>
      <w:r w:rsidR="003719CD">
        <w:t xml:space="preserve">Accounts payable represent liabilities for goods and services provided to </w:t>
      </w:r>
      <w:r w:rsidR="006B48BC">
        <w:t>TV</w:t>
      </w:r>
      <w:r w:rsidR="003719CD">
        <w:t xml:space="preserve"> prior to the end of the financial year that are unpaid</w:t>
      </w:r>
      <w:r w:rsidR="001E2584">
        <w:t>.</w:t>
      </w:r>
    </w:p>
    <w:p w14:paraId="4E24D7A7" w14:textId="3B95750D" w:rsidR="003719CD" w:rsidRPr="002A0038" w:rsidRDefault="008D43CC" w:rsidP="002A0038">
      <w:pPr>
        <w:pStyle w:val="ListBullet"/>
        <w:numPr>
          <w:ilvl w:val="0"/>
          <w:numId w:val="370"/>
        </w:numPr>
        <w:rPr>
          <w:rStyle w:val="Reference"/>
          <w:color w:val="auto"/>
          <w:sz w:val="18"/>
        </w:rPr>
      </w:pPr>
      <w:r>
        <w:rPr>
          <w:b/>
          <w:bCs/>
        </w:rPr>
        <w:t>S</w:t>
      </w:r>
      <w:r w:rsidR="003719CD" w:rsidRPr="002C6C91">
        <w:rPr>
          <w:b/>
          <w:bCs/>
        </w:rPr>
        <w:t>tatutory payables</w:t>
      </w:r>
      <w:r w:rsidR="009876CF">
        <w:t xml:space="preserve">: </w:t>
      </w:r>
      <w:r w:rsidR="007667F2">
        <w:t>R</w:t>
      </w:r>
      <w:r w:rsidR="003719CD">
        <w:t xml:space="preserve">ecognised and measured similarly to contractual </w:t>
      </w:r>
      <w:proofErr w:type="gramStart"/>
      <w:r w:rsidR="003719CD">
        <w:t>payables, but</w:t>
      </w:r>
      <w:proofErr w:type="gramEnd"/>
      <w:r w:rsidR="003719CD">
        <w:t xml:space="preserve"> </w:t>
      </w:r>
      <w:r w:rsidR="00DE4FE6">
        <w:t xml:space="preserve">are </w:t>
      </w:r>
      <w:r w:rsidR="003719CD">
        <w:t xml:space="preserve">not classified as financial instruments and not included in the category of financial liabilities at amortised cost, because they do not arise from contracts. </w:t>
      </w:r>
      <w:r w:rsidR="003719CD" w:rsidRPr="002C6C91">
        <w:rPr>
          <w:rStyle w:val="Reference"/>
        </w:rPr>
        <w:t>[</w:t>
      </w:r>
      <w:r w:rsidR="0007383E">
        <w:rPr>
          <w:rStyle w:val="Reference"/>
        </w:rPr>
        <w:t>AASB </w:t>
      </w:r>
      <w:r w:rsidR="003719CD" w:rsidRPr="002C6C91">
        <w:rPr>
          <w:rStyle w:val="Reference"/>
        </w:rPr>
        <w:t xml:space="preserve">7.21, </w:t>
      </w:r>
      <w:r w:rsidR="0007383E">
        <w:rPr>
          <w:rStyle w:val="Reference"/>
        </w:rPr>
        <w:t>AASB </w:t>
      </w:r>
      <w:r w:rsidR="003719CD" w:rsidRPr="002C6C91">
        <w:rPr>
          <w:rStyle w:val="Reference"/>
        </w:rPr>
        <w:t xml:space="preserve">9.5.1.1 and </w:t>
      </w:r>
      <w:r w:rsidR="0007383E">
        <w:rPr>
          <w:rStyle w:val="Reference"/>
        </w:rPr>
        <w:t>AASB </w:t>
      </w:r>
      <w:r w:rsidR="003719CD" w:rsidRPr="002C6C91">
        <w:rPr>
          <w:rStyle w:val="Reference"/>
        </w:rPr>
        <w:t>9.5.3.1]</w:t>
      </w:r>
    </w:p>
    <w:p w14:paraId="7671FDFA" w14:textId="0F5892AE" w:rsidR="003719CD" w:rsidRDefault="003719CD" w:rsidP="00DC39DE">
      <w:r>
        <w:t>Payables for supplies and services have an average credit period of 30 days. No interest is charged on the ‘other payables’ for the first 30 days from the date of the invoice. Thereafter, interest is calculated as 2 per cent on the outstanding balance per annum.</w:t>
      </w:r>
      <w:r w:rsidR="00A77784">
        <w:t xml:space="preserve"> </w:t>
      </w:r>
      <w:r w:rsidR="00A77784" w:rsidRPr="00574B54">
        <w:rPr>
          <w:rStyle w:val="Reference"/>
        </w:rPr>
        <w:t>[</w:t>
      </w:r>
      <w:r w:rsidR="0007383E">
        <w:rPr>
          <w:rStyle w:val="Reference"/>
        </w:rPr>
        <w:t>AASB </w:t>
      </w:r>
      <w:r w:rsidR="00A77784">
        <w:rPr>
          <w:rStyle w:val="Reference"/>
          <w:rFonts w:hint="eastAsia"/>
          <w:lang w:eastAsia="zh-CN"/>
        </w:rPr>
        <w:t>1060.11</w:t>
      </w:r>
      <w:r w:rsidR="00183469">
        <w:rPr>
          <w:rStyle w:val="Reference"/>
          <w:lang w:eastAsia="zh-CN"/>
        </w:rPr>
        <w:t>4</w:t>
      </w:r>
      <w:r w:rsidR="00A77784" w:rsidRPr="00574B54">
        <w:rPr>
          <w:rStyle w:val="Reference"/>
        </w:rPr>
        <w:t>]</w:t>
      </w:r>
    </w:p>
    <w:p w14:paraId="0E2957A2" w14:textId="1ECB2A08" w:rsidR="003719CD" w:rsidRDefault="003719CD" w:rsidP="00DC39DE">
      <w:r>
        <w:t xml:space="preserve">The terms and conditions of amounts payable to the government and agencies vary according to the </w:t>
      </w:r>
      <w:r w:rsidR="007233AD">
        <w:t>agreements</w:t>
      </w:r>
      <w:r>
        <w:t xml:space="preserve"> and as they are not legislative payables, they are classified as financial instruments.</w:t>
      </w:r>
    </w:p>
    <w:p w14:paraId="6CB1CCD5" w14:textId="5D409E77" w:rsidR="00CE6397" w:rsidRDefault="00CE6397" w:rsidP="00CE6397">
      <w:pPr>
        <w:pStyle w:val="Heading3numbered"/>
      </w:pPr>
      <w:bookmarkStart w:id="3663" w:name="_Toc179813118"/>
      <w:bookmarkStart w:id="3664" w:name="_Toc179818818"/>
      <w:bookmarkStart w:id="3665" w:name="_Toc179824518"/>
      <w:bookmarkStart w:id="3666" w:name="_Toc179830187"/>
      <w:bookmarkStart w:id="3667" w:name="_Toc179861717"/>
      <w:r>
        <w:t>Contract liabilities</w:t>
      </w:r>
    </w:p>
    <w:tbl>
      <w:tblPr>
        <w:tblStyle w:val="DTFTable"/>
        <w:tblW w:w="9639" w:type="dxa"/>
        <w:tblLayout w:type="fixed"/>
        <w:tblLook w:val="0620" w:firstRow="1" w:lastRow="0" w:firstColumn="0" w:lastColumn="0" w:noHBand="1" w:noVBand="1"/>
      </w:tblPr>
      <w:tblGrid>
        <w:gridCol w:w="1349"/>
        <w:gridCol w:w="6558"/>
        <w:gridCol w:w="866"/>
        <w:gridCol w:w="866"/>
      </w:tblGrid>
      <w:tr w:rsidR="0010710A" w14:paraId="221C37ED" w14:textId="77777777">
        <w:trPr>
          <w:cnfStyle w:val="100000000000" w:firstRow="1" w:lastRow="0" w:firstColumn="0" w:lastColumn="0" w:oddVBand="0" w:evenVBand="0" w:oddHBand="0" w:evenHBand="0" w:firstRowFirstColumn="0" w:firstRowLastColumn="0" w:lastRowFirstColumn="0" w:lastRowLastColumn="0"/>
          <w:tblHeader/>
        </w:trPr>
        <w:tc>
          <w:tcPr>
            <w:tcW w:w="1349" w:type="dxa"/>
            <w:tcBorders>
              <w:top w:val="nil"/>
              <w:bottom w:val="nil"/>
            </w:tcBorders>
            <w:shd w:val="clear" w:color="auto" w:fill="FFFFFF" w:themeFill="background1"/>
          </w:tcPr>
          <w:p w14:paraId="02E2F582" w14:textId="77777777" w:rsidR="0010710A" w:rsidRDefault="0010710A">
            <w:pPr>
              <w:keepNext/>
              <w:jc w:val="left"/>
            </w:pPr>
            <w:r>
              <w:rPr>
                <w:color w:val="4472C4"/>
                <w:sz w:val="13"/>
              </w:rPr>
              <w:t>Source reference</w:t>
            </w:r>
          </w:p>
        </w:tc>
        <w:tc>
          <w:tcPr>
            <w:tcW w:w="6558" w:type="dxa"/>
          </w:tcPr>
          <w:p w14:paraId="57F13D90" w14:textId="77777777" w:rsidR="0010710A" w:rsidRDefault="0010710A">
            <w:pPr>
              <w:keepNext/>
              <w:jc w:val="left"/>
            </w:pPr>
          </w:p>
        </w:tc>
        <w:tc>
          <w:tcPr>
            <w:tcW w:w="866" w:type="dxa"/>
          </w:tcPr>
          <w:p w14:paraId="5CD3A623" w14:textId="77777777" w:rsidR="0010710A" w:rsidRDefault="0010710A">
            <w:pPr>
              <w:keepNext/>
            </w:pPr>
            <w:r>
              <w:t>20X2</w:t>
            </w:r>
          </w:p>
        </w:tc>
        <w:tc>
          <w:tcPr>
            <w:tcW w:w="866" w:type="dxa"/>
          </w:tcPr>
          <w:p w14:paraId="3E9981FA" w14:textId="77777777" w:rsidR="0010710A" w:rsidRDefault="0010710A">
            <w:pPr>
              <w:keepNext/>
            </w:pPr>
            <w:r>
              <w:t>20X1</w:t>
            </w:r>
          </w:p>
        </w:tc>
      </w:tr>
      <w:tr w:rsidR="0010710A" w14:paraId="6053946B" w14:textId="77777777">
        <w:tc>
          <w:tcPr>
            <w:tcW w:w="1349" w:type="dxa"/>
          </w:tcPr>
          <w:p w14:paraId="22965FC1" w14:textId="1990CF1E" w:rsidR="0010710A" w:rsidRDefault="0007383E">
            <w:pPr>
              <w:jc w:val="left"/>
              <w:rPr>
                <w:lang w:eastAsia="zh-CN"/>
              </w:rPr>
            </w:pPr>
            <w:r>
              <w:rPr>
                <w:color w:val="4472C4"/>
                <w:sz w:val="13"/>
              </w:rPr>
              <w:t>AASB </w:t>
            </w:r>
            <w:r w:rsidR="0010710A">
              <w:rPr>
                <w:color w:val="4472C4"/>
                <w:sz w:val="13"/>
              </w:rPr>
              <w:t>1060.</w:t>
            </w:r>
            <w:r w:rsidR="0010710A">
              <w:rPr>
                <w:rFonts w:hint="eastAsia"/>
                <w:color w:val="4472C4"/>
                <w:sz w:val="13"/>
                <w:lang w:eastAsia="zh-CN"/>
              </w:rPr>
              <w:t>159</w:t>
            </w:r>
          </w:p>
        </w:tc>
        <w:tc>
          <w:tcPr>
            <w:tcW w:w="6558" w:type="dxa"/>
          </w:tcPr>
          <w:p w14:paraId="7DE429EE" w14:textId="77777777" w:rsidR="0010710A" w:rsidRDefault="0010710A">
            <w:pPr>
              <w:jc w:val="left"/>
              <w:rPr>
                <w:b/>
                <w:lang w:eastAsia="zh-CN"/>
              </w:rPr>
            </w:pPr>
            <w:r w:rsidRPr="002A0038">
              <w:t>Contract liabilities</w:t>
            </w:r>
          </w:p>
        </w:tc>
        <w:tc>
          <w:tcPr>
            <w:tcW w:w="866" w:type="dxa"/>
          </w:tcPr>
          <w:p w14:paraId="35297FDB" w14:textId="07F86197" w:rsidR="0010710A" w:rsidRDefault="00BD2CC7">
            <w:pPr>
              <w:rPr>
                <w:lang w:eastAsia="zh-CN"/>
              </w:rPr>
            </w:pPr>
            <w:r>
              <w:rPr>
                <w:lang w:eastAsia="zh-CN"/>
              </w:rPr>
              <w:t>85</w:t>
            </w:r>
          </w:p>
        </w:tc>
        <w:tc>
          <w:tcPr>
            <w:tcW w:w="866" w:type="dxa"/>
          </w:tcPr>
          <w:p w14:paraId="141AB9B8" w14:textId="7055EBF1" w:rsidR="0010710A" w:rsidRDefault="00BD2CC7">
            <w:pPr>
              <w:rPr>
                <w:lang w:eastAsia="zh-CN"/>
              </w:rPr>
            </w:pPr>
            <w:r>
              <w:rPr>
                <w:lang w:eastAsia="zh-CN"/>
              </w:rPr>
              <w:t>85</w:t>
            </w:r>
          </w:p>
        </w:tc>
      </w:tr>
      <w:tr w:rsidR="0010710A" w14:paraId="10CA4260" w14:textId="77777777">
        <w:tc>
          <w:tcPr>
            <w:tcW w:w="1349" w:type="dxa"/>
          </w:tcPr>
          <w:p w14:paraId="513EBCB4" w14:textId="77777777" w:rsidR="0010710A" w:rsidRDefault="0010710A">
            <w:pPr>
              <w:jc w:val="left"/>
            </w:pPr>
          </w:p>
        </w:tc>
        <w:tc>
          <w:tcPr>
            <w:tcW w:w="6558" w:type="dxa"/>
          </w:tcPr>
          <w:p w14:paraId="6EDA1A48" w14:textId="77777777" w:rsidR="0010710A" w:rsidRDefault="0010710A">
            <w:pPr>
              <w:jc w:val="left"/>
            </w:pPr>
            <w:r>
              <w:rPr>
                <w:i/>
              </w:rPr>
              <w:t>Represented by:</w:t>
            </w:r>
          </w:p>
        </w:tc>
        <w:tc>
          <w:tcPr>
            <w:tcW w:w="866" w:type="dxa"/>
          </w:tcPr>
          <w:p w14:paraId="402F34A4" w14:textId="77777777" w:rsidR="0010710A" w:rsidRDefault="0010710A"/>
        </w:tc>
        <w:tc>
          <w:tcPr>
            <w:tcW w:w="866" w:type="dxa"/>
          </w:tcPr>
          <w:p w14:paraId="6E035469" w14:textId="77777777" w:rsidR="0010710A" w:rsidRDefault="0010710A"/>
        </w:tc>
      </w:tr>
      <w:tr w:rsidR="0010710A" w:rsidRPr="009B3C26" w14:paraId="7563A09C" w14:textId="77777777">
        <w:tc>
          <w:tcPr>
            <w:tcW w:w="1349" w:type="dxa"/>
          </w:tcPr>
          <w:p w14:paraId="3A6104AA" w14:textId="6DE69C08" w:rsidR="0010710A" w:rsidRDefault="0007383E">
            <w:pPr>
              <w:jc w:val="left"/>
            </w:pPr>
            <w:r>
              <w:rPr>
                <w:color w:val="4472C4"/>
                <w:sz w:val="13"/>
              </w:rPr>
              <w:t>AASB </w:t>
            </w:r>
            <w:r w:rsidR="0010710A">
              <w:rPr>
                <w:color w:val="4472C4"/>
                <w:sz w:val="13"/>
              </w:rPr>
              <w:t>1060.37</w:t>
            </w:r>
          </w:p>
        </w:tc>
        <w:tc>
          <w:tcPr>
            <w:tcW w:w="6558" w:type="dxa"/>
          </w:tcPr>
          <w:p w14:paraId="36FCB28B" w14:textId="15CAB9BC" w:rsidR="0010710A" w:rsidRDefault="0010710A">
            <w:pPr>
              <w:jc w:val="left"/>
              <w:rPr>
                <w:lang w:eastAsia="zh-CN"/>
              </w:rPr>
            </w:pPr>
            <w:r>
              <w:t>Current</w:t>
            </w:r>
            <w:r w:rsidR="00D67810">
              <w:rPr>
                <w:rFonts w:hint="eastAsia"/>
                <w:lang w:eastAsia="zh-CN"/>
              </w:rPr>
              <w:t xml:space="preserve"> contract liabilities</w:t>
            </w:r>
            <w:r>
              <w:rPr>
                <w:rFonts w:hint="eastAsia"/>
                <w:lang w:eastAsia="zh-CN"/>
              </w:rPr>
              <w:t xml:space="preserve"> </w:t>
            </w:r>
          </w:p>
        </w:tc>
        <w:tc>
          <w:tcPr>
            <w:tcW w:w="866" w:type="dxa"/>
            <w:vAlign w:val="center"/>
          </w:tcPr>
          <w:p w14:paraId="175A4E99" w14:textId="2CD0BEF7" w:rsidR="0010710A" w:rsidRPr="009B3C26" w:rsidRDefault="00BD2CC7">
            <w:r>
              <w:rPr>
                <w:rFonts w:ascii="Arial" w:hAnsi="Arial" w:cs="Arial"/>
                <w:color w:val="000000"/>
                <w:szCs w:val="16"/>
                <w:lang w:eastAsia="zh-CN"/>
              </w:rPr>
              <w:t>85</w:t>
            </w:r>
          </w:p>
        </w:tc>
        <w:tc>
          <w:tcPr>
            <w:tcW w:w="866" w:type="dxa"/>
            <w:vAlign w:val="center"/>
          </w:tcPr>
          <w:p w14:paraId="7E85FDB9" w14:textId="4544EEB5" w:rsidR="0010710A" w:rsidRPr="009B3C26" w:rsidRDefault="00BD2CC7">
            <w:r>
              <w:rPr>
                <w:rFonts w:ascii="Arial" w:hAnsi="Arial" w:cs="Arial"/>
                <w:color w:val="000000"/>
                <w:szCs w:val="16"/>
                <w:lang w:eastAsia="zh-CN"/>
              </w:rPr>
              <w:t>85</w:t>
            </w:r>
          </w:p>
        </w:tc>
      </w:tr>
      <w:tr w:rsidR="0010710A" w:rsidRPr="009B3C26" w14:paraId="02990DC6" w14:textId="77777777">
        <w:tc>
          <w:tcPr>
            <w:tcW w:w="1349" w:type="dxa"/>
            <w:tcBorders>
              <w:bottom w:val="nil"/>
            </w:tcBorders>
          </w:tcPr>
          <w:p w14:paraId="0A156B00" w14:textId="7730C7B6" w:rsidR="0010710A" w:rsidRDefault="0007383E">
            <w:pPr>
              <w:jc w:val="left"/>
            </w:pPr>
            <w:r>
              <w:rPr>
                <w:color w:val="4472C4"/>
                <w:sz w:val="13"/>
              </w:rPr>
              <w:t>AASB </w:t>
            </w:r>
            <w:r w:rsidR="0010710A">
              <w:rPr>
                <w:color w:val="4472C4"/>
                <w:sz w:val="13"/>
              </w:rPr>
              <w:t>1060.37</w:t>
            </w:r>
          </w:p>
        </w:tc>
        <w:tc>
          <w:tcPr>
            <w:tcW w:w="6558" w:type="dxa"/>
            <w:tcBorders>
              <w:bottom w:val="single" w:sz="12" w:space="0" w:color="auto"/>
            </w:tcBorders>
          </w:tcPr>
          <w:p w14:paraId="72B688E2" w14:textId="42E104E0" w:rsidR="0010710A" w:rsidRDefault="0010710A">
            <w:pPr>
              <w:jc w:val="left"/>
              <w:rPr>
                <w:lang w:eastAsia="zh-CN"/>
              </w:rPr>
            </w:pPr>
            <w:r>
              <w:t>Non</w:t>
            </w:r>
            <w:r>
              <w:noBreakHyphen/>
              <w:t xml:space="preserve">current </w:t>
            </w:r>
            <w:r w:rsidR="00D67810">
              <w:rPr>
                <w:rFonts w:hint="eastAsia"/>
                <w:lang w:eastAsia="zh-CN"/>
              </w:rPr>
              <w:t>contract liabilitie</w:t>
            </w:r>
            <w:r>
              <w:t>s</w:t>
            </w:r>
            <w:r>
              <w:rPr>
                <w:rFonts w:hint="eastAsia"/>
                <w:lang w:eastAsia="zh-CN"/>
              </w:rPr>
              <w:t xml:space="preserve"> </w:t>
            </w:r>
          </w:p>
        </w:tc>
        <w:tc>
          <w:tcPr>
            <w:tcW w:w="866" w:type="dxa"/>
            <w:tcBorders>
              <w:bottom w:val="single" w:sz="12" w:space="0" w:color="auto"/>
            </w:tcBorders>
            <w:vAlign w:val="center"/>
          </w:tcPr>
          <w:p w14:paraId="5FAE348B" w14:textId="6F989895" w:rsidR="0010710A" w:rsidRPr="009B3C26" w:rsidRDefault="00893060">
            <w:r>
              <w:rPr>
                <w:rFonts w:ascii="Arial" w:hAnsi="Arial" w:cs="Arial"/>
                <w:color w:val="000000"/>
                <w:szCs w:val="16"/>
              </w:rPr>
              <w:t>..</w:t>
            </w:r>
          </w:p>
        </w:tc>
        <w:tc>
          <w:tcPr>
            <w:tcW w:w="866" w:type="dxa"/>
            <w:tcBorders>
              <w:bottom w:val="single" w:sz="12" w:space="0" w:color="auto"/>
            </w:tcBorders>
            <w:vAlign w:val="center"/>
          </w:tcPr>
          <w:p w14:paraId="3922AECF" w14:textId="4914CF2A" w:rsidR="0010710A" w:rsidRPr="009B3C26" w:rsidRDefault="00893060">
            <w:r>
              <w:rPr>
                <w:rFonts w:ascii="Arial" w:hAnsi="Arial" w:cs="Arial"/>
                <w:color w:val="000000"/>
                <w:szCs w:val="16"/>
              </w:rPr>
              <w:t>..</w:t>
            </w:r>
          </w:p>
        </w:tc>
      </w:tr>
    </w:tbl>
    <w:p w14:paraId="7A432001" w14:textId="0511F4AE" w:rsidR="00CE6397" w:rsidRPr="00CE6397" w:rsidRDefault="00AE46E0" w:rsidP="00E10CD7">
      <w:r>
        <w:t xml:space="preserve">Contract liabilities include consideration received in advance from customers in respect of IT infrastructure connectivity services. Invoices are raised once the goods and services are provided to them. The balance of contract liabilities was significantly higher </w:t>
      </w:r>
      <w:proofErr w:type="gramStart"/>
      <w:r>
        <w:t>at</w:t>
      </w:r>
      <w:proofErr w:type="gramEnd"/>
      <w:r>
        <w:t xml:space="preserve"> 30 June </w:t>
      </w:r>
      <w:fldSimple w:instr="DOCPROPERTY  YearCurrent  \* MERGEFORMAT">
        <w:r w:rsidR="0054242A">
          <w:t>20X2</w:t>
        </w:r>
      </w:fldSimple>
      <w:r>
        <w:t xml:space="preserve"> as there was higher demand for remote access. </w:t>
      </w:r>
      <w:proofErr w:type="gramStart"/>
      <w:r>
        <w:t>A large number of</w:t>
      </w:r>
      <w:proofErr w:type="gramEnd"/>
      <w:r>
        <w:t xml:space="preserve"> advances were received for significant upgrades to infrastructure frameworks yet to be provided.</w:t>
      </w:r>
    </w:p>
    <w:p w14:paraId="6313A669" w14:textId="56A77309" w:rsidR="003719CD" w:rsidRDefault="003719CD" w:rsidP="00E10CD7">
      <w:pPr>
        <w:pStyle w:val="Heading3numbered"/>
      </w:pPr>
      <w:r>
        <w:t xml:space="preserve">Deferred capital grant </w:t>
      </w:r>
      <w:bookmarkEnd w:id="3663"/>
      <w:bookmarkEnd w:id="3664"/>
      <w:bookmarkEnd w:id="3665"/>
      <w:bookmarkEnd w:id="3666"/>
      <w:bookmarkEnd w:id="3667"/>
      <w:r w:rsidR="00981302">
        <w:t>income</w:t>
      </w:r>
    </w:p>
    <w:p w14:paraId="03E3EBB5" w14:textId="01A107C8" w:rsidR="003719CD" w:rsidRDefault="003719CD" w:rsidP="00DC39DE">
      <w:r>
        <w:t xml:space="preserve">Grant consideration was received from the Commonwealth Government to support the construction of the data storage centre at Wantirna South and the development and construction of the web infrastructure framework in </w:t>
      </w:r>
      <w:r w:rsidR="006B48BC">
        <w:t>TV</w:t>
      </w:r>
      <w:r>
        <w:t xml:space="preserve">. Grant </w:t>
      </w:r>
      <w:r w:rsidR="007C2D8B">
        <w:t>income</w:t>
      </w:r>
      <w:r>
        <w:t xml:space="preserve"> is recognised progressively as the asset is constructed, since this is the time when </w:t>
      </w:r>
      <w:r w:rsidR="006B48BC">
        <w:t>TV</w:t>
      </w:r>
      <w:r>
        <w:t xml:space="preserve"> satisfies its obligations under the transfer by controlling the asset as and when it is constructed. The progressive percentage costs incurred is used to recognise income because this most closely reflects the progress to completion as costs are incurred as the works are done. As a result, </w:t>
      </w:r>
      <w:r w:rsidR="006B48BC">
        <w:t>TV</w:t>
      </w:r>
      <w:r w:rsidR="009144E8">
        <w:t xml:space="preserve"> </w:t>
      </w:r>
      <w:r>
        <w:t xml:space="preserve">has deferred recognition of a portion of the grant consideration received as a liability for the outstanding </w:t>
      </w:r>
      <w:r w:rsidR="003565D5">
        <w:t>obligations.</w:t>
      </w:r>
      <w:r w:rsidR="003565D5" w:rsidRPr="00574B54">
        <w:rPr>
          <w:rStyle w:val="Reference"/>
        </w:rPr>
        <w:t xml:space="preserve"> [</w:t>
      </w:r>
      <w:r w:rsidR="0007383E">
        <w:rPr>
          <w:rStyle w:val="Reference"/>
        </w:rPr>
        <w:t>AASB </w:t>
      </w:r>
      <w:r w:rsidR="004F35B4">
        <w:rPr>
          <w:rStyle w:val="Reference"/>
          <w:rFonts w:hint="eastAsia"/>
          <w:lang w:eastAsia="zh-CN"/>
        </w:rPr>
        <w:t>1060.</w:t>
      </w:r>
      <w:r w:rsidR="004F35B4">
        <w:rPr>
          <w:rStyle w:val="Reference"/>
          <w:lang w:eastAsia="zh-CN"/>
        </w:rPr>
        <w:t>234-237</w:t>
      </w:r>
      <w:r w:rsidR="004F35B4" w:rsidRPr="00574B54">
        <w:rPr>
          <w:rStyle w:val="Reference"/>
        </w:rPr>
        <w:t>]</w:t>
      </w:r>
    </w:p>
    <w:p w14:paraId="59D61EE6" w14:textId="77777777" w:rsidR="003719CD" w:rsidRDefault="003719CD" w:rsidP="007D536F">
      <w:pPr>
        <w:pStyle w:val="TableUnits"/>
      </w:pPr>
      <w:r>
        <w:t>($ thousand)</w:t>
      </w:r>
    </w:p>
    <w:tbl>
      <w:tblPr>
        <w:tblStyle w:val="DTFTable"/>
        <w:tblW w:w="9639" w:type="dxa"/>
        <w:tblLayout w:type="fixed"/>
        <w:tblLook w:val="0620" w:firstRow="1" w:lastRow="0" w:firstColumn="0" w:lastColumn="0" w:noHBand="1" w:noVBand="1"/>
      </w:tblPr>
      <w:tblGrid>
        <w:gridCol w:w="1350"/>
        <w:gridCol w:w="6557"/>
        <w:gridCol w:w="866"/>
        <w:gridCol w:w="866"/>
      </w:tblGrid>
      <w:tr w:rsidR="006F738A" w:rsidRPr="006F738A" w14:paraId="6E03A580" w14:textId="77777777" w:rsidTr="00012743">
        <w:trPr>
          <w:cnfStyle w:val="100000000000" w:firstRow="1" w:lastRow="0" w:firstColumn="0" w:lastColumn="0" w:oddVBand="0" w:evenVBand="0" w:oddHBand="0" w:evenHBand="0" w:firstRowFirstColumn="0" w:firstRowLastColumn="0" w:lastRowFirstColumn="0" w:lastRowLastColumn="0"/>
        </w:trPr>
        <w:tc>
          <w:tcPr>
            <w:tcW w:w="1350" w:type="dxa"/>
            <w:tcBorders>
              <w:bottom w:val="nil"/>
            </w:tcBorders>
          </w:tcPr>
          <w:p w14:paraId="6310244C" w14:textId="5EE64DBE" w:rsidR="006F738A" w:rsidRPr="00012743" w:rsidRDefault="00012743" w:rsidP="00012743">
            <w:pPr>
              <w:jc w:val="left"/>
              <w:rPr>
                <w:color w:val="4472C4" w:themeColor="accent1"/>
                <w:sz w:val="13"/>
                <w:szCs w:val="13"/>
              </w:rPr>
            </w:pPr>
            <w:r w:rsidRPr="00012743">
              <w:rPr>
                <w:color w:val="4472C4" w:themeColor="accent1"/>
                <w:sz w:val="13"/>
                <w:szCs w:val="13"/>
              </w:rPr>
              <w:t>Source reference</w:t>
            </w:r>
          </w:p>
        </w:tc>
        <w:tc>
          <w:tcPr>
            <w:tcW w:w="6557" w:type="dxa"/>
          </w:tcPr>
          <w:p w14:paraId="7D4D6141" w14:textId="77777777" w:rsidR="006F738A" w:rsidRPr="006F738A" w:rsidRDefault="006F738A" w:rsidP="006F738A">
            <w:pPr>
              <w:ind w:left="170" w:hanging="170"/>
              <w:rPr>
                <w:szCs w:val="16"/>
              </w:rPr>
            </w:pPr>
          </w:p>
        </w:tc>
        <w:tc>
          <w:tcPr>
            <w:tcW w:w="866" w:type="dxa"/>
          </w:tcPr>
          <w:p w14:paraId="1C98FF2A" w14:textId="0FE7FFE2" w:rsidR="006F738A" w:rsidRPr="006F738A" w:rsidRDefault="006F738A">
            <w:pPr>
              <w:rPr>
                <w:szCs w:val="16"/>
              </w:rPr>
            </w:pPr>
            <w:r>
              <w:rPr>
                <w:szCs w:val="16"/>
              </w:rPr>
              <w:t>20X2</w:t>
            </w:r>
          </w:p>
        </w:tc>
        <w:tc>
          <w:tcPr>
            <w:tcW w:w="866" w:type="dxa"/>
          </w:tcPr>
          <w:p w14:paraId="3481AE2C" w14:textId="5783CAF6" w:rsidR="006F738A" w:rsidRPr="006F738A" w:rsidRDefault="006F738A">
            <w:pPr>
              <w:rPr>
                <w:szCs w:val="16"/>
              </w:rPr>
            </w:pPr>
            <w:r>
              <w:rPr>
                <w:szCs w:val="16"/>
              </w:rPr>
              <w:t>20X1</w:t>
            </w:r>
          </w:p>
        </w:tc>
      </w:tr>
      <w:tr w:rsidR="008E5233" w14:paraId="72F1096F" w14:textId="77777777" w:rsidTr="00012743">
        <w:tc>
          <w:tcPr>
            <w:tcW w:w="1350" w:type="dxa"/>
            <w:tcBorders>
              <w:bottom w:val="nil"/>
            </w:tcBorders>
          </w:tcPr>
          <w:p w14:paraId="5501B953" w14:textId="3315751E" w:rsidR="008E5233" w:rsidRPr="00012743" w:rsidRDefault="0007383E">
            <w:pPr>
              <w:jc w:val="left"/>
              <w:rPr>
                <w:color w:val="4472C4" w:themeColor="accent1"/>
                <w:sz w:val="13"/>
                <w:szCs w:val="13"/>
              </w:rPr>
            </w:pPr>
            <w:r>
              <w:rPr>
                <w:color w:val="4472C4" w:themeColor="accent1"/>
                <w:sz w:val="13"/>
                <w:szCs w:val="13"/>
              </w:rPr>
              <w:t>AASB </w:t>
            </w:r>
            <w:r w:rsidR="00CE434F">
              <w:rPr>
                <w:color w:val="4472C4" w:themeColor="accent1"/>
                <w:sz w:val="13"/>
                <w:szCs w:val="13"/>
              </w:rPr>
              <w:t>1060.233</w:t>
            </w:r>
          </w:p>
        </w:tc>
        <w:tc>
          <w:tcPr>
            <w:tcW w:w="6557" w:type="dxa"/>
          </w:tcPr>
          <w:p w14:paraId="3E2F8BE1" w14:textId="422EA45A" w:rsidR="008E5233" w:rsidRPr="006F738A" w:rsidRDefault="005648A9" w:rsidP="006F738A">
            <w:pPr>
              <w:ind w:left="170" w:hanging="170"/>
              <w:jc w:val="left"/>
              <w:rPr>
                <w:szCs w:val="16"/>
              </w:rPr>
            </w:pPr>
            <w:r w:rsidRPr="006F738A">
              <w:rPr>
                <w:szCs w:val="16"/>
              </w:rPr>
              <w:t xml:space="preserve">Grant for capital works recognised that was included in the deferred grant liability balance (adjusted for </w:t>
            </w:r>
            <w:r w:rsidR="0007383E">
              <w:rPr>
                <w:szCs w:val="16"/>
              </w:rPr>
              <w:t>AASB </w:t>
            </w:r>
            <w:r w:rsidRPr="006F738A">
              <w:rPr>
                <w:szCs w:val="16"/>
              </w:rPr>
              <w:t>1058) at the beginning of the year</w:t>
            </w:r>
          </w:p>
        </w:tc>
        <w:tc>
          <w:tcPr>
            <w:tcW w:w="866" w:type="dxa"/>
          </w:tcPr>
          <w:p w14:paraId="411611B4" w14:textId="77777777" w:rsidR="008E5233" w:rsidRPr="006F738A" w:rsidRDefault="005648A9">
            <w:pPr>
              <w:rPr>
                <w:szCs w:val="16"/>
              </w:rPr>
            </w:pPr>
            <w:r w:rsidRPr="006F738A">
              <w:rPr>
                <w:szCs w:val="16"/>
              </w:rPr>
              <w:t>13</w:t>
            </w:r>
          </w:p>
        </w:tc>
        <w:tc>
          <w:tcPr>
            <w:tcW w:w="866" w:type="dxa"/>
          </w:tcPr>
          <w:p w14:paraId="06B1ED80" w14:textId="77777777" w:rsidR="008E5233" w:rsidRPr="006F738A" w:rsidRDefault="005648A9">
            <w:pPr>
              <w:rPr>
                <w:szCs w:val="16"/>
              </w:rPr>
            </w:pPr>
            <w:r w:rsidRPr="006F738A">
              <w:rPr>
                <w:szCs w:val="16"/>
              </w:rPr>
              <w:t>..</w:t>
            </w:r>
          </w:p>
        </w:tc>
      </w:tr>
      <w:tr w:rsidR="008E5233" w14:paraId="6714A798" w14:textId="77777777" w:rsidTr="00012743">
        <w:tc>
          <w:tcPr>
            <w:tcW w:w="1350" w:type="dxa"/>
            <w:tcBorders>
              <w:bottom w:val="nil"/>
            </w:tcBorders>
          </w:tcPr>
          <w:p w14:paraId="2403E189" w14:textId="2031A409" w:rsidR="008E5233" w:rsidRPr="00012743" w:rsidRDefault="0007383E">
            <w:pPr>
              <w:jc w:val="left"/>
              <w:rPr>
                <w:color w:val="4472C4" w:themeColor="accent1"/>
                <w:sz w:val="13"/>
                <w:szCs w:val="13"/>
              </w:rPr>
            </w:pPr>
            <w:r>
              <w:rPr>
                <w:color w:val="4472C4" w:themeColor="accent1"/>
                <w:sz w:val="13"/>
                <w:szCs w:val="13"/>
              </w:rPr>
              <w:t>AASB </w:t>
            </w:r>
            <w:r w:rsidR="00CE434F">
              <w:rPr>
                <w:color w:val="4472C4" w:themeColor="accent1"/>
                <w:sz w:val="13"/>
                <w:szCs w:val="13"/>
              </w:rPr>
              <w:t>1060.233</w:t>
            </w:r>
          </w:p>
        </w:tc>
        <w:tc>
          <w:tcPr>
            <w:tcW w:w="6557" w:type="dxa"/>
          </w:tcPr>
          <w:p w14:paraId="43F00223" w14:textId="1E3BBC34" w:rsidR="008E5233" w:rsidRPr="006F738A" w:rsidRDefault="005648A9" w:rsidP="006F738A">
            <w:pPr>
              <w:ind w:left="170" w:hanging="170"/>
              <w:jc w:val="left"/>
              <w:rPr>
                <w:szCs w:val="16"/>
              </w:rPr>
            </w:pPr>
            <w:r w:rsidRPr="006F738A">
              <w:rPr>
                <w:szCs w:val="16"/>
              </w:rPr>
              <w:t>Grant for capital works received during the year</w:t>
            </w:r>
          </w:p>
        </w:tc>
        <w:tc>
          <w:tcPr>
            <w:tcW w:w="866" w:type="dxa"/>
          </w:tcPr>
          <w:p w14:paraId="698EC97C" w14:textId="77777777" w:rsidR="008E5233" w:rsidRPr="006F738A" w:rsidRDefault="005648A9">
            <w:pPr>
              <w:rPr>
                <w:szCs w:val="16"/>
              </w:rPr>
            </w:pPr>
            <w:r w:rsidRPr="006F738A">
              <w:rPr>
                <w:szCs w:val="16"/>
              </w:rPr>
              <w:t>53</w:t>
            </w:r>
          </w:p>
        </w:tc>
        <w:tc>
          <w:tcPr>
            <w:tcW w:w="866" w:type="dxa"/>
          </w:tcPr>
          <w:p w14:paraId="25D492E8" w14:textId="77777777" w:rsidR="008E5233" w:rsidRPr="006F738A" w:rsidRDefault="005648A9">
            <w:pPr>
              <w:rPr>
                <w:szCs w:val="16"/>
              </w:rPr>
            </w:pPr>
            <w:r w:rsidRPr="006F738A">
              <w:rPr>
                <w:szCs w:val="16"/>
              </w:rPr>
              <w:t>53</w:t>
            </w:r>
          </w:p>
        </w:tc>
      </w:tr>
      <w:tr w:rsidR="008E5233" w14:paraId="2038895C" w14:textId="77777777" w:rsidTr="00012743">
        <w:tc>
          <w:tcPr>
            <w:tcW w:w="1350" w:type="dxa"/>
            <w:tcBorders>
              <w:bottom w:val="nil"/>
            </w:tcBorders>
          </w:tcPr>
          <w:p w14:paraId="1E6E5FD7" w14:textId="513B8CFA" w:rsidR="008E5233" w:rsidRPr="00012743" w:rsidRDefault="0007383E">
            <w:pPr>
              <w:jc w:val="left"/>
              <w:rPr>
                <w:color w:val="4472C4" w:themeColor="accent1"/>
                <w:sz w:val="13"/>
                <w:szCs w:val="13"/>
              </w:rPr>
            </w:pPr>
            <w:r>
              <w:rPr>
                <w:color w:val="4472C4" w:themeColor="accent1"/>
                <w:sz w:val="13"/>
                <w:szCs w:val="13"/>
              </w:rPr>
              <w:t>AASB </w:t>
            </w:r>
            <w:r w:rsidR="00CE434F">
              <w:rPr>
                <w:color w:val="4472C4" w:themeColor="accent1"/>
                <w:sz w:val="13"/>
                <w:szCs w:val="13"/>
              </w:rPr>
              <w:t>1060.233</w:t>
            </w:r>
          </w:p>
        </w:tc>
        <w:tc>
          <w:tcPr>
            <w:tcW w:w="6557" w:type="dxa"/>
          </w:tcPr>
          <w:p w14:paraId="0B5F8AFC" w14:textId="5ED2473B" w:rsidR="008E5233" w:rsidRPr="006F738A" w:rsidRDefault="005648A9" w:rsidP="006F738A">
            <w:pPr>
              <w:ind w:left="170" w:hanging="170"/>
              <w:jc w:val="left"/>
              <w:rPr>
                <w:szCs w:val="16"/>
              </w:rPr>
            </w:pPr>
            <w:r w:rsidRPr="006F738A">
              <w:rPr>
                <w:szCs w:val="16"/>
              </w:rPr>
              <w:t xml:space="preserve">Grant </w:t>
            </w:r>
            <w:r w:rsidR="007C2D8B">
              <w:rPr>
                <w:szCs w:val="16"/>
              </w:rPr>
              <w:t>income</w:t>
            </w:r>
            <w:r w:rsidR="007C2D8B" w:rsidRPr="006F738A">
              <w:rPr>
                <w:szCs w:val="16"/>
              </w:rPr>
              <w:t xml:space="preserve"> </w:t>
            </w:r>
            <w:r w:rsidRPr="006F738A">
              <w:rPr>
                <w:szCs w:val="16"/>
              </w:rPr>
              <w:t>for capital works recognised consistent with the capital works undertaken during the year</w:t>
            </w:r>
          </w:p>
        </w:tc>
        <w:tc>
          <w:tcPr>
            <w:tcW w:w="866" w:type="dxa"/>
          </w:tcPr>
          <w:p w14:paraId="6B638AC9" w14:textId="77777777" w:rsidR="008E5233" w:rsidRPr="006F738A" w:rsidRDefault="005648A9">
            <w:pPr>
              <w:rPr>
                <w:szCs w:val="16"/>
              </w:rPr>
            </w:pPr>
            <w:r w:rsidRPr="006F738A">
              <w:rPr>
                <w:szCs w:val="16"/>
              </w:rPr>
              <w:t>(40)</w:t>
            </w:r>
          </w:p>
        </w:tc>
        <w:tc>
          <w:tcPr>
            <w:tcW w:w="866" w:type="dxa"/>
          </w:tcPr>
          <w:p w14:paraId="64D0256C" w14:textId="77777777" w:rsidR="008E5233" w:rsidRPr="006F738A" w:rsidRDefault="005648A9">
            <w:pPr>
              <w:rPr>
                <w:szCs w:val="16"/>
              </w:rPr>
            </w:pPr>
            <w:r w:rsidRPr="006F738A">
              <w:rPr>
                <w:szCs w:val="16"/>
              </w:rPr>
              <w:t>(40)</w:t>
            </w:r>
          </w:p>
        </w:tc>
      </w:tr>
      <w:tr w:rsidR="008E5233" w14:paraId="28B23D83" w14:textId="77777777" w:rsidTr="00012743">
        <w:tc>
          <w:tcPr>
            <w:tcW w:w="1350" w:type="dxa"/>
            <w:tcBorders>
              <w:bottom w:val="nil"/>
            </w:tcBorders>
          </w:tcPr>
          <w:p w14:paraId="33FA6231" w14:textId="2683FFE8" w:rsidR="008E5233" w:rsidRPr="00012743" w:rsidRDefault="0007383E">
            <w:pPr>
              <w:jc w:val="left"/>
              <w:rPr>
                <w:color w:val="4472C4" w:themeColor="accent1"/>
                <w:sz w:val="13"/>
                <w:szCs w:val="13"/>
              </w:rPr>
            </w:pPr>
            <w:r>
              <w:rPr>
                <w:color w:val="4472C4" w:themeColor="accent1"/>
                <w:sz w:val="13"/>
                <w:szCs w:val="13"/>
              </w:rPr>
              <w:t>AASB </w:t>
            </w:r>
            <w:r w:rsidR="00CE434F">
              <w:rPr>
                <w:color w:val="4472C4" w:themeColor="accent1"/>
                <w:sz w:val="13"/>
                <w:szCs w:val="13"/>
              </w:rPr>
              <w:t>1060.233</w:t>
            </w:r>
          </w:p>
        </w:tc>
        <w:tc>
          <w:tcPr>
            <w:tcW w:w="6557" w:type="dxa"/>
          </w:tcPr>
          <w:p w14:paraId="2795CE7D" w14:textId="1A0B6947" w:rsidR="008E5233" w:rsidRPr="002A0038" w:rsidRDefault="005648A9" w:rsidP="006F738A">
            <w:pPr>
              <w:ind w:left="170" w:hanging="170"/>
              <w:jc w:val="left"/>
              <w:rPr>
                <w:b/>
                <w:bCs/>
                <w:szCs w:val="16"/>
              </w:rPr>
            </w:pPr>
            <w:r w:rsidRPr="002A0038">
              <w:rPr>
                <w:b/>
                <w:bCs/>
                <w:szCs w:val="16"/>
              </w:rPr>
              <w:t>Closing balance of deferred grant received for capital works</w:t>
            </w:r>
          </w:p>
        </w:tc>
        <w:tc>
          <w:tcPr>
            <w:tcW w:w="866" w:type="dxa"/>
          </w:tcPr>
          <w:p w14:paraId="391F5F56" w14:textId="77777777" w:rsidR="008E5233" w:rsidRPr="002A0038" w:rsidRDefault="005648A9">
            <w:pPr>
              <w:rPr>
                <w:b/>
                <w:bCs/>
                <w:szCs w:val="16"/>
              </w:rPr>
            </w:pPr>
            <w:r w:rsidRPr="002A0038">
              <w:rPr>
                <w:b/>
                <w:bCs/>
                <w:szCs w:val="16"/>
              </w:rPr>
              <w:t>26</w:t>
            </w:r>
          </w:p>
        </w:tc>
        <w:tc>
          <w:tcPr>
            <w:tcW w:w="866" w:type="dxa"/>
          </w:tcPr>
          <w:p w14:paraId="03993C7D" w14:textId="77777777" w:rsidR="008E5233" w:rsidRPr="002A0038" w:rsidRDefault="005648A9">
            <w:pPr>
              <w:rPr>
                <w:b/>
                <w:bCs/>
                <w:szCs w:val="16"/>
              </w:rPr>
            </w:pPr>
            <w:r w:rsidRPr="002A0038">
              <w:rPr>
                <w:b/>
                <w:bCs/>
                <w:szCs w:val="16"/>
              </w:rPr>
              <w:t>13</w:t>
            </w:r>
          </w:p>
        </w:tc>
      </w:tr>
    </w:tbl>
    <w:p w14:paraId="1E851149" w14:textId="77777777" w:rsidR="003719CD" w:rsidRDefault="003719CD" w:rsidP="00210A42">
      <w:pPr>
        <w:pStyle w:val="Note"/>
      </w:pPr>
    </w:p>
    <w:p w14:paraId="71F4D4F7" w14:textId="232993F6" w:rsidR="003719CD" w:rsidRDefault="003719CD" w:rsidP="00DC39DE">
      <w:r>
        <w:t xml:space="preserve">There was a slight delay on completion of the construction work and </w:t>
      </w:r>
      <w:r w:rsidR="006B48BC">
        <w:t>TV</w:t>
      </w:r>
      <w:r>
        <w:t xml:space="preserve"> is expected to recognise </w:t>
      </w:r>
      <w:proofErr w:type="gramStart"/>
      <w:r>
        <w:t>all of</w:t>
      </w:r>
      <w:proofErr w:type="gramEnd"/>
      <w:r>
        <w:t xml:space="preserve"> the remaining grant </w:t>
      </w:r>
      <w:r w:rsidR="00732EE9">
        <w:t xml:space="preserve">income </w:t>
      </w:r>
      <w:r>
        <w:t xml:space="preserve">for capital works </w:t>
      </w:r>
      <w:r w:rsidR="00B07A05">
        <w:t xml:space="preserve">in </w:t>
      </w:r>
      <w:r>
        <w:t>the following year. This is because the Commonwealth Government only provides grant funding progressively based on the estimated costs expected to be incurred each year.</w:t>
      </w:r>
    </w:p>
    <w:p w14:paraId="196378FA" w14:textId="77777777" w:rsidR="003719CD" w:rsidRDefault="003719CD" w:rsidP="00F26C84"/>
    <w:p w14:paraId="1824C67F" w14:textId="77777777" w:rsidR="003719CD" w:rsidRDefault="003719CD" w:rsidP="007D536F">
      <w:pPr>
        <w:pStyle w:val="GuidanceBlockHeading"/>
      </w:pPr>
      <w:bookmarkStart w:id="3668" w:name="_Toc179813119"/>
      <w:bookmarkStart w:id="3669" w:name="_Toc179818819"/>
      <w:bookmarkStart w:id="3670" w:name="_Toc179824519"/>
      <w:r>
        <w:t>Guidance – Payables and other financial liabilities</w:t>
      </w:r>
      <w:bookmarkEnd w:id="3668"/>
      <w:bookmarkEnd w:id="3669"/>
      <w:bookmarkEnd w:id="3670"/>
    </w:p>
    <w:p w14:paraId="55DFA80A" w14:textId="5C41BF5F" w:rsidR="003719CD" w:rsidRDefault="003719CD" w:rsidP="002A0038">
      <w:pPr>
        <w:spacing w:before="120" w:after="0"/>
        <w:rPr>
          <w:rStyle w:val="Reference"/>
          <w:rFonts w:asciiTheme="majorHAnsi" w:eastAsiaTheme="majorEastAsia" w:hAnsiTheme="majorHAnsi" w:cstheme="majorBidi"/>
          <w:b/>
          <w:bCs/>
          <w:iCs/>
          <w:szCs w:val="24"/>
        </w:rPr>
      </w:pPr>
      <w:r w:rsidRPr="008E0B3B">
        <w:rPr>
          <w:rStyle w:val="Guidance"/>
          <w:b/>
          <w:bCs/>
        </w:rPr>
        <w:t>Statutory payables</w:t>
      </w:r>
      <w:r w:rsidRPr="008E0B3B">
        <w:rPr>
          <w:rStyle w:val="Guidance"/>
        </w:rPr>
        <w:t xml:space="preserve">: </w:t>
      </w:r>
      <w:r w:rsidR="007667F2">
        <w:rPr>
          <w:rStyle w:val="Guidance"/>
        </w:rPr>
        <w:t>L</w:t>
      </w:r>
      <w:r w:rsidRPr="008E0B3B">
        <w:rPr>
          <w:rStyle w:val="Guidance"/>
        </w:rPr>
        <w:t xml:space="preserve">iabilities that are not contractual (such as liabilities that arise </w:t>
      </w:r>
      <w:proofErr w:type="gramStart"/>
      <w:r w:rsidRPr="008E0B3B">
        <w:rPr>
          <w:rStyle w:val="Guidance"/>
        </w:rPr>
        <w:t>as a result of</w:t>
      </w:r>
      <w:proofErr w:type="gramEnd"/>
      <w:r w:rsidRPr="008E0B3B">
        <w:rPr>
          <w:rStyle w:val="Guidance"/>
        </w:rPr>
        <w:t xml:space="preserve"> statutory requirements) are not considered financial liabilities. Therefore, although these liabilities are </w:t>
      </w:r>
      <w:proofErr w:type="gramStart"/>
      <w:r w:rsidRPr="008E0B3B">
        <w:rPr>
          <w:rStyle w:val="Guidance"/>
        </w:rPr>
        <w:t>similar to</w:t>
      </w:r>
      <w:proofErr w:type="gramEnd"/>
      <w:r w:rsidRPr="008E0B3B">
        <w:rPr>
          <w:rStyle w:val="Guidance"/>
        </w:rPr>
        <w:t xml:space="preserve"> financial instruments, they are in fact not in the scope of </w:t>
      </w:r>
      <w:r w:rsidR="0007383E">
        <w:rPr>
          <w:rStyle w:val="Guidance"/>
        </w:rPr>
        <w:t>AASB </w:t>
      </w:r>
      <w:r w:rsidRPr="008E0B3B">
        <w:rPr>
          <w:rStyle w:val="Guidance"/>
        </w:rPr>
        <w:t>7</w:t>
      </w:r>
      <w:r w:rsidR="00F26C84">
        <w:rPr>
          <w:rStyle w:val="Guidance"/>
        </w:rPr>
        <w:t xml:space="preserve"> </w:t>
      </w:r>
      <w:r w:rsidR="00F26C84" w:rsidRPr="002A0038">
        <w:rPr>
          <w:rStyle w:val="Guidance"/>
          <w:i/>
          <w:iCs/>
        </w:rPr>
        <w:t>Financial Instrument: Disclosures</w:t>
      </w:r>
      <w:r w:rsidRPr="008E0B3B">
        <w:rPr>
          <w:rStyle w:val="Guidance"/>
        </w:rPr>
        <w:t xml:space="preserve">. However, entities may wish to apply disclosure requirements </w:t>
      </w:r>
      <w:proofErr w:type="gramStart"/>
      <w:r w:rsidRPr="008E0B3B">
        <w:rPr>
          <w:rStyle w:val="Guidance"/>
        </w:rPr>
        <w:t>similar to</w:t>
      </w:r>
      <w:proofErr w:type="gramEnd"/>
      <w:r w:rsidRPr="008E0B3B">
        <w:rPr>
          <w:rStyle w:val="Guidance"/>
        </w:rPr>
        <w:t xml:space="preserve"> those from </w:t>
      </w:r>
      <w:r w:rsidR="0007383E">
        <w:rPr>
          <w:rStyle w:val="Guidance"/>
        </w:rPr>
        <w:t>AASB </w:t>
      </w:r>
      <w:r w:rsidRPr="008E0B3B">
        <w:rPr>
          <w:rStyle w:val="Guidance"/>
        </w:rPr>
        <w:t xml:space="preserve">7 to such liabilities at their own discretion. </w:t>
      </w:r>
      <w:r w:rsidRPr="008E0B3B">
        <w:rPr>
          <w:rStyle w:val="Reference"/>
        </w:rPr>
        <w:t>[</w:t>
      </w:r>
      <w:r w:rsidR="0007383E">
        <w:rPr>
          <w:rStyle w:val="Reference"/>
        </w:rPr>
        <w:t>AASB </w:t>
      </w:r>
      <w:r w:rsidRPr="008E0B3B">
        <w:rPr>
          <w:rStyle w:val="Reference"/>
        </w:rPr>
        <w:t>132.AG12]</w:t>
      </w:r>
    </w:p>
    <w:p w14:paraId="2ACCC0FC" w14:textId="78522FC3" w:rsidR="000C512F" w:rsidRPr="002A0038" w:rsidRDefault="00CB3812" w:rsidP="002A0038">
      <w:pPr>
        <w:spacing w:before="120" w:after="0"/>
        <w:rPr>
          <w:rStyle w:val="Guidance"/>
          <w:b/>
          <w:bCs/>
        </w:rPr>
      </w:pPr>
      <w:r>
        <w:rPr>
          <w:color w:val="4472C4" w:themeColor="accent1"/>
        </w:rPr>
        <w:t>A</w:t>
      </w:r>
      <w:r w:rsidRPr="002A0038">
        <w:rPr>
          <w:color w:val="4472C4" w:themeColor="accent1"/>
        </w:rPr>
        <w:t>n entity shall disclose material accounting policy information. Information about the measurement basis (or bases) for financial instruments used in preparing the financial statements is expected to be material accounting policy information.</w:t>
      </w:r>
      <w:r w:rsidRPr="00CB3812">
        <w:rPr>
          <w:b/>
          <w:bCs/>
          <w:color w:val="4472C4" w:themeColor="accent1"/>
        </w:rPr>
        <w:t xml:space="preserve"> </w:t>
      </w:r>
      <w:r w:rsidR="00170CE7" w:rsidRPr="008E0B3B">
        <w:rPr>
          <w:rStyle w:val="Reference"/>
        </w:rPr>
        <w:t>[</w:t>
      </w:r>
      <w:r w:rsidR="0007383E">
        <w:rPr>
          <w:rStyle w:val="Reference"/>
        </w:rPr>
        <w:t>AASB </w:t>
      </w:r>
      <w:r w:rsidR="00170CE7">
        <w:rPr>
          <w:rStyle w:val="Reference"/>
        </w:rPr>
        <w:t>1060.112]</w:t>
      </w:r>
    </w:p>
    <w:p w14:paraId="0D6D3A3C" w14:textId="74CFEB42" w:rsidR="003719CD" w:rsidRDefault="006A624C" w:rsidP="002A0038">
      <w:pPr>
        <w:spacing w:before="120" w:after="0"/>
        <w:rPr>
          <w:rStyle w:val="Reference"/>
        </w:rPr>
      </w:pPr>
      <w:r w:rsidRPr="006A624C">
        <w:rPr>
          <w:color w:val="4472C4" w:themeColor="accent1"/>
        </w:rPr>
        <w:t>An entity shall disclose information that enables users of its financial statements to evaluate the significance</w:t>
      </w:r>
      <w:r>
        <w:rPr>
          <w:rFonts w:hint="eastAsia"/>
          <w:color w:val="4472C4" w:themeColor="accent1"/>
          <w:lang w:eastAsia="zh-CN"/>
        </w:rPr>
        <w:t xml:space="preserve"> </w:t>
      </w:r>
      <w:r w:rsidRPr="006A624C">
        <w:rPr>
          <w:color w:val="4472C4" w:themeColor="accent1"/>
        </w:rPr>
        <w:t>of financial instruments for its financial position and performance. For example, for long-term debt such</w:t>
      </w:r>
      <w:r>
        <w:rPr>
          <w:rFonts w:hint="eastAsia"/>
          <w:color w:val="4472C4" w:themeColor="accent1"/>
          <w:lang w:eastAsia="zh-CN"/>
        </w:rPr>
        <w:t xml:space="preserve"> </w:t>
      </w:r>
      <w:r w:rsidRPr="006A624C">
        <w:rPr>
          <w:color w:val="4472C4" w:themeColor="accent1"/>
        </w:rPr>
        <w:t>information would normally include the terms and conditions of the debt instrument (such as interest rate,</w:t>
      </w:r>
      <w:r w:rsidR="0009646C">
        <w:rPr>
          <w:color w:val="4472C4" w:themeColor="accent1"/>
        </w:rPr>
        <w:t xml:space="preserve"> </w:t>
      </w:r>
      <w:r w:rsidRPr="006A624C">
        <w:rPr>
          <w:color w:val="4472C4" w:themeColor="accent1"/>
        </w:rPr>
        <w:t xml:space="preserve">maturity, repayment schedule, and restrictions that the debt instrument imposes on the entity). </w:t>
      </w:r>
      <w:r w:rsidR="003719CD" w:rsidRPr="008E0B3B">
        <w:rPr>
          <w:rStyle w:val="Reference"/>
        </w:rPr>
        <w:t>[</w:t>
      </w:r>
      <w:r w:rsidR="0007383E">
        <w:rPr>
          <w:rStyle w:val="Reference"/>
        </w:rPr>
        <w:t>AASB </w:t>
      </w:r>
      <w:r w:rsidR="006F7A8C">
        <w:rPr>
          <w:rStyle w:val="Reference"/>
        </w:rPr>
        <w:t>1060.114]</w:t>
      </w:r>
    </w:p>
    <w:p w14:paraId="3EC15CA7" w14:textId="6503AD25" w:rsidR="00442BF6" w:rsidRDefault="00CB3812" w:rsidP="00442BF6">
      <w:pPr>
        <w:snapToGrid w:val="0"/>
        <w:spacing w:before="120" w:after="0"/>
        <w:rPr>
          <w:rStyle w:val="Reference"/>
        </w:rPr>
      </w:pPr>
      <w:r w:rsidRPr="00CB3812">
        <w:rPr>
          <w:color w:val="4472C4" w:themeColor="accent1"/>
        </w:rPr>
        <w:t>An entity shall disclose the opening and closing balances of financial assets arising from transfers to enable</w:t>
      </w:r>
      <w:r>
        <w:rPr>
          <w:color w:val="4472C4" w:themeColor="accent1"/>
        </w:rPr>
        <w:t xml:space="preserve"> </w:t>
      </w:r>
      <w:r w:rsidRPr="00CB3812">
        <w:rPr>
          <w:color w:val="4472C4" w:themeColor="accent1"/>
        </w:rPr>
        <w:t>an entity to acquire or construct recognisable non-financial assets to be controlled by the entity and the</w:t>
      </w:r>
      <w:r>
        <w:rPr>
          <w:color w:val="4472C4" w:themeColor="accent1"/>
        </w:rPr>
        <w:t xml:space="preserve"> </w:t>
      </w:r>
      <w:r w:rsidRPr="00CB3812">
        <w:rPr>
          <w:color w:val="4472C4" w:themeColor="accent1"/>
        </w:rPr>
        <w:t>associated liabilities arising from such transfers, if not otherwise separately presented or disclosed. An entity</w:t>
      </w:r>
      <w:r>
        <w:rPr>
          <w:color w:val="4472C4" w:themeColor="accent1"/>
        </w:rPr>
        <w:t xml:space="preserve"> </w:t>
      </w:r>
      <w:r w:rsidRPr="00CB3812">
        <w:rPr>
          <w:color w:val="4472C4" w:themeColor="accent1"/>
        </w:rPr>
        <w:t>shall also disclose income recognised in the reporting period arising from the reduction of an associated</w:t>
      </w:r>
      <w:r>
        <w:rPr>
          <w:color w:val="4472C4" w:themeColor="accent1"/>
        </w:rPr>
        <w:t xml:space="preserve"> </w:t>
      </w:r>
      <w:r w:rsidRPr="00CB3812">
        <w:rPr>
          <w:color w:val="4472C4" w:themeColor="accent1"/>
        </w:rPr>
        <w:t>liability.</w:t>
      </w:r>
      <w:r>
        <w:rPr>
          <w:color w:val="4472C4" w:themeColor="accent1"/>
        </w:rPr>
        <w:t xml:space="preserve"> </w:t>
      </w:r>
      <w:r w:rsidRPr="008E0B3B">
        <w:rPr>
          <w:rStyle w:val="Reference"/>
        </w:rPr>
        <w:t>[</w:t>
      </w:r>
      <w:r w:rsidR="0007383E">
        <w:rPr>
          <w:rStyle w:val="Reference"/>
        </w:rPr>
        <w:t>AASB </w:t>
      </w:r>
      <w:r>
        <w:rPr>
          <w:rStyle w:val="Reference"/>
        </w:rPr>
        <w:t>1060.233]</w:t>
      </w:r>
    </w:p>
    <w:p w14:paraId="260233E0" w14:textId="458B3FE3" w:rsidR="00442BF6" w:rsidRDefault="00442BF6" w:rsidP="00442BF6">
      <w:pPr>
        <w:snapToGrid w:val="0"/>
        <w:spacing w:before="120" w:after="0"/>
        <w:rPr>
          <w:rStyle w:val="Reference"/>
        </w:rPr>
      </w:pPr>
      <w:r w:rsidRPr="00CD069B">
        <w:rPr>
          <w:color w:val="4472C4" w:themeColor="accent1"/>
        </w:rPr>
        <w:t>An entity shall disclose information about its obligations under such transfers, including a description of when the entity typically satisfies its obligations (for example, as the asset is constructed, upon completion of construction or when the asset is acquired).</w:t>
      </w:r>
      <w:r>
        <w:rPr>
          <w:color w:val="4472C4" w:themeColor="accent1"/>
        </w:rPr>
        <w:t xml:space="preserve"> </w:t>
      </w:r>
      <w:r w:rsidRPr="008E0B3B">
        <w:rPr>
          <w:rStyle w:val="Reference"/>
        </w:rPr>
        <w:t>[</w:t>
      </w:r>
      <w:r w:rsidR="0007383E">
        <w:rPr>
          <w:rStyle w:val="Reference"/>
        </w:rPr>
        <w:t>AASB </w:t>
      </w:r>
      <w:r>
        <w:rPr>
          <w:rStyle w:val="Reference"/>
        </w:rPr>
        <w:t>1060.234]</w:t>
      </w:r>
    </w:p>
    <w:p w14:paraId="3E0156D3" w14:textId="73183485" w:rsidR="00442BF6" w:rsidRDefault="00735EF7" w:rsidP="00735EF7">
      <w:pPr>
        <w:snapToGrid w:val="0"/>
        <w:spacing w:before="120" w:after="0"/>
        <w:rPr>
          <w:rStyle w:val="Reference"/>
        </w:rPr>
      </w:pPr>
      <w:r w:rsidRPr="00E10CD7">
        <w:rPr>
          <w:color w:val="4472C4" w:themeColor="accent1"/>
        </w:rPr>
        <w:t xml:space="preserve">An entity shall disclose the judgements, and changes in the judgements, made in applying </w:t>
      </w:r>
      <w:r w:rsidR="0007383E">
        <w:rPr>
          <w:color w:val="4472C4" w:themeColor="accent1"/>
        </w:rPr>
        <w:t>AASB </w:t>
      </w:r>
      <w:r w:rsidRPr="00E10CD7">
        <w:rPr>
          <w:color w:val="4472C4" w:themeColor="accent1"/>
        </w:rPr>
        <w:t xml:space="preserve">1058 that significantly affect the determination of the amount and timing of income arising from transfers to enable an entity to acquire or construct a recognisable non-financial asset to be controlled by the entity. </w:t>
      </w:r>
      <w:r w:rsidR="00272092" w:rsidRPr="00E10CD7">
        <w:rPr>
          <w:color w:val="4472C4" w:themeColor="accent1"/>
        </w:rPr>
        <w:t>An</w:t>
      </w:r>
      <w:r w:rsidRPr="00E10CD7">
        <w:rPr>
          <w:color w:val="4472C4" w:themeColor="accent1"/>
        </w:rPr>
        <w:t xml:space="preserve"> entity shall explain the judgements, and changes in the judgements, made in determining the timing of satisfaction of obligations.</w:t>
      </w:r>
      <w:r>
        <w:rPr>
          <w:color w:val="C00000"/>
          <w:sz w:val="16"/>
        </w:rPr>
        <w:t xml:space="preserve"> </w:t>
      </w:r>
      <w:r w:rsidRPr="008E0B3B">
        <w:rPr>
          <w:rStyle w:val="Reference"/>
        </w:rPr>
        <w:t>[</w:t>
      </w:r>
      <w:r w:rsidR="0007383E">
        <w:rPr>
          <w:rStyle w:val="Reference"/>
        </w:rPr>
        <w:t>AASB </w:t>
      </w:r>
      <w:r>
        <w:rPr>
          <w:rStyle w:val="Reference"/>
        </w:rPr>
        <w:t>1060.235]</w:t>
      </w:r>
    </w:p>
    <w:p w14:paraId="6A6A48F4" w14:textId="17E6A329" w:rsidR="009A498D" w:rsidRDefault="009A498D" w:rsidP="009A498D">
      <w:pPr>
        <w:snapToGrid w:val="0"/>
        <w:spacing w:before="120" w:after="0"/>
        <w:rPr>
          <w:rStyle w:val="Reference"/>
        </w:rPr>
      </w:pPr>
      <w:r w:rsidRPr="00E10CD7">
        <w:rPr>
          <w:color w:val="4472C4" w:themeColor="accent1"/>
        </w:rPr>
        <w:t>For obligations that an entity satisfies over time, an entity shall disclose the methods used to recognise income (for example, a description of the output methods or input methods used and how those methods are applied).</w:t>
      </w:r>
      <w:r>
        <w:rPr>
          <w:color w:val="C00000"/>
          <w:sz w:val="16"/>
        </w:rPr>
        <w:t xml:space="preserve"> </w:t>
      </w:r>
      <w:r w:rsidRPr="008E0B3B">
        <w:rPr>
          <w:rStyle w:val="Reference"/>
        </w:rPr>
        <w:t>[</w:t>
      </w:r>
      <w:r w:rsidR="0007383E">
        <w:rPr>
          <w:rStyle w:val="Reference"/>
        </w:rPr>
        <w:t>AASB </w:t>
      </w:r>
      <w:r>
        <w:rPr>
          <w:rStyle w:val="Reference"/>
        </w:rPr>
        <w:t>1060.236]</w:t>
      </w:r>
    </w:p>
    <w:p w14:paraId="4B12698B" w14:textId="67EE78F6" w:rsidR="00735EF7" w:rsidRPr="00E10CD7" w:rsidRDefault="005D12A1" w:rsidP="00E10CD7">
      <w:pPr>
        <w:snapToGrid w:val="0"/>
        <w:spacing w:before="120" w:after="0"/>
        <w:rPr>
          <w:color w:val="4472C4" w:themeColor="accent1"/>
        </w:rPr>
      </w:pPr>
      <w:r w:rsidRPr="00E10CD7">
        <w:rPr>
          <w:color w:val="4472C4" w:themeColor="accent1"/>
        </w:rPr>
        <w:t>For obligations satisfied at a point in time, an entity shall disclose the significant judgements made in evaluating when it has satisfied its obligations.</w:t>
      </w:r>
      <w:r>
        <w:rPr>
          <w:color w:val="4472C4" w:themeColor="accent1"/>
        </w:rPr>
        <w:t xml:space="preserve"> </w:t>
      </w:r>
      <w:r w:rsidRPr="008E0B3B">
        <w:rPr>
          <w:rStyle w:val="Reference"/>
        </w:rPr>
        <w:t>[</w:t>
      </w:r>
      <w:r w:rsidR="0007383E">
        <w:rPr>
          <w:rStyle w:val="Reference"/>
        </w:rPr>
        <w:t>AASB </w:t>
      </w:r>
      <w:r>
        <w:rPr>
          <w:rStyle w:val="Reference"/>
        </w:rPr>
        <w:t>1060.237]</w:t>
      </w:r>
    </w:p>
    <w:p w14:paraId="13A79D90" w14:textId="11782F85" w:rsidR="00CB3812" w:rsidRPr="002A0038" w:rsidRDefault="00CB3812" w:rsidP="002A0038">
      <w:pPr>
        <w:spacing w:before="120" w:after="0"/>
        <w:rPr>
          <w:rStyle w:val="Guidance"/>
          <w:b/>
          <w:bCs/>
        </w:rPr>
      </w:pPr>
      <w:r w:rsidRPr="005865C6">
        <w:rPr>
          <w:color w:val="4472C4" w:themeColor="accent1"/>
        </w:rPr>
        <w:t>An entity shall disclose the closing balances of contract assets and contract liabilities from contracts with customers</w:t>
      </w:r>
      <w:r>
        <w:rPr>
          <w:color w:val="4472C4" w:themeColor="accent1"/>
        </w:rPr>
        <w:t xml:space="preserve"> where performance obligations were </w:t>
      </w:r>
      <w:r w:rsidR="00F26C84">
        <w:rPr>
          <w:color w:val="4472C4" w:themeColor="accent1"/>
        </w:rPr>
        <w:t>satisfied</w:t>
      </w:r>
      <w:r>
        <w:rPr>
          <w:color w:val="4472C4" w:themeColor="accent1"/>
        </w:rPr>
        <w:t xml:space="preserve"> over time</w:t>
      </w:r>
      <w:r w:rsidRPr="005865C6">
        <w:rPr>
          <w:color w:val="4472C4" w:themeColor="accent1"/>
        </w:rPr>
        <w:t>, if not otherwise separately presented or disclosed.</w:t>
      </w:r>
      <w:r>
        <w:rPr>
          <w:color w:val="4472C4" w:themeColor="accent1"/>
        </w:rPr>
        <w:t xml:space="preserve"> </w:t>
      </w:r>
      <w:r w:rsidRPr="008E0B3B">
        <w:rPr>
          <w:rStyle w:val="Reference"/>
        </w:rPr>
        <w:t>[</w:t>
      </w:r>
      <w:r w:rsidR="0007383E">
        <w:rPr>
          <w:rStyle w:val="Reference"/>
        </w:rPr>
        <w:t>AASB </w:t>
      </w:r>
      <w:r>
        <w:rPr>
          <w:rStyle w:val="Reference"/>
        </w:rPr>
        <w:t>1060.159]</w:t>
      </w:r>
    </w:p>
    <w:p w14:paraId="0199094D" w14:textId="77777777" w:rsidR="003719CD" w:rsidRDefault="003719CD" w:rsidP="007D536F">
      <w:pPr>
        <w:pStyle w:val="GuidanceEnd"/>
      </w:pPr>
    </w:p>
    <w:p w14:paraId="7D99A089" w14:textId="65E349BC" w:rsidR="003719CD" w:rsidRDefault="003719CD" w:rsidP="00A80494">
      <w:pPr>
        <w:pStyle w:val="Heading2numbered"/>
      </w:pPr>
      <w:bookmarkStart w:id="3671" w:name="_Toc96704921"/>
      <w:bookmarkStart w:id="3672" w:name="_Toc130225975"/>
      <w:bookmarkStart w:id="3673" w:name="_Toc64983450"/>
      <w:bookmarkStart w:id="3674" w:name="_Toc179813120"/>
      <w:bookmarkStart w:id="3675" w:name="_Toc179818820"/>
      <w:bookmarkStart w:id="3676" w:name="_Toc179824520"/>
      <w:bookmarkStart w:id="3677" w:name="_Toc179861718"/>
      <w:bookmarkStart w:id="3678" w:name="_Toc179869031"/>
      <w:bookmarkStart w:id="3679" w:name="_Toc179873424"/>
      <w:bookmarkStart w:id="3680" w:name="_Toc179877817"/>
      <w:bookmarkStart w:id="3681" w:name="_Toc179880318"/>
      <w:bookmarkStart w:id="3682" w:name="_Toc190333091"/>
      <w:bookmarkStart w:id="3683" w:name="_Toc190340846"/>
      <w:r>
        <w:t>Inventories</w:t>
      </w:r>
      <w:bookmarkEnd w:id="3671"/>
      <w:bookmarkEnd w:id="3672"/>
      <w:bookmarkEnd w:id="3673"/>
      <w:bookmarkEnd w:id="3674"/>
      <w:bookmarkEnd w:id="3675"/>
      <w:bookmarkEnd w:id="3676"/>
      <w:bookmarkEnd w:id="3677"/>
      <w:bookmarkEnd w:id="3678"/>
      <w:bookmarkEnd w:id="3679"/>
      <w:bookmarkEnd w:id="3680"/>
      <w:bookmarkEnd w:id="3681"/>
      <w:bookmarkEnd w:id="3682"/>
      <w:bookmarkEnd w:id="3683"/>
      <w:r w:rsidR="00357FC8">
        <w:t xml:space="preserve"> </w:t>
      </w:r>
      <w:r w:rsidR="00357FC8" w:rsidRPr="00E51206">
        <w:rPr>
          <w:color w:val="C00000"/>
          <w:sz w:val="20"/>
          <w:szCs w:val="20"/>
        </w:rPr>
        <w:t>[REVISED]</w:t>
      </w:r>
    </w:p>
    <w:p w14:paraId="09B0ACD9" w14:textId="77777777" w:rsidR="003719CD" w:rsidRDefault="003719CD" w:rsidP="007D536F">
      <w:pPr>
        <w:pStyle w:val="TableUnits"/>
      </w:pPr>
      <w:r>
        <w:t>($ thousand)</w:t>
      </w:r>
    </w:p>
    <w:tbl>
      <w:tblPr>
        <w:tblStyle w:val="DTFTable"/>
        <w:tblW w:w="9639" w:type="dxa"/>
        <w:tblLayout w:type="fixed"/>
        <w:tblLook w:val="0620" w:firstRow="1" w:lastRow="0" w:firstColumn="0" w:lastColumn="0" w:noHBand="1" w:noVBand="1"/>
      </w:tblPr>
      <w:tblGrid>
        <w:gridCol w:w="1560"/>
        <w:gridCol w:w="6347"/>
        <w:gridCol w:w="866"/>
        <w:gridCol w:w="866"/>
      </w:tblGrid>
      <w:tr w:rsidR="00182709" w14:paraId="4F8C2C50" w14:textId="77777777" w:rsidTr="0018172B">
        <w:trPr>
          <w:cnfStyle w:val="100000000000" w:firstRow="1" w:lastRow="0" w:firstColumn="0" w:lastColumn="0" w:oddVBand="0" w:evenVBand="0" w:oddHBand="0" w:evenHBand="0" w:firstRowFirstColumn="0" w:firstRowLastColumn="0" w:lastRowFirstColumn="0" w:lastRowLastColumn="0"/>
          <w:tblHeader/>
        </w:trPr>
        <w:tc>
          <w:tcPr>
            <w:tcW w:w="1560" w:type="dxa"/>
            <w:tcBorders>
              <w:top w:val="nil"/>
              <w:bottom w:val="nil"/>
            </w:tcBorders>
            <w:shd w:val="clear" w:color="auto" w:fill="FFFFFF" w:themeFill="background1"/>
          </w:tcPr>
          <w:p w14:paraId="02B86C51" w14:textId="77777777" w:rsidR="00182709" w:rsidRDefault="0044097C">
            <w:pPr>
              <w:keepNext/>
              <w:jc w:val="left"/>
            </w:pPr>
            <w:r>
              <w:rPr>
                <w:color w:val="4472C4"/>
                <w:sz w:val="13"/>
              </w:rPr>
              <w:t>Source reference</w:t>
            </w:r>
          </w:p>
        </w:tc>
        <w:tc>
          <w:tcPr>
            <w:tcW w:w="6347" w:type="dxa"/>
          </w:tcPr>
          <w:p w14:paraId="78201E37" w14:textId="77777777" w:rsidR="00182709" w:rsidRDefault="00182709">
            <w:pPr>
              <w:keepNext/>
              <w:jc w:val="left"/>
            </w:pPr>
          </w:p>
        </w:tc>
        <w:tc>
          <w:tcPr>
            <w:tcW w:w="866" w:type="dxa"/>
          </w:tcPr>
          <w:p w14:paraId="03341D10" w14:textId="77777777" w:rsidR="00182709" w:rsidRDefault="0044097C">
            <w:pPr>
              <w:keepNext/>
            </w:pPr>
            <w:r>
              <w:t>20X2</w:t>
            </w:r>
          </w:p>
        </w:tc>
        <w:tc>
          <w:tcPr>
            <w:tcW w:w="866" w:type="dxa"/>
          </w:tcPr>
          <w:p w14:paraId="014BAF2E" w14:textId="77777777" w:rsidR="00182709" w:rsidRDefault="0044097C">
            <w:pPr>
              <w:keepNext/>
            </w:pPr>
            <w:r>
              <w:t>20X1</w:t>
            </w:r>
          </w:p>
        </w:tc>
      </w:tr>
      <w:tr w:rsidR="00182709" w14:paraId="4BB316CC" w14:textId="77777777" w:rsidTr="0018172B">
        <w:tc>
          <w:tcPr>
            <w:tcW w:w="1560" w:type="dxa"/>
          </w:tcPr>
          <w:p w14:paraId="4F8CD72A" w14:textId="77777777" w:rsidR="00182709" w:rsidRDefault="00182709">
            <w:pPr>
              <w:jc w:val="left"/>
            </w:pPr>
          </w:p>
        </w:tc>
        <w:tc>
          <w:tcPr>
            <w:tcW w:w="6347" w:type="dxa"/>
          </w:tcPr>
          <w:p w14:paraId="692758BF" w14:textId="77777777" w:rsidR="00182709" w:rsidRDefault="0044097C">
            <w:pPr>
              <w:jc w:val="left"/>
            </w:pPr>
            <w:r>
              <w:rPr>
                <w:b/>
              </w:rPr>
              <w:t>Current inventories</w:t>
            </w:r>
          </w:p>
        </w:tc>
        <w:tc>
          <w:tcPr>
            <w:tcW w:w="866" w:type="dxa"/>
          </w:tcPr>
          <w:p w14:paraId="25848635" w14:textId="77777777" w:rsidR="00182709" w:rsidRDefault="00182709"/>
        </w:tc>
        <w:tc>
          <w:tcPr>
            <w:tcW w:w="866" w:type="dxa"/>
          </w:tcPr>
          <w:p w14:paraId="681D6B87" w14:textId="77777777" w:rsidR="00182709" w:rsidRDefault="00182709"/>
        </w:tc>
      </w:tr>
      <w:tr w:rsidR="00182709" w14:paraId="4CE93F60" w14:textId="77777777" w:rsidTr="0018172B">
        <w:tc>
          <w:tcPr>
            <w:tcW w:w="1560" w:type="dxa"/>
          </w:tcPr>
          <w:p w14:paraId="307E7A82" w14:textId="77777777" w:rsidR="00182709" w:rsidRDefault="00182709">
            <w:pPr>
              <w:jc w:val="left"/>
            </w:pPr>
          </w:p>
        </w:tc>
        <w:tc>
          <w:tcPr>
            <w:tcW w:w="6347" w:type="dxa"/>
          </w:tcPr>
          <w:p w14:paraId="7F2EA45D" w14:textId="77777777" w:rsidR="00182709" w:rsidRDefault="0044097C">
            <w:pPr>
              <w:jc w:val="left"/>
            </w:pPr>
            <w:r>
              <w:rPr>
                <w:b/>
              </w:rPr>
              <w:t>Supplies and consumables:</w:t>
            </w:r>
          </w:p>
        </w:tc>
        <w:tc>
          <w:tcPr>
            <w:tcW w:w="866" w:type="dxa"/>
          </w:tcPr>
          <w:p w14:paraId="3B648D81" w14:textId="77777777" w:rsidR="00182709" w:rsidRDefault="00182709"/>
        </w:tc>
        <w:tc>
          <w:tcPr>
            <w:tcW w:w="866" w:type="dxa"/>
          </w:tcPr>
          <w:p w14:paraId="1B95624F" w14:textId="77777777" w:rsidR="00182709" w:rsidRDefault="00182709"/>
        </w:tc>
      </w:tr>
      <w:tr w:rsidR="00182709" w14:paraId="745A5DB3" w14:textId="77777777" w:rsidTr="0018172B">
        <w:tc>
          <w:tcPr>
            <w:tcW w:w="1560" w:type="dxa"/>
          </w:tcPr>
          <w:p w14:paraId="2B311513" w14:textId="51773BDB" w:rsidR="00182709" w:rsidRDefault="0007383E">
            <w:pPr>
              <w:jc w:val="left"/>
            </w:pPr>
            <w:r>
              <w:rPr>
                <w:color w:val="4472C4"/>
                <w:sz w:val="13"/>
              </w:rPr>
              <w:t>AASB </w:t>
            </w:r>
            <w:r w:rsidR="006F0A0D">
              <w:rPr>
                <w:color w:val="4472C4"/>
                <w:sz w:val="13"/>
              </w:rPr>
              <w:t>1060.123 (b)</w:t>
            </w:r>
          </w:p>
        </w:tc>
        <w:tc>
          <w:tcPr>
            <w:tcW w:w="6347" w:type="dxa"/>
          </w:tcPr>
          <w:p w14:paraId="15025385" w14:textId="77777777" w:rsidR="00182709" w:rsidRDefault="0044097C">
            <w:pPr>
              <w:jc w:val="left"/>
            </w:pPr>
            <w:r>
              <w:t>At cost</w:t>
            </w:r>
          </w:p>
        </w:tc>
        <w:tc>
          <w:tcPr>
            <w:tcW w:w="866" w:type="dxa"/>
          </w:tcPr>
          <w:p w14:paraId="154AD216" w14:textId="77777777" w:rsidR="00182709" w:rsidRDefault="0044097C">
            <w:r>
              <w:t>7 299</w:t>
            </w:r>
          </w:p>
        </w:tc>
        <w:tc>
          <w:tcPr>
            <w:tcW w:w="866" w:type="dxa"/>
          </w:tcPr>
          <w:p w14:paraId="726A5561" w14:textId="77777777" w:rsidR="00182709" w:rsidRDefault="0044097C">
            <w:r>
              <w:t>9 404</w:t>
            </w:r>
          </w:p>
        </w:tc>
      </w:tr>
      <w:tr w:rsidR="00182709" w14:paraId="7B0E3517" w14:textId="77777777" w:rsidTr="0018172B">
        <w:tc>
          <w:tcPr>
            <w:tcW w:w="1560" w:type="dxa"/>
          </w:tcPr>
          <w:p w14:paraId="49C998C8" w14:textId="77777777" w:rsidR="00182709" w:rsidRDefault="00182709">
            <w:pPr>
              <w:jc w:val="left"/>
            </w:pPr>
          </w:p>
        </w:tc>
        <w:tc>
          <w:tcPr>
            <w:tcW w:w="6347" w:type="dxa"/>
          </w:tcPr>
          <w:p w14:paraId="55F71B21" w14:textId="77777777" w:rsidR="00182709" w:rsidRDefault="0044097C">
            <w:pPr>
              <w:jc w:val="left"/>
            </w:pPr>
            <w:r>
              <w:rPr>
                <w:b/>
              </w:rPr>
              <w:t>Work in progress:</w:t>
            </w:r>
          </w:p>
        </w:tc>
        <w:tc>
          <w:tcPr>
            <w:tcW w:w="866" w:type="dxa"/>
          </w:tcPr>
          <w:p w14:paraId="03D89F1A" w14:textId="77777777" w:rsidR="00182709" w:rsidRDefault="00182709"/>
        </w:tc>
        <w:tc>
          <w:tcPr>
            <w:tcW w:w="866" w:type="dxa"/>
          </w:tcPr>
          <w:p w14:paraId="285C6151" w14:textId="77777777" w:rsidR="00182709" w:rsidRDefault="00182709"/>
        </w:tc>
      </w:tr>
      <w:tr w:rsidR="00182709" w14:paraId="088C8783" w14:textId="77777777" w:rsidTr="0018172B">
        <w:tc>
          <w:tcPr>
            <w:tcW w:w="1560" w:type="dxa"/>
          </w:tcPr>
          <w:p w14:paraId="6B17BD4C" w14:textId="4660D449" w:rsidR="00182709" w:rsidRDefault="0007383E">
            <w:pPr>
              <w:jc w:val="left"/>
            </w:pPr>
            <w:r>
              <w:rPr>
                <w:color w:val="4472C4"/>
                <w:sz w:val="13"/>
              </w:rPr>
              <w:t>AASB </w:t>
            </w:r>
            <w:r w:rsidR="006F0A0D">
              <w:rPr>
                <w:color w:val="4472C4"/>
                <w:sz w:val="13"/>
              </w:rPr>
              <w:t>1060.123 (b)</w:t>
            </w:r>
          </w:p>
        </w:tc>
        <w:tc>
          <w:tcPr>
            <w:tcW w:w="6347" w:type="dxa"/>
          </w:tcPr>
          <w:p w14:paraId="08C5F5E3" w14:textId="77777777" w:rsidR="00182709" w:rsidRDefault="0044097C">
            <w:pPr>
              <w:jc w:val="left"/>
            </w:pPr>
            <w:r>
              <w:t>At cost</w:t>
            </w:r>
          </w:p>
        </w:tc>
        <w:tc>
          <w:tcPr>
            <w:tcW w:w="866" w:type="dxa"/>
          </w:tcPr>
          <w:p w14:paraId="2D76C0E2" w14:textId="77777777" w:rsidR="00182709" w:rsidRDefault="0044097C">
            <w:r>
              <w:t>1 931</w:t>
            </w:r>
          </w:p>
        </w:tc>
        <w:tc>
          <w:tcPr>
            <w:tcW w:w="866" w:type="dxa"/>
          </w:tcPr>
          <w:p w14:paraId="3FD27984" w14:textId="77777777" w:rsidR="00182709" w:rsidRDefault="0044097C">
            <w:r>
              <w:t>1 515</w:t>
            </w:r>
          </w:p>
        </w:tc>
      </w:tr>
      <w:tr w:rsidR="00182709" w14:paraId="5DBD5206" w14:textId="77777777" w:rsidTr="0018172B">
        <w:tc>
          <w:tcPr>
            <w:tcW w:w="1560" w:type="dxa"/>
          </w:tcPr>
          <w:p w14:paraId="123755CE" w14:textId="6376A5EA" w:rsidR="00182709" w:rsidRDefault="0007383E">
            <w:pPr>
              <w:jc w:val="left"/>
            </w:pPr>
            <w:r>
              <w:rPr>
                <w:color w:val="4472C4"/>
                <w:sz w:val="13"/>
              </w:rPr>
              <w:t>AASB </w:t>
            </w:r>
            <w:r w:rsidR="000035C0">
              <w:rPr>
                <w:color w:val="4472C4"/>
                <w:sz w:val="13"/>
              </w:rPr>
              <w:t>1060.123 (b)</w:t>
            </w:r>
          </w:p>
        </w:tc>
        <w:tc>
          <w:tcPr>
            <w:tcW w:w="6347" w:type="dxa"/>
          </w:tcPr>
          <w:p w14:paraId="6FE36F90" w14:textId="77777777" w:rsidR="00182709" w:rsidRDefault="0044097C">
            <w:pPr>
              <w:jc w:val="left"/>
            </w:pPr>
            <w:r>
              <w:rPr>
                <w:b/>
              </w:rPr>
              <w:t>Inventories held for sale:</w:t>
            </w:r>
          </w:p>
        </w:tc>
        <w:tc>
          <w:tcPr>
            <w:tcW w:w="866" w:type="dxa"/>
          </w:tcPr>
          <w:p w14:paraId="033BDC34" w14:textId="77777777" w:rsidR="00182709" w:rsidRDefault="00182709"/>
        </w:tc>
        <w:tc>
          <w:tcPr>
            <w:tcW w:w="866" w:type="dxa"/>
          </w:tcPr>
          <w:p w14:paraId="2A7B7828" w14:textId="77777777" w:rsidR="00182709" w:rsidRDefault="00182709"/>
        </w:tc>
      </w:tr>
      <w:tr w:rsidR="00182709" w14:paraId="2CEF2E21" w14:textId="77777777" w:rsidTr="0018172B">
        <w:tc>
          <w:tcPr>
            <w:tcW w:w="1560" w:type="dxa"/>
          </w:tcPr>
          <w:p w14:paraId="4300A990" w14:textId="77777777" w:rsidR="00182709" w:rsidRDefault="00182709">
            <w:pPr>
              <w:jc w:val="left"/>
            </w:pPr>
          </w:p>
        </w:tc>
        <w:tc>
          <w:tcPr>
            <w:tcW w:w="6347" w:type="dxa"/>
          </w:tcPr>
          <w:p w14:paraId="0B75DD0C" w14:textId="77777777" w:rsidR="00182709" w:rsidRDefault="0044097C">
            <w:pPr>
              <w:jc w:val="left"/>
            </w:pPr>
            <w:r>
              <w:t>At cost</w:t>
            </w:r>
          </w:p>
        </w:tc>
        <w:tc>
          <w:tcPr>
            <w:tcW w:w="866" w:type="dxa"/>
          </w:tcPr>
          <w:p w14:paraId="43ADBFC5" w14:textId="77777777" w:rsidR="00182709" w:rsidRDefault="0044097C">
            <w:r>
              <w:t>2 523</w:t>
            </w:r>
          </w:p>
        </w:tc>
        <w:tc>
          <w:tcPr>
            <w:tcW w:w="866" w:type="dxa"/>
          </w:tcPr>
          <w:p w14:paraId="7BA2BB0F" w14:textId="77777777" w:rsidR="00182709" w:rsidRDefault="0044097C">
            <w:r>
              <w:t>8 594</w:t>
            </w:r>
          </w:p>
        </w:tc>
      </w:tr>
      <w:tr w:rsidR="00182709" w14:paraId="1B4FC90D" w14:textId="77777777" w:rsidTr="0018172B">
        <w:tc>
          <w:tcPr>
            <w:tcW w:w="1560" w:type="dxa"/>
          </w:tcPr>
          <w:p w14:paraId="6EC96F3E" w14:textId="77777777" w:rsidR="00182709" w:rsidRDefault="00182709">
            <w:pPr>
              <w:jc w:val="left"/>
            </w:pPr>
          </w:p>
        </w:tc>
        <w:tc>
          <w:tcPr>
            <w:tcW w:w="6347" w:type="dxa"/>
            <w:tcBorders>
              <w:bottom w:val="single" w:sz="12" w:space="0" w:color="auto"/>
            </w:tcBorders>
          </w:tcPr>
          <w:p w14:paraId="40BD93C3" w14:textId="77777777" w:rsidR="00182709" w:rsidRDefault="0044097C">
            <w:pPr>
              <w:jc w:val="left"/>
            </w:pPr>
            <w:r>
              <w:t>At net realisable value</w:t>
            </w:r>
          </w:p>
        </w:tc>
        <w:tc>
          <w:tcPr>
            <w:tcW w:w="866" w:type="dxa"/>
            <w:tcBorders>
              <w:bottom w:val="single" w:sz="12" w:space="0" w:color="auto"/>
            </w:tcBorders>
          </w:tcPr>
          <w:p w14:paraId="43DA6B98" w14:textId="77777777" w:rsidR="00182709" w:rsidRDefault="0044097C">
            <w:r>
              <w:t>91</w:t>
            </w:r>
          </w:p>
        </w:tc>
        <w:tc>
          <w:tcPr>
            <w:tcW w:w="866" w:type="dxa"/>
            <w:tcBorders>
              <w:bottom w:val="single" w:sz="12" w:space="0" w:color="auto"/>
            </w:tcBorders>
          </w:tcPr>
          <w:p w14:paraId="2D5E7233" w14:textId="77777777" w:rsidR="00182709" w:rsidRDefault="0044097C">
            <w:r>
              <w:t>99</w:t>
            </w:r>
          </w:p>
        </w:tc>
      </w:tr>
      <w:tr w:rsidR="00671D55" w14:paraId="5C24DE7D" w14:textId="77777777" w:rsidTr="0018172B">
        <w:tc>
          <w:tcPr>
            <w:tcW w:w="1560" w:type="dxa"/>
          </w:tcPr>
          <w:p w14:paraId="5EE0A5E0" w14:textId="77777777" w:rsidR="00182709" w:rsidRDefault="00182709">
            <w:pPr>
              <w:jc w:val="left"/>
            </w:pPr>
          </w:p>
        </w:tc>
        <w:tc>
          <w:tcPr>
            <w:tcW w:w="6347" w:type="dxa"/>
          </w:tcPr>
          <w:p w14:paraId="6B487E61" w14:textId="77777777" w:rsidR="00182709" w:rsidRDefault="0044097C">
            <w:pPr>
              <w:jc w:val="left"/>
            </w:pPr>
            <w:r>
              <w:rPr>
                <w:b/>
              </w:rPr>
              <w:t>Total current inventories</w:t>
            </w:r>
          </w:p>
        </w:tc>
        <w:tc>
          <w:tcPr>
            <w:tcW w:w="866" w:type="dxa"/>
          </w:tcPr>
          <w:p w14:paraId="572540AE" w14:textId="77777777" w:rsidR="00182709" w:rsidRDefault="0044097C">
            <w:r>
              <w:rPr>
                <w:b/>
              </w:rPr>
              <w:t>11 844</w:t>
            </w:r>
          </w:p>
        </w:tc>
        <w:tc>
          <w:tcPr>
            <w:tcW w:w="866" w:type="dxa"/>
          </w:tcPr>
          <w:p w14:paraId="4B2F2D59" w14:textId="77777777" w:rsidR="00182709" w:rsidRDefault="0044097C">
            <w:r>
              <w:rPr>
                <w:b/>
              </w:rPr>
              <w:t>19 612</w:t>
            </w:r>
          </w:p>
        </w:tc>
      </w:tr>
      <w:tr w:rsidR="00671D55" w14:paraId="5CF264F7" w14:textId="77777777" w:rsidTr="0018172B">
        <w:tc>
          <w:tcPr>
            <w:tcW w:w="1560" w:type="dxa"/>
          </w:tcPr>
          <w:p w14:paraId="48EE2CA5" w14:textId="77777777" w:rsidR="00182709" w:rsidRDefault="00182709">
            <w:pPr>
              <w:jc w:val="left"/>
            </w:pPr>
          </w:p>
        </w:tc>
        <w:tc>
          <w:tcPr>
            <w:tcW w:w="6347" w:type="dxa"/>
          </w:tcPr>
          <w:p w14:paraId="743385BD" w14:textId="77777777" w:rsidR="00182709" w:rsidRDefault="0044097C">
            <w:pPr>
              <w:jc w:val="left"/>
            </w:pPr>
            <w:r>
              <w:rPr>
                <w:b/>
              </w:rPr>
              <w:t>Inventories held for distribution:</w:t>
            </w:r>
          </w:p>
        </w:tc>
        <w:tc>
          <w:tcPr>
            <w:tcW w:w="866" w:type="dxa"/>
          </w:tcPr>
          <w:p w14:paraId="779E8EA8" w14:textId="77777777" w:rsidR="00182709" w:rsidRDefault="00182709"/>
        </w:tc>
        <w:tc>
          <w:tcPr>
            <w:tcW w:w="866" w:type="dxa"/>
          </w:tcPr>
          <w:p w14:paraId="18D3AB8F" w14:textId="77777777" w:rsidR="00182709" w:rsidRDefault="00182709"/>
        </w:tc>
      </w:tr>
      <w:tr w:rsidR="00182709" w14:paraId="4016EB34" w14:textId="77777777" w:rsidTr="0018172B">
        <w:tc>
          <w:tcPr>
            <w:tcW w:w="1560" w:type="dxa"/>
          </w:tcPr>
          <w:p w14:paraId="62184D67" w14:textId="64EAB2C0" w:rsidR="00182709" w:rsidRDefault="0007383E">
            <w:pPr>
              <w:jc w:val="left"/>
            </w:pPr>
            <w:r>
              <w:rPr>
                <w:color w:val="4472C4"/>
                <w:sz w:val="13"/>
              </w:rPr>
              <w:t>AASB </w:t>
            </w:r>
            <w:r w:rsidR="002B473B">
              <w:rPr>
                <w:color w:val="4472C4"/>
                <w:sz w:val="13"/>
              </w:rPr>
              <w:t>1060.124</w:t>
            </w:r>
          </w:p>
        </w:tc>
        <w:tc>
          <w:tcPr>
            <w:tcW w:w="6347" w:type="dxa"/>
          </w:tcPr>
          <w:p w14:paraId="595E5596" w14:textId="77777777" w:rsidR="00182709" w:rsidRDefault="0044097C">
            <w:pPr>
              <w:jc w:val="left"/>
            </w:pPr>
            <w:r>
              <w:t>At cost</w:t>
            </w:r>
          </w:p>
        </w:tc>
        <w:tc>
          <w:tcPr>
            <w:tcW w:w="866" w:type="dxa"/>
          </w:tcPr>
          <w:p w14:paraId="13064E49" w14:textId="77777777" w:rsidR="00182709" w:rsidRDefault="0044097C">
            <w:r>
              <w:t>308</w:t>
            </w:r>
          </w:p>
        </w:tc>
        <w:tc>
          <w:tcPr>
            <w:tcW w:w="866" w:type="dxa"/>
          </w:tcPr>
          <w:p w14:paraId="73F6047B" w14:textId="77777777" w:rsidR="00182709" w:rsidRDefault="0044097C">
            <w:r>
              <w:t>144</w:t>
            </w:r>
          </w:p>
        </w:tc>
      </w:tr>
      <w:tr w:rsidR="00182709" w14:paraId="4C0D6682" w14:textId="77777777" w:rsidTr="0018172B">
        <w:tc>
          <w:tcPr>
            <w:tcW w:w="1560" w:type="dxa"/>
          </w:tcPr>
          <w:p w14:paraId="4A4A01EE" w14:textId="77777777" w:rsidR="00182709" w:rsidRDefault="00182709">
            <w:pPr>
              <w:jc w:val="left"/>
            </w:pPr>
          </w:p>
        </w:tc>
        <w:tc>
          <w:tcPr>
            <w:tcW w:w="6347" w:type="dxa"/>
            <w:tcBorders>
              <w:bottom w:val="single" w:sz="12" w:space="0" w:color="auto"/>
            </w:tcBorders>
          </w:tcPr>
          <w:p w14:paraId="1438F1B6" w14:textId="77777777" w:rsidR="00182709" w:rsidRDefault="0044097C">
            <w:pPr>
              <w:jc w:val="left"/>
            </w:pPr>
            <w:r>
              <w:t>Loss of service potential</w:t>
            </w:r>
          </w:p>
        </w:tc>
        <w:tc>
          <w:tcPr>
            <w:tcW w:w="866" w:type="dxa"/>
            <w:tcBorders>
              <w:bottom w:val="single" w:sz="12" w:space="0" w:color="auto"/>
            </w:tcBorders>
          </w:tcPr>
          <w:p w14:paraId="679D9C52" w14:textId="77777777" w:rsidR="00182709" w:rsidRDefault="0044097C">
            <w:r>
              <w:t>(97)</w:t>
            </w:r>
          </w:p>
        </w:tc>
        <w:tc>
          <w:tcPr>
            <w:tcW w:w="866" w:type="dxa"/>
            <w:tcBorders>
              <w:bottom w:val="single" w:sz="12" w:space="0" w:color="auto"/>
            </w:tcBorders>
          </w:tcPr>
          <w:p w14:paraId="2482E163" w14:textId="77777777" w:rsidR="00182709" w:rsidRDefault="0044097C">
            <w:r>
              <w:t>(24)</w:t>
            </w:r>
          </w:p>
        </w:tc>
      </w:tr>
      <w:tr w:rsidR="00671D55" w14:paraId="7103D3BD" w14:textId="77777777" w:rsidTr="0018172B">
        <w:tc>
          <w:tcPr>
            <w:tcW w:w="1560" w:type="dxa"/>
            <w:tcBorders>
              <w:bottom w:val="nil"/>
            </w:tcBorders>
          </w:tcPr>
          <w:p w14:paraId="3922775F" w14:textId="78EA7C3D" w:rsidR="00182709" w:rsidRDefault="0007383E">
            <w:pPr>
              <w:jc w:val="left"/>
            </w:pPr>
            <w:r>
              <w:rPr>
                <w:color w:val="4472C4"/>
                <w:sz w:val="13"/>
              </w:rPr>
              <w:t>AASB </w:t>
            </w:r>
            <w:r w:rsidR="0033074C">
              <w:rPr>
                <w:color w:val="4472C4"/>
                <w:sz w:val="13"/>
              </w:rPr>
              <w:t>1060.123 (b)</w:t>
            </w:r>
          </w:p>
        </w:tc>
        <w:tc>
          <w:tcPr>
            <w:tcW w:w="6347" w:type="dxa"/>
          </w:tcPr>
          <w:p w14:paraId="7A4A51CC" w14:textId="77777777" w:rsidR="00182709" w:rsidRDefault="0044097C">
            <w:pPr>
              <w:jc w:val="left"/>
            </w:pPr>
            <w:r>
              <w:rPr>
                <w:b/>
              </w:rPr>
              <w:t>Total inventories</w:t>
            </w:r>
          </w:p>
        </w:tc>
        <w:tc>
          <w:tcPr>
            <w:tcW w:w="866" w:type="dxa"/>
          </w:tcPr>
          <w:p w14:paraId="1030FA98" w14:textId="77777777" w:rsidR="00182709" w:rsidRDefault="0044097C">
            <w:r>
              <w:rPr>
                <w:b/>
              </w:rPr>
              <w:t>12 055</w:t>
            </w:r>
          </w:p>
        </w:tc>
        <w:tc>
          <w:tcPr>
            <w:tcW w:w="866" w:type="dxa"/>
          </w:tcPr>
          <w:p w14:paraId="420A59E2" w14:textId="77777777" w:rsidR="00182709" w:rsidRDefault="0044097C">
            <w:r>
              <w:rPr>
                <w:b/>
              </w:rPr>
              <w:t>19 732</w:t>
            </w:r>
          </w:p>
        </w:tc>
      </w:tr>
    </w:tbl>
    <w:p w14:paraId="6978B1E0" w14:textId="740C1138" w:rsidR="003719CD" w:rsidRDefault="003719CD" w:rsidP="00DC39DE">
      <w:r>
        <w:t xml:space="preserve">Inventories include </w:t>
      </w:r>
      <w:r w:rsidR="001B1DF0">
        <w:rPr>
          <w:lang w:eastAsia="zh-CN"/>
        </w:rPr>
        <w:t>computer software</w:t>
      </w:r>
      <w:r>
        <w:t xml:space="preserve"> held either for sale, or for distribution at zero or nominal cost, or for consumption in the ordinary course of business operations.</w:t>
      </w:r>
    </w:p>
    <w:p w14:paraId="467BB4BC" w14:textId="02A3B454" w:rsidR="003A5A66" w:rsidRDefault="003A5A66" w:rsidP="00DC39DE">
      <w:r>
        <w:t xml:space="preserve">In 20X2, inventories </w:t>
      </w:r>
      <w:r w:rsidRPr="00706101">
        <w:t>of $</w:t>
      </w:r>
      <w:r w:rsidR="0008725E" w:rsidRPr="002A0038">
        <w:rPr>
          <w:lang w:eastAsia="zh-CN"/>
        </w:rPr>
        <w:t>1.48 million</w:t>
      </w:r>
      <w:r w:rsidRPr="00706101">
        <w:t xml:space="preserve"> </w:t>
      </w:r>
      <w:r w:rsidR="00D1358C" w:rsidRPr="00706101">
        <w:t>(20X1: $</w:t>
      </w:r>
      <w:r w:rsidR="0008725E" w:rsidRPr="00706101">
        <w:rPr>
          <w:rFonts w:hint="eastAsia"/>
          <w:lang w:eastAsia="zh-CN"/>
        </w:rPr>
        <w:t>1.06</w:t>
      </w:r>
      <w:r w:rsidR="0008725E">
        <w:rPr>
          <w:rFonts w:hint="eastAsia"/>
          <w:lang w:eastAsia="zh-CN"/>
        </w:rPr>
        <w:t xml:space="preserve"> million</w:t>
      </w:r>
      <w:r w:rsidR="00D1358C">
        <w:t>) were recognised as an exp</w:t>
      </w:r>
      <w:r w:rsidR="00BB3540">
        <w:t>en</w:t>
      </w:r>
      <w:r w:rsidR="00D1358C">
        <w:t>se during the year and included in ‘other operating expenses” (</w:t>
      </w:r>
      <w:r w:rsidR="00D1358C" w:rsidRPr="00706101">
        <w:t xml:space="preserve">see </w:t>
      </w:r>
      <w:r w:rsidR="0028792C">
        <w:t>N</w:t>
      </w:r>
      <w:r w:rsidR="00D1358C" w:rsidRPr="00706101">
        <w:t xml:space="preserve">ote </w:t>
      </w:r>
      <w:r w:rsidR="001710B2" w:rsidRPr="00706101">
        <w:t>3.3</w:t>
      </w:r>
      <w:r w:rsidR="001710B2">
        <w:t xml:space="preserve">). </w:t>
      </w:r>
    </w:p>
    <w:p w14:paraId="3D6DD4CB" w14:textId="6E55157C" w:rsidR="00620B9D" w:rsidRDefault="00620B9D" w:rsidP="00DC39DE">
      <w:r>
        <w:t xml:space="preserve">In addition, </w:t>
      </w:r>
      <w:r w:rsidR="00BB3540">
        <w:t xml:space="preserve">inventories have been reduced </w:t>
      </w:r>
      <w:r w:rsidR="00BB3540" w:rsidRPr="00DB6392">
        <w:t>by $</w:t>
      </w:r>
      <w:r w:rsidR="00DB6392" w:rsidRPr="002A0038">
        <w:rPr>
          <w:lang w:eastAsia="zh-CN"/>
        </w:rPr>
        <w:t>0.</w:t>
      </w:r>
      <w:r w:rsidR="00BB3540" w:rsidRPr="00DB6392">
        <w:t>1</w:t>
      </w:r>
      <w:r w:rsidR="00DB6392" w:rsidRPr="002A0038">
        <w:rPr>
          <w:lang w:eastAsia="zh-CN"/>
        </w:rPr>
        <w:t>8</w:t>
      </w:r>
      <w:r w:rsidR="00BB3540" w:rsidRPr="00DB6392">
        <w:t xml:space="preserve"> </w:t>
      </w:r>
      <w:r w:rsidR="00DB6392" w:rsidRPr="00DB6392">
        <w:rPr>
          <w:lang w:eastAsia="zh-CN"/>
        </w:rPr>
        <w:t>million</w:t>
      </w:r>
      <w:r w:rsidR="00BB3540" w:rsidRPr="00DB6392">
        <w:t xml:space="preserve"> (20</w:t>
      </w:r>
      <w:r w:rsidR="00357FC8">
        <w:t>X</w:t>
      </w:r>
      <w:r w:rsidR="00BB3540" w:rsidRPr="00DB6392">
        <w:t>1: $</w:t>
      </w:r>
      <w:r w:rsidR="00DB6392" w:rsidRPr="002A0038">
        <w:rPr>
          <w:lang w:eastAsia="zh-CN"/>
        </w:rPr>
        <w:t>0.02</w:t>
      </w:r>
      <w:r w:rsidR="00BB3540" w:rsidRPr="00DB6392">
        <w:t xml:space="preserve"> </w:t>
      </w:r>
      <w:r w:rsidR="00DB6392" w:rsidRPr="00DB6392">
        <w:rPr>
          <w:lang w:eastAsia="zh-CN"/>
        </w:rPr>
        <w:t>million</w:t>
      </w:r>
      <w:r w:rsidR="000376D8">
        <w:rPr>
          <w:lang w:eastAsia="zh-CN"/>
        </w:rPr>
        <w:t>)</w:t>
      </w:r>
      <w:r w:rsidR="00BB3540" w:rsidRPr="00DB6392">
        <w:t xml:space="preserve"> </w:t>
      </w:r>
      <w:proofErr w:type="gramStart"/>
      <w:r w:rsidR="00BB3540" w:rsidRPr="00DB6392">
        <w:t>as</w:t>
      </w:r>
      <w:r w:rsidR="00BB3540">
        <w:t xml:space="preserve"> a result of</w:t>
      </w:r>
      <w:proofErr w:type="gramEnd"/>
      <w:r w:rsidR="00BB3540">
        <w:t xml:space="preserve"> the write-down to net realisable value. The write-down was recognised as an expense</w:t>
      </w:r>
      <w:r w:rsidR="00BB199A">
        <w:t xml:space="preserve"> in other economic flows</w:t>
      </w:r>
      <w:r w:rsidR="00BB3540">
        <w:t xml:space="preserve"> during 20</w:t>
      </w:r>
      <w:r w:rsidR="00357FC8">
        <w:t>X</w:t>
      </w:r>
      <w:r w:rsidR="00BB3540">
        <w:t xml:space="preserve">2 </w:t>
      </w:r>
      <w:r w:rsidR="00BB3540" w:rsidRPr="00706101">
        <w:t xml:space="preserve">(see </w:t>
      </w:r>
      <w:r w:rsidR="0028792C">
        <w:t>N</w:t>
      </w:r>
      <w:r w:rsidR="00BB3540" w:rsidRPr="00706101">
        <w:t>ote 8.2).</w:t>
      </w:r>
      <w:r w:rsidR="009207A5">
        <w:t xml:space="preserve"> </w:t>
      </w:r>
      <w:r w:rsidR="009207A5" w:rsidRPr="00E614A8">
        <w:rPr>
          <w:rStyle w:val="Reference"/>
        </w:rPr>
        <w:t>[</w:t>
      </w:r>
      <w:r w:rsidR="0007383E">
        <w:rPr>
          <w:rStyle w:val="Reference"/>
        </w:rPr>
        <w:t>AASB </w:t>
      </w:r>
      <w:r w:rsidR="009207A5">
        <w:rPr>
          <w:rStyle w:val="Reference"/>
        </w:rPr>
        <w:t>1060.123(d)]</w:t>
      </w:r>
    </w:p>
    <w:p w14:paraId="564CC8B2" w14:textId="158E1F0F" w:rsidR="003719CD" w:rsidRDefault="003719CD" w:rsidP="00DC39DE">
      <w:r>
        <w:t xml:space="preserve">Inventories held for distribution are measured at cost, adjusted for any loss of service potential. </w:t>
      </w:r>
      <w:r w:rsidR="003565D5">
        <w:t>All other inventories</w:t>
      </w:r>
      <w:r>
        <w:t xml:space="preserve"> are measured at the lower of cost and net realisable value.</w:t>
      </w:r>
      <w:r w:rsidR="00D13E9A">
        <w:t xml:space="preserve"> </w:t>
      </w:r>
      <w:r w:rsidR="00D13E9A" w:rsidRPr="00E614A8">
        <w:rPr>
          <w:rStyle w:val="Reference"/>
        </w:rPr>
        <w:t>[</w:t>
      </w:r>
      <w:r w:rsidR="0007383E">
        <w:rPr>
          <w:rStyle w:val="Reference"/>
        </w:rPr>
        <w:t>AASB </w:t>
      </w:r>
      <w:r w:rsidR="00D13E9A">
        <w:rPr>
          <w:rStyle w:val="Reference"/>
        </w:rPr>
        <w:t>1060.123(a)]</w:t>
      </w:r>
    </w:p>
    <w:p w14:paraId="5ABC4B33" w14:textId="24CF5692" w:rsidR="003719CD" w:rsidRDefault="003719CD" w:rsidP="00DC39DE">
      <w:r>
        <w:t xml:space="preserve">Where inventories are acquired for no cost or nominal consideration, they are measured at current replacement cost at the date of acquisition. </w:t>
      </w:r>
      <w:r w:rsidRPr="00E614A8">
        <w:rPr>
          <w:rStyle w:val="Reference"/>
        </w:rPr>
        <w:t>[</w:t>
      </w:r>
      <w:r w:rsidR="0007383E">
        <w:rPr>
          <w:rStyle w:val="Reference"/>
        </w:rPr>
        <w:t>AASB </w:t>
      </w:r>
      <w:r w:rsidRPr="00E614A8">
        <w:rPr>
          <w:rStyle w:val="Reference"/>
        </w:rPr>
        <w:t>102.9</w:t>
      </w:r>
      <w:r w:rsidR="00D13E9A">
        <w:rPr>
          <w:rStyle w:val="Reference"/>
        </w:rPr>
        <w:t>; 1060.123 (a)</w:t>
      </w:r>
      <w:r w:rsidR="008A1826">
        <w:rPr>
          <w:rStyle w:val="Reference"/>
        </w:rPr>
        <w:t>]</w:t>
      </w:r>
    </w:p>
    <w:p w14:paraId="049DCB02" w14:textId="51261EDF" w:rsidR="003719CD" w:rsidRDefault="003719CD" w:rsidP="00DC39DE">
      <w:r>
        <w:t xml:space="preserve">Cost includes an appropriate portion of fixed and variable overhead expenses. Cost is assigned to high value, low volume inventory items on a specific identification of cost basis. Cost for all other inventory is measured </w:t>
      </w:r>
      <w:r w:rsidR="00272092">
        <w:t>based on</w:t>
      </w:r>
      <w:r>
        <w:t xml:space="preserve"> weighted average cost. </w:t>
      </w:r>
    </w:p>
    <w:p w14:paraId="3481B949" w14:textId="3D5273B8" w:rsidR="003719CD" w:rsidRDefault="003719CD" w:rsidP="00DC39DE">
      <w:pPr>
        <w:rPr>
          <w:rStyle w:val="Reference"/>
        </w:rPr>
      </w:pPr>
      <w:r>
        <w:t xml:space="preserve">Bases used in assessing loss of service potential for inventories held for distribution include current replacement cost and technical or functional obsolescence. Technical obsolescence occurs when an item still functions for some or </w:t>
      </w:r>
      <w:proofErr w:type="gramStart"/>
      <w:r>
        <w:t>all of</w:t>
      </w:r>
      <w:proofErr w:type="gramEnd"/>
      <w:r>
        <w:t xml:space="preserve"> the tasks it was originally acquired to </w:t>
      </w:r>
      <w:proofErr w:type="gramStart"/>
      <w:r>
        <w:t>do, but</w:t>
      </w:r>
      <w:proofErr w:type="gramEnd"/>
      <w:r>
        <w:t xml:space="preserve"> no longer matches existing technologies. Functional obsolescence occurs when an item no longer functions the way it did when it was first acquired. </w:t>
      </w:r>
      <w:r w:rsidRPr="00E614A8">
        <w:rPr>
          <w:rStyle w:val="Reference"/>
        </w:rPr>
        <w:t>[</w:t>
      </w:r>
      <w:r w:rsidR="0007383E">
        <w:rPr>
          <w:rStyle w:val="Reference"/>
        </w:rPr>
        <w:t>AASB </w:t>
      </w:r>
      <w:r w:rsidRPr="00E614A8">
        <w:rPr>
          <w:rStyle w:val="Reference"/>
        </w:rPr>
        <w:t>102.Aus 9.1</w:t>
      </w:r>
      <w:r w:rsidR="0052148B">
        <w:rPr>
          <w:rStyle w:val="Reference"/>
        </w:rPr>
        <w:t>; 1060.124</w:t>
      </w:r>
      <w:r w:rsidRPr="00E614A8">
        <w:rPr>
          <w:rStyle w:val="Reference"/>
        </w:rPr>
        <w:t>]</w:t>
      </w:r>
    </w:p>
    <w:p w14:paraId="6FADE9C7" w14:textId="7133B5DA" w:rsidR="003719CD" w:rsidRDefault="003719CD" w:rsidP="00210A42">
      <w:pPr>
        <w:pStyle w:val="GuidanceBlockHeading"/>
        <w:pageBreakBefore/>
      </w:pPr>
      <w:bookmarkStart w:id="3684" w:name="_Toc179813121"/>
      <w:bookmarkStart w:id="3685" w:name="_Toc179818821"/>
      <w:bookmarkStart w:id="3686" w:name="_Toc179824521"/>
      <w:r>
        <w:t>Guidance – Inventories</w:t>
      </w:r>
      <w:bookmarkEnd w:id="3684"/>
      <w:bookmarkEnd w:id="3685"/>
      <w:bookmarkEnd w:id="3686"/>
      <w:r>
        <w:t xml:space="preserve"> </w:t>
      </w:r>
    </w:p>
    <w:p w14:paraId="7DEE6356" w14:textId="5AD69C3B" w:rsidR="003719CD" w:rsidRDefault="000709E7" w:rsidP="002A0038">
      <w:pPr>
        <w:pStyle w:val="ListBullet"/>
        <w:numPr>
          <w:ilvl w:val="0"/>
          <w:numId w:val="0"/>
        </w:numPr>
        <w:spacing w:before="120" w:after="0"/>
        <w:ind w:left="357" w:hanging="357"/>
        <w:rPr>
          <w:rStyle w:val="Guidance"/>
          <w:rFonts w:asciiTheme="majorHAnsi" w:eastAsiaTheme="majorEastAsia" w:hAnsiTheme="majorHAnsi" w:cstheme="majorBidi"/>
          <w:b/>
          <w:bCs/>
          <w:iCs/>
          <w:sz w:val="20"/>
          <w:szCs w:val="24"/>
        </w:rPr>
      </w:pPr>
      <w:r>
        <w:rPr>
          <w:rStyle w:val="Guidance"/>
        </w:rPr>
        <w:t>An entity</w:t>
      </w:r>
      <w:r w:rsidR="003719CD" w:rsidRPr="005C1FDC">
        <w:rPr>
          <w:rStyle w:val="Guidance"/>
        </w:rPr>
        <w:t xml:space="preserve"> shall disclose</w:t>
      </w:r>
      <w:r>
        <w:rPr>
          <w:rStyle w:val="Guidance"/>
        </w:rPr>
        <w:t xml:space="preserve"> the following</w:t>
      </w:r>
      <w:r w:rsidR="003719CD" w:rsidRPr="005C1FDC">
        <w:rPr>
          <w:rStyle w:val="Guidance"/>
        </w:rPr>
        <w:t xml:space="preserve">: </w:t>
      </w:r>
    </w:p>
    <w:p w14:paraId="2507604C" w14:textId="3E7B2F59" w:rsidR="002139DB" w:rsidRPr="002A0038" w:rsidRDefault="00815545" w:rsidP="002A0038">
      <w:pPr>
        <w:pStyle w:val="ListBullet"/>
        <w:numPr>
          <w:ilvl w:val="0"/>
          <w:numId w:val="337"/>
        </w:numPr>
        <w:spacing w:after="0"/>
        <w:ind w:left="357" w:hanging="357"/>
        <w:rPr>
          <w:rStyle w:val="Guidance"/>
        </w:rPr>
      </w:pPr>
      <w:r>
        <w:rPr>
          <w:rStyle w:val="Guidance"/>
        </w:rPr>
        <w:t>M</w:t>
      </w:r>
      <w:r w:rsidR="002139DB" w:rsidRPr="002A0038">
        <w:rPr>
          <w:rStyle w:val="Guidance"/>
        </w:rPr>
        <w:t>aterial accounting policy information about the measurement of inventories, including the cost formula used</w:t>
      </w:r>
    </w:p>
    <w:p w14:paraId="2DEA15E0" w14:textId="16D4371C" w:rsidR="002139DB" w:rsidRPr="002A0038" w:rsidRDefault="00815545" w:rsidP="002A0038">
      <w:pPr>
        <w:pStyle w:val="ListBullet"/>
        <w:numPr>
          <w:ilvl w:val="0"/>
          <w:numId w:val="337"/>
        </w:numPr>
        <w:spacing w:after="0"/>
        <w:ind w:left="357" w:hanging="357"/>
        <w:rPr>
          <w:rStyle w:val="Guidance"/>
        </w:rPr>
      </w:pPr>
      <w:r>
        <w:rPr>
          <w:rStyle w:val="Guidance"/>
        </w:rPr>
        <w:t>T</w:t>
      </w:r>
      <w:r w:rsidR="002139DB" w:rsidRPr="002A0038">
        <w:rPr>
          <w:rStyle w:val="Guidance"/>
        </w:rPr>
        <w:t xml:space="preserve">he total carrying </w:t>
      </w:r>
      <w:proofErr w:type="gramStart"/>
      <w:r w:rsidR="002139DB" w:rsidRPr="002A0038">
        <w:rPr>
          <w:rStyle w:val="Guidance"/>
        </w:rPr>
        <w:t>amount</w:t>
      </w:r>
      <w:proofErr w:type="gramEnd"/>
      <w:r w:rsidR="002139DB" w:rsidRPr="002A0038">
        <w:rPr>
          <w:rStyle w:val="Guidance"/>
        </w:rPr>
        <w:t xml:space="preserve"> of inventories and the carrying amount in classifications appropriate to the entity</w:t>
      </w:r>
    </w:p>
    <w:p w14:paraId="08560FBD" w14:textId="6652F57A" w:rsidR="002139DB" w:rsidRPr="002A0038" w:rsidRDefault="00815545" w:rsidP="002A0038">
      <w:pPr>
        <w:pStyle w:val="ListBullet"/>
        <w:numPr>
          <w:ilvl w:val="0"/>
          <w:numId w:val="337"/>
        </w:numPr>
        <w:spacing w:after="0"/>
        <w:ind w:left="357" w:hanging="357"/>
        <w:rPr>
          <w:rStyle w:val="Guidance"/>
        </w:rPr>
      </w:pPr>
      <w:r>
        <w:rPr>
          <w:rStyle w:val="Guidance"/>
        </w:rPr>
        <w:t>T</w:t>
      </w:r>
      <w:r w:rsidR="002139DB" w:rsidRPr="002A0038">
        <w:rPr>
          <w:rStyle w:val="Guidance"/>
        </w:rPr>
        <w:t xml:space="preserve">he </w:t>
      </w:r>
      <w:proofErr w:type="gramStart"/>
      <w:r w:rsidR="002139DB" w:rsidRPr="002A0038">
        <w:rPr>
          <w:rStyle w:val="Guidance"/>
        </w:rPr>
        <w:t>amount</w:t>
      </w:r>
      <w:proofErr w:type="gramEnd"/>
      <w:r w:rsidR="002139DB" w:rsidRPr="002A0038">
        <w:rPr>
          <w:rStyle w:val="Guidance"/>
        </w:rPr>
        <w:t xml:space="preserve"> of inventories recognised as an expense during the period</w:t>
      </w:r>
    </w:p>
    <w:p w14:paraId="613C67EA" w14:textId="17A02E07" w:rsidR="002139DB" w:rsidRDefault="00815545" w:rsidP="002A0038">
      <w:pPr>
        <w:pStyle w:val="ListBullet"/>
        <w:numPr>
          <w:ilvl w:val="0"/>
          <w:numId w:val="337"/>
        </w:numPr>
        <w:spacing w:after="0"/>
        <w:ind w:left="357" w:hanging="357"/>
        <w:rPr>
          <w:rStyle w:val="Guidance"/>
        </w:rPr>
      </w:pPr>
      <w:r>
        <w:rPr>
          <w:rStyle w:val="Guidance"/>
        </w:rPr>
        <w:t>I</w:t>
      </w:r>
      <w:r w:rsidR="002139DB" w:rsidRPr="002A0038">
        <w:rPr>
          <w:rStyle w:val="Guidance"/>
        </w:rPr>
        <w:t xml:space="preserve">mpairment losses recognised or reversed in profit or loss in accordance with </w:t>
      </w:r>
      <w:r w:rsidR="0007383E">
        <w:rPr>
          <w:rStyle w:val="Guidance"/>
        </w:rPr>
        <w:t>AASB </w:t>
      </w:r>
      <w:r w:rsidR="002139DB" w:rsidRPr="002A0038">
        <w:rPr>
          <w:rStyle w:val="Guidance"/>
        </w:rPr>
        <w:t>102</w:t>
      </w:r>
    </w:p>
    <w:p w14:paraId="56D4AFBA" w14:textId="77127AD0" w:rsidR="002139DB" w:rsidRPr="002A0038" w:rsidRDefault="00815545" w:rsidP="002A0038">
      <w:pPr>
        <w:pStyle w:val="ListBullet"/>
        <w:numPr>
          <w:ilvl w:val="0"/>
          <w:numId w:val="337"/>
        </w:numPr>
        <w:spacing w:after="0"/>
        <w:ind w:left="357" w:hanging="357"/>
        <w:rPr>
          <w:rStyle w:val="Reference"/>
          <w:color w:val="4472C4" w:themeColor="accent1"/>
          <w:sz w:val="18"/>
        </w:rPr>
      </w:pPr>
      <w:r>
        <w:rPr>
          <w:color w:val="4472C4" w:themeColor="accent1"/>
        </w:rPr>
        <w:t>T</w:t>
      </w:r>
      <w:r w:rsidR="00B01E4B" w:rsidRPr="00B01E4B">
        <w:rPr>
          <w:color w:val="4472C4" w:themeColor="accent1"/>
        </w:rPr>
        <w:t xml:space="preserve">he total carrying </w:t>
      </w:r>
      <w:proofErr w:type="gramStart"/>
      <w:r w:rsidR="00B01E4B" w:rsidRPr="00B01E4B">
        <w:rPr>
          <w:color w:val="4472C4" w:themeColor="accent1"/>
        </w:rPr>
        <w:t>amount</w:t>
      </w:r>
      <w:proofErr w:type="gramEnd"/>
      <w:r w:rsidR="00B01E4B" w:rsidRPr="00B01E4B">
        <w:rPr>
          <w:color w:val="4472C4" w:themeColor="accent1"/>
        </w:rPr>
        <w:t xml:space="preserve"> of inventories pledged as security for liabilities</w:t>
      </w:r>
      <w:r w:rsidR="00B01E4B">
        <w:rPr>
          <w:color w:val="4472C4" w:themeColor="accent1"/>
        </w:rPr>
        <w:t xml:space="preserve">. </w:t>
      </w:r>
      <w:r w:rsidR="00B01E4B" w:rsidRPr="00E614A8">
        <w:rPr>
          <w:rStyle w:val="Reference"/>
        </w:rPr>
        <w:t>[</w:t>
      </w:r>
      <w:r w:rsidR="0007383E">
        <w:rPr>
          <w:rStyle w:val="Reference"/>
        </w:rPr>
        <w:t>AASB </w:t>
      </w:r>
      <w:r w:rsidR="00B01E4B">
        <w:rPr>
          <w:rStyle w:val="Reference"/>
        </w:rPr>
        <w:t>1060.123]</w:t>
      </w:r>
    </w:p>
    <w:p w14:paraId="51A95451" w14:textId="5122BD9B" w:rsidR="0052148B" w:rsidRPr="002A0038" w:rsidRDefault="0052148B" w:rsidP="002A0038">
      <w:pPr>
        <w:keepLines w:val="0"/>
        <w:autoSpaceDE w:val="0"/>
        <w:autoSpaceDN w:val="0"/>
        <w:adjustRightInd w:val="0"/>
        <w:spacing w:before="120" w:after="0"/>
        <w:rPr>
          <w:rStyle w:val="Guidance"/>
        </w:rPr>
      </w:pPr>
      <w:r w:rsidRPr="002A0038">
        <w:rPr>
          <w:rStyle w:val="Guidance"/>
        </w:rPr>
        <w:t xml:space="preserve">Not-for-profit entities shall disclose the basis on which any loss of service potential of inventories held for distribution is assessed, or the bases when more than one basis is used, in addition to the information required by </w:t>
      </w:r>
      <w:r w:rsidR="0007383E">
        <w:rPr>
          <w:rStyle w:val="Guidance"/>
        </w:rPr>
        <w:t>AASB </w:t>
      </w:r>
      <w:r w:rsidR="00F26C84">
        <w:rPr>
          <w:rStyle w:val="Guidance"/>
        </w:rPr>
        <w:t>1060.123</w:t>
      </w:r>
      <w:r w:rsidRPr="002A0038">
        <w:rPr>
          <w:rStyle w:val="Guidance"/>
        </w:rPr>
        <w:t>.</w:t>
      </w:r>
      <w:r>
        <w:rPr>
          <w:rStyle w:val="Guidance"/>
        </w:rPr>
        <w:t xml:space="preserve"> </w:t>
      </w:r>
      <w:r w:rsidRPr="00E614A8">
        <w:rPr>
          <w:rStyle w:val="Reference"/>
        </w:rPr>
        <w:t>[</w:t>
      </w:r>
      <w:r w:rsidR="0007383E">
        <w:rPr>
          <w:rStyle w:val="Reference"/>
        </w:rPr>
        <w:t>AASB </w:t>
      </w:r>
      <w:r>
        <w:rPr>
          <w:rStyle w:val="Reference"/>
        </w:rPr>
        <w:t>1060.124]</w:t>
      </w:r>
    </w:p>
    <w:p w14:paraId="44F02000" w14:textId="77777777" w:rsidR="003719CD" w:rsidRDefault="003719CD" w:rsidP="007D536F">
      <w:pPr>
        <w:pStyle w:val="GuidanceEnd"/>
      </w:pPr>
    </w:p>
    <w:p w14:paraId="4B0869BB" w14:textId="2F4505DC" w:rsidR="003719CD" w:rsidRPr="007F23DA" w:rsidRDefault="003719CD" w:rsidP="00A80494">
      <w:pPr>
        <w:pStyle w:val="Heading2numbered"/>
      </w:pPr>
      <w:bookmarkStart w:id="3687" w:name="_Toc179813122"/>
      <w:bookmarkStart w:id="3688" w:name="_Toc179818822"/>
      <w:bookmarkStart w:id="3689" w:name="_Toc179824522"/>
      <w:bookmarkStart w:id="3690" w:name="_Toc179861719"/>
      <w:bookmarkStart w:id="3691" w:name="_Toc179869032"/>
      <w:bookmarkStart w:id="3692" w:name="_Toc179873425"/>
      <w:bookmarkStart w:id="3693" w:name="_Toc179877818"/>
      <w:bookmarkStart w:id="3694" w:name="_Toc179880319"/>
      <w:bookmarkStart w:id="3695" w:name="_Toc190333092"/>
      <w:bookmarkStart w:id="3696" w:name="_Toc190340847"/>
      <w:r w:rsidRPr="007F23DA">
        <w:t>Other non-financial assets</w:t>
      </w:r>
      <w:bookmarkEnd w:id="3687"/>
      <w:bookmarkEnd w:id="3688"/>
      <w:bookmarkEnd w:id="3689"/>
      <w:bookmarkEnd w:id="3690"/>
      <w:bookmarkEnd w:id="3691"/>
      <w:bookmarkEnd w:id="3692"/>
      <w:bookmarkEnd w:id="3693"/>
      <w:bookmarkEnd w:id="3694"/>
      <w:bookmarkEnd w:id="3695"/>
      <w:bookmarkEnd w:id="3696"/>
    </w:p>
    <w:p w14:paraId="1CCCFA96" w14:textId="77777777" w:rsidR="003719CD" w:rsidRDefault="003719CD" w:rsidP="007D536F">
      <w:pPr>
        <w:pStyle w:val="TableUnits"/>
      </w:pPr>
      <w:r>
        <w:t>($ thousand)</w:t>
      </w:r>
    </w:p>
    <w:tbl>
      <w:tblPr>
        <w:tblStyle w:val="DTFTable"/>
        <w:tblW w:w="9639" w:type="dxa"/>
        <w:tblLayout w:type="fixed"/>
        <w:tblLook w:val="0620" w:firstRow="1" w:lastRow="0" w:firstColumn="0" w:lastColumn="0" w:noHBand="1" w:noVBand="1"/>
      </w:tblPr>
      <w:tblGrid>
        <w:gridCol w:w="1349"/>
        <w:gridCol w:w="6558"/>
        <w:gridCol w:w="866"/>
        <w:gridCol w:w="866"/>
      </w:tblGrid>
      <w:tr w:rsidR="00182709" w14:paraId="4BE620AF" w14:textId="77777777" w:rsidTr="002A0038">
        <w:trPr>
          <w:cnfStyle w:val="100000000000" w:firstRow="1" w:lastRow="0" w:firstColumn="0" w:lastColumn="0" w:oddVBand="0" w:evenVBand="0" w:oddHBand="0" w:evenHBand="0" w:firstRowFirstColumn="0" w:firstRowLastColumn="0" w:lastRowFirstColumn="0" w:lastRowLastColumn="0"/>
          <w:tblHeader/>
        </w:trPr>
        <w:tc>
          <w:tcPr>
            <w:tcW w:w="1349" w:type="dxa"/>
            <w:tcBorders>
              <w:top w:val="nil"/>
              <w:bottom w:val="nil"/>
            </w:tcBorders>
            <w:shd w:val="clear" w:color="auto" w:fill="FFFFFF" w:themeFill="background1"/>
          </w:tcPr>
          <w:p w14:paraId="4DC0FB63" w14:textId="77777777" w:rsidR="00182709" w:rsidRDefault="0044097C">
            <w:pPr>
              <w:keepNext/>
              <w:jc w:val="left"/>
            </w:pPr>
            <w:r>
              <w:rPr>
                <w:color w:val="4472C4"/>
                <w:sz w:val="13"/>
              </w:rPr>
              <w:t>Source reference</w:t>
            </w:r>
          </w:p>
        </w:tc>
        <w:tc>
          <w:tcPr>
            <w:tcW w:w="6558" w:type="dxa"/>
          </w:tcPr>
          <w:p w14:paraId="7F78EEC3" w14:textId="77777777" w:rsidR="00182709" w:rsidRDefault="00182709">
            <w:pPr>
              <w:keepNext/>
              <w:jc w:val="left"/>
            </w:pPr>
          </w:p>
        </w:tc>
        <w:tc>
          <w:tcPr>
            <w:tcW w:w="866" w:type="dxa"/>
          </w:tcPr>
          <w:p w14:paraId="5D6C9AF6" w14:textId="77777777" w:rsidR="00182709" w:rsidRDefault="0044097C">
            <w:pPr>
              <w:keepNext/>
            </w:pPr>
            <w:r>
              <w:t>20X2</w:t>
            </w:r>
          </w:p>
        </w:tc>
        <w:tc>
          <w:tcPr>
            <w:tcW w:w="866" w:type="dxa"/>
          </w:tcPr>
          <w:p w14:paraId="2A81AD67" w14:textId="77777777" w:rsidR="00182709" w:rsidRDefault="0044097C">
            <w:pPr>
              <w:keepNext/>
            </w:pPr>
            <w:r>
              <w:t>20X1</w:t>
            </w:r>
          </w:p>
        </w:tc>
      </w:tr>
      <w:tr w:rsidR="00182709" w14:paraId="3D0AA712" w14:textId="77777777" w:rsidTr="002A0038">
        <w:tc>
          <w:tcPr>
            <w:tcW w:w="1349" w:type="dxa"/>
          </w:tcPr>
          <w:p w14:paraId="5680B25D" w14:textId="77777777" w:rsidR="00182709" w:rsidRDefault="00182709">
            <w:pPr>
              <w:jc w:val="left"/>
            </w:pPr>
          </w:p>
        </w:tc>
        <w:tc>
          <w:tcPr>
            <w:tcW w:w="6558" w:type="dxa"/>
          </w:tcPr>
          <w:p w14:paraId="22477CFE" w14:textId="77777777" w:rsidR="00182709" w:rsidRDefault="0044097C">
            <w:pPr>
              <w:jc w:val="left"/>
            </w:pPr>
            <w:r>
              <w:rPr>
                <w:b/>
              </w:rPr>
              <w:t>Current other assets</w:t>
            </w:r>
          </w:p>
        </w:tc>
        <w:tc>
          <w:tcPr>
            <w:tcW w:w="866" w:type="dxa"/>
          </w:tcPr>
          <w:p w14:paraId="2B92E2A2" w14:textId="77777777" w:rsidR="00182709" w:rsidRDefault="00182709"/>
        </w:tc>
        <w:tc>
          <w:tcPr>
            <w:tcW w:w="866" w:type="dxa"/>
          </w:tcPr>
          <w:p w14:paraId="3D0D29D5" w14:textId="77777777" w:rsidR="00182709" w:rsidRDefault="00182709"/>
        </w:tc>
      </w:tr>
      <w:tr w:rsidR="00182709" w14:paraId="3E85B0C7" w14:textId="77777777" w:rsidTr="002A0038">
        <w:tc>
          <w:tcPr>
            <w:tcW w:w="1349" w:type="dxa"/>
          </w:tcPr>
          <w:p w14:paraId="5CB83D72" w14:textId="77777777" w:rsidR="00182709" w:rsidRDefault="00182709">
            <w:pPr>
              <w:jc w:val="left"/>
            </w:pPr>
          </w:p>
        </w:tc>
        <w:tc>
          <w:tcPr>
            <w:tcW w:w="6558" w:type="dxa"/>
            <w:tcBorders>
              <w:bottom w:val="single" w:sz="12" w:space="0" w:color="auto"/>
            </w:tcBorders>
          </w:tcPr>
          <w:p w14:paraId="231A2B70" w14:textId="77777777" w:rsidR="00182709" w:rsidRDefault="0044097C">
            <w:pPr>
              <w:jc w:val="left"/>
            </w:pPr>
            <w:r>
              <w:t>Prepayments</w:t>
            </w:r>
          </w:p>
        </w:tc>
        <w:tc>
          <w:tcPr>
            <w:tcW w:w="866" w:type="dxa"/>
            <w:tcBorders>
              <w:bottom w:val="single" w:sz="12" w:space="0" w:color="auto"/>
            </w:tcBorders>
          </w:tcPr>
          <w:p w14:paraId="3E01262E" w14:textId="77777777" w:rsidR="00182709" w:rsidRPr="00AE5C5D" w:rsidRDefault="0044097C">
            <w:r w:rsidRPr="00AE5C5D">
              <w:t>1 483</w:t>
            </w:r>
          </w:p>
        </w:tc>
        <w:tc>
          <w:tcPr>
            <w:tcW w:w="866" w:type="dxa"/>
            <w:tcBorders>
              <w:bottom w:val="single" w:sz="12" w:space="0" w:color="auto"/>
            </w:tcBorders>
          </w:tcPr>
          <w:p w14:paraId="4D2278EB" w14:textId="77777777" w:rsidR="00182709" w:rsidRDefault="0044097C">
            <w:r>
              <w:t>380</w:t>
            </w:r>
          </w:p>
        </w:tc>
      </w:tr>
      <w:tr w:rsidR="00671D55" w14:paraId="1410C878" w14:textId="77777777" w:rsidTr="002A0038">
        <w:tc>
          <w:tcPr>
            <w:tcW w:w="1349" w:type="dxa"/>
          </w:tcPr>
          <w:p w14:paraId="29DBA13B" w14:textId="2D659E74" w:rsidR="00182709" w:rsidRDefault="0007383E">
            <w:pPr>
              <w:jc w:val="left"/>
            </w:pPr>
            <w:r>
              <w:rPr>
                <w:color w:val="4472C4"/>
                <w:sz w:val="13"/>
              </w:rPr>
              <w:t>AASB </w:t>
            </w:r>
            <w:r w:rsidR="009D4517">
              <w:rPr>
                <w:color w:val="4472C4"/>
                <w:sz w:val="13"/>
              </w:rPr>
              <w:t>1060.37</w:t>
            </w:r>
          </w:p>
        </w:tc>
        <w:tc>
          <w:tcPr>
            <w:tcW w:w="6558" w:type="dxa"/>
          </w:tcPr>
          <w:p w14:paraId="69C50D3A" w14:textId="77777777" w:rsidR="00182709" w:rsidRDefault="0044097C">
            <w:pPr>
              <w:jc w:val="left"/>
            </w:pPr>
            <w:r>
              <w:rPr>
                <w:b/>
              </w:rPr>
              <w:t>Total current other assets</w:t>
            </w:r>
          </w:p>
        </w:tc>
        <w:tc>
          <w:tcPr>
            <w:tcW w:w="866" w:type="dxa"/>
          </w:tcPr>
          <w:p w14:paraId="47995E22" w14:textId="77777777" w:rsidR="00182709" w:rsidRPr="00AE5C5D" w:rsidRDefault="0044097C">
            <w:r w:rsidRPr="00AE5C5D">
              <w:rPr>
                <w:b/>
              </w:rPr>
              <w:t>1 483</w:t>
            </w:r>
          </w:p>
        </w:tc>
        <w:tc>
          <w:tcPr>
            <w:tcW w:w="866" w:type="dxa"/>
          </w:tcPr>
          <w:p w14:paraId="61BD260D" w14:textId="77777777" w:rsidR="00182709" w:rsidRDefault="0044097C">
            <w:r>
              <w:rPr>
                <w:b/>
              </w:rPr>
              <w:t>380</w:t>
            </w:r>
          </w:p>
        </w:tc>
      </w:tr>
    </w:tbl>
    <w:p w14:paraId="1E005D65" w14:textId="4209E1BE" w:rsidR="003719CD" w:rsidRDefault="003719CD" w:rsidP="00DC39DE">
      <w:r>
        <w:t>Other non-financial assets include pre</w:t>
      </w:r>
      <w:r w:rsidR="002F6CCD">
        <w:t>-</w:t>
      </w:r>
      <w:r>
        <w:t xml:space="preserve">payments, which represent payments in advance of receipt of goods or </w:t>
      </w:r>
      <w:proofErr w:type="gramStart"/>
      <w:r>
        <w:t>services</w:t>
      </w:r>
      <w:proofErr w:type="gramEnd"/>
      <w:r>
        <w:t xml:space="preserve"> or the payments made for services covering a term extending beyond </w:t>
      </w:r>
      <w:r w:rsidR="00F609BB">
        <w:t>the reporting</w:t>
      </w:r>
      <w:r>
        <w:t xml:space="preserve"> period.</w:t>
      </w:r>
    </w:p>
    <w:p w14:paraId="7157DCFA" w14:textId="4119CA56" w:rsidR="003719CD" w:rsidRDefault="003719CD" w:rsidP="00A80494">
      <w:pPr>
        <w:pStyle w:val="Heading2numbered"/>
      </w:pPr>
      <w:bookmarkStart w:id="3697" w:name="_Toc179813123"/>
      <w:bookmarkStart w:id="3698" w:name="_Toc179818823"/>
      <w:bookmarkStart w:id="3699" w:name="_Toc179824523"/>
      <w:bookmarkStart w:id="3700" w:name="_Toc179861720"/>
      <w:bookmarkStart w:id="3701" w:name="_Toc179869033"/>
      <w:bookmarkStart w:id="3702" w:name="_Toc179873426"/>
      <w:bookmarkStart w:id="3703" w:name="_Toc179877819"/>
      <w:bookmarkStart w:id="3704" w:name="_Toc179880320"/>
      <w:bookmarkStart w:id="3705" w:name="_Toc190333093"/>
      <w:bookmarkStart w:id="3706" w:name="_Toc190340848"/>
      <w:r>
        <w:t>Other provisions</w:t>
      </w:r>
      <w:bookmarkStart w:id="3707" w:name="_Toc96704923"/>
      <w:bookmarkStart w:id="3708" w:name="_Toc130225977"/>
      <w:bookmarkStart w:id="3709" w:name="_Toc64983452"/>
      <w:bookmarkEnd w:id="3697"/>
      <w:bookmarkEnd w:id="3698"/>
      <w:bookmarkEnd w:id="3699"/>
      <w:bookmarkEnd w:id="3700"/>
      <w:bookmarkEnd w:id="3701"/>
      <w:bookmarkEnd w:id="3702"/>
      <w:bookmarkEnd w:id="3703"/>
      <w:bookmarkEnd w:id="3704"/>
      <w:bookmarkEnd w:id="3705"/>
      <w:bookmarkEnd w:id="3706"/>
      <w:r>
        <w:t xml:space="preserve"> </w:t>
      </w:r>
      <w:bookmarkEnd w:id="3707"/>
      <w:bookmarkEnd w:id="3708"/>
      <w:bookmarkEnd w:id="3709"/>
      <w:r w:rsidR="0053389D" w:rsidRPr="00E51206">
        <w:rPr>
          <w:color w:val="C00000"/>
          <w:sz w:val="20"/>
          <w:szCs w:val="20"/>
        </w:rPr>
        <w:t>[REVISED]</w:t>
      </w:r>
    </w:p>
    <w:p w14:paraId="52C54CB1" w14:textId="77777777" w:rsidR="003719CD" w:rsidRDefault="003719CD" w:rsidP="007D536F">
      <w:pPr>
        <w:pStyle w:val="TableUnits"/>
      </w:pPr>
      <w:r>
        <w:t>($ thousand)</w:t>
      </w:r>
    </w:p>
    <w:tbl>
      <w:tblPr>
        <w:tblStyle w:val="DTFTable"/>
        <w:tblW w:w="9639" w:type="dxa"/>
        <w:tblLayout w:type="fixed"/>
        <w:tblLook w:val="0620" w:firstRow="1" w:lastRow="0" w:firstColumn="0" w:lastColumn="0" w:noHBand="1" w:noVBand="1"/>
      </w:tblPr>
      <w:tblGrid>
        <w:gridCol w:w="1349"/>
        <w:gridCol w:w="6558"/>
        <w:gridCol w:w="866"/>
        <w:gridCol w:w="866"/>
      </w:tblGrid>
      <w:tr w:rsidR="00182709" w14:paraId="03D8C0D1" w14:textId="77777777" w:rsidTr="00182709">
        <w:trPr>
          <w:cnfStyle w:val="100000000000" w:firstRow="1" w:lastRow="0" w:firstColumn="0" w:lastColumn="0" w:oddVBand="0" w:evenVBand="0" w:oddHBand="0" w:evenHBand="0" w:firstRowFirstColumn="0" w:firstRowLastColumn="0" w:lastRowFirstColumn="0" w:lastRowLastColumn="0"/>
          <w:tblHeader/>
        </w:trPr>
        <w:tc>
          <w:tcPr>
            <w:tcW w:w="1417" w:type="dxa"/>
            <w:tcBorders>
              <w:top w:val="nil"/>
              <w:bottom w:val="nil"/>
            </w:tcBorders>
            <w:shd w:val="clear" w:color="auto" w:fill="FFFFFF" w:themeFill="background1"/>
          </w:tcPr>
          <w:p w14:paraId="1B5719F0" w14:textId="77777777" w:rsidR="00182709" w:rsidRDefault="0044097C">
            <w:pPr>
              <w:keepNext/>
              <w:jc w:val="left"/>
            </w:pPr>
            <w:r>
              <w:rPr>
                <w:color w:val="4472C4"/>
                <w:sz w:val="13"/>
              </w:rPr>
              <w:t>Source reference</w:t>
            </w:r>
          </w:p>
        </w:tc>
        <w:tc>
          <w:tcPr>
            <w:tcW w:w="6917" w:type="dxa"/>
          </w:tcPr>
          <w:p w14:paraId="778AD40A" w14:textId="77777777" w:rsidR="00182709" w:rsidRDefault="00182709">
            <w:pPr>
              <w:keepNext/>
              <w:jc w:val="left"/>
            </w:pPr>
          </w:p>
        </w:tc>
        <w:tc>
          <w:tcPr>
            <w:tcW w:w="907" w:type="dxa"/>
          </w:tcPr>
          <w:p w14:paraId="23F58B41" w14:textId="77777777" w:rsidR="00182709" w:rsidRDefault="0044097C">
            <w:pPr>
              <w:keepNext/>
            </w:pPr>
            <w:r>
              <w:t>20X2</w:t>
            </w:r>
          </w:p>
        </w:tc>
        <w:tc>
          <w:tcPr>
            <w:tcW w:w="907" w:type="dxa"/>
          </w:tcPr>
          <w:p w14:paraId="1DEC0DC3" w14:textId="77777777" w:rsidR="00182709" w:rsidRDefault="0044097C">
            <w:pPr>
              <w:keepNext/>
            </w:pPr>
            <w:r>
              <w:t>20X1</w:t>
            </w:r>
          </w:p>
        </w:tc>
      </w:tr>
      <w:tr w:rsidR="00182709" w14:paraId="3EFC67CF" w14:textId="77777777">
        <w:tc>
          <w:tcPr>
            <w:tcW w:w="1417" w:type="dxa"/>
          </w:tcPr>
          <w:p w14:paraId="2D69D6A3" w14:textId="7DE91128" w:rsidR="00182709" w:rsidRDefault="0007383E">
            <w:pPr>
              <w:jc w:val="left"/>
            </w:pPr>
            <w:r>
              <w:rPr>
                <w:color w:val="4472C4"/>
                <w:sz w:val="13"/>
              </w:rPr>
              <w:t>AASB </w:t>
            </w:r>
            <w:r w:rsidR="00C70855">
              <w:rPr>
                <w:color w:val="4472C4"/>
                <w:sz w:val="13"/>
              </w:rPr>
              <w:t>1060.37</w:t>
            </w:r>
          </w:p>
        </w:tc>
        <w:tc>
          <w:tcPr>
            <w:tcW w:w="6917" w:type="dxa"/>
          </w:tcPr>
          <w:p w14:paraId="505BF458" w14:textId="77777777" w:rsidR="00182709" w:rsidRDefault="0044097C">
            <w:pPr>
              <w:jc w:val="left"/>
            </w:pPr>
            <w:r>
              <w:rPr>
                <w:b/>
              </w:rPr>
              <w:t>Current provisions</w:t>
            </w:r>
          </w:p>
        </w:tc>
        <w:tc>
          <w:tcPr>
            <w:tcW w:w="907" w:type="dxa"/>
          </w:tcPr>
          <w:p w14:paraId="72B9B898" w14:textId="77777777" w:rsidR="00182709" w:rsidRDefault="00182709"/>
        </w:tc>
        <w:tc>
          <w:tcPr>
            <w:tcW w:w="907" w:type="dxa"/>
          </w:tcPr>
          <w:p w14:paraId="59EB9D3F" w14:textId="77777777" w:rsidR="00182709" w:rsidRDefault="00182709"/>
        </w:tc>
      </w:tr>
      <w:tr w:rsidR="00182709" w14:paraId="56328504" w14:textId="77777777" w:rsidTr="00182709">
        <w:tc>
          <w:tcPr>
            <w:tcW w:w="1417" w:type="dxa"/>
          </w:tcPr>
          <w:p w14:paraId="74273594" w14:textId="77777777" w:rsidR="00182709" w:rsidRDefault="00182709">
            <w:pPr>
              <w:jc w:val="left"/>
            </w:pPr>
          </w:p>
        </w:tc>
        <w:tc>
          <w:tcPr>
            <w:tcW w:w="6917" w:type="dxa"/>
            <w:tcBorders>
              <w:bottom w:val="single" w:sz="12" w:space="0" w:color="auto"/>
            </w:tcBorders>
          </w:tcPr>
          <w:p w14:paraId="1F3F769D" w14:textId="011844F0" w:rsidR="00182709" w:rsidRDefault="0044097C">
            <w:pPr>
              <w:jc w:val="left"/>
            </w:pPr>
            <w:r>
              <w:t>Onerous contracts</w:t>
            </w:r>
          </w:p>
        </w:tc>
        <w:tc>
          <w:tcPr>
            <w:tcW w:w="907" w:type="dxa"/>
            <w:tcBorders>
              <w:bottom w:val="single" w:sz="12" w:space="0" w:color="auto"/>
            </w:tcBorders>
          </w:tcPr>
          <w:p w14:paraId="60B624A6" w14:textId="77777777" w:rsidR="00182709" w:rsidRDefault="0044097C">
            <w:r>
              <w:t>993</w:t>
            </w:r>
          </w:p>
        </w:tc>
        <w:tc>
          <w:tcPr>
            <w:tcW w:w="907" w:type="dxa"/>
            <w:tcBorders>
              <w:bottom w:val="single" w:sz="12" w:space="0" w:color="auto"/>
            </w:tcBorders>
          </w:tcPr>
          <w:p w14:paraId="46A8D650" w14:textId="77777777" w:rsidR="00182709" w:rsidRDefault="0044097C">
            <w:r>
              <w:t>2 290</w:t>
            </w:r>
          </w:p>
        </w:tc>
      </w:tr>
      <w:tr w:rsidR="00671D55" w14:paraId="5FB49945" w14:textId="77777777" w:rsidTr="00182709">
        <w:tc>
          <w:tcPr>
            <w:tcW w:w="1417" w:type="dxa"/>
          </w:tcPr>
          <w:p w14:paraId="6B25CF01" w14:textId="6E1C59B6" w:rsidR="00182709" w:rsidRDefault="00182709">
            <w:pPr>
              <w:jc w:val="left"/>
            </w:pPr>
          </w:p>
        </w:tc>
        <w:tc>
          <w:tcPr>
            <w:tcW w:w="6917" w:type="dxa"/>
          </w:tcPr>
          <w:p w14:paraId="2483506D" w14:textId="77777777" w:rsidR="00182709" w:rsidRDefault="0044097C">
            <w:pPr>
              <w:jc w:val="left"/>
            </w:pPr>
            <w:r>
              <w:rPr>
                <w:b/>
              </w:rPr>
              <w:t>Total current provisions</w:t>
            </w:r>
          </w:p>
        </w:tc>
        <w:tc>
          <w:tcPr>
            <w:tcW w:w="907" w:type="dxa"/>
          </w:tcPr>
          <w:p w14:paraId="5CB13133" w14:textId="77777777" w:rsidR="00182709" w:rsidRDefault="0044097C">
            <w:r>
              <w:rPr>
                <w:b/>
              </w:rPr>
              <w:t>993</w:t>
            </w:r>
          </w:p>
        </w:tc>
        <w:tc>
          <w:tcPr>
            <w:tcW w:w="907" w:type="dxa"/>
          </w:tcPr>
          <w:p w14:paraId="14B955EF" w14:textId="77777777" w:rsidR="00182709" w:rsidRDefault="0044097C">
            <w:r>
              <w:rPr>
                <w:b/>
              </w:rPr>
              <w:t>2 290</w:t>
            </w:r>
          </w:p>
        </w:tc>
      </w:tr>
      <w:tr w:rsidR="00671D55" w14:paraId="06EA0B06" w14:textId="77777777" w:rsidTr="00182709">
        <w:tc>
          <w:tcPr>
            <w:tcW w:w="1417" w:type="dxa"/>
          </w:tcPr>
          <w:p w14:paraId="35DF7243" w14:textId="5BD0A530" w:rsidR="00182709" w:rsidRDefault="0007383E">
            <w:pPr>
              <w:jc w:val="left"/>
            </w:pPr>
            <w:r>
              <w:rPr>
                <w:color w:val="4472C4"/>
                <w:sz w:val="13"/>
              </w:rPr>
              <w:t>AASB </w:t>
            </w:r>
            <w:r w:rsidR="00C70855">
              <w:rPr>
                <w:color w:val="4472C4"/>
                <w:sz w:val="13"/>
              </w:rPr>
              <w:t>1060.37</w:t>
            </w:r>
          </w:p>
        </w:tc>
        <w:tc>
          <w:tcPr>
            <w:tcW w:w="6917" w:type="dxa"/>
          </w:tcPr>
          <w:p w14:paraId="582F5106" w14:textId="77777777" w:rsidR="00182709" w:rsidRDefault="0044097C">
            <w:pPr>
              <w:jc w:val="left"/>
            </w:pPr>
            <w:r>
              <w:rPr>
                <w:b/>
              </w:rPr>
              <w:t>Non</w:t>
            </w:r>
            <w:r>
              <w:rPr>
                <w:b/>
              </w:rPr>
              <w:noBreakHyphen/>
              <w:t>current provisions</w:t>
            </w:r>
          </w:p>
        </w:tc>
        <w:tc>
          <w:tcPr>
            <w:tcW w:w="907" w:type="dxa"/>
          </w:tcPr>
          <w:p w14:paraId="2A444778" w14:textId="77777777" w:rsidR="00182709" w:rsidRDefault="00182709"/>
        </w:tc>
        <w:tc>
          <w:tcPr>
            <w:tcW w:w="907" w:type="dxa"/>
          </w:tcPr>
          <w:p w14:paraId="18769CD7" w14:textId="77777777" w:rsidR="00182709" w:rsidRDefault="00182709"/>
        </w:tc>
      </w:tr>
      <w:tr w:rsidR="00182709" w14:paraId="2B89DBAC" w14:textId="77777777">
        <w:tc>
          <w:tcPr>
            <w:tcW w:w="1417" w:type="dxa"/>
          </w:tcPr>
          <w:p w14:paraId="50079C46" w14:textId="3BB3AEEF" w:rsidR="00182709" w:rsidRDefault="00182709">
            <w:pPr>
              <w:jc w:val="left"/>
            </w:pPr>
          </w:p>
        </w:tc>
        <w:tc>
          <w:tcPr>
            <w:tcW w:w="6917" w:type="dxa"/>
          </w:tcPr>
          <w:p w14:paraId="4F030C09" w14:textId="1B195BE5" w:rsidR="00182709" w:rsidRDefault="0044097C">
            <w:pPr>
              <w:jc w:val="left"/>
            </w:pPr>
            <w:r>
              <w:t>Onerous contracts</w:t>
            </w:r>
          </w:p>
        </w:tc>
        <w:tc>
          <w:tcPr>
            <w:tcW w:w="907" w:type="dxa"/>
          </w:tcPr>
          <w:p w14:paraId="42F1909B" w14:textId="77777777" w:rsidR="00182709" w:rsidRDefault="0044097C">
            <w:r>
              <w:t>709</w:t>
            </w:r>
          </w:p>
        </w:tc>
        <w:tc>
          <w:tcPr>
            <w:tcW w:w="907" w:type="dxa"/>
          </w:tcPr>
          <w:p w14:paraId="48457442" w14:textId="77777777" w:rsidR="00182709" w:rsidRDefault="0044097C">
            <w:r>
              <w:t>1 273</w:t>
            </w:r>
          </w:p>
        </w:tc>
      </w:tr>
      <w:tr w:rsidR="00182709" w14:paraId="4A24112A" w14:textId="77777777" w:rsidTr="00182709">
        <w:tc>
          <w:tcPr>
            <w:tcW w:w="1417" w:type="dxa"/>
          </w:tcPr>
          <w:p w14:paraId="62BD2B33" w14:textId="77777777" w:rsidR="00182709" w:rsidRDefault="00182709">
            <w:pPr>
              <w:jc w:val="left"/>
            </w:pPr>
          </w:p>
        </w:tc>
        <w:tc>
          <w:tcPr>
            <w:tcW w:w="6917" w:type="dxa"/>
            <w:tcBorders>
              <w:bottom w:val="single" w:sz="12" w:space="0" w:color="auto"/>
            </w:tcBorders>
          </w:tcPr>
          <w:p w14:paraId="0E2F3BF1" w14:textId="77777777" w:rsidR="00182709" w:rsidRDefault="0044097C">
            <w:pPr>
              <w:jc w:val="left"/>
            </w:pPr>
            <w:r>
              <w:t>Make‑good provision</w:t>
            </w:r>
          </w:p>
        </w:tc>
        <w:tc>
          <w:tcPr>
            <w:tcW w:w="907" w:type="dxa"/>
            <w:tcBorders>
              <w:bottom w:val="single" w:sz="12" w:space="0" w:color="auto"/>
            </w:tcBorders>
          </w:tcPr>
          <w:p w14:paraId="451B3C0E" w14:textId="77777777" w:rsidR="00182709" w:rsidRDefault="0044097C">
            <w:r>
              <w:t>450</w:t>
            </w:r>
          </w:p>
        </w:tc>
        <w:tc>
          <w:tcPr>
            <w:tcW w:w="907" w:type="dxa"/>
            <w:tcBorders>
              <w:bottom w:val="single" w:sz="12" w:space="0" w:color="auto"/>
            </w:tcBorders>
          </w:tcPr>
          <w:p w14:paraId="40DBC512" w14:textId="77777777" w:rsidR="00182709" w:rsidRDefault="0044097C">
            <w:r>
              <w:t>375</w:t>
            </w:r>
          </w:p>
        </w:tc>
      </w:tr>
      <w:tr w:rsidR="00671D55" w14:paraId="5F7204ED" w14:textId="77777777" w:rsidTr="00182709">
        <w:tc>
          <w:tcPr>
            <w:tcW w:w="1417" w:type="dxa"/>
          </w:tcPr>
          <w:p w14:paraId="64B358FD" w14:textId="77777777" w:rsidR="00182709" w:rsidRDefault="00182709">
            <w:pPr>
              <w:jc w:val="left"/>
            </w:pPr>
          </w:p>
        </w:tc>
        <w:tc>
          <w:tcPr>
            <w:tcW w:w="6917" w:type="dxa"/>
          </w:tcPr>
          <w:p w14:paraId="4F69CEDB" w14:textId="77777777" w:rsidR="00182709" w:rsidRDefault="0044097C">
            <w:pPr>
              <w:jc w:val="left"/>
            </w:pPr>
            <w:r>
              <w:rPr>
                <w:b/>
              </w:rPr>
              <w:t>Total non‑current provisions</w:t>
            </w:r>
          </w:p>
        </w:tc>
        <w:tc>
          <w:tcPr>
            <w:tcW w:w="907" w:type="dxa"/>
          </w:tcPr>
          <w:p w14:paraId="29318572" w14:textId="77777777" w:rsidR="00182709" w:rsidRDefault="0044097C">
            <w:r>
              <w:rPr>
                <w:b/>
              </w:rPr>
              <w:t>1 159</w:t>
            </w:r>
          </w:p>
        </w:tc>
        <w:tc>
          <w:tcPr>
            <w:tcW w:w="907" w:type="dxa"/>
          </w:tcPr>
          <w:p w14:paraId="6BD930BE" w14:textId="77777777" w:rsidR="00182709" w:rsidRDefault="0044097C">
            <w:r>
              <w:rPr>
                <w:b/>
              </w:rPr>
              <w:t>1 648</w:t>
            </w:r>
          </w:p>
        </w:tc>
      </w:tr>
      <w:tr w:rsidR="00671D55" w14:paraId="47AA0094" w14:textId="77777777" w:rsidTr="00182709">
        <w:tc>
          <w:tcPr>
            <w:tcW w:w="1417" w:type="dxa"/>
            <w:tcBorders>
              <w:bottom w:val="nil"/>
            </w:tcBorders>
          </w:tcPr>
          <w:p w14:paraId="72675D9D" w14:textId="77777777" w:rsidR="00182709" w:rsidRDefault="00182709">
            <w:pPr>
              <w:jc w:val="left"/>
            </w:pPr>
          </w:p>
        </w:tc>
        <w:tc>
          <w:tcPr>
            <w:tcW w:w="6917" w:type="dxa"/>
          </w:tcPr>
          <w:p w14:paraId="027F4AC6" w14:textId="77777777" w:rsidR="00182709" w:rsidRDefault="0044097C">
            <w:pPr>
              <w:jc w:val="left"/>
            </w:pPr>
            <w:r>
              <w:rPr>
                <w:b/>
              </w:rPr>
              <w:t>Total other provisions</w:t>
            </w:r>
          </w:p>
        </w:tc>
        <w:tc>
          <w:tcPr>
            <w:tcW w:w="907" w:type="dxa"/>
          </w:tcPr>
          <w:p w14:paraId="68642F6C" w14:textId="77777777" w:rsidR="00182709" w:rsidRDefault="0044097C">
            <w:r>
              <w:rPr>
                <w:b/>
              </w:rPr>
              <w:t>2 152</w:t>
            </w:r>
          </w:p>
        </w:tc>
        <w:tc>
          <w:tcPr>
            <w:tcW w:w="907" w:type="dxa"/>
          </w:tcPr>
          <w:p w14:paraId="667C237E" w14:textId="77777777" w:rsidR="00182709" w:rsidRDefault="0044097C">
            <w:r>
              <w:rPr>
                <w:b/>
              </w:rPr>
              <w:t>3 938</w:t>
            </w:r>
          </w:p>
        </w:tc>
      </w:tr>
    </w:tbl>
    <w:p w14:paraId="5254335E" w14:textId="1AFE6737" w:rsidR="003719CD" w:rsidRDefault="003719CD" w:rsidP="00DC39DE">
      <w:pPr>
        <w:rPr>
          <w:lang w:eastAsia="zh-CN"/>
        </w:rPr>
      </w:pPr>
      <w:r>
        <w:t xml:space="preserve">Other provisions are recognised when </w:t>
      </w:r>
      <w:r w:rsidR="006B48BC">
        <w:t>TV</w:t>
      </w:r>
      <w:r>
        <w:t xml:space="preserve"> has a present obligation, the future sacrifice of economic benefits is probable, and the amount of the provision can be measured reliably. The amount recognised as a provision is the best estimate of the consideration required to settle the present obligation at reporting date, </w:t>
      </w:r>
      <w:r w:rsidR="00272092">
        <w:t>considering</w:t>
      </w:r>
      <w:r>
        <w:t xml:space="preserve"> the risks and uncertainties surrounding the obligation.</w:t>
      </w:r>
      <w:r w:rsidR="008950B3">
        <w:rPr>
          <w:rFonts w:hint="eastAsia"/>
          <w:lang w:eastAsia="zh-CN"/>
        </w:rPr>
        <w:t xml:space="preserve"> </w:t>
      </w:r>
      <w:r w:rsidR="008950B3" w:rsidRPr="00543833">
        <w:rPr>
          <w:rStyle w:val="Reference"/>
        </w:rPr>
        <w:t>[</w:t>
      </w:r>
      <w:r w:rsidR="0007383E">
        <w:rPr>
          <w:rStyle w:val="Reference"/>
        </w:rPr>
        <w:t>AASB </w:t>
      </w:r>
      <w:r w:rsidR="008950B3" w:rsidRPr="00543833">
        <w:rPr>
          <w:rStyle w:val="Reference"/>
        </w:rPr>
        <w:t>137.</w:t>
      </w:r>
      <w:r w:rsidR="008950B3">
        <w:rPr>
          <w:rStyle w:val="Reference"/>
          <w:rFonts w:hint="eastAsia"/>
          <w:lang w:eastAsia="zh-CN"/>
        </w:rPr>
        <w:t>14</w:t>
      </w:r>
      <w:r w:rsidR="008950B3" w:rsidRPr="00543833">
        <w:rPr>
          <w:rStyle w:val="Reference"/>
        </w:rPr>
        <w:t>]</w:t>
      </w:r>
    </w:p>
    <w:p w14:paraId="0343733F" w14:textId="4E754A18" w:rsidR="003719CD" w:rsidRDefault="003719CD" w:rsidP="00DC39DE">
      <w:r>
        <w:t xml:space="preserve">Where a provision is measured using the cash flows estimated to settle the present obligation, </w:t>
      </w:r>
      <w:proofErr w:type="gramStart"/>
      <w:r>
        <w:t>its</w:t>
      </w:r>
      <w:proofErr w:type="gramEnd"/>
      <w:r>
        <w:t xml:space="preserve"> carrying amount is the present value of those cash flows, using a discount rate that reflects the time value of money and risks specific to the provision.</w:t>
      </w:r>
      <w:r w:rsidR="006B3C7D" w:rsidRPr="006B3C7D">
        <w:rPr>
          <w:rStyle w:val="Reference"/>
        </w:rPr>
        <w:t xml:space="preserve"> </w:t>
      </w:r>
      <w:r w:rsidR="006B3C7D" w:rsidRPr="00543833">
        <w:rPr>
          <w:rStyle w:val="Reference"/>
        </w:rPr>
        <w:t>[</w:t>
      </w:r>
      <w:r w:rsidR="0007383E">
        <w:rPr>
          <w:rStyle w:val="Reference"/>
        </w:rPr>
        <w:t>AASB </w:t>
      </w:r>
      <w:r w:rsidR="006B3C7D" w:rsidRPr="00543833">
        <w:rPr>
          <w:rStyle w:val="Reference"/>
        </w:rPr>
        <w:t>137.</w:t>
      </w:r>
      <w:r w:rsidR="006B3C7D">
        <w:rPr>
          <w:rStyle w:val="Reference"/>
          <w:rFonts w:hint="eastAsia"/>
          <w:lang w:eastAsia="zh-CN"/>
        </w:rPr>
        <w:t>47</w:t>
      </w:r>
      <w:r w:rsidR="006B3C7D" w:rsidRPr="00543833">
        <w:rPr>
          <w:rStyle w:val="Reference"/>
        </w:rPr>
        <w:t>]</w:t>
      </w:r>
    </w:p>
    <w:p w14:paraId="4DA8E00C" w14:textId="3CE20F4B" w:rsidR="003719CD" w:rsidRDefault="003719CD" w:rsidP="007D536F">
      <w:pPr>
        <w:pStyle w:val="Caption"/>
      </w:pPr>
      <w:r>
        <w:t xml:space="preserve">Reconciliation of movements in other provisions </w:t>
      </w:r>
      <w:r>
        <w:tab/>
        <w:t>($ thousand)</w:t>
      </w:r>
    </w:p>
    <w:tbl>
      <w:tblPr>
        <w:tblStyle w:val="DTFTable"/>
        <w:tblW w:w="9639" w:type="dxa"/>
        <w:tblLayout w:type="fixed"/>
        <w:tblLook w:val="0620" w:firstRow="1" w:lastRow="0" w:firstColumn="0" w:lastColumn="0" w:noHBand="1" w:noVBand="1"/>
      </w:tblPr>
      <w:tblGrid>
        <w:gridCol w:w="1837"/>
        <w:gridCol w:w="4542"/>
        <w:gridCol w:w="1086"/>
        <w:gridCol w:w="1087"/>
        <w:gridCol w:w="1087"/>
      </w:tblGrid>
      <w:tr w:rsidR="00182709" w14:paraId="443AA6C5" w14:textId="77777777" w:rsidTr="002A0038">
        <w:trPr>
          <w:cnfStyle w:val="100000000000" w:firstRow="1" w:lastRow="0" w:firstColumn="0" w:lastColumn="0" w:oddVBand="0" w:evenVBand="0" w:oddHBand="0" w:evenHBand="0" w:firstRowFirstColumn="0" w:firstRowLastColumn="0" w:lastRowFirstColumn="0" w:lastRowLastColumn="0"/>
          <w:tblHeader/>
        </w:trPr>
        <w:tc>
          <w:tcPr>
            <w:tcW w:w="1837" w:type="dxa"/>
            <w:tcBorders>
              <w:top w:val="nil"/>
              <w:bottom w:val="nil"/>
            </w:tcBorders>
            <w:shd w:val="clear" w:color="auto" w:fill="FFFFFF" w:themeFill="background1"/>
          </w:tcPr>
          <w:p w14:paraId="67DB0A43" w14:textId="77777777" w:rsidR="00182709" w:rsidRDefault="0044097C">
            <w:pPr>
              <w:keepNext/>
              <w:jc w:val="left"/>
            </w:pPr>
            <w:r>
              <w:rPr>
                <w:color w:val="4472C4"/>
                <w:sz w:val="13"/>
              </w:rPr>
              <w:t>Source reference</w:t>
            </w:r>
          </w:p>
        </w:tc>
        <w:tc>
          <w:tcPr>
            <w:tcW w:w="4542" w:type="dxa"/>
          </w:tcPr>
          <w:p w14:paraId="5925A07A" w14:textId="77777777" w:rsidR="00182709" w:rsidRDefault="00182709">
            <w:pPr>
              <w:keepNext/>
              <w:jc w:val="left"/>
            </w:pPr>
          </w:p>
        </w:tc>
        <w:tc>
          <w:tcPr>
            <w:tcW w:w="1086" w:type="dxa"/>
          </w:tcPr>
          <w:p w14:paraId="138A56FE" w14:textId="77777777" w:rsidR="00182709" w:rsidRDefault="0044097C">
            <w:pPr>
              <w:keepNext/>
            </w:pPr>
            <w:r>
              <w:t>Onerous contracts</w:t>
            </w:r>
          </w:p>
        </w:tc>
        <w:tc>
          <w:tcPr>
            <w:tcW w:w="1087" w:type="dxa"/>
          </w:tcPr>
          <w:p w14:paraId="3D380C9D" w14:textId="77777777" w:rsidR="00182709" w:rsidRDefault="0044097C">
            <w:pPr>
              <w:keepNext/>
            </w:pPr>
            <w:r>
              <w:t>Make</w:t>
            </w:r>
            <w:r>
              <w:noBreakHyphen/>
              <w:t>good</w:t>
            </w:r>
          </w:p>
        </w:tc>
        <w:tc>
          <w:tcPr>
            <w:tcW w:w="1087" w:type="dxa"/>
          </w:tcPr>
          <w:p w14:paraId="2A48C1AC" w14:textId="77777777" w:rsidR="00182709" w:rsidRDefault="0044097C">
            <w:pPr>
              <w:keepNext/>
            </w:pPr>
            <w:r>
              <w:t>Total 20X2</w:t>
            </w:r>
          </w:p>
        </w:tc>
      </w:tr>
      <w:tr w:rsidR="00182709" w14:paraId="466270C0" w14:textId="77777777" w:rsidTr="002A0038">
        <w:tc>
          <w:tcPr>
            <w:tcW w:w="1837" w:type="dxa"/>
          </w:tcPr>
          <w:p w14:paraId="191CB1C1" w14:textId="46FA980E" w:rsidR="00182709" w:rsidRDefault="0007383E">
            <w:pPr>
              <w:jc w:val="left"/>
            </w:pPr>
            <w:r>
              <w:rPr>
                <w:color w:val="4472C4"/>
                <w:sz w:val="13"/>
              </w:rPr>
              <w:t>AASB </w:t>
            </w:r>
            <w:r w:rsidR="00966A81">
              <w:rPr>
                <w:color w:val="4472C4"/>
                <w:sz w:val="13"/>
              </w:rPr>
              <w:t>1060.153(a)(i)</w:t>
            </w:r>
          </w:p>
        </w:tc>
        <w:tc>
          <w:tcPr>
            <w:tcW w:w="4542" w:type="dxa"/>
          </w:tcPr>
          <w:p w14:paraId="7CDBF8F3" w14:textId="77777777" w:rsidR="00182709" w:rsidRDefault="0044097C">
            <w:pPr>
              <w:jc w:val="left"/>
            </w:pPr>
            <w:r>
              <w:rPr>
                <w:b/>
              </w:rPr>
              <w:t>Opening balance</w:t>
            </w:r>
          </w:p>
        </w:tc>
        <w:tc>
          <w:tcPr>
            <w:tcW w:w="1086" w:type="dxa"/>
          </w:tcPr>
          <w:p w14:paraId="1DEA7931" w14:textId="77777777" w:rsidR="00182709" w:rsidRDefault="0044097C">
            <w:r>
              <w:rPr>
                <w:b/>
              </w:rPr>
              <w:t>3 563</w:t>
            </w:r>
          </w:p>
        </w:tc>
        <w:tc>
          <w:tcPr>
            <w:tcW w:w="1087" w:type="dxa"/>
          </w:tcPr>
          <w:p w14:paraId="47380A77" w14:textId="77777777" w:rsidR="00182709" w:rsidRDefault="0044097C">
            <w:r>
              <w:rPr>
                <w:b/>
              </w:rPr>
              <w:t>375</w:t>
            </w:r>
          </w:p>
        </w:tc>
        <w:tc>
          <w:tcPr>
            <w:tcW w:w="1087" w:type="dxa"/>
          </w:tcPr>
          <w:p w14:paraId="4BF663E0" w14:textId="77777777" w:rsidR="00182709" w:rsidRDefault="0044097C">
            <w:r>
              <w:rPr>
                <w:b/>
              </w:rPr>
              <w:t>3 938</w:t>
            </w:r>
          </w:p>
        </w:tc>
      </w:tr>
      <w:tr w:rsidR="00182709" w14:paraId="7DEF7A72" w14:textId="77777777" w:rsidTr="002A0038">
        <w:tc>
          <w:tcPr>
            <w:tcW w:w="1837" w:type="dxa"/>
          </w:tcPr>
          <w:p w14:paraId="48B24000" w14:textId="4C4A1A5B" w:rsidR="00182709" w:rsidRDefault="0007383E">
            <w:pPr>
              <w:jc w:val="left"/>
            </w:pPr>
            <w:r>
              <w:rPr>
                <w:color w:val="4472C4"/>
                <w:sz w:val="13"/>
              </w:rPr>
              <w:t>AASB </w:t>
            </w:r>
            <w:r w:rsidR="007D2F4A">
              <w:rPr>
                <w:color w:val="4472C4"/>
                <w:sz w:val="13"/>
              </w:rPr>
              <w:t>1060.153(a)(ii)</w:t>
            </w:r>
          </w:p>
        </w:tc>
        <w:tc>
          <w:tcPr>
            <w:tcW w:w="4542" w:type="dxa"/>
          </w:tcPr>
          <w:p w14:paraId="794E15CA" w14:textId="1233FACD" w:rsidR="00182709" w:rsidRDefault="0044097C">
            <w:pPr>
              <w:jc w:val="left"/>
            </w:pPr>
            <w:r>
              <w:t xml:space="preserve">Additions </w:t>
            </w:r>
            <w:r w:rsidR="00235D70">
              <w:rPr>
                <w:rFonts w:hint="eastAsia"/>
                <w:lang w:eastAsia="zh-CN"/>
              </w:rPr>
              <w:t xml:space="preserve">including </w:t>
            </w:r>
            <w:r w:rsidR="00235D70">
              <w:rPr>
                <w:lang w:eastAsia="zh-CN"/>
              </w:rPr>
              <w:t>adjustments</w:t>
            </w:r>
            <w:r w:rsidR="00235D70">
              <w:rPr>
                <w:rFonts w:hint="eastAsia"/>
                <w:lang w:eastAsia="zh-CN"/>
              </w:rPr>
              <w:t xml:space="preserve"> resulting from changes in discount</w:t>
            </w:r>
            <w:r w:rsidR="00B00A6A">
              <w:rPr>
                <w:rFonts w:hint="eastAsia"/>
                <w:lang w:eastAsia="zh-CN"/>
              </w:rPr>
              <w:t>ed amount</w:t>
            </w:r>
          </w:p>
        </w:tc>
        <w:tc>
          <w:tcPr>
            <w:tcW w:w="1086" w:type="dxa"/>
          </w:tcPr>
          <w:p w14:paraId="43A6E5C3" w14:textId="77777777" w:rsidR="00182709" w:rsidRDefault="0044097C">
            <w:r>
              <w:t>..</w:t>
            </w:r>
          </w:p>
        </w:tc>
        <w:tc>
          <w:tcPr>
            <w:tcW w:w="1087" w:type="dxa"/>
          </w:tcPr>
          <w:p w14:paraId="74C93B95" w14:textId="6F29521A" w:rsidR="00182709" w:rsidRDefault="00B00A6A">
            <w:r>
              <w:rPr>
                <w:rFonts w:hint="eastAsia"/>
                <w:lang w:eastAsia="zh-CN"/>
              </w:rPr>
              <w:t>75</w:t>
            </w:r>
          </w:p>
        </w:tc>
        <w:tc>
          <w:tcPr>
            <w:tcW w:w="1087" w:type="dxa"/>
          </w:tcPr>
          <w:p w14:paraId="66FFC9D9" w14:textId="1F3FA22A" w:rsidR="00182709" w:rsidRPr="002A0038" w:rsidRDefault="0068434D">
            <w:pPr>
              <w:rPr>
                <w:b/>
                <w:bCs/>
              </w:rPr>
            </w:pPr>
            <w:r w:rsidRPr="002A0038">
              <w:rPr>
                <w:b/>
                <w:bCs/>
                <w:lang w:eastAsia="zh-CN"/>
              </w:rPr>
              <w:t>75</w:t>
            </w:r>
          </w:p>
        </w:tc>
      </w:tr>
      <w:tr w:rsidR="00182709" w14:paraId="4910A13E" w14:textId="77777777" w:rsidTr="002A0038">
        <w:tc>
          <w:tcPr>
            <w:tcW w:w="1837" w:type="dxa"/>
          </w:tcPr>
          <w:p w14:paraId="1205B6D8" w14:textId="645FF62C" w:rsidR="00182709" w:rsidRDefault="0007383E">
            <w:pPr>
              <w:jc w:val="left"/>
            </w:pPr>
            <w:r>
              <w:rPr>
                <w:color w:val="4472C4"/>
                <w:sz w:val="13"/>
              </w:rPr>
              <w:t>AASB </w:t>
            </w:r>
            <w:r w:rsidR="007536F9">
              <w:rPr>
                <w:color w:val="4472C4"/>
                <w:sz w:val="13"/>
              </w:rPr>
              <w:t>1060.153(a)(iii)</w:t>
            </w:r>
          </w:p>
        </w:tc>
        <w:tc>
          <w:tcPr>
            <w:tcW w:w="4542" w:type="dxa"/>
          </w:tcPr>
          <w:p w14:paraId="004446A7" w14:textId="5E155F3C" w:rsidR="00182709" w:rsidRDefault="00B00A6A">
            <w:pPr>
              <w:jc w:val="left"/>
            </w:pPr>
            <w:r>
              <w:rPr>
                <w:rFonts w:hint="eastAsia"/>
                <w:lang w:eastAsia="zh-CN"/>
              </w:rPr>
              <w:t>Amounts charged against the provision</w:t>
            </w:r>
          </w:p>
        </w:tc>
        <w:tc>
          <w:tcPr>
            <w:tcW w:w="1086" w:type="dxa"/>
          </w:tcPr>
          <w:p w14:paraId="56572166" w14:textId="74F36100" w:rsidR="00182709" w:rsidRDefault="0044097C">
            <w:r>
              <w:t>(1</w:t>
            </w:r>
            <w:r w:rsidR="0068434D">
              <w:rPr>
                <w:rFonts w:hint="eastAsia"/>
                <w:lang w:eastAsia="zh-CN"/>
              </w:rPr>
              <w:t xml:space="preserve"> 861</w:t>
            </w:r>
            <w:r>
              <w:t>)</w:t>
            </w:r>
          </w:p>
        </w:tc>
        <w:tc>
          <w:tcPr>
            <w:tcW w:w="1087" w:type="dxa"/>
          </w:tcPr>
          <w:p w14:paraId="67A930C0" w14:textId="77777777" w:rsidR="00182709" w:rsidRDefault="0044097C">
            <w:r>
              <w:t>..</w:t>
            </w:r>
          </w:p>
        </w:tc>
        <w:tc>
          <w:tcPr>
            <w:tcW w:w="1087" w:type="dxa"/>
          </w:tcPr>
          <w:p w14:paraId="60C03726" w14:textId="37DD45E5" w:rsidR="00182709" w:rsidRDefault="0044097C">
            <w:r>
              <w:t>(1</w:t>
            </w:r>
            <w:r w:rsidR="0068434D">
              <w:rPr>
                <w:rFonts w:hint="eastAsia"/>
                <w:lang w:eastAsia="zh-CN"/>
              </w:rPr>
              <w:t xml:space="preserve"> 861</w:t>
            </w:r>
            <w:r>
              <w:t>)</w:t>
            </w:r>
          </w:p>
        </w:tc>
      </w:tr>
      <w:tr w:rsidR="0068434D" w14:paraId="675E6EFB" w14:textId="77777777" w:rsidTr="004E3880">
        <w:tc>
          <w:tcPr>
            <w:tcW w:w="1837" w:type="dxa"/>
          </w:tcPr>
          <w:p w14:paraId="25500F5F" w14:textId="08AA844A" w:rsidR="0068434D" w:rsidRDefault="0007383E" w:rsidP="002A0038">
            <w:pPr>
              <w:jc w:val="left"/>
              <w:rPr>
                <w:color w:val="4472C4"/>
                <w:sz w:val="13"/>
              </w:rPr>
            </w:pPr>
            <w:r>
              <w:rPr>
                <w:color w:val="4472C4"/>
                <w:sz w:val="13"/>
              </w:rPr>
              <w:t>AASB </w:t>
            </w:r>
            <w:r w:rsidR="0068434D">
              <w:rPr>
                <w:color w:val="4472C4"/>
                <w:sz w:val="13"/>
              </w:rPr>
              <w:t>1060.153(a)(i</w:t>
            </w:r>
            <w:r w:rsidR="0068434D">
              <w:rPr>
                <w:rFonts w:hint="eastAsia"/>
                <w:color w:val="4472C4"/>
                <w:sz w:val="13"/>
                <w:lang w:eastAsia="zh-CN"/>
              </w:rPr>
              <w:t>v</w:t>
            </w:r>
            <w:r w:rsidR="0068434D">
              <w:rPr>
                <w:color w:val="4472C4"/>
                <w:sz w:val="13"/>
              </w:rPr>
              <w:t>)</w:t>
            </w:r>
          </w:p>
        </w:tc>
        <w:tc>
          <w:tcPr>
            <w:tcW w:w="4542" w:type="dxa"/>
          </w:tcPr>
          <w:p w14:paraId="0B6A7906" w14:textId="15C5439B" w:rsidR="0068434D" w:rsidRDefault="0068434D" w:rsidP="002A0038">
            <w:pPr>
              <w:jc w:val="left"/>
              <w:rPr>
                <w:lang w:eastAsia="zh-CN"/>
              </w:rPr>
            </w:pPr>
            <w:r>
              <w:rPr>
                <w:rFonts w:hint="eastAsia"/>
                <w:lang w:eastAsia="zh-CN"/>
              </w:rPr>
              <w:t>Used amounts reversed</w:t>
            </w:r>
          </w:p>
        </w:tc>
        <w:tc>
          <w:tcPr>
            <w:tcW w:w="1086" w:type="dxa"/>
          </w:tcPr>
          <w:p w14:paraId="0EB18691" w14:textId="05EE9C0B" w:rsidR="0068434D" w:rsidRDefault="0068434D" w:rsidP="0068434D">
            <w:r w:rsidRPr="00975DE1">
              <w:t>..</w:t>
            </w:r>
          </w:p>
        </w:tc>
        <w:tc>
          <w:tcPr>
            <w:tcW w:w="1087" w:type="dxa"/>
          </w:tcPr>
          <w:p w14:paraId="4B8422AB" w14:textId="2DE51475" w:rsidR="0068434D" w:rsidRDefault="0068434D" w:rsidP="0068434D">
            <w:r w:rsidRPr="00975DE1">
              <w:t>..</w:t>
            </w:r>
          </w:p>
        </w:tc>
        <w:tc>
          <w:tcPr>
            <w:tcW w:w="1087" w:type="dxa"/>
          </w:tcPr>
          <w:p w14:paraId="2732EA97" w14:textId="484EAAC3" w:rsidR="0068434D" w:rsidRDefault="0068434D" w:rsidP="0068434D">
            <w:r w:rsidRPr="00975DE1">
              <w:t>..</w:t>
            </w:r>
          </w:p>
        </w:tc>
      </w:tr>
      <w:tr w:rsidR="00671D55" w14:paraId="6ED4E8D3" w14:textId="77777777" w:rsidTr="002A0038">
        <w:tc>
          <w:tcPr>
            <w:tcW w:w="1837" w:type="dxa"/>
            <w:tcBorders>
              <w:bottom w:val="nil"/>
            </w:tcBorders>
          </w:tcPr>
          <w:p w14:paraId="18714F30" w14:textId="29415363" w:rsidR="00182709" w:rsidRDefault="0007383E">
            <w:pPr>
              <w:jc w:val="left"/>
            </w:pPr>
            <w:r>
              <w:rPr>
                <w:color w:val="4472C4"/>
                <w:sz w:val="13"/>
              </w:rPr>
              <w:t>AASB </w:t>
            </w:r>
            <w:r w:rsidR="007E2EEA">
              <w:rPr>
                <w:color w:val="4472C4"/>
                <w:sz w:val="13"/>
              </w:rPr>
              <w:t>1060.153(a)(i)</w:t>
            </w:r>
          </w:p>
        </w:tc>
        <w:tc>
          <w:tcPr>
            <w:tcW w:w="4542" w:type="dxa"/>
          </w:tcPr>
          <w:p w14:paraId="4DF79B0F" w14:textId="77777777" w:rsidR="00182709" w:rsidRDefault="0044097C">
            <w:pPr>
              <w:jc w:val="left"/>
            </w:pPr>
            <w:r>
              <w:rPr>
                <w:b/>
              </w:rPr>
              <w:t>Closing balance</w:t>
            </w:r>
          </w:p>
        </w:tc>
        <w:tc>
          <w:tcPr>
            <w:tcW w:w="1086" w:type="dxa"/>
          </w:tcPr>
          <w:p w14:paraId="2F047840" w14:textId="2E6FD9E4" w:rsidR="00182709" w:rsidRDefault="0044097C">
            <w:r>
              <w:rPr>
                <w:b/>
              </w:rPr>
              <w:t>1 70</w:t>
            </w:r>
            <w:r w:rsidR="0068434D">
              <w:rPr>
                <w:rFonts w:hint="eastAsia"/>
                <w:b/>
                <w:lang w:eastAsia="zh-CN"/>
              </w:rPr>
              <w:t>2</w:t>
            </w:r>
          </w:p>
        </w:tc>
        <w:tc>
          <w:tcPr>
            <w:tcW w:w="1087" w:type="dxa"/>
          </w:tcPr>
          <w:p w14:paraId="5985F502" w14:textId="77777777" w:rsidR="00182709" w:rsidRDefault="0044097C">
            <w:r>
              <w:rPr>
                <w:b/>
              </w:rPr>
              <w:t>450</w:t>
            </w:r>
          </w:p>
        </w:tc>
        <w:tc>
          <w:tcPr>
            <w:tcW w:w="1087" w:type="dxa"/>
          </w:tcPr>
          <w:p w14:paraId="03152BB1" w14:textId="77777777" w:rsidR="00182709" w:rsidRDefault="0044097C">
            <w:r>
              <w:rPr>
                <w:b/>
              </w:rPr>
              <w:t>2 153</w:t>
            </w:r>
          </w:p>
        </w:tc>
      </w:tr>
    </w:tbl>
    <w:p w14:paraId="09E1F3B5" w14:textId="197B08E5" w:rsidR="003719CD" w:rsidRDefault="003719CD" w:rsidP="00DC39DE">
      <w:r>
        <w:t xml:space="preserve">When some or </w:t>
      </w:r>
      <w:proofErr w:type="gramStart"/>
      <w:r>
        <w:t>all of</w:t>
      </w:r>
      <w:proofErr w:type="gramEnd"/>
      <w:r>
        <w:t xml:space="preserve"> the economic benefits required to settle a provision are expected to be received from a third party, the receivable is recognised as an asset if it is virtually certain that recovery will be </w:t>
      </w:r>
      <w:r w:rsidR="003565D5">
        <w:t>received,</w:t>
      </w:r>
      <w:r>
        <w:t xml:space="preserve"> and the amount of the receivable can be measured reliably.</w:t>
      </w:r>
      <w:r w:rsidR="00213223">
        <w:t xml:space="preserve"> </w:t>
      </w:r>
      <w:r w:rsidR="00213223" w:rsidRPr="00543833">
        <w:rPr>
          <w:rStyle w:val="Reference"/>
        </w:rPr>
        <w:t>[</w:t>
      </w:r>
      <w:r w:rsidR="0007383E">
        <w:rPr>
          <w:rStyle w:val="Reference"/>
        </w:rPr>
        <w:t>AASB </w:t>
      </w:r>
      <w:r w:rsidR="00213223" w:rsidRPr="00543833">
        <w:rPr>
          <w:rStyle w:val="Reference"/>
        </w:rPr>
        <w:t>1</w:t>
      </w:r>
      <w:r w:rsidR="00213223">
        <w:rPr>
          <w:rStyle w:val="Reference"/>
          <w:rFonts w:hint="eastAsia"/>
          <w:lang w:eastAsia="zh-CN"/>
        </w:rPr>
        <w:t>060</w:t>
      </w:r>
      <w:r w:rsidR="00213223" w:rsidRPr="00543833">
        <w:rPr>
          <w:rStyle w:val="Reference"/>
        </w:rPr>
        <w:t>.</w:t>
      </w:r>
      <w:r w:rsidR="00213223">
        <w:rPr>
          <w:rStyle w:val="Reference"/>
          <w:rFonts w:hint="eastAsia"/>
          <w:lang w:eastAsia="zh-CN"/>
        </w:rPr>
        <w:t>153 (</w:t>
      </w:r>
      <w:r w:rsidR="00213223">
        <w:rPr>
          <w:rStyle w:val="Reference"/>
          <w:lang w:eastAsia="zh-CN"/>
        </w:rPr>
        <w:t>c</w:t>
      </w:r>
      <w:r w:rsidR="00213223">
        <w:rPr>
          <w:rStyle w:val="Reference"/>
          <w:rFonts w:hint="eastAsia"/>
          <w:lang w:eastAsia="zh-CN"/>
        </w:rPr>
        <w:t>)</w:t>
      </w:r>
      <w:r w:rsidR="00213223" w:rsidRPr="00543833">
        <w:rPr>
          <w:rStyle w:val="Reference"/>
        </w:rPr>
        <w:t>]</w:t>
      </w:r>
    </w:p>
    <w:p w14:paraId="3C4F259F" w14:textId="43C47442" w:rsidR="003719CD" w:rsidRDefault="003719CD" w:rsidP="00DC39DE">
      <w:r>
        <w:t xml:space="preserve">The make-good provision is recognised in accordance with the lease agreement over the </w:t>
      </w:r>
      <w:r w:rsidR="00E72429">
        <w:rPr>
          <w:rFonts w:hint="eastAsia"/>
          <w:lang w:eastAsia="zh-CN"/>
        </w:rPr>
        <w:t>plant</w:t>
      </w:r>
      <w:r>
        <w:t xml:space="preserve">s. </w:t>
      </w:r>
      <w:r w:rsidR="006B48BC">
        <w:t>TV</w:t>
      </w:r>
      <w:r>
        <w:t xml:space="preserve"> must remove any leasehold improvements from the leased </w:t>
      </w:r>
      <w:r w:rsidR="00E72429">
        <w:rPr>
          <w:rFonts w:hint="eastAsia"/>
          <w:lang w:eastAsia="zh-CN"/>
        </w:rPr>
        <w:t>plants</w:t>
      </w:r>
      <w:r>
        <w:t xml:space="preserve"> and restore the premises to its original condition at the end of the lease term. </w:t>
      </w:r>
      <w:r w:rsidR="00C72832" w:rsidRPr="00543833">
        <w:rPr>
          <w:rStyle w:val="Reference"/>
        </w:rPr>
        <w:t>[</w:t>
      </w:r>
      <w:r w:rsidR="0007383E">
        <w:rPr>
          <w:rStyle w:val="Reference"/>
        </w:rPr>
        <w:t>AASB </w:t>
      </w:r>
      <w:r w:rsidR="00C72832" w:rsidRPr="00543833">
        <w:rPr>
          <w:rStyle w:val="Reference"/>
        </w:rPr>
        <w:t>1</w:t>
      </w:r>
      <w:r w:rsidR="00C72832">
        <w:rPr>
          <w:rStyle w:val="Reference"/>
          <w:rFonts w:hint="eastAsia"/>
          <w:lang w:eastAsia="zh-CN"/>
        </w:rPr>
        <w:t>060</w:t>
      </w:r>
      <w:r w:rsidR="00C72832" w:rsidRPr="00543833">
        <w:rPr>
          <w:rStyle w:val="Reference"/>
        </w:rPr>
        <w:t>.</w:t>
      </w:r>
      <w:r w:rsidR="00337554">
        <w:rPr>
          <w:rStyle w:val="Reference"/>
          <w:rFonts w:hint="eastAsia"/>
          <w:lang w:eastAsia="zh-CN"/>
        </w:rPr>
        <w:t>153 (b)</w:t>
      </w:r>
      <w:r w:rsidR="00C72832" w:rsidRPr="00543833">
        <w:rPr>
          <w:rStyle w:val="Reference"/>
        </w:rPr>
        <w:t>]</w:t>
      </w:r>
    </w:p>
    <w:p w14:paraId="43630773" w14:textId="1F70C8CE" w:rsidR="003719CD" w:rsidRDefault="003719CD" w:rsidP="00DC39DE">
      <w:r w:rsidRPr="00543833">
        <w:rPr>
          <w:b/>
          <w:bCs/>
        </w:rPr>
        <w:t>Onerous contracts</w:t>
      </w:r>
      <w:r>
        <w:t xml:space="preserve">: </w:t>
      </w:r>
      <w:r w:rsidR="007667F2">
        <w:t>A</w:t>
      </w:r>
      <w:r>
        <w:t xml:space="preserve">n onerous contract is considered to exist when the unavoidable cost of meeting the contractual obligations exceeds the estimated economic benefits to be received. </w:t>
      </w:r>
      <w:r w:rsidRPr="00543833">
        <w:rPr>
          <w:rStyle w:val="Reference"/>
        </w:rPr>
        <w:t>[</w:t>
      </w:r>
      <w:r w:rsidR="0007383E">
        <w:rPr>
          <w:rStyle w:val="Reference"/>
        </w:rPr>
        <w:t>AASB </w:t>
      </w:r>
      <w:r w:rsidRPr="00543833">
        <w:rPr>
          <w:rStyle w:val="Reference"/>
        </w:rPr>
        <w:t>137.66</w:t>
      </w:r>
      <w:r w:rsidR="00D55F8C">
        <w:rPr>
          <w:rStyle w:val="Reference"/>
        </w:rPr>
        <w:t>, 1060.153 (b)</w:t>
      </w:r>
      <w:r w:rsidRPr="00543833">
        <w:rPr>
          <w:rStyle w:val="Reference"/>
        </w:rPr>
        <w:t>]</w:t>
      </w:r>
    </w:p>
    <w:p w14:paraId="602DE28A" w14:textId="1E1591FE" w:rsidR="00F26C84" w:rsidRDefault="00F946D8" w:rsidP="00DC39DE">
      <w:r w:rsidRPr="00F946D8">
        <w:t>Present obligations arising under onerous contracts are recognised as a provision to the extent that the present obligation exceeds the estimated economic benefits to be received. The provision has been measured based on the unavoidable costs of meeting the contractual obligations. The unavoidable costs are the lower of the costs of fulfilling the contract and any compensation or penalties from the failure to fulfill the contract.</w:t>
      </w:r>
      <w:r w:rsidR="00D55F8C">
        <w:t xml:space="preserve"> </w:t>
      </w:r>
      <w:r w:rsidR="00D55F8C" w:rsidRPr="00543833">
        <w:rPr>
          <w:rStyle w:val="Reference"/>
        </w:rPr>
        <w:t>[</w:t>
      </w:r>
      <w:r w:rsidR="0007383E">
        <w:rPr>
          <w:rStyle w:val="Reference"/>
        </w:rPr>
        <w:t>AASB </w:t>
      </w:r>
      <w:r w:rsidR="00D55F8C" w:rsidRPr="00543833">
        <w:rPr>
          <w:rStyle w:val="Reference"/>
        </w:rPr>
        <w:t>1</w:t>
      </w:r>
      <w:r w:rsidR="00D55F8C">
        <w:rPr>
          <w:rStyle w:val="Reference"/>
          <w:rFonts w:hint="eastAsia"/>
          <w:lang w:eastAsia="zh-CN"/>
        </w:rPr>
        <w:t>060</w:t>
      </w:r>
      <w:r w:rsidR="00D55F8C" w:rsidRPr="00543833">
        <w:rPr>
          <w:rStyle w:val="Reference"/>
        </w:rPr>
        <w:t>.</w:t>
      </w:r>
      <w:r w:rsidR="00D55F8C">
        <w:rPr>
          <w:rStyle w:val="Reference"/>
          <w:rFonts w:hint="eastAsia"/>
          <w:lang w:eastAsia="zh-CN"/>
        </w:rPr>
        <w:t>153 (</w:t>
      </w:r>
      <w:r w:rsidR="00D55F8C">
        <w:rPr>
          <w:rStyle w:val="Reference"/>
          <w:lang w:eastAsia="zh-CN"/>
        </w:rPr>
        <w:t>c</w:t>
      </w:r>
      <w:r w:rsidR="00D55F8C">
        <w:rPr>
          <w:rStyle w:val="Reference"/>
          <w:rFonts w:hint="eastAsia"/>
          <w:lang w:eastAsia="zh-CN"/>
        </w:rPr>
        <w:t>)</w:t>
      </w:r>
      <w:r w:rsidR="00D55F8C" w:rsidRPr="00543833">
        <w:rPr>
          <w:rStyle w:val="Reference"/>
        </w:rPr>
        <w:t>]</w:t>
      </w:r>
    </w:p>
    <w:p w14:paraId="13936C00" w14:textId="2BF99726" w:rsidR="003B7EFD" w:rsidRDefault="003B7EFD" w:rsidP="00210A42"/>
    <w:p w14:paraId="0CD655F5" w14:textId="4772A0E6" w:rsidR="003719CD" w:rsidRDefault="003719CD" w:rsidP="007D536F">
      <w:pPr>
        <w:pStyle w:val="GuidanceBlockHeading"/>
      </w:pPr>
      <w:bookmarkStart w:id="3710" w:name="_Toc179813124"/>
      <w:bookmarkStart w:id="3711" w:name="_Toc179818824"/>
      <w:bookmarkStart w:id="3712" w:name="_Toc179824524"/>
      <w:r>
        <w:t>Guidance – Provisions</w:t>
      </w:r>
      <w:bookmarkEnd w:id="3710"/>
      <w:bookmarkEnd w:id="3711"/>
      <w:bookmarkEnd w:id="3712"/>
    </w:p>
    <w:p w14:paraId="29BD6B69" w14:textId="77777777" w:rsidR="003719CD" w:rsidRPr="002A0038" w:rsidRDefault="003719CD" w:rsidP="002A0038">
      <w:pPr>
        <w:pStyle w:val="GuidanceHeading"/>
        <w:spacing w:before="120" w:after="0"/>
      </w:pPr>
      <w:r w:rsidRPr="002A0038">
        <w:t>For each class of provision, an entity shall disclose:</w:t>
      </w:r>
    </w:p>
    <w:p w14:paraId="3CF66338" w14:textId="399541BD" w:rsidR="001E5CC5" w:rsidRDefault="001E5CC5" w:rsidP="002A0038">
      <w:pPr>
        <w:pStyle w:val="ListBullet"/>
        <w:numPr>
          <w:ilvl w:val="0"/>
          <w:numId w:val="338"/>
        </w:numPr>
        <w:spacing w:after="0"/>
        <w:rPr>
          <w:rStyle w:val="Guidance"/>
        </w:rPr>
      </w:pPr>
      <w:r>
        <w:rPr>
          <w:rStyle w:val="Guidance"/>
        </w:rPr>
        <w:t>a reconciliation</w:t>
      </w:r>
      <w:r w:rsidR="005B1F19">
        <w:rPr>
          <w:rStyle w:val="Guidance"/>
        </w:rPr>
        <w:t xml:space="preserve"> </w:t>
      </w:r>
      <w:r w:rsidR="003565D5">
        <w:rPr>
          <w:rStyle w:val="Guidance"/>
        </w:rPr>
        <w:t>showing</w:t>
      </w:r>
      <w:r w:rsidR="005B1F19">
        <w:rPr>
          <w:rStyle w:val="Guidance"/>
        </w:rPr>
        <w:t>:</w:t>
      </w:r>
    </w:p>
    <w:p w14:paraId="2018BD0A" w14:textId="77777777" w:rsidR="001E5CC5" w:rsidRDefault="001E5CC5" w:rsidP="002A0038">
      <w:pPr>
        <w:pStyle w:val="ListBullet"/>
        <w:numPr>
          <w:ilvl w:val="1"/>
          <w:numId w:val="339"/>
        </w:numPr>
        <w:spacing w:after="0"/>
        <w:ind w:left="697" w:hanging="357"/>
        <w:rPr>
          <w:color w:val="4472C4" w:themeColor="accent1"/>
        </w:rPr>
      </w:pPr>
      <w:r w:rsidRPr="001E5CC5">
        <w:rPr>
          <w:color w:val="4472C4" w:themeColor="accent1"/>
        </w:rPr>
        <w:t>the carrying amount at the beginning and end of the period</w:t>
      </w:r>
    </w:p>
    <w:p w14:paraId="1B575C59" w14:textId="77777777" w:rsidR="001E5CC5" w:rsidRDefault="001E5CC5" w:rsidP="002A0038">
      <w:pPr>
        <w:pStyle w:val="ListBullet"/>
        <w:numPr>
          <w:ilvl w:val="1"/>
          <w:numId w:val="339"/>
        </w:numPr>
        <w:spacing w:after="0"/>
        <w:ind w:left="697" w:hanging="357"/>
        <w:rPr>
          <w:color w:val="4472C4" w:themeColor="accent1"/>
        </w:rPr>
      </w:pPr>
      <w:r w:rsidRPr="001E5CC5">
        <w:rPr>
          <w:color w:val="4472C4" w:themeColor="accent1"/>
        </w:rPr>
        <w:t>additions during the period, including adjustments that result from changes in measuring the discounted amount</w:t>
      </w:r>
    </w:p>
    <w:p w14:paraId="0268951B" w14:textId="77777777" w:rsidR="001E5CC5" w:rsidRDefault="001E5CC5" w:rsidP="002A0038">
      <w:pPr>
        <w:pStyle w:val="ListBullet"/>
        <w:numPr>
          <w:ilvl w:val="1"/>
          <w:numId w:val="339"/>
        </w:numPr>
        <w:spacing w:after="0"/>
        <w:ind w:left="697" w:hanging="357"/>
        <w:rPr>
          <w:color w:val="4472C4" w:themeColor="accent1"/>
        </w:rPr>
      </w:pPr>
      <w:r w:rsidRPr="001E5CC5">
        <w:rPr>
          <w:color w:val="4472C4" w:themeColor="accent1"/>
        </w:rPr>
        <w:t>amounts charged against the provision during the period</w:t>
      </w:r>
    </w:p>
    <w:p w14:paraId="24239629" w14:textId="72DC6D97" w:rsidR="006C42C9" w:rsidRDefault="001E5CC5" w:rsidP="002A0038">
      <w:pPr>
        <w:pStyle w:val="ListBullet"/>
        <w:numPr>
          <w:ilvl w:val="1"/>
          <w:numId w:val="339"/>
        </w:numPr>
        <w:spacing w:after="0"/>
        <w:ind w:left="697" w:hanging="357"/>
        <w:rPr>
          <w:color w:val="4472C4" w:themeColor="accent1"/>
        </w:rPr>
      </w:pPr>
      <w:r w:rsidRPr="001E5CC5">
        <w:rPr>
          <w:color w:val="4472C4" w:themeColor="accent1"/>
        </w:rPr>
        <w:t>unused amounts reversed during the period</w:t>
      </w:r>
    </w:p>
    <w:p w14:paraId="6807A6FD" w14:textId="1D2DA8C8" w:rsidR="009A5E4D" w:rsidRDefault="00947F73" w:rsidP="002A0038">
      <w:pPr>
        <w:pStyle w:val="ListBullet"/>
        <w:numPr>
          <w:ilvl w:val="0"/>
          <w:numId w:val="338"/>
        </w:numPr>
        <w:spacing w:after="0"/>
        <w:rPr>
          <w:color w:val="4472C4" w:themeColor="accent1"/>
        </w:rPr>
      </w:pPr>
      <w:r w:rsidRPr="00947F73">
        <w:rPr>
          <w:color w:val="4472C4" w:themeColor="accent1"/>
        </w:rPr>
        <w:t>a brief description of the nature of the obligation and the expected amount and timing of any resulting payments</w:t>
      </w:r>
    </w:p>
    <w:p w14:paraId="10B20C24" w14:textId="5945DBCA" w:rsidR="00947F73" w:rsidRDefault="00947F73" w:rsidP="002A0038">
      <w:pPr>
        <w:pStyle w:val="ListBullet"/>
        <w:numPr>
          <w:ilvl w:val="0"/>
          <w:numId w:val="338"/>
        </w:numPr>
        <w:spacing w:after="0"/>
        <w:rPr>
          <w:color w:val="4472C4" w:themeColor="accent1"/>
        </w:rPr>
      </w:pPr>
      <w:r w:rsidRPr="00947F73">
        <w:rPr>
          <w:color w:val="4472C4" w:themeColor="accent1"/>
        </w:rPr>
        <w:t>an indication of the uncertainties about the amount or timing of those outflows</w:t>
      </w:r>
    </w:p>
    <w:p w14:paraId="588646B9" w14:textId="4752C792" w:rsidR="00947F73" w:rsidRDefault="00947F73" w:rsidP="002A0038">
      <w:pPr>
        <w:pStyle w:val="ListBullet"/>
        <w:numPr>
          <w:ilvl w:val="0"/>
          <w:numId w:val="338"/>
        </w:numPr>
        <w:spacing w:after="0"/>
        <w:rPr>
          <w:color w:val="4472C4" w:themeColor="accent1"/>
        </w:rPr>
      </w:pPr>
      <w:r w:rsidRPr="00947F73">
        <w:rPr>
          <w:color w:val="4472C4" w:themeColor="accent1"/>
        </w:rPr>
        <w:t>the amount of any expected reimbursement, stating the amount of any asset that has been recognised for that expected reimbursement</w:t>
      </w:r>
    </w:p>
    <w:p w14:paraId="1B2BCF4B" w14:textId="43CC9647" w:rsidR="00947F73" w:rsidRPr="00250697" w:rsidRDefault="00947F73" w:rsidP="002A0038">
      <w:pPr>
        <w:pStyle w:val="ListBullet"/>
        <w:numPr>
          <w:ilvl w:val="0"/>
          <w:numId w:val="0"/>
        </w:numPr>
        <w:spacing w:after="0"/>
        <w:ind w:left="284" w:hanging="284"/>
        <w:rPr>
          <w:rStyle w:val="Guidance"/>
        </w:rPr>
      </w:pPr>
      <w:r>
        <w:rPr>
          <w:color w:val="4472C4" w:themeColor="accent1"/>
        </w:rPr>
        <w:t xml:space="preserve">Comparative information for prior periods is not required. </w:t>
      </w:r>
      <w:r w:rsidR="0020327E" w:rsidRPr="005865C6">
        <w:rPr>
          <w:rStyle w:val="Reference"/>
        </w:rPr>
        <w:t>[</w:t>
      </w:r>
      <w:r w:rsidR="0007383E">
        <w:rPr>
          <w:rStyle w:val="Reference"/>
        </w:rPr>
        <w:t>AASB </w:t>
      </w:r>
      <w:r w:rsidR="0020327E" w:rsidRPr="005865C6">
        <w:rPr>
          <w:rStyle w:val="Reference"/>
        </w:rPr>
        <w:t>1060.15</w:t>
      </w:r>
      <w:r w:rsidR="0020327E">
        <w:rPr>
          <w:rStyle w:val="Reference"/>
        </w:rPr>
        <w:t>3</w:t>
      </w:r>
      <w:r w:rsidR="0020327E" w:rsidRPr="005865C6">
        <w:rPr>
          <w:rStyle w:val="Reference"/>
        </w:rPr>
        <w:t>]</w:t>
      </w:r>
    </w:p>
    <w:p w14:paraId="30B61D26" w14:textId="07E305E6" w:rsidR="00234172" w:rsidRPr="002A0038" w:rsidRDefault="003719CD" w:rsidP="002A0038">
      <w:pPr>
        <w:spacing w:before="120" w:after="0"/>
      </w:pPr>
      <w:r w:rsidRPr="00250697">
        <w:rPr>
          <w:rStyle w:val="Guidance"/>
          <w:b/>
          <w:bCs/>
        </w:rPr>
        <w:t>Exemptions</w:t>
      </w:r>
      <w:r w:rsidRPr="00250697">
        <w:rPr>
          <w:rStyle w:val="Guidance"/>
        </w:rPr>
        <w:t xml:space="preserve">: </w:t>
      </w:r>
      <w:r w:rsidR="007667F2" w:rsidRPr="008732A5">
        <w:rPr>
          <w:color w:val="4472C4" w:themeColor="accent1"/>
        </w:rPr>
        <w:t>I</w:t>
      </w:r>
      <w:r w:rsidRPr="008732A5">
        <w:rPr>
          <w:color w:val="4472C4" w:themeColor="accent1"/>
        </w:rPr>
        <w:t xml:space="preserve">n extremely rare cases, disclosure of some or </w:t>
      </w:r>
      <w:proofErr w:type="gramStart"/>
      <w:r w:rsidRPr="008732A5">
        <w:rPr>
          <w:color w:val="4472C4" w:themeColor="accent1"/>
        </w:rPr>
        <w:t>all of</w:t>
      </w:r>
      <w:proofErr w:type="gramEnd"/>
      <w:r w:rsidRPr="008732A5">
        <w:rPr>
          <w:color w:val="4472C4" w:themeColor="accent1"/>
        </w:rPr>
        <w:t xml:space="preserve"> the information required by </w:t>
      </w:r>
      <w:r w:rsidR="008732A5" w:rsidRPr="008732A5">
        <w:rPr>
          <w:color w:val="4472C4" w:themeColor="accent1"/>
        </w:rPr>
        <w:t xml:space="preserve">paragraphs 153–155 </w:t>
      </w:r>
      <w:r w:rsidR="008732A5">
        <w:rPr>
          <w:color w:val="4472C4" w:themeColor="accent1"/>
        </w:rPr>
        <w:t>of AASB</w:t>
      </w:r>
      <w:r w:rsidR="007D0580">
        <w:rPr>
          <w:color w:val="4472C4" w:themeColor="accent1"/>
        </w:rPr>
        <w:t xml:space="preserve"> </w:t>
      </w:r>
      <w:r w:rsidR="008732A5">
        <w:rPr>
          <w:color w:val="4472C4" w:themeColor="accent1"/>
        </w:rPr>
        <w:t>1060</w:t>
      </w:r>
      <w:r>
        <w:rPr>
          <w:color w:val="4472C4" w:themeColor="accent1"/>
        </w:rPr>
        <w:t xml:space="preserve"> </w:t>
      </w:r>
      <w:r w:rsidRPr="008732A5">
        <w:rPr>
          <w:color w:val="4472C4" w:themeColor="accent1"/>
        </w:rPr>
        <w:t>can be expected to prejudice seriously the position of the entity in a dispute with other parties on the subject matter of the provision</w:t>
      </w:r>
      <w:r w:rsidR="008732A5" w:rsidRPr="008732A5">
        <w:rPr>
          <w:color w:val="4472C4" w:themeColor="accent1"/>
        </w:rPr>
        <w:t>, contingent liability or contingent asset</w:t>
      </w:r>
      <w:r w:rsidRPr="008732A5">
        <w:rPr>
          <w:color w:val="4472C4" w:themeColor="accent1"/>
        </w:rPr>
        <w:t>. In such cases, an entity need not disclose the information, but shall disclose the general nature of the dispute, together with the fact that, and reason why, the information has not been disclosed</w:t>
      </w:r>
      <w:r>
        <w:rPr>
          <w:color w:val="4472C4" w:themeColor="accent1"/>
        </w:rPr>
        <w:t>.</w:t>
      </w:r>
      <w:r w:rsidR="008732A5">
        <w:rPr>
          <w:color w:val="4472C4" w:themeColor="accent1"/>
        </w:rPr>
        <w:t xml:space="preserve"> </w:t>
      </w:r>
      <w:r w:rsidR="008732A5" w:rsidRPr="002A0038">
        <w:rPr>
          <w:rStyle w:val="Reference"/>
        </w:rPr>
        <w:t>[</w:t>
      </w:r>
      <w:r w:rsidR="0007383E">
        <w:rPr>
          <w:rStyle w:val="Reference"/>
        </w:rPr>
        <w:t>AASB </w:t>
      </w:r>
      <w:r w:rsidR="008732A5" w:rsidRPr="002A0038">
        <w:rPr>
          <w:rStyle w:val="Reference"/>
        </w:rPr>
        <w:t>1060.156]</w:t>
      </w:r>
    </w:p>
    <w:bookmarkEnd w:id="3595"/>
    <w:p w14:paraId="1A32AD06" w14:textId="68FBDF59" w:rsidR="003719CD" w:rsidRDefault="003719CD" w:rsidP="007D536F">
      <w:pPr>
        <w:pStyle w:val="GuidanceEnd"/>
      </w:pPr>
    </w:p>
    <w:p w14:paraId="1E40D468" w14:textId="77777777" w:rsidR="00E43051" w:rsidRDefault="00E43051" w:rsidP="00E43051">
      <w:pPr>
        <w:sectPr w:rsidR="00E43051" w:rsidSect="000E2F05">
          <w:headerReference w:type="default" r:id="rId100"/>
          <w:type w:val="continuous"/>
          <w:pgSz w:w="11906" w:h="16838" w:code="9"/>
          <w:pgMar w:top="1134" w:right="1134" w:bottom="1134" w:left="1134" w:header="624" w:footer="567" w:gutter="0"/>
          <w:cols w:space="708"/>
          <w:titlePg/>
          <w:docGrid w:linePitch="360"/>
        </w:sectPr>
      </w:pPr>
    </w:p>
    <w:p w14:paraId="7C87FDF9" w14:textId="77777777" w:rsidR="003719CD" w:rsidRDefault="003719CD" w:rsidP="00A80494">
      <w:pPr>
        <w:pStyle w:val="Heading1numbered"/>
      </w:pPr>
      <w:bookmarkStart w:id="3713" w:name="_Toc179813125"/>
      <w:bookmarkStart w:id="3714" w:name="_Toc179818825"/>
      <w:bookmarkStart w:id="3715" w:name="_Toc179824525"/>
      <w:bookmarkStart w:id="3716" w:name="_Toc179830191"/>
      <w:bookmarkStart w:id="3717" w:name="_Toc179861721"/>
      <w:bookmarkStart w:id="3718" w:name="_Toc179869034"/>
      <w:bookmarkStart w:id="3719" w:name="_Toc179873427"/>
      <w:bookmarkStart w:id="3720" w:name="_Toc179877820"/>
      <w:bookmarkStart w:id="3721" w:name="_Toc179880278"/>
      <w:bookmarkStart w:id="3722" w:name="_Toc179880321"/>
      <w:bookmarkStart w:id="3723" w:name="Section_6"/>
      <w:r>
        <w:t>HOW WE FINANCED OUR OPERATIONS</w:t>
      </w:r>
      <w:bookmarkEnd w:id="3713"/>
      <w:bookmarkEnd w:id="3714"/>
      <w:bookmarkEnd w:id="3715"/>
      <w:bookmarkEnd w:id="3716"/>
      <w:bookmarkEnd w:id="3717"/>
      <w:bookmarkEnd w:id="3718"/>
      <w:bookmarkEnd w:id="3719"/>
      <w:bookmarkEnd w:id="3720"/>
      <w:bookmarkEnd w:id="3721"/>
      <w:bookmarkEnd w:id="3722"/>
    </w:p>
    <w:p w14:paraId="040FD488" w14:textId="36D84398" w:rsidR="007F12C4" w:rsidRPr="007F12C4" w:rsidRDefault="007F12C4" w:rsidP="007F12C4">
      <w:pPr>
        <w:sectPr w:rsidR="007F12C4" w:rsidRPr="007F12C4" w:rsidSect="000E2F05">
          <w:headerReference w:type="even" r:id="rId101"/>
          <w:headerReference w:type="default" r:id="rId102"/>
          <w:footerReference w:type="even" r:id="rId103"/>
          <w:footerReference w:type="default" r:id="rId104"/>
          <w:headerReference w:type="first" r:id="rId105"/>
          <w:footerReference w:type="first" r:id="rId106"/>
          <w:pgSz w:w="11906" w:h="16838" w:code="9"/>
          <w:pgMar w:top="1134" w:right="1134" w:bottom="1134" w:left="1134" w:header="624" w:footer="567" w:gutter="0"/>
          <w:cols w:space="708"/>
          <w:titlePg/>
          <w:docGrid w:linePitch="360"/>
        </w:sectPr>
      </w:pPr>
    </w:p>
    <w:p w14:paraId="6E5921B9" w14:textId="77777777" w:rsidR="003719CD" w:rsidRDefault="003719CD" w:rsidP="007D536F">
      <w:pPr>
        <w:pStyle w:val="Heading3"/>
      </w:pPr>
      <w:bookmarkStart w:id="3724" w:name="_Toc179813126"/>
      <w:bookmarkStart w:id="3725" w:name="_Toc179818826"/>
      <w:bookmarkStart w:id="3726" w:name="_Toc179824526"/>
      <w:bookmarkStart w:id="3727" w:name="_Toc179830192"/>
      <w:bookmarkStart w:id="3728" w:name="_Toc179861722"/>
      <w:r>
        <w:t>Introduction</w:t>
      </w:r>
      <w:bookmarkEnd w:id="3724"/>
      <w:bookmarkEnd w:id="3725"/>
      <w:bookmarkEnd w:id="3726"/>
      <w:bookmarkEnd w:id="3727"/>
      <w:bookmarkEnd w:id="3728"/>
    </w:p>
    <w:p w14:paraId="6C6F9883" w14:textId="731E8D1A" w:rsidR="003719CD" w:rsidRDefault="003719CD" w:rsidP="00DC39DE">
      <w:r>
        <w:t xml:space="preserve">This section provides information on the sources of finance utilised by </w:t>
      </w:r>
      <w:r w:rsidR="006B48BC">
        <w:t>TV</w:t>
      </w:r>
      <w:r>
        <w:t xml:space="preserve"> during its operations, along with interest expenses (the cost of borrowings) and other information related to financing activities of </w:t>
      </w:r>
      <w:r w:rsidR="006B48BC">
        <w:t>TV</w:t>
      </w:r>
      <w:r>
        <w:t xml:space="preserve">. </w:t>
      </w:r>
    </w:p>
    <w:p w14:paraId="103ABF6C" w14:textId="67CF4D54" w:rsidR="003719CD" w:rsidRDefault="003719CD" w:rsidP="00DC39DE">
      <w:r>
        <w:t xml:space="preserve">This section includes disclosures of balances that are financial instruments (such as borrowings and cash balances). </w:t>
      </w:r>
      <w:r w:rsidRPr="00D61F7E">
        <w:t xml:space="preserve">Notes </w:t>
      </w:r>
      <w:r w:rsidR="006227D3" w:rsidRPr="002A0038">
        <w:rPr>
          <w:lang w:eastAsia="zh-CN"/>
        </w:rPr>
        <w:t>7</w:t>
      </w:r>
      <w:r w:rsidRPr="00D61F7E">
        <w:t xml:space="preserve">.1 and </w:t>
      </w:r>
      <w:r w:rsidR="006227D3" w:rsidRPr="002A0038">
        <w:rPr>
          <w:lang w:eastAsia="zh-CN"/>
        </w:rPr>
        <w:t>7</w:t>
      </w:r>
      <w:r w:rsidRPr="00D61F7E">
        <w:t>.3 provide additional</w:t>
      </w:r>
      <w:r>
        <w:t>, specific financial instrument disclosures.</w:t>
      </w:r>
    </w:p>
    <w:p w14:paraId="38CE4004" w14:textId="77777777" w:rsidR="003719CD" w:rsidRDefault="003719CD" w:rsidP="007D536F">
      <w:pPr>
        <w:pStyle w:val="Heading3"/>
      </w:pPr>
      <w:r>
        <w:br w:type="column"/>
      </w:r>
      <w:bookmarkStart w:id="3729" w:name="_Toc179813127"/>
      <w:bookmarkStart w:id="3730" w:name="_Toc179818827"/>
      <w:bookmarkStart w:id="3731" w:name="_Toc179824527"/>
      <w:bookmarkStart w:id="3732" w:name="_Toc179830193"/>
      <w:bookmarkStart w:id="3733" w:name="_Toc179861723"/>
      <w:r>
        <w:t>Structure</w:t>
      </w:r>
      <w:bookmarkEnd w:id="3729"/>
      <w:bookmarkEnd w:id="3730"/>
      <w:bookmarkEnd w:id="3731"/>
      <w:bookmarkEnd w:id="3732"/>
      <w:bookmarkEnd w:id="3733"/>
    </w:p>
    <w:p w14:paraId="24F676F8" w14:textId="684268E5" w:rsidR="00210A42" w:rsidRDefault="00210A42">
      <w:pPr>
        <w:pStyle w:val="TOC9"/>
        <w:rPr>
          <w:noProof/>
          <w:kern w:val="2"/>
          <w:sz w:val="24"/>
          <w:szCs w:val="24"/>
          <w14:ligatures w14:val="standardContextual"/>
        </w:rPr>
      </w:pPr>
      <w:r w:rsidRPr="00940E38">
        <w:fldChar w:fldCharType="begin"/>
      </w:r>
      <w:r w:rsidRPr="00940E38">
        <w:instrText xml:space="preserve"> TOC \h \z \t "Heading 2 </w:instrText>
      </w:r>
      <w:r>
        <w:instrText>numbered</w:instrText>
      </w:r>
      <w:r w:rsidRPr="00940E38">
        <w:instrText>,9" \b Section</w:instrText>
      </w:r>
      <w:r>
        <w:instrText>_6</w:instrText>
      </w:r>
      <w:r w:rsidRPr="00940E38">
        <w:instrText xml:space="preserve"> \* MERGEFORMAT </w:instrText>
      </w:r>
      <w:r w:rsidRPr="00940E38">
        <w:fldChar w:fldCharType="separate"/>
      </w:r>
      <w:hyperlink w:anchor="_Toc190340939" w:history="1">
        <w:r w:rsidRPr="00C61AB6">
          <w:rPr>
            <w:rStyle w:val="Hyperlink"/>
            <w:noProof/>
          </w:rPr>
          <w:t>6.1</w:t>
        </w:r>
        <w:r>
          <w:rPr>
            <w:noProof/>
            <w:kern w:val="2"/>
            <w:sz w:val="24"/>
            <w:szCs w:val="24"/>
            <w14:ligatures w14:val="standardContextual"/>
          </w:rPr>
          <w:tab/>
        </w:r>
        <w:r w:rsidRPr="00C61AB6">
          <w:rPr>
            <w:rStyle w:val="Hyperlink"/>
            <w:noProof/>
          </w:rPr>
          <w:t>Borrowings</w:t>
        </w:r>
        <w:r>
          <w:rPr>
            <w:noProof/>
            <w:webHidden/>
          </w:rPr>
          <w:tab/>
        </w:r>
        <w:r>
          <w:rPr>
            <w:noProof/>
            <w:webHidden/>
          </w:rPr>
          <w:fldChar w:fldCharType="begin"/>
        </w:r>
        <w:r>
          <w:rPr>
            <w:noProof/>
            <w:webHidden/>
          </w:rPr>
          <w:instrText xml:space="preserve"> PAGEREF _Toc190340939 \h </w:instrText>
        </w:r>
        <w:r>
          <w:rPr>
            <w:noProof/>
            <w:webHidden/>
          </w:rPr>
        </w:r>
        <w:r>
          <w:rPr>
            <w:noProof/>
            <w:webHidden/>
          </w:rPr>
          <w:fldChar w:fldCharType="separate"/>
        </w:r>
        <w:r w:rsidR="00CD40BE">
          <w:rPr>
            <w:noProof/>
            <w:webHidden/>
          </w:rPr>
          <w:t>45</w:t>
        </w:r>
        <w:r>
          <w:rPr>
            <w:noProof/>
            <w:webHidden/>
          </w:rPr>
          <w:fldChar w:fldCharType="end"/>
        </w:r>
      </w:hyperlink>
    </w:p>
    <w:p w14:paraId="1E3EC384" w14:textId="4EE84152" w:rsidR="00210A42" w:rsidRDefault="00210A42">
      <w:pPr>
        <w:pStyle w:val="TOC9"/>
        <w:rPr>
          <w:noProof/>
          <w:kern w:val="2"/>
          <w:sz w:val="24"/>
          <w:szCs w:val="24"/>
          <w14:ligatures w14:val="standardContextual"/>
        </w:rPr>
      </w:pPr>
      <w:hyperlink w:anchor="_Toc190340940" w:history="1">
        <w:r w:rsidRPr="00C61AB6">
          <w:rPr>
            <w:rStyle w:val="Hyperlink"/>
            <w:noProof/>
          </w:rPr>
          <w:t>6.2</w:t>
        </w:r>
        <w:r>
          <w:rPr>
            <w:noProof/>
            <w:kern w:val="2"/>
            <w:sz w:val="24"/>
            <w:szCs w:val="24"/>
            <w14:ligatures w14:val="standardContextual"/>
          </w:rPr>
          <w:tab/>
        </w:r>
        <w:r w:rsidRPr="00C61AB6">
          <w:rPr>
            <w:rStyle w:val="Hyperlink"/>
            <w:noProof/>
          </w:rPr>
          <w:t>Leases</w:t>
        </w:r>
        <w:r>
          <w:rPr>
            <w:noProof/>
            <w:webHidden/>
          </w:rPr>
          <w:tab/>
        </w:r>
        <w:r>
          <w:rPr>
            <w:noProof/>
            <w:webHidden/>
          </w:rPr>
          <w:fldChar w:fldCharType="begin"/>
        </w:r>
        <w:r>
          <w:rPr>
            <w:noProof/>
            <w:webHidden/>
          </w:rPr>
          <w:instrText xml:space="preserve"> PAGEREF _Toc190340940 \h </w:instrText>
        </w:r>
        <w:r>
          <w:rPr>
            <w:noProof/>
            <w:webHidden/>
          </w:rPr>
        </w:r>
        <w:r>
          <w:rPr>
            <w:noProof/>
            <w:webHidden/>
          </w:rPr>
          <w:fldChar w:fldCharType="separate"/>
        </w:r>
        <w:r w:rsidR="00CD40BE">
          <w:rPr>
            <w:noProof/>
            <w:webHidden/>
          </w:rPr>
          <w:t>47</w:t>
        </w:r>
        <w:r>
          <w:rPr>
            <w:noProof/>
            <w:webHidden/>
          </w:rPr>
          <w:fldChar w:fldCharType="end"/>
        </w:r>
      </w:hyperlink>
    </w:p>
    <w:p w14:paraId="68DF5400" w14:textId="193009F9" w:rsidR="00210A42" w:rsidRDefault="00210A42">
      <w:pPr>
        <w:pStyle w:val="TOC9"/>
        <w:rPr>
          <w:noProof/>
          <w:kern w:val="2"/>
          <w:sz w:val="24"/>
          <w:szCs w:val="24"/>
          <w14:ligatures w14:val="standardContextual"/>
        </w:rPr>
      </w:pPr>
      <w:hyperlink w:anchor="_Toc190340941" w:history="1">
        <w:r w:rsidRPr="00C61AB6">
          <w:rPr>
            <w:rStyle w:val="Hyperlink"/>
            <w:noProof/>
          </w:rPr>
          <w:t>6.3</w:t>
        </w:r>
        <w:r>
          <w:rPr>
            <w:noProof/>
            <w:kern w:val="2"/>
            <w:sz w:val="24"/>
            <w:szCs w:val="24"/>
            <w14:ligatures w14:val="standardContextual"/>
          </w:rPr>
          <w:tab/>
        </w:r>
        <w:r w:rsidRPr="00C61AB6">
          <w:rPr>
            <w:rStyle w:val="Hyperlink"/>
            <w:noProof/>
          </w:rPr>
          <w:t>Cash flow information and balances</w:t>
        </w:r>
        <w:r>
          <w:rPr>
            <w:noProof/>
            <w:webHidden/>
          </w:rPr>
          <w:tab/>
        </w:r>
        <w:r>
          <w:rPr>
            <w:noProof/>
            <w:webHidden/>
          </w:rPr>
          <w:fldChar w:fldCharType="begin"/>
        </w:r>
        <w:r>
          <w:rPr>
            <w:noProof/>
            <w:webHidden/>
          </w:rPr>
          <w:instrText xml:space="preserve"> PAGEREF _Toc190340941 \h </w:instrText>
        </w:r>
        <w:r>
          <w:rPr>
            <w:noProof/>
            <w:webHidden/>
          </w:rPr>
        </w:r>
        <w:r>
          <w:rPr>
            <w:noProof/>
            <w:webHidden/>
          </w:rPr>
          <w:fldChar w:fldCharType="separate"/>
        </w:r>
        <w:r w:rsidR="00CD40BE">
          <w:rPr>
            <w:noProof/>
            <w:webHidden/>
          </w:rPr>
          <w:t>49</w:t>
        </w:r>
        <w:r>
          <w:rPr>
            <w:noProof/>
            <w:webHidden/>
          </w:rPr>
          <w:fldChar w:fldCharType="end"/>
        </w:r>
      </w:hyperlink>
    </w:p>
    <w:p w14:paraId="5AA674EA" w14:textId="258C1B76" w:rsidR="00210A42" w:rsidRDefault="00210A42">
      <w:pPr>
        <w:pStyle w:val="TOC9"/>
        <w:rPr>
          <w:noProof/>
          <w:kern w:val="2"/>
          <w:sz w:val="24"/>
          <w:szCs w:val="24"/>
          <w14:ligatures w14:val="standardContextual"/>
        </w:rPr>
      </w:pPr>
      <w:hyperlink w:anchor="_Toc190340942" w:history="1">
        <w:r w:rsidRPr="00C61AB6">
          <w:rPr>
            <w:rStyle w:val="Hyperlink"/>
            <w:noProof/>
          </w:rPr>
          <w:t>6.4</w:t>
        </w:r>
        <w:r>
          <w:rPr>
            <w:noProof/>
            <w:kern w:val="2"/>
            <w:sz w:val="24"/>
            <w:szCs w:val="24"/>
            <w14:ligatures w14:val="standardContextual"/>
          </w:rPr>
          <w:tab/>
        </w:r>
        <w:r w:rsidRPr="00C61AB6">
          <w:rPr>
            <w:rStyle w:val="Hyperlink"/>
            <w:noProof/>
          </w:rPr>
          <w:t>Commitments for expenditure</w:t>
        </w:r>
        <w:r>
          <w:rPr>
            <w:noProof/>
            <w:webHidden/>
          </w:rPr>
          <w:tab/>
        </w:r>
        <w:r>
          <w:rPr>
            <w:noProof/>
            <w:webHidden/>
          </w:rPr>
          <w:fldChar w:fldCharType="begin"/>
        </w:r>
        <w:r>
          <w:rPr>
            <w:noProof/>
            <w:webHidden/>
          </w:rPr>
          <w:instrText xml:space="preserve"> PAGEREF _Toc190340942 \h </w:instrText>
        </w:r>
        <w:r>
          <w:rPr>
            <w:noProof/>
            <w:webHidden/>
          </w:rPr>
        </w:r>
        <w:r>
          <w:rPr>
            <w:noProof/>
            <w:webHidden/>
          </w:rPr>
          <w:fldChar w:fldCharType="separate"/>
        </w:r>
        <w:r w:rsidR="00CD40BE">
          <w:rPr>
            <w:noProof/>
            <w:webHidden/>
          </w:rPr>
          <w:t>50</w:t>
        </w:r>
        <w:r>
          <w:rPr>
            <w:noProof/>
            <w:webHidden/>
          </w:rPr>
          <w:fldChar w:fldCharType="end"/>
        </w:r>
      </w:hyperlink>
    </w:p>
    <w:p w14:paraId="4DDA814D" w14:textId="7BE8C60C" w:rsidR="00324A25" w:rsidRPr="00CE38B7" w:rsidRDefault="00210A42" w:rsidP="00210A42">
      <w:pPr>
        <w:pStyle w:val="TOC8"/>
        <w:rPr>
          <w:rStyle w:val="Hyperlink"/>
          <w:color w:val="auto"/>
          <w:u w:val="none"/>
        </w:rPr>
      </w:pPr>
      <w:r w:rsidRPr="00940E38">
        <w:fldChar w:fldCharType="end"/>
      </w:r>
    </w:p>
    <w:p w14:paraId="62B7B92E" w14:textId="7E92FFA2" w:rsidR="003719CD" w:rsidRDefault="003719CD" w:rsidP="0077020E">
      <w:pPr>
        <w:pStyle w:val="TOC9"/>
      </w:pPr>
    </w:p>
    <w:p w14:paraId="3D47F340" w14:textId="77777777" w:rsidR="003719CD" w:rsidRDefault="003719CD" w:rsidP="00DC39DE">
      <w:pPr>
        <w:sectPr w:rsidR="003719CD" w:rsidSect="000E2F05">
          <w:type w:val="continuous"/>
          <w:pgSz w:w="11906" w:h="16838" w:code="9"/>
          <w:pgMar w:top="1134" w:right="1134" w:bottom="1134" w:left="1134" w:header="624" w:footer="567" w:gutter="0"/>
          <w:cols w:num="2" w:space="708"/>
          <w:titlePg/>
          <w:docGrid w:linePitch="360"/>
        </w:sectPr>
      </w:pPr>
    </w:p>
    <w:p w14:paraId="0C4BBA6A" w14:textId="6966E6AB" w:rsidR="003719CD" w:rsidRDefault="003719CD" w:rsidP="00A80494">
      <w:pPr>
        <w:pStyle w:val="Heading2numbered"/>
      </w:pPr>
      <w:bookmarkStart w:id="3734" w:name="_Toc96704974"/>
      <w:bookmarkStart w:id="3735" w:name="_Toc130225983"/>
      <w:bookmarkStart w:id="3736" w:name="_Toc64983167"/>
      <w:bookmarkStart w:id="3737" w:name="_Toc179813128"/>
      <w:bookmarkStart w:id="3738" w:name="_Toc179818828"/>
      <w:bookmarkStart w:id="3739" w:name="_Toc179824528"/>
      <w:bookmarkStart w:id="3740" w:name="_Toc179830194"/>
      <w:bookmarkStart w:id="3741" w:name="_Toc179861724"/>
      <w:bookmarkStart w:id="3742" w:name="_Toc179869035"/>
      <w:bookmarkStart w:id="3743" w:name="_Toc179873428"/>
      <w:bookmarkStart w:id="3744" w:name="_Toc179877821"/>
      <w:bookmarkStart w:id="3745" w:name="_Toc179880322"/>
      <w:bookmarkStart w:id="3746" w:name="_Toc190333173"/>
      <w:bookmarkStart w:id="3747" w:name="_Toc190340939"/>
      <w:r>
        <w:t>Borrowings</w:t>
      </w:r>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p>
    <w:p w14:paraId="503B3804" w14:textId="77777777" w:rsidR="003719CD" w:rsidRDefault="003719CD" w:rsidP="007D536F">
      <w:pPr>
        <w:pStyle w:val="TableUnits"/>
      </w:pPr>
      <w:r>
        <w:t>($ thousand)</w:t>
      </w:r>
    </w:p>
    <w:tbl>
      <w:tblPr>
        <w:tblStyle w:val="DTFTable"/>
        <w:tblW w:w="9801" w:type="dxa"/>
        <w:tblInd w:w="-142" w:type="dxa"/>
        <w:tblLayout w:type="fixed"/>
        <w:tblLook w:val="0620" w:firstRow="1" w:lastRow="0" w:firstColumn="0" w:lastColumn="0" w:noHBand="1" w:noVBand="1"/>
      </w:tblPr>
      <w:tblGrid>
        <w:gridCol w:w="1276"/>
        <w:gridCol w:w="6336"/>
        <w:gridCol w:w="1170"/>
        <w:gridCol w:w="1019"/>
      </w:tblGrid>
      <w:tr w:rsidR="00182709" w14:paraId="3D3B38C2" w14:textId="77777777" w:rsidTr="00210A42">
        <w:trPr>
          <w:cnfStyle w:val="100000000000" w:firstRow="1" w:lastRow="0" w:firstColumn="0" w:lastColumn="0" w:oddVBand="0" w:evenVBand="0" w:oddHBand="0" w:evenHBand="0" w:firstRowFirstColumn="0" w:firstRowLastColumn="0" w:lastRowFirstColumn="0" w:lastRowLastColumn="0"/>
          <w:tblHeader/>
        </w:trPr>
        <w:tc>
          <w:tcPr>
            <w:tcW w:w="1276" w:type="dxa"/>
            <w:tcBorders>
              <w:top w:val="nil"/>
              <w:bottom w:val="nil"/>
            </w:tcBorders>
            <w:shd w:val="clear" w:color="auto" w:fill="FFFFFF" w:themeFill="background1"/>
          </w:tcPr>
          <w:p w14:paraId="0A689B97" w14:textId="77777777" w:rsidR="00182709" w:rsidRDefault="0044097C">
            <w:pPr>
              <w:keepNext/>
              <w:jc w:val="left"/>
            </w:pPr>
            <w:r>
              <w:rPr>
                <w:color w:val="4472C4"/>
                <w:sz w:val="13"/>
              </w:rPr>
              <w:t>Source reference</w:t>
            </w:r>
          </w:p>
        </w:tc>
        <w:tc>
          <w:tcPr>
            <w:tcW w:w="6336" w:type="dxa"/>
          </w:tcPr>
          <w:p w14:paraId="6A25B0D1" w14:textId="77777777" w:rsidR="00182709" w:rsidRDefault="00182709">
            <w:pPr>
              <w:keepNext/>
              <w:jc w:val="left"/>
            </w:pPr>
          </w:p>
        </w:tc>
        <w:tc>
          <w:tcPr>
            <w:tcW w:w="1170" w:type="dxa"/>
          </w:tcPr>
          <w:p w14:paraId="42FD2E46" w14:textId="77777777" w:rsidR="00182709" w:rsidRDefault="0044097C">
            <w:pPr>
              <w:keepNext/>
            </w:pPr>
            <w:r>
              <w:t>20X2</w:t>
            </w:r>
          </w:p>
        </w:tc>
        <w:tc>
          <w:tcPr>
            <w:tcW w:w="1019" w:type="dxa"/>
          </w:tcPr>
          <w:p w14:paraId="05E4FFEF" w14:textId="77777777" w:rsidR="00182709" w:rsidRDefault="0044097C">
            <w:pPr>
              <w:keepNext/>
            </w:pPr>
            <w:r>
              <w:t>20X1</w:t>
            </w:r>
          </w:p>
        </w:tc>
      </w:tr>
      <w:tr w:rsidR="00182709" w14:paraId="2664C87E" w14:textId="77777777" w:rsidTr="00210A42">
        <w:tc>
          <w:tcPr>
            <w:tcW w:w="1276" w:type="dxa"/>
          </w:tcPr>
          <w:p w14:paraId="23FD4883" w14:textId="15D950C1" w:rsidR="00182709" w:rsidRDefault="0007383E">
            <w:pPr>
              <w:jc w:val="left"/>
            </w:pPr>
            <w:r>
              <w:rPr>
                <w:color w:val="4472C4"/>
                <w:sz w:val="13"/>
              </w:rPr>
              <w:t>AASB </w:t>
            </w:r>
            <w:r w:rsidR="0044097C">
              <w:rPr>
                <w:color w:val="4472C4"/>
                <w:sz w:val="13"/>
              </w:rPr>
              <w:t>10</w:t>
            </w:r>
            <w:r w:rsidR="006D1A61">
              <w:rPr>
                <w:rFonts w:hint="eastAsia"/>
                <w:color w:val="4472C4"/>
                <w:sz w:val="13"/>
                <w:lang w:eastAsia="zh-CN"/>
              </w:rPr>
              <w:t>60</w:t>
            </w:r>
            <w:r w:rsidR="0044097C">
              <w:rPr>
                <w:color w:val="4472C4"/>
                <w:sz w:val="13"/>
              </w:rPr>
              <w:t>.</w:t>
            </w:r>
            <w:r w:rsidR="006D1A61">
              <w:rPr>
                <w:rFonts w:hint="eastAsia"/>
                <w:color w:val="4472C4"/>
                <w:sz w:val="13"/>
                <w:lang w:eastAsia="zh-CN"/>
              </w:rPr>
              <w:t>40</w:t>
            </w:r>
          </w:p>
        </w:tc>
        <w:tc>
          <w:tcPr>
            <w:tcW w:w="6336" w:type="dxa"/>
          </w:tcPr>
          <w:p w14:paraId="46D3A1DB" w14:textId="77777777" w:rsidR="00182709" w:rsidRDefault="0044097C">
            <w:pPr>
              <w:jc w:val="left"/>
            </w:pPr>
            <w:r>
              <w:rPr>
                <w:b/>
              </w:rPr>
              <w:t>Current borrowings</w:t>
            </w:r>
          </w:p>
        </w:tc>
        <w:tc>
          <w:tcPr>
            <w:tcW w:w="1170" w:type="dxa"/>
          </w:tcPr>
          <w:p w14:paraId="3FF52759" w14:textId="77777777" w:rsidR="00182709" w:rsidRDefault="00182709"/>
        </w:tc>
        <w:tc>
          <w:tcPr>
            <w:tcW w:w="1019" w:type="dxa"/>
          </w:tcPr>
          <w:p w14:paraId="3AF3648A" w14:textId="77777777" w:rsidR="00182709" w:rsidRDefault="00182709"/>
        </w:tc>
      </w:tr>
      <w:tr w:rsidR="00182709" w14:paraId="2EA882DA" w14:textId="77777777" w:rsidTr="00210A42">
        <w:tc>
          <w:tcPr>
            <w:tcW w:w="1276" w:type="dxa"/>
          </w:tcPr>
          <w:p w14:paraId="036C52C2" w14:textId="77777777" w:rsidR="00182709" w:rsidRDefault="00182709">
            <w:pPr>
              <w:jc w:val="left"/>
            </w:pPr>
          </w:p>
        </w:tc>
        <w:tc>
          <w:tcPr>
            <w:tcW w:w="6336" w:type="dxa"/>
          </w:tcPr>
          <w:p w14:paraId="6DAF8CCE" w14:textId="77777777" w:rsidR="00182709" w:rsidRDefault="0044097C">
            <w:pPr>
              <w:jc w:val="left"/>
            </w:pPr>
            <w:r>
              <w:t>Bank overdrafts</w:t>
            </w:r>
          </w:p>
        </w:tc>
        <w:tc>
          <w:tcPr>
            <w:tcW w:w="1170" w:type="dxa"/>
          </w:tcPr>
          <w:p w14:paraId="02B99AC0" w14:textId="77777777" w:rsidR="00182709" w:rsidRDefault="0044097C">
            <w:r>
              <w:t>..</w:t>
            </w:r>
          </w:p>
        </w:tc>
        <w:tc>
          <w:tcPr>
            <w:tcW w:w="1019" w:type="dxa"/>
          </w:tcPr>
          <w:p w14:paraId="2572580C" w14:textId="77777777" w:rsidR="00182709" w:rsidRDefault="0044097C">
            <w:r>
              <w:t>5 437</w:t>
            </w:r>
          </w:p>
        </w:tc>
      </w:tr>
      <w:tr w:rsidR="00625A8B" w14:paraId="1662BFA7" w14:textId="77777777" w:rsidTr="00210A42">
        <w:tc>
          <w:tcPr>
            <w:tcW w:w="1276" w:type="dxa"/>
          </w:tcPr>
          <w:p w14:paraId="11B0C269" w14:textId="77777777" w:rsidR="00625A8B" w:rsidRDefault="00625A8B" w:rsidP="00625A8B">
            <w:pPr>
              <w:jc w:val="left"/>
            </w:pPr>
          </w:p>
        </w:tc>
        <w:tc>
          <w:tcPr>
            <w:tcW w:w="6336" w:type="dxa"/>
          </w:tcPr>
          <w:p w14:paraId="451EE81F" w14:textId="77777777" w:rsidR="00625A8B" w:rsidRDefault="00625A8B" w:rsidP="00625A8B">
            <w:pPr>
              <w:jc w:val="left"/>
            </w:pPr>
            <w:r>
              <w:t>Lease liabilities</w:t>
            </w:r>
            <w:r>
              <w:rPr>
                <w:vertAlign w:val="superscript"/>
              </w:rPr>
              <w:t xml:space="preserve"> (a)</w:t>
            </w:r>
          </w:p>
        </w:tc>
        <w:tc>
          <w:tcPr>
            <w:tcW w:w="1170" w:type="dxa"/>
            <w:vAlign w:val="center"/>
          </w:tcPr>
          <w:p w14:paraId="4DBBCD05" w14:textId="7A8B5B7E" w:rsidR="00625A8B" w:rsidRDefault="00A601B0" w:rsidP="002A0038">
            <w:pPr>
              <w:ind w:right="80"/>
            </w:pPr>
            <w:r>
              <w:rPr>
                <w:rFonts w:ascii="Arial" w:hAnsi="Arial" w:cs="Arial"/>
                <w:color w:val="000000"/>
                <w:szCs w:val="16"/>
              </w:rPr>
              <w:t xml:space="preserve"> 10 364</w:t>
            </w:r>
          </w:p>
        </w:tc>
        <w:tc>
          <w:tcPr>
            <w:tcW w:w="1019" w:type="dxa"/>
            <w:vAlign w:val="center"/>
          </w:tcPr>
          <w:p w14:paraId="38B517E7" w14:textId="5916EC96" w:rsidR="00625A8B" w:rsidRDefault="00A601B0" w:rsidP="00625A8B">
            <w:r>
              <w:rPr>
                <w:rFonts w:ascii="Arial" w:hAnsi="Arial" w:cs="Arial"/>
                <w:color w:val="000000"/>
                <w:szCs w:val="16"/>
              </w:rPr>
              <w:t>14 863</w:t>
            </w:r>
          </w:p>
        </w:tc>
      </w:tr>
      <w:tr w:rsidR="00053DDC" w14:paraId="65353DB8" w14:textId="77777777" w:rsidTr="00210A42">
        <w:tc>
          <w:tcPr>
            <w:tcW w:w="1276" w:type="dxa"/>
          </w:tcPr>
          <w:p w14:paraId="0CB43D3B" w14:textId="77777777" w:rsidR="00053DDC" w:rsidRDefault="00053DDC" w:rsidP="00053DDC">
            <w:pPr>
              <w:jc w:val="left"/>
            </w:pPr>
          </w:p>
        </w:tc>
        <w:tc>
          <w:tcPr>
            <w:tcW w:w="6336" w:type="dxa"/>
          </w:tcPr>
          <w:p w14:paraId="799DC91C" w14:textId="77777777" w:rsidR="00053DDC" w:rsidRDefault="00053DDC" w:rsidP="00053DDC">
            <w:pPr>
              <w:jc w:val="left"/>
            </w:pPr>
            <w:r>
              <w:rPr>
                <w:b/>
              </w:rPr>
              <w:t>Total current borrowings</w:t>
            </w:r>
          </w:p>
        </w:tc>
        <w:tc>
          <w:tcPr>
            <w:tcW w:w="1170" w:type="dxa"/>
            <w:vAlign w:val="center"/>
          </w:tcPr>
          <w:p w14:paraId="35393EB8" w14:textId="7AE07436" w:rsidR="00053DDC" w:rsidRDefault="00053DDC" w:rsidP="00053DDC">
            <w:r>
              <w:rPr>
                <w:rFonts w:ascii="Arial" w:hAnsi="Arial" w:cs="Arial"/>
                <w:b/>
                <w:bCs/>
                <w:color w:val="000000"/>
                <w:szCs w:val="16"/>
              </w:rPr>
              <w:t>10</w:t>
            </w:r>
            <w:r w:rsidR="00514FC2">
              <w:rPr>
                <w:rFonts w:ascii="Arial" w:hAnsi="Arial" w:cs="Arial" w:hint="eastAsia"/>
                <w:b/>
                <w:bCs/>
                <w:color w:val="000000"/>
                <w:szCs w:val="16"/>
                <w:lang w:eastAsia="zh-CN"/>
              </w:rPr>
              <w:t xml:space="preserve"> </w:t>
            </w:r>
            <w:r>
              <w:rPr>
                <w:rFonts w:ascii="Arial" w:hAnsi="Arial" w:cs="Arial"/>
                <w:b/>
                <w:bCs/>
                <w:color w:val="000000"/>
                <w:szCs w:val="16"/>
              </w:rPr>
              <w:t>364</w:t>
            </w:r>
          </w:p>
        </w:tc>
        <w:tc>
          <w:tcPr>
            <w:tcW w:w="1019" w:type="dxa"/>
            <w:vAlign w:val="center"/>
          </w:tcPr>
          <w:p w14:paraId="7027E2F2" w14:textId="0FD73B99" w:rsidR="00053DDC" w:rsidRDefault="00053DDC" w:rsidP="00053DDC">
            <w:r>
              <w:rPr>
                <w:rFonts w:ascii="Arial" w:hAnsi="Arial" w:cs="Arial"/>
                <w:b/>
                <w:bCs/>
                <w:color w:val="000000"/>
                <w:szCs w:val="16"/>
              </w:rPr>
              <w:t>20</w:t>
            </w:r>
            <w:r w:rsidR="00514FC2">
              <w:rPr>
                <w:rFonts w:ascii="Arial" w:hAnsi="Arial" w:cs="Arial" w:hint="eastAsia"/>
                <w:b/>
                <w:bCs/>
                <w:color w:val="000000"/>
                <w:szCs w:val="16"/>
                <w:lang w:eastAsia="zh-CN"/>
              </w:rPr>
              <w:t xml:space="preserve"> </w:t>
            </w:r>
            <w:r>
              <w:rPr>
                <w:rFonts w:ascii="Arial" w:hAnsi="Arial" w:cs="Arial"/>
                <w:b/>
                <w:bCs/>
                <w:color w:val="000000"/>
                <w:szCs w:val="16"/>
              </w:rPr>
              <w:t>300</w:t>
            </w:r>
          </w:p>
        </w:tc>
      </w:tr>
      <w:tr w:rsidR="00671D55" w14:paraId="437D0C2C" w14:textId="77777777" w:rsidTr="00210A42">
        <w:tc>
          <w:tcPr>
            <w:tcW w:w="1276" w:type="dxa"/>
          </w:tcPr>
          <w:p w14:paraId="692B6E3C" w14:textId="711E47E9" w:rsidR="00182709" w:rsidRDefault="0007383E">
            <w:pPr>
              <w:jc w:val="left"/>
            </w:pPr>
            <w:r>
              <w:rPr>
                <w:color w:val="4472C4"/>
                <w:sz w:val="13"/>
              </w:rPr>
              <w:t>AASB </w:t>
            </w:r>
            <w:r w:rsidR="0044097C">
              <w:rPr>
                <w:color w:val="4472C4"/>
                <w:sz w:val="13"/>
              </w:rPr>
              <w:t>10</w:t>
            </w:r>
            <w:r w:rsidR="006D1A61">
              <w:rPr>
                <w:rFonts w:hint="eastAsia"/>
                <w:color w:val="4472C4"/>
                <w:sz w:val="13"/>
                <w:lang w:eastAsia="zh-CN"/>
              </w:rPr>
              <w:t>60</w:t>
            </w:r>
            <w:r w:rsidR="0044097C">
              <w:rPr>
                <w:color w:val="4472C4"/>
                <w:sz w:val="13"/>
              </w:rPr>
              <w:t>.</w:t>
            </w:r>
            <w:r w:rsidR="006D1A61">
              <w:rPr>
                <w:rFonts w:hint="eastAsia"/>
                <w:color w:val="4472C4"/>
                <w:sz w:val="13"/>
                <w:lang w:eastAsia="zh-CN"/>
              </w:rPr>
              <w:t>41</w:t>
            </w:r>
            <w:r w:rsidR="00A84D8B">
              <w:rPr>
                <w:color w:val="4472C4"/>
                <w:sz w:val="13"/>
                <w:lang w:eastAsia="zh-CN"/>
              </w:rPr>
              <w:t>,47A</w:t>
            </w:r>
          </w:p>
        </w:tc>
        <w:tc>
          <w:tcPr>
            <w:tcW w:w="6336" w:type="dxa"/>
          </w:tcPr>
          <w:p w14:paraId="4230E670" w14:textId="77777777" w:rsidR="00182709" w:rsidRDefault="0044097C">
            <w:pPr>
              <w:jc w:val="left"/>
            </w:pPr>
            <w:r>
              <w:rPr>
                <w:b/>
              </w:rPr>
              <w:t>Non‑current borrowings</w:t>
            </w:r>
          </w:p>
        </w:tc>
        <w:tc>
          <w:tcPr>
            <w:tcW w:w="1170" w:type="dxa"/>
          </w:tcPr>
          <w:p w14:paraId="69052D14" w14:textId="77777777" w:rsidR="00182709" w:rsidRDefault="00182709"/>
        </w:tc>
        <w:tc>
          <w:tcPr>
            <w:tcW w:w="1019" w:type="dxa"/>
          </w:tcPr>
          <w:p w14:paraId="069F42AB" w14:textId="77777777" w:rsidR="00182709" w:rsidRDefault="00182709"/>
        </w:tc>
      </w:tr>
      <w:tr w:rsidR="000E4CAD" w14:paraId="7705BF04" w14:textId="77777777" w:rsidTr="00210A42">
        <w:tc>
          <w:tcPr>
            <w:tcW w:w="1276" w:type="dxa"/>
          </w:tcPr>
          <w:p w14:paraId="2CBF3CE9" w14:textId="77777777" w:rsidR="000E4CAD" w:rsidRDefault="000E4CAD" w:rsidP="000E4CAD">
            <w:pPr>
              <w:jc w:val="left"/>
            </w:pPr>
          </w:p>
        </w:tc>
        <w:tc>
          <w:tcPr>
            <w:tcW w:w="6336" w:type="dxa"/>
          </w:tcPr>
          <w:p w14:paraId="3F908AF0" w14:textId="77777777" w:rsidR="000E4CAD" w:rsidRDefault="000E4CAD" w:rsidP="000E4CAD">
            <w:pPr>
              <w:jc w:val="left"/>
            </w:pPr>
            <w:r>
              <w:t>Lease liabilities</w:t>
            </w:r>
          </w:p>
        </w:tc>
        <w:tc>
          <w:tcPr>
            <w:tcW w:w="1170" w:type="dxa"/>
            <w:vAlign w:val="center"/>
          </w:tcPr>
          <w:p w14:paraId="272F004A" w14:textId="5AC14CE8" w:rsidR="000E4CAD" w:rsidRDefault="000E4CAD" w:rsidP="000E4CAD">
            <w:r>
              <w:rPr>
                <w:rFonts w:ascii="Arial" w:hAnsi="Arial" w:cs="Arial"/>
                <w:color w:val="000000"/>
                <w:szCs w:val="16"/>
              </w:rPr>
              <w:t>7</w:t>
            </w:r>
            <w:r w:rsidR="00514FC2">
              <w:rPr>
                <w:rFonts w:ascii="Arial" w:hAnsi="Arial" w:cs="Arial" w:hint="eastAsia"/>
                <w:color w:val="000000"/>
                <w:szCs w:val="16"/>
                <w:lang w:eastAsia="zh-CN"/>
              </w:rPr>
              <w:t xml:space="preserve"> </w:t>
            </w:r>
            <w:r w:rsidR="00734C82">
              <w:rPr>
                <w:rFonts w:ascii="Arial" w:hAnsi="Arial" w:cs="Arial"/>
                <w:color w:val="000000"/>
                <w:szCs w:val="16"/>
              </w:rPr>
              <w:t>955</w:t>
            </w:r>
          </w:p>
        </w:tc>
        <w:tc>
          <w:tcPr>
            <w:tcW w:w="1019" w:type="dxa"/>
            <w:vAlign w:val="center"/>
          </w:tcPr>
          <w:p w14:paraId="512AEE53" w14:textId="7C6FF1F9" w:rsidR="000E4CAD" w:rsidRDefault="00734C82" w:rsidP="000E4CAD">
            <w:r>
              <w:rPr>
                <w:rFonts w:ascii="Arial" w:hAnsi="Arial" w:cs="Arial"/>
                <w:color w:val="000000"/>
                <w:szCs w:val="16"/>
              </w:rPr>
              <w:t>11 873</w:t>
            </w:r>
          </w:p>
        </w:tc>
      </w:tr>
      <w:tr w:rsidR="000E4CAD" w14:paraId="6D432F57" w14:textId="77777777" w:rsidTr="00210A42">
        <w:tc>
          <w:tcPr>
            <w:tcW w:w="1276" w:type="dxa"/>
          </w:tcPr>
          <w:p w14:paraId="7B5836BA" w14:textId="77777777" w:rsidR="000E4CAD" w:rsidRDefault="000E4CAD" w:rsidP="000E4CAD">
            <w:pPr>
              <w:jc w:val="left"/>
            </w:pPr>
          </w:p>
        </w:tc>
        <w:tc>
          <w:tcPr>
            <w:tcW w:w="6336" w:type="dxa"/>
            <w:tcBorders>
              <w:bottom w:val="nil"/>
            </w:tcBorders>
          </w:tcPr>
          <w:p w14:paraId="023874DC" w14:textId="134E3F4B" w:rsidR="000E4CAD" w:rsidRDefault="000E4CAD" w:rsidP="000E4CAD">
            <w:pPr>
              <w:jc w:val="left"/>
            </w:pPr>
            <w:r>
              <w:t>Loans from TCV</w:t>
            </w:r>
            <w:r>
              <w:rPr>
                <w:vertAlign w:val="superscript"/>
              </w:rPr>
              <w:t xml:space="preserve"> (</w:t>
            </w:r>
            <w:r w:rsidR="003A5077">
              <w:rPr>
                <w:vertAlign w:val="superscript"/>
                <w:lang w:eastAsia="zh-CN"/>
              </w:rPr>
              <w:t>b</w:t>
            </w:r>
            <w:r>
              <w:rPr>
                <w:vertAlign w:val="superscript"/>
              </w:rPr>
              <w:t>)</w:t>
            </w:r>
          </w:p>
        </w:tc>
        <w:tc>
          <w:tcPr>
            <w:tcW w:w="1170" w:type="dxa"/>
            <w:tcBorders>
              <w:bottom w:val="nil"/>
            </w:tcBorders>
            <w:vAlign w:val="center"/>
          </w:tcPr>
          <w:p w14:paraId="4AE7D5FE" w14:textId="3BDEDCDD" w:rsidR="000E4CAD" w:rsidRDefault="000E4CAD" w:rsidP="000E4CAD">
            <w:r>
              <w:rPr>
                <w:rFonts w:ascii="Arial" w:hAnsi="Arial" w:cs="Arial"/>
                <w:color w:val="000000"/>
                <w:szCs w:val="16"/>
              </w:rPr>
              <w:t>48</w:t>
            </w:r>
            <w:r w:rsidR="00514FC2">
              <w:rPr>
                <w:rFonts w:ascii="Arial" w:hAnsi="Arial" w:cs="Arial" w:hint="eastAsia"/>
                <w:color w:val="000000"/>
                <w:szCs w:val="16"/>
                <w:lang w:eastAsia="zh-CN"/>
              </w:rPr>
              <w:t xml:space="preserve"> </w:t>
            </w:r>
            <w:r>
              <w:rPr>
                <w:rFonts w:ascii="Arial" w:hAnsi="Arial" w:cs="Arial"/>
                <w:color w:val="000000"/>
                <w:szCs w:val="16"/>
              </w:rPr>
              <w:t>696</w:t>
            </w:r>
          </w:p>
        </w:tc>
        <w:tc>
          <w:tcPr>
            <w:tcW w:w="1019" w:type="dxa"/>
            <w:tcBorders>
              <w:bottom w:val="nil"/>
            </w:tcBorders>
            <w:vAlign w:val="center"/>
          </w:tcPr>
          <w:p w14:paraId="3B094259" w14:textId="6FCBE219" w:rsidR="000E4CAD" w:rsidRDefault="000E4CAD" w:rsidP="000E4CAD">
            <w:r>
              <w:rPr>
                <w:rFonts w:ascii="Arial" w:hAnsi="Arial" w:cs="Arial"/>
                <w:color w:val="000000"/>
                <w:szCs w:val="16"/>
              </w:rPr>
              <w:t>27</w:t>
            </w:r>
            <w:r w:rsidR="00514FC2">
              <w:rPr>
                <w:rFonts w:ascii="Arial" w:hAnsi="Arial" w:cs="Arial" w:hint="eastAsia"/>
                <w:color w:val="000000"/>
                <w:szCs w:val="16"/>
                <w:lang w:eastAsia="zh-CN"/>
              </w:rPr>
              <w:t xml:space="preserve"> </w:t>
            </w:r>
            <w:r>
              <w:rPr>
                <w:rFonts w:ascii="Arial" w:hAnsi="Arial" w:cs="Arial"/>
                <w:color w:val="000000"/>
                <w:szCs w:val="16"/>
              </w:rPr>
              <w:t>705</w:t>
            </w:r>
          </w:p>
        </w:tc>
      </w:tr>
      <w:tr w:rsidR="00514FC2" w14:paraId="190C924F" w14:textId="77777777" w:rsidTr="00210A42">
        <w:tc>
          <w:tcPr>
            <w:tcW w:w="1276" w:type="dxa"/>
          </w:tcPr>
          <w:p w14:paraId="15BA8892" w14:textId="77777777" w:rsidR="00514FC2" w:rsidRDefault="00514FC2" w:rsidP="00514FC2">
            <w:pPr>
              <w:jc w:val="left"/>
            </w:pPr>
          </w:p>
        </w:tc>
        <w:tc>
          <w:tcPr>
            <w:tcW w:w="6336" w:type="dxa"/>
            <w:tcBorders>
              <w:bottom w:val="single" w:sz="12" w:space="0" w:color="auto"/>
            </w:tcBorders>
          </w:tcPr>
          <w:p w14:paraId="3016159E" w14:textId="77777777" w:rsidR="00514FC2" w:rsidRDefault="00514FC2" w:rsidP="00514FC2">
            <w:pPr>
              <w:jc w:val="left"/>
            </w:pPr>
            <w:r>
              <w:rPr>
                <w:b/>
              </w:rPr>
              <w:t>Total non</w:t>
            </w:r>
            <w:r>
              <w:rPr>
                <w:rFonts w:ascii="Cambria Math" w:hAnsi="Cambria Math" w:cs="Cambria Math"/>
                <w:b/>
              </w:rPr>
              <w:t>‑</w:t>
            </w:r>
            <w:r>
              <w:rPr>
                <w:b/>
              </w:rPr>
              <w:t>current borrowings</w:t>
            </w:r>
          </w:p>
        </w:tc>
        <w:tc>
          <w:tcPr>
            <w:tcW w:w="1170" w:type="dxa"/>
            <w:tcBorders>
              <w:bottom w:val="single" w:sz="12" w:space="0" w:color="auto"/>
            </w:tcBorders>
            <w:vAlign w:val="center"/>
          </w:tcPr>
          <w:p w14:paraId="5A481A4D" w14:textId="7BADD4C9" w:rsidR="00514FC2" w:rsidRDefault="00514FC2" w:rsidP="00514FC2">
            <w:r>
              <w:rPr>
                <w:rFonts w:ascii="Arial" w:hAnsi="Arial" w:cs="Arial"/>
                <w:b/>
                <w:bCs/>
                <w:color w:val="000000"/>
                <w:szCs w:val="16"/>
              </w:rPr>
              <w:t>56</w:t>
            </w:r>
            <w:r>
              <w:rPr>
                <w:rFonts w:ascii="Arial" w:hAnsi="Arial" w:cs="Arial" w:hint="eastAsia"/>
                <w:b/>
                <w:bCs/>
                <w:color w:val="000000"/>
                <w:szCs w:val="16"/>
                <w:lang w:eastAsia="zh-CN"/>
              </w:rPr>
              <w:t xml:space="preserve"> </w:t>
            </w:r>
            <w:r>
              <w:rPr>
                <w:rFonts w:ascii="Arial" w:hAnsi="Arial" w:cs="Arial"/>
                <w:b/>
                <w:bCs/>
                <w:color w:val="000000"/>
                <w:szCs w:val="16"/>
              </w:rPr>
              <w:t>651</w:t>
            </w:r>
          </w:p>
        </w:tc>
        <w:tc>
          <w:tcPr>
            <w:tcW w:w="1019" w:type="dxa"/>
            <w:tcBorders>
              <w:bottom w:val="single" w:sz="12" w:space="0" w:color="auto"/>
            </w:tcBorders>
            <w:vAlign w:val="center"/>
          </w:tcPr>
          <w:p w14:paraId="1B25D5E4" w14:textId="56C91F06" w:rsidR="00514FC2" w:rsidRDefault="00514FC2" w:rsidP="00514FC2">
            <w:r>
              <w:rPr>
                <w:rFonts w:ascii="Arial" w:hAnsi="Arial" w:cs="Arial"/>
                <w:b/>
                <w:bCs/>
                <w:color w:val="000000"/>
                <w:szCs w:val="16"/>
              </w:rPr>
              <w:t>39</w:t>
            </w:r>
            <w:r>
              <w:rPr>
                <w:rFonts w:ascii="Arial" w:hAnsi="Arial" w:cs="Arial" w:hint="eastAsia"/>
                <w:b/>
                <w:bCs/>
                <w:color w:val="000000"/>
                <w:szCs w:val="16"/>
                <w:lang w:eastAsia="zh-CN"/>
              </w:rPr>
              <w:t xml:space="preserve"> </w:t>
            </w:r>
            <w:r>
              <w:rPr>
                <w:rFonts w:ascii="Arial" w:hAnsi="Arial" w:cs="Arial"/>
                <w:b/>
                <w:bCs/>
                <w:color w:val="000000"/>
                <w:szCs w:val="16"/>
              </w:rPr>
              <w:t>578</w:t>
            </w:r>
          </w:p>
        </w:tc>
      </w:tr>
      <w:tr w:rsidR="00923FA3" w14:paraId="775EDCD0" w14:textId="77777777" w:rsidTr="00210A42">
        <w:tc>
          <w:tcPr>
            <w:tcW w:w="1276" w:type="dxa"/>
            <w:tcBorders>
              <w:bottom w:val="nil"/>
            </w:tcBorders>
          </w:tcPr>
          <w:p w14:paraId="19DA6714" w14:textId="38FE6022" w:rsidR="00923FA3" w:rsidRDefault="0007383E" w:rsidP="00923FA3">
            <w:pPr>
              <w:jc w:val="left"/>
            </w:pPr>
            <w:r>
              <w:rPr>
                <w:color w:val="4472C4"/>
                <w:sz w:val="13"/>
              </w:rPr>
              <w:t>AASB </w:t>
            </w:r>
            <w:r w:rsidR="00923FA3">
              <w:rPr>
                <w:color w:val="4472C4"/>
                <w:sz w:val="13"/>
              </w:rPr>
              <w:t>10</w:t>
            </w:r>
            <w:r w:rsidR="00923FA3">
              <w:rPr>
                <w:rFonts w:hint="eastAsia"/>
                <w:color w:val="4472C4"/>
                <w:sz w:val="13"/>
                <w:lang w:eastAsia="zh-CN"/>
              </w:rPr>
              <w:t>60</w:t>
            </w:r>
            <w:r w:rsidR="00923FA3">
              <w:rPr>
                <w:color w:val="4472C4"/>
                <w:sz w:val="13"/>
              </w:rPr>
              <w:t>.</w:t>
            </w:r>
            <w:r w:rsidR="00923FA3">
              <w:rPr>
                <w:color w:val="4472C4"/>
                <w:sz w:val="13"/>
                <w:lang w:eastAsia="zh-CN"/>
              </w:rPr>
              <w:t>113(d)</w:t>
            </w:r>
          </w:p>
        </w:tc>
        <w:tc>
          <w:tcPr>
            <w:tcW w:w="6336" w:type="dxa"/>
            <w:tcBorders>
              <w:top w:val="single" w:sz="12" w:space="0" w:color="auto"/>
            </w:tcBorders>
          </w:tcPr>
          <w:p w14:paraId="6AB138DD" w14:textId="77777777" w:rsidR="00923FA3" w:rsidRDefault="00923FA3" w:rsidP="00923FA3">
            <w:pPr>
              <w:jc w:val="left"/>
            </w:pPr>
            <w:r>
              <w:rPr>
                <w:b/>
              </w:rPr>
              <w:t>Total borrowings</w:t>
            </w:r>
          </w:p>
        </w:tc>
        <w:tc>
          <w:tcPr>
            <w:tcW w:w="1170" w:type="dxa"/>
            <w:tcBorders>
              <w:top w:val="single" w:sz="12" w:space="0" w:color="auto"/>
            </w:tcBorders>
            <w:vAlign w:val="center"/>
          </w:tcPr>
          <w:p w14:paraId="2BDF64E2" w14:textId="1046DA56" w:rsidR="00923FA3" w:rsidRDefault="00923FA3" w:rsidP="00923FA3">
            <w:r>
              <w:rPr>
                <w:rFonts w:ascii="Arial" w:hAnsi="Arial" w:cs="Arial"/>
                <w:b/>
                <w:bCs/>
                <w:color w:val="000000"/>
                <w:szCs w:val="16"/>
              </w:rPr>
              <w:t>67</w:t>
            </w:r>
            <w:r>
              <w:rPr>
                <w:rFonts w:ascii="Arial" w:hAnsi="Arial" w:cs="Arial" w:hint="eastAsia"/>
                <w:b/>
                <w:bCs/>
                <w:color w:val="000000"/>
                <w:szCs w:val="16"/>
                <w:lang w:eastAsia="zh-CN"/>
              </w:rPr>
              <w:t xml:space="preserve"> </w:t>
            </w:r>
            <w:r>
              <w:rPr>
                <w:rFonts w:ascii="Arial" w:hAnsi="Arial" w:cs="Arial"/>
                <w:b/>
                <w:bCs/>
                <w:color w:val="000000"/>
                <w:szCs w:val="16"/>
              </w:rPr>
              <w:t>015</w:t>
            </w:r>
          </w:p>
        </w:tc>
        <w:tc>
          <w:tcPr>
            <w:tcW w:w="1019" w:type="dxa"/>
            <w:tcBorders>
              <w:top w:val="single" w:sz="12" w:space="0" w:color="auto"/>
            </w:tcBorders>
            <w:vAlign w:val="center"/>
          </w:tcPr>
          <w:p w14:paraId="342DE97A" w14:textId="3DE4FF9F" w:rsidR="00923FA3" w:rsidRDefault="00923FA3" w:rsidP="00923FA3">
            <w:r>
              <w:rPr>
                <w:rFonts w:ascii="Arial" w:hAnsi="Arial" w:cs="Arial"/>
                <w:b/>
                <w:bCs/>
                <w:color w:val="000000"/>
                <w:szCs w:val="16"/>
              </w:rPr>
              <w:t>59</w:t>
            </w:r>
            <w:r>
              <w:rPr>
                <w:rFonts w:ascii="Arial" w:hAnsi="Arial" w:cs="Arial" w:hint="eastAsia"/>
                <w:b/>
                <w:bCs/>
                <w:color w:val="000000"/>
                <w:szCs w:val="16"/>
                <w:lang w:eastAsia="zh-CN"/>
              </w:rPr>
              <w:t xml:space="preserve"> </w:t>
            </w:r>
            <w:r>
              <w:rPr>
                <w:rFonts w:ascii="Arial" w:hAnsi="Arial" w:cs="Arial"/>
                <w:b/>
                <w:bCs/>
                <w:color w:val="000000"/>
                <w:szCs w:val="16"/>
              </w:rPr>
              <w:t>878</w:t>
            </w:r>
          </w:p>
        </w:tc>
      </w:tr>
    </w:tbl>
    <w:p w14:paraId="00C8F05E" w14:textId="77777777" w:rsidR="003719CD" w:rsidRDefault="003719CD" w:rsidP="007D536F">
      <w:pPr>
        <w:pStyle w:val="Note"/>
      </w:pPr>
      <w:r>
        <w:t>Notes:</w:t>
      </w:r>
    </w:p>
    <w:p w14:paraId="0E41A99F" w14:textId="326A4FDE" w:rsidR="003719CD" w:rsidRDefault="003719CD" w:rsidP="00D61F7E">
      <w:pPr>
        <w:pStyle w:val="Note"/>
      </w:pPr>
      <w:r>
        <w:t>(a)</w:t>
      </w:r>
      <w:r>
        <w:tab/>
        <w:t xml:space="preserve">Secured by the assets leased. Leases liabilities are effectively secured as the rights to the leased assets revert to the lessor in the event of default. </w:t>
      </w:r>
      <w:r w:rsidR="00FA68D4" w:rsidRPr="002A0038">
        <w:rPr>
          <w:rStyle w:val="Reference"/>
          <w:sz w:val="14"/>
          <w:szCs w:val="16"/>
        </w:rPr>
        <w:t>[AASB</w:t>
      </w:r>
      <w:r w:rsidR="00DC267D">
        <w:rPr>
          <w:rStyle w:val="Reference"/>
          <w:sz w:val="14"/>
          <w:szCs w:val="16"/>
        </w:rPr>
        <w:t xml:space="preserve"> </w:t>
      </w:r>
      <w:r w:rsidR="00FA68D4" w:rsidRPr="002A0038">
        <w:rPr>
          <w:rStyle w:val="Reference"/>
          <w:sz w:val="14"/>
          <w:szCs w:val="16"/>
        </w:rPr>
        <w:t>1060.11</w:t>
      </w:r>
      <w:r w:rsidR="00FA68D4">
        <w:rPr>
          <w:rStyle w:val="Reference"/>
          <w:sz w:val="14"/>
          <w:szCs w:val="16"/>
        </w:rPr>
        <w:t>4</w:t>
      </w:r>
      <w:r w:rsidR="00FA68D4" w:rsidRPr="002A0038">
        <w:rPr>
          <w:rStyle w:val="Reference"/>
          <w:sz w:val="14"/>
          <w:szCs w:val="16"/>
        </w:rPr>
        <w:t>]</w:t>
      </w:r>
    </w:p>
    <w:p w14:paraId="251F58B0" w14:textId="1C06870B" w:rsidR="003719CD" w:rsidRDefault="003719CD" w:rsidP="002A0038">
      <w:pPr>
        <w:pStyle w:val="Note"/>
      </w:pPr>
      <w:r>
        <w:t>(</w:t>
      </w:r>
      <w:r w:rsidR="003A5077">
        <w:rPr>
          <w:lang w:eastAsia="zh-CN"/>
        </w:rPr>
        <w:t>b</w:t>
      </w:r>
      <w:r>
        <w:t>)</w:t>
      </w:r>
      <w:r>
        <w:tab/>
        <w:t xml:space="preserve">Note that the TCV loans are for illustration only. Preparers must review the terms of the loan to determine whether they shall be classified as current or non-current </w:t>
      </w:r>
      <w:r w:rsidR="003565D5">
        <w:t>loans.</w:t>
      </w:r>
      <w:r w:rsidR="003565D5" w:rsidRPr="002A0038">
        <w:rPr>
          <w:rStyle w:val="Reference"/>
          <w:sz w:val="14"/>
          <w:szCs w:val="16"/>
        </w:rPr>
        <w:t xml:space="preserve"> [</w:t>
      </w:r>
      <w:r w:rsidR="006E4507" w:rsidRPr="002A0038">
        <w:rPr>
          <w:rStyle w:val="Reference"/>
          <w:sz w:val="14"/>
          <w:szCs w:val="16"/>
        </w:rPr>
        <w:t>AASB</w:t>
      </w:r>
      <w:r w:rsidR="00DC267D">
        <w:rPr>
          <w:rStyle w:val="Reference"/>
          <w:sz w:val="14"/>
          <w:szCs w:val="16"/>
        </w:rPr>
        <w:t xml:space="preserve"> </w:t>
      </w:r>
      <w:r w:rsidR="006E4507" w:rsidRPr="002A0038">
        <w:rPr>
          <w:rStyle w:val="Reference"/>
          <w:sz w:val="14"/>
          <w:szCs w:val="16"/>
        </w:rPr>
        <w:t>1060.</w:t>
      </w:r>
      <w:r w:rsidR="00A84D8B">
        <w:rPr>
          <w:rStyle w:val="Reference"/>
          <w:sz w:val="14"/>
          <w:szCs w:val="16"/>
        </w:rPr>
        <w:t>47A</w:t>
      </w:r>
      <w:r w:rsidR="006E4507" w:rsidRPr="002A0038">
        <w:rPr>
          <w:rStyle w:val="Reference"/>
          <w:sz w:val="14"/>
          <w:szCs w:val="16"/>
        </w:rPr>
        <w:t>]</w:t>
      </w:r>
    </w:p>
    <w:p w14:paraId="3E9A2590" w14:textId="59C3DD47" w:rsidR="003719CD" w:rsidRDefault="003719CD" w:rsidP="00DC39DE">
      <w:r>
        <w:t xml:space="preserve">‘Borrowings’ refer to interest bearing </w:t>
      </w:r>
      <w:r w:rsidRPr="0057291F">
        <w:t>liabilities mainly raised from public borrowings raised through the Treasury Corporation of Victoria</w:t>
      </w:r>
      <w:r>
        <w:t>, lease liabilities and other interest-bearing arrangements.</w:t>
      </w:r>
    </w:p>
    <w:p w14:paraId="234920F2" w14:textId="309AC85B" w:rsidR="003719CD" w:rsidRDefault="003719CD" w:rsidP="00E2386C">
      <w:r>
        <w:t>Borrowings are classified as financial instruments. Interest bearing liabilities are classified at amortised cost</w:t>
      </w:r>
      <w:r w:rsidR="00E2386C">
        <w:rPr>
          <w:rFonts w:hint="eastAsia"/>
          <w:lang w:eastAsia="zh-CN"/>
        </w:rPr>
        <w:t xml:space="preserve"> and</w:t>
      </w:r>
      <w:r>
        <w:t xml:space="preserve"> recognised at the fair value of the consideration received less directly attributable transaction costs and subsequently measured at amortised cost using the effective interest method. </w:t>
      </w:r>
      <w:r w:rsidRPr="00353069">
        <w:rPr>
          <w:rStyle w:val="Reference"/>
        </w:rPr>
        <w:t>[AASB</w:t>
      </w:r>
      <w:r w:rsidR="00DC267D">
        <w:rPr>
          <w:rStyle w:val="Reference"/>
        </w:rPr>
        <w:t xml:space="preserve"> </w:t>
      </w:r>
      <w:r w:rsidR="0033131A">
        <w:rPr>
          <w:rStyle w:val="Reference"/>
        </w:rPr>
        <w:t>1060.112</w:t>
      </w:r>
      <w:r w:rsidRPr="00353069">
        <w:rPr>
          <w:rStyle w:val="Reference"/>
        </w:rPr>
        <w:t>]</w:t>
      </w:r>
    </w:p>
    <w:p w14:paraId="5234E204" w14:textId="46F91527" w:rsidR="003719CD" w:rsidRDefault="00C03493" w:rsidP="007D536F">
      <w:pPr>
        <w:pStyle w:val="Caption"/>
      </w:pPr>
      <w:r>
        <w:t>Terms and conditions</w:t>
      </w:r>
      <w:r w:rsidR="003719CD">
        <w:t xml:space="preserve"> of borrowings </w:t>
      </w:r>
      <w:r w:rsidR="003719CD" w:rsidRPr="00964BF3">
        <w:rPr>
          <w:rStyle w:val="Reference"/>
        </w:rPr>
        <w:t>[</w:t>
      </w:r>
      <w:r w:rsidR="0007383E">
        <w:rPr>
          <w:rStyle w:val="Reference"/>
        </w:rPr>
        <w:t>AASB </w:t>
      </w:r>
      <w:r>
        <w:rPr>
          <w:rStyle w:val="Reference"/>
        </w:rPr>
        <w:t>1060.114</w:t>
      </w:r>
      <w:r w:rsidR="003719CD" w:rsidRPr="00964BF3">
        <w:rPr>
          <w:rStyle w:val="Reference"/>
        </w:rPr>
        <w:t>]</w:t>
      </w:r>
      <w:r w:rsidR="003719CD">
        <w:tab/>
        <w:t>($ thousand)</w:t>
      </w:r>
    </w:p>
    <w:tbl>
      <w:tblPr>
        <w:tblStyle w:val="DTFTable"/>
        <w:tblW w:w="9608" w:type="dxa"/>
        <w:tblLayout w:type="fixed"/>
        <w:tblLook w:val="06A0" w:firstRow="1" w:lastRow="0" w:firstColumn="1" w:lastColumn="0" w:noHBand="1" w:noVBand="1"/>
      </w:tblPr>
      <w:tblGrid>
        <w:gridCol w:w="2199"/>
        <w:gridCol w:w="920"/>
        <w:gridCol w:w="850"/>
        <w:gridCol w:w="845"/>
        <w:gridCol w:w="743"/>
        <w:gridCol w:w="1144"/>
        <w:gridCol w:w="949"/>
        <w:gridCol w:w="840"/>
        <w:gridCol w:w="1118"/>
      </w:tblGrid>
      <w:tr w:rsidR="008631FB" w14:paraId="3A89C490" w14:textId="7B123502" w:rsidTr="00605D0F">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199" w:type="dxa"/>
          </w:tcPr>
          <w:p w14:paraId="7B79A90F" w14:textId="5246993C" w:rsidR="008631FB" w:rsidRDefault="008631FB">
            <w:pPr>
              <w:keepNext/>
              <w:rPr>
                <w:bCs w:val="0"/>
                <w:i w:val="0"/>
              </w:rPr>
            </w:pPr>
          </w:p>
        </w:tc>
        <w:tc>
          <w:tcPr>
            <w:tcW w:w="1770" w:type="dxa"/>
            <w:gridSpan w:val="2"/>
          </w:tcPr>
          <w:p w14:paraId="63877CCE" w14:textId="77777777" w:rsidR="008631FB" w:rsidRDefault="008631FB">
            <w:pPr>
              <w:keepNext/>
              <w:cnfStyle w:val="100000000000" w:firstRow="1" w:lastRow="0" w:firstColumn="0" w:lastColumn="0" w:oddVBand="0" w:evenVBand="0" w:oddHBand="0" w:evenHBand="0" w:firstRowFirstColumn="0" w:firstRowLastColumn="0" w:lastRowFirstColumn="0" w:lastRowLastColumn="0"/>
            </w:pPr>
          </w:p>
        </w:tc>
        <w:tc>
          <w:tcPr>
            <w:tcW w:w="845" w:type="dxa"/>
          </w:tcPr>
          <w:p w14:paraId="055794C5" w14:textId="3A6C3058" w:rsidR="008631FB" w:rsidRDefault="008631FB">
            <w:pPr>
              <w:keepNext/>
              <w:cnfStyle w:val="100000000000" w:firstRow="1" w:lastRow="0" w:firstColumn="0" w:lastColumn="0" w:oddVBand="0" w:evenVBand="0" w:oddHBand="0" w:evenHBand="0" w:firstRowFirstColumn="0" w:firstRowLastColumn="0" w:lastRowFirstColumn="0" w:lastRowLastColumn="0"/>
            </w:pPr>
          </w:p>
        </w:tc>
        <w:tc>
          <w:tcPr>
            <w:tcW w:w="1887" w:type="dxa"/>
            <w:gridSpan w:val="2"/>
          </w:tcPr>
          <w:p w14:paraId="0BF307D6" w14:textId="77777777" w:rsidR="008631FB" w:rsidRDefault="008631FB">
            <w:pPr>
              <w:keepNext/>
              <w:cnfStyle w:val="100000000000" w:firstRow="1" w:lastRow="0" w:firstColumn="0" w:lastColumn="0" w:oddVBand="0" w:evenVBand="0" w:oddHBand="0" w:evenHBand="0" w:firstRowFirstColumn="0" w:firstRowLastColumn="0" w:lastRowFirstColumn="0" w:lastRowLastColumn="0"/>
            </w:pPr>
          </w:p>
        </w:tc>
        <w:tc>
          <w:tcPr>
            <w:tcW w:w="2907" w:type="dxa"/>
            <w:gridSpan w:val="3"/>
            <w:tcBorders>
              <w:bottom w:val="single" w:sz="6" w:space="0" w:color="FFFFFF" w:themeColor="background1"/>
            </w:tcBorders>
          </w:tcPr>
          <w:p w14:paraId="6123EEB7" w14:textId="3D755C53" w:rsidR="008631FB" w:rsidRDefault="008631FB" w:rsidP="00E52A40">
            <w:pPr>
              <w:keepNext/>
              <w:jc w:val="center"/>
              <w:cnfStyle w:val="100000000000" w:firstRow="1" w:lastRow="0" w:firstColumn="0" w:lastColumn="0" w:oddVBand="0" w:evenVBand="0" w:oddHBand="0" w:evenHBand="0" w:firstRowFirstColumn="0" w:firstRowLastColumn="0" w:lastRowFirstColumn="0" w:lastRowLastColumn="0"/>
            </w:pPr>
            <w:r>
              <w:t>Maturity dates</w:t>
            </w:r>
          </w:p>
        </w:tc>
      </w:tr>
      <w:tr w:rsidR="002A0038" w14:paraId="765E2D8D" w14:textId="552CB1A9" w:rsidTr="00605D0F">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199" w:type="dxa"/>
          </w:tcPr>
          <w:p w14:paraId="08BBCE8D" w14:textId="303639F1" w:rsidR="008631FB" w:rsidRDefault="008631FB">
            <w:pPr>
              <w:keepNext/>
            </w:pPr>
            <w:r w:rsidRPr="00E52A40">
              <w:t>20X2</w:t>
            </w:r>
          </w:p>
        </w:tc>
        <w:tc>
          <w:tcPr>
            <w:tcW w:w="920" w:type="dxa"/>
          </w:tcPr>
          <w:p w14:paraId="7672B073" w14:textId="3295B51D" w:rsidR="008631FB" w:rsidRDefault="006A780C">
            <w:pPr>
              <w:keepNext/>
              <w:cnfStyle w:val="100000000000" w:firstRow="1" w:lastRow="0" w:firstColumn="0" w:lastColumn="0" w:oddVBand="0" w:evenVBand="0" w:oddHBand="0" w:evenHBand="0" w:firstRowFirstColumn="0" w:firstRowLastColumn="0" w:lastRowFirstColumn="0" w:lastRowLastColumn="0"/>
            </w:pPr>
            <w:r w:rsidRPr="006A780C">
              <w:t>Weighted average interest rate (%)</w:t>
            </w:r>
          </w:p>
        </w:tc>
        <w:tc>
          <w:tcPr>
            <w:tcW w:w="850" w:type="dxa"/>
          </w:tcPr>
          <w:p w14:paraId="27EFB3FE" w14:textId="3C85DCC1" w:rsidR="008631FB" w:rsidRDefault="008631FB">
            <w:pPr>
              <w:keepNext/>
              <w:cnfStyle w:val="100000000000" w:firstRow="1" w:lastRow="0" w:firstColumn="0" w:lastColumn="0" w:oddVBand="0" w:evenVBand="0" w:oddHBand="0" w:evenHBand="0" w:firstRowFirstColumn="0" w:firstRowLastColumn="0" w:lastRowFirstColumn="0" w:lastRowLastColumn="0"/>
            </w:pPr>
            <w:r>
              <w:t>Carrying amount</w:t>
            </w:r>
          </w:p>
        </w:tc>
        <w:tc>
          <w:tcPr>
            <w:tcW w:w="845" w:type="dxa"/>
          </w:tcPr>
          <w:p w14:paraId="31D8D6AA" w14:textId="6A371596" w:rsidR="008631FB" w:rsidRDefault="008631FB">
            <w:pPr>
              <w:keepNext/>
              <w:cnfStyle w:val="100000000000" w:firstRow="1" w:lastRow="0" w:firstColumn="0" w:lastColumn="0" w:oddVBand="0" w:evenVBand="0" w:oddHBand="0" w:evenHBand="0" w:firstRowFirstColumn="0" w:firstRowLastColumn="0" w:lastRowFirstColumn="0" w:lastRowLastColumn="0"/>
            </w:pPr>
            <w:r>
              <w:t>Nominal amount</w:t>
            </w:r>
          </w:p>
        </w:tc>
        <w:tc>
          <w:tcPr>
            <w:tcW w:w="743" w:type="dxa"/>
            <w:tcBorders>
              <w:top w:val="single" w:sz="6" w:space="0" w:color="FFFFFF" w:themeColor="background1"/>
            </w:tcBorders>
          </w:tcPr>
          <w:p w14:paraId="66B004DB" w14:textId="17F4A1C4" w:rsidR="008631FB" w:rsidRDefault="008631FB">
            <w:pPr>
              <w:keepNext/>
              <w:cnfStyle w:val="100000000000" w:firstRow="1" w:lastRow="0" w:firstColumn="0" w:lastColumn="0" w:oddVBand="0" w:evenVBand="0" w:oddHBand="0" w:evenHBand="0" w:firstRowFirstColumn="0" w:firstRowLastColumn="0" w:lastRowFirstColumn="0" w:lastRowLastColumn="0"/>
            </w:pPr>
            <w:r>
              <w:t xml:space="preserve">Less than </w:t>
            </w:r>
            <w:r w:rsidR="00605D0F">
              <w:br/>
            </w:r>
            <w:r>
              <w:t>1 month</w:t>
            </w:r>
          </w:p>
        </w:tc>
        <w:tc>
          <w:tcPr>
            <w:tcW w:w="1144" w:type="dxa"/>
            <w:tcBorders>
              <w:top w:val="single" w:sz="6" w:space="0" w:color="FFFFFF" w:themeColor="background1"/>
            </w:tcBorders>
          </w:tcPr>
          <w:p w14:paraId="09B7423E" w14:textId="77777777" w:rsidR="008631FB" w:rsidRDefault="008631FB">
            <w:pPr>
              <w:keepNext/>
              <w:cnfStyle w:val="100000000000" w:firstRow="1" w:lastRow="0" w:firstColumn="0" w:lastColumn="0" w:oddVBand="0" w:evenVBand="0" w:oddHBand="0" w:evenHBand="0" w:firstRowFirstColumn="0" w:firstRowLastColumn="0" w:lastRowFirstColumn="0" w:lastRowLastColumn="0"/>
            </w:pPr>
            <w:r>
              <w:t>1‑3 months</w:t>
            </w:r>
          </w:p>
        </w:tc>
        <w:tc>
          <w:tcPr>
            <w:tcW w:w="949" w:type="dxa"/>
            <w:tcBorders>
              <w:top w:val="single" w:sz="6" w:space="0" w:color="FFFFFF" w:themeColor="background1"/>
            </w:tcBorders>
          </w:tcPr>
          <w:p w14:paraId="56750197" w14:textId="755E3208" w:rsidR="008631FB" w:rsidRDefault="008631FB">
            <w:pPr>
              <w:keepNext/>
              <w:cnfStyle w:val="100000000000" w:firstRow="1" w:lastRow="0" w:firstColumn="0" w:lastColumn="0" w:oddVBand="0" w:evenVBand="0" w:oddHBand="0" w:evenHBand="0" w:firstRowFirstColumn="0" w:firstRowLastColumn="0" w:lastRowFirstColumn="0" w:lastRowLastColumn="0"/>
            </w:pPr>
            <w:r>
              <w:t>3 months–1 year</w:t>
            </w:r>
          </w:p>
        </w:tc>
        <w:tc>
          <w:tcPr>
            <w:tcW w:w="840" w:type="dxa"/>
            <w:tcBorders>
              <w:top w:val="single" w:sz="6" w:space="0" w:color="FFFFFF" w:themeColor="background1"/>
            </w:tcBorders>
          </w:tcPr>
          <w:p w14:paraId="61CAD91E" w14:textId="77777777" w:rsidR="008631FB" w:rsidRDefault="008631FB">
            <w:pPr>
              <w:keepNext/>
              <w:cnfStyle w:val="100000000000" w:firstRow="1" w:lastRow="0" w:firstColumn="0" w:lastColumn="0" w:oddVBand="0" w:evenVBand="0" w:oddHBand="0" w:evenHBand="0" w:firstRowFirstColumn="0" w:firstRowLastColumn="0" w:lastRowFirstColumn="0" w:lastRowLastColumn="0"/>
            </w:pPr>
            <w:r>
              <w:t>1–5 years</w:t>
            </w:r>
          </w:p>
        </w:tc>
        <w:tc>
          <w:tcPr>
            <w:tcW w:w="1118" w:type="dxa"/>
            <w:tcBorders>
              <w:top w:val="single" w:sz="6" w:space="0" w:color="FFFFFF" w:themeColor="background1"/>
            </w:tcBorders>
          </w:tcPr>
          <w:p w14:paraId="3DF836E1" w14:textId="77777777" w:rsidR="008631FB" w:rsidRDefault="008631FB">
            <w:pPr>
              <w:keepNext/>
              <w:cnfStyle w:val="100000000000" w:firstRow="1" w:lastRow="0" w:firstColumn="0" w:lastColumn="0" w:oddVBand="0" w:evenVBand="0" w:oddHBand="0" w:evenHBand="0" w:firstRowFirstColumn="0" w:firstRowLastColumn="0" w:lastRowFirstColumn="0" w:lastRowLastColumn="0"/>
            </w:pPr>
            <w:r>
              <w:t>5+ years</w:t>
            </w:r>
          </w:p>
        </w:tc>
      </w:tr>
      <w:tr w:rsidR="006D1A61" w14:paraId="0B8A725B" w14:textId="22E18BCC" w:rsidTr="00605D0F">
        <w:tc>
          <w:tcPr>
            <w:cnfStyle w:val="001000000000" w:firstRow="0" w:lastRow="0" w:firstColumn="1" w:lastColumn="0" w:oddVBand="0" w:evenVBand="0" w:oddHBand="0" w:evenHBand="0" w:firstRowFirstColumn="0" w:firstRowLastColumn="0" w:lastRowFirstColumn="0" w:lastRowLastColumn="0"/>
            <w:tcW w:w="2199" w:type="dxa"/>
          </w:tcPr>
          <w:p w14:paraId="280CA7C2" w14:textId="77777777" w:rsidR="006A780C" w:rsidRDefault="006A780C" w:rsidP="006A780C">
            <w:r>
              <w:t>Bank overdrafts</w:t>
            </w:r>
          </w:p>
        </w:tc>
        <w:tc>
          <w:tcPr>
            <w:tcW w:w="920" w:type="dxa"/>
            <w:vAlign w:val="center"/>
          </w:tcPr>
          <w:p w14:paraId="6A0CC373" w14:textId="3EB16E0F" w:rsidR="006A780C" w:rsidRDefault="006A780C" w:rsidP="00706101">
            <w:pPr>
              <w:cnfStyle w:val="000000000000" w:firstRow="0" w:lastRow="0" w:firstColumn="0" w:lastColumn="0" w:oddVBand="0" w:evenVBand="0" w:oddHBand="0" w:evenHBand="0" w:firstRowFirstColumn="0" w:firstRowLastColumn="0" w:lastRowFirstColumn="0" w:lastRowLastColumn="0"/>
            </w:pPr>
            <w:r>
              <w:t>..</w:t>
            </w:r>
          </w:p>
        </w:tc>
        <w:tc>
          <w:tcPr>
            <w:tcW w:w="850" w:type="dxa"/>
            <w:vAlign w:val="center"/>
          </w:tcPr>
          <w:p w14:paraId="088C79CC" w14:textId="1B9CD10E" w:rsidR="006A780C" w:rsidRDefault="006A780C" w:rsidP="00706101">
            <w:pPr>
              <w:cnfStyle w:val="000000000000" w:firstRow="0" w:lastRow="0" w:firstColumn="0" w:lastColumn="0" w:oddVBand="0" w:evenVBand="0" w:oddHBand="0" w:evenHBand="0" w:firstRowFirstColumn="0" w:firstRowLastColumn="0" w:lastRowFirstColumn="0" w:lastRowLastColumn="0"/>
            </w:pPr>
            <w:r>
              <w:t>..</w:t>
            </w:r>
          </w:p>
        </w:tc>
        <w:tc>
          <w:tcPr>
            <w:tcW w:w="845" w:type="dxa"/>
            <w:vAlign w:val="center"/>
          </w:tcPr>
          <w:p w14:paraId="1029430E" w14:textId="77777777" w:rsidR="006A780C" w:rsidRDefault="006A780C" w:rsidP="00706101">
            <w:pPr>
              <w:cnfStyle w:val="000000000000" w:firstRow="0" w:lastRow="0" w:firstColumn="0" w:lastColumn="0" w:oddVBand="0" w:evenVBand="0" w:oddHBand="0" w:evenHBand="0" w:firstRowFirstColumn="0" w:firstRowLastColumn="0" w:lastRowFirstColumn="0" w:lastRowLastColumn="0"/>
            </w:pPr>
            <w:r>
              <w:t>..</w:t>
            </w:r>
          </w:p>
        </w:tc>
        <w:tc>
          <w:tcPr>
            <w:tcW w:w="743" w:type="dxa"/>
            <w:vAlign w:val="center"/>
          </w:tcPr>
          <w:p w14:paraId="19FE2F8E" w14:textId="77777777" w:rsidR="006A780C" w:rsidRDefault="006A780C" w:rsidP="00706101">
            <w:pPr>
              <w:cnfStyle w:val="000000000000" w:firstRow="0" w:lastRow="0" w:firstColumn="0" w:lastColumn="0" w:oddVBand="0" w:evenVBand="0" w:oddHBand="0" w:evenHBand="0" w:firstRowFirstColumn="0" w:firstRowLastColumn="0" w:lastRowFirstColumn="0" w:lastRowLastColumn="0"/>
            </w:pPr>
            <w:r>
              <w:t>..</w:t>
            </w:r>
          </w:p>
        </w:tc>
        <w:tc>
          <w:tcPr>
            <w:tcW w:w="1144" w:type="dxa"/>
            <w:vAlign w:val="center"/>
          </w:tcPr>
          <w:p w14:paraId="4773084B" w14:textId="77777777" w:rsidR="006A780C" w:rsidRDefault="006A780C" w:rsidP="00706101">
            <w:pPr>
              <w:cnfStyle w:val="000000000000" w:firstRow="0" w:lastRow="0" w:firstColumn="0" w:lastColumn="0" w:oddVBand="0" w:evenVBand="0" w:oddHBand="0" w:evenHBand="0" w:firstRowFirstColumn="0" w:firstRowLastColumn="0" w:lastRowFirstColumn="0" w:lastRowLastColumn="0"/>
            </w:pPr>
            <w:r>
              <w:t>..</w:t>
            </w:r>
          </w:p>
        </w:tc>
        <w:tc>
          <w:tcPr>
            <w:tcW w:w="949" w:type="dxa"/>
            <w:vAlign w:val="center"/>
          </w:tcPr>
          <w:p w14:paraId="2311F772" w14:textId="77777777" w:rsidR="006A780C" w:rsidRDefault="006A780C" w:rsidP="00706101">
            <w:pPr>
              <w:cnfStyle w:val="000000000000" w:firstRow="0" w:lastRow="0" w:firstColumn="0" w:lastColumn="0" w:oddVBand="0" w:evenVBand="0" w:oddHBand="0" w:evenHBand="0" w:firstRowFirstColumn="0" w:firstRowLastColumn="0" w:lastRowFirstColumn="0" w:lastRowLastColumn="0"/>
            </w:pPr>
            <w:r>
              <w:t>..</w:t>
            </w:r>
          </w:p>
        </w:tc>
        <w:tc>
          <w:tcPr>
            <w:tcW w:w="840" w:type="dxa"/>
            <w:vAlign w:val="center"/>
          </w:tcPr>
          <w:p w14:paraId="034E8DDC" w14:textId="77777777" w:rsidR="006A780C" w:rsidRDefault="006A780C" w:rsidP="00706101">
            <w:pPr>
              <w:cnfStyle w:val="000000000000" w:firstRow="0" w:lastRow="0" w:firstColumn="0" w:lastColumn="0" w:oddVBand="0" w:evenVBand="0" w:oddHBand="0" w:evenHBand="0" w:firstRowFirstColumn="0" w:firstRowLastColumn="0" w:lastRowFirstColumn="0" w:lastRowLastColumn="0"/>
            </w:pPr>
            <w:r>
              <w:t>..</w:t>
            </w:r>
          </w:p>
        </w:tc>
        <w:tc>
          <w:tcPr>
            <w:tcW w:w="1118" w:type="dxa"/>
            <w:vAlign w:val="center"/>
          </w:tcPr>
          <w:p w14:paraId="77A4E24C" w14:textId="77777777" w:rsidR="006A780C" w:rsidRDefault="006A780C" w:rsidP="00706101">
            <w:pPr>
              <w:cnfStyle w:val="000000000000" w:firstRow="0" w:lastRow="0" w:firstColumn="0" w:lastColumn="0" w:oddVBand="0" w:evenVBand="0" w:oddHBand="0" w:evenHBand="0" w:firstRowFirstColumn="0" w:firstRowLastColumn="0" w:lastRowFirstColumn="0" w:lastRowLastColumn="0"/>
            </w:pPr>
            <w:r>
              <w:t>..</w:t>
            </w:r>
          </w:p>
        </w:tc>
      </w:tr>
      <w:tr w:rsidR="005C4B59" w14:paraId="00CB682E" w14:textId="51150E75" w:rsidTr="00605D0F">
        <w:tc>
          <w:tcPr>
            <w:cnfStyle w:val="001000000000" w:firstRow="0" w:lastRow="0" w:firstColumn="1" w:lastColumn="0" w:oddVBand="0" w:evenVBand="0" w:oddHBand="0" w:evenHBand="0" w:firstRowFirstColumn="0" w:firstRowLastColumn="0" w:lastRowFirstColumn="0" w:lastRowLastColumn="0"/>
            <w:tcW w:w="2199" w:type="dxa"/>
          </w:tcPr>
          <w:p w14:paraId="5951B119" w14:textId="77777777" w:rsidR="005C4B59" w:rsidRDefault="005C4B59" w:rsidP="005C4B59">
            <w:r>
              <w:t>Lease liabilities</w:t>
            </w:r>
          </w:p>
        </w:tc>
        <w:tc>
          <w:tcPr>
            <w:tcW w:w="920" w:type="dxa"/>
            <w:vAlign w:val="center"/>
          </w:tcPr>
          <w:p w14:paraId="384FC9F8" w14:textId="68271F09" w:rsidR="005C4B59" w:rsidRDefault="005C4B59" w:rsidP="005C4B59">
            <w:pPr>
              <w:cnfStyle w:val="000000000000" w:firstRow="0" w:lastRow="0" w:firstColumn="0" w:lastColumn="0" w:oddVBand="0" w:evenVBand="0" w:oddHBand="0" w:evenHBand="0" w:firstRowFirstColumn="0" w:firstRowLastColumn="0" w:lastRowFirstColumn="0" w:lastRowLastColumn="0"/>
            </w:pPr>
            <w:r>
              <w:t>4.52</w:t>
            </w:r>
          </w:p>
        </w:tc>
        <w:tc>
          <w:tcPr>
            <w:tcW w:w="850" w:type="dxa"/>
            <w:vAlign w:val="center"/>
          </w:tcPr>
          <w:p w14:paraId="2E03F415" w14:textId="06D42F3B" w:rsidR="005C4B59" w:rsidRDefault="005C4B59" w:rsidP="005C4B59">
            <w:pPr>
              <w:cnfStyle w:val="000000000000" w:firstRow="0" w:lastRow="0" w:firstColumn="0" w:lastColumn="0" w:oddVBand="0" w:evenVBand="0" w:oddHBand="0" w:evenHBand="0" w:firstRowFirstColumn="0" w:firstRowLastColumn="0" w:lastRowFirstColumn="0" w:lastRowLastColumn="0"/>
            </w:pPr>
            <w:r>
              <w:t>18 319</w:t>
            </w:r>
          </w:p>
        </w:tc>
        <w:tc>
          <w:tcPr>
            <w:tcW w:w="845" w:type="dxa"/>
            <w:vAlign w:val="center"/>
          </w:tcPr>
          <w:p w14:paraId="68B7A7F6" w14:textId="1524AE2C" w:rsidR="005C4B59" w:rsidRDefault="005C4B59" w:rsidP="005C4B59">
            <w:pP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16"/>
              </w:rPr>
              <w:t>23 995</w:t>
            </w:r>
          </w:p>
        </w:tc>
        <w:tc>
          <w:tcPr>
            <w:tcW w:w="743" w:type="dxa"/>
            <w:vAlign w:val="center"/>
          </w:tcPr>
          <w:p w14:paraId="68B37C81" w14:textId="3B3A8941" w:rsidR="005C4B59" w:rsidRDefault="005C4B59" w:rsidP="005C4B59">
            <w:pP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16"/>
              </w:rPr>
              <w:t>504</w:t>
            </w:r>
          </w:p>
        </w:tc>
        <w:tc>
          <w:tcPr>
            <w:tcW w:w="1144" w:type="dxa"/>
            <w:vAlign w:val="center"/>
          </w:tcPr>
          <w:p w14:paraId="48BC4F88" w14:textId="4FB05017" w:rsidR="005C4B59" w:rsidRDefault="005C4B59" w:rsidP="005C4B59">
            <w:pP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16"/>
              </w:rPr>
              <w:t>3 511</w:t>
            </w:r>
          </w:p>
        </w:tc>
        <w:tc>
          <w:tcPr>
            <w:tcW w:w="949" w:type="dxa"/>
            <w:vAlign w:val="center"/>
          </w:tcPr>
          <w:p w14:paraId="7B43F91B" w14:textId="39FD5527" w:rsidR="005C4B59" w:rsidRDefault="005C4B59" w:rsidP="005C4B59">
            <w:pP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16"/>
              </w:rPr>
              <w:t>6 536</w:t>
            </w:r>
          </w:p>
        </w:tc>
        <w:tc>
          <w:tcPr>
            <w:tcW w:w="840" w:type="dxa"/>
            <w:vAlign w:val="center"/>
          </w:tcPr>
          <w:p w14:paraId="79B885CE" w14:textId="46B887FE" w:rsidR="005C4B59" w:rsidRDefault="005C4B59" w:rsidP="005C4B59">
            <w:pP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16"/>
              </w:rPr>
              <w:t>8 313</w:t>
            </w:r>
          </w:p>
        </w:tc>
        <w:tc>
          <w:tcPr>
            <w:tcW w:w="1118" w:type="dxa"/>
            <w:vAlign w:val="center"/>
          </w:tcPr>
          <w:p w14:paraId="36F21990" w14:textId="3045F869" w:rsidR="005C4B59" w:rsidRDefault="005C4B59" w:rsidP="005C4B59">
            <w:pP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16"/>
              </w:rPr>
              <w:t>5 131</w:t>
            </w:r>
          </w:p>
        </w:tc>
      </w:tr>
      <w:tr w:rsidR="0065435A" w14:paraId="484EFE8F" w14:textId="2B306EA4" w:rsidTr="00605D0F">
        <w:tc>
          <w:tcPr>
            <w:cnfStyle w:val="001000000000" w:firstRow="0" w:lastRow="0" w:firstColumn="1" w:lastColumn="0" w:oddVBand="0" w:evenVBand="0" w:oddHBand="0" w:evenHBand="0" w:firstRowFirstColumn="0" w:firstRowLastColumn="0" w:lastRowFirstColumn="0" w:lastRowLastColumn="0"/>
            <w:tcW w:w="2199" w:type="dxa"/>
          </w:tcPr>
          <w:p w14:paraId="095BCFE9" w14:textId="77777777" w:rsidR="0065435A" w:rsidRDefault="0065435A" w:rsidP="0065435A">
            <w:r>
              <w:t>Loans from TCV</w:t>
            </w:r>
          </w:p>
        </w:tc>
        <w:tc>
          <w:tcPr>
            <w:tcW w:w="920" w:type="dxa"/>
            <w:vAlign w:val="center"/>
          </w:tcPr>
          <w:p w14:paraId="453C6BB2" w14:textId="708F1EEE" w:rsidR="0065435A" w:rsidRDefault="0065435A" w:rsidP="00706101">
            <w:pPr>
              <w:cnfStyle w:val="000000000000" w:firstRow="0" w:lastRow="0" w:firstColumn="0" w:lastColumn="0" w:oddVBand="0" w:evenVBand="0" w:oddHBand="0" w:evenHBand="0" w:firstRowFirstColumn="0" w:firstRowLastColumn="0" w:lastRowFirstColumn="0" w:lastRowLastColumn="0"/>
            </w:pPr>
            <w:r>
              <w:t>3.55</w:t>
            </w:r>
          </w:p>
        </w:tc>
        <w:tc>
          <w:tcPr>
            <w:tcW w:w="850" w:type="dxa"/>
            <w:vAlign w:val="center"/>
          </w:tcPr>
          <w:p w14:paraId="2243C0F0" w14:textId="2400940D" w:rsidR="0065435A" w:rsidRDefault="0065435A" w:rsidP="00706101">
            <w:pPr>
              <w:cnfStyle w:val="000000000000" w:firstRow="0" w:lastRow="0" w:firstColumn="0" w:lastColumn="0" w:oddVBand="0" w:evenVBand="0" w:oddHBand="0" w:evenHBand="0" w:firstRowFirstColumn="0" w:firstRowLastColumn="0" w:lastRowFirstColumn="0" w:lastRowLastColumn="0"/>
            </w:pPr>
            <w:r>
              <w:t>48 696</w:t>
            </w:r>
          </w:p>
        </w:tc>
        <w:tc>
          <w:tcPr>
            <w:tcW w:w="845" w:type="dxa"/>
            <w:vAlign w:val="center"/>
          </w:tcPr>
          <w:p w14:paraId="1C4D7FDF" w14:textId="48759CD5" w:rsidR="0065435A" w:rsidRDefault="0065435A" w:rsidP="00706101">
            <w:pPr>
              <w:cnfStyle w:val="000000000000" w:firstRow="0" w:lastRow="0" w:firstColumn="0" w:lastColumn="0" w:oddVBand="0" w:evenVBand="0" w:oddHBand="0" w:evenHBand="0" w:firstRowFirstColumn="0" w:firstRowLastColumn="0" w:lastRowFirstColumn="0" w:lastRowLastColumn="0"/>
            </w:pPr>
            <w:r w:rsidRPr="00E70C45">
              <w:t>68</w:t>
            </w:r>
            <w:r w:rsidR="006A55C2">
              <w:rPr>
                <w:rFonts w:hint="eastAsia"/>
                <w:lang w:eastAsia="zh-CN"/>
              </w:rPr>
              <w:t xml:space="preserve"> </w:t>
            </w:r>
            <w:r w:rsidRPr="00E70C45">
              <w:t>696</w:t>
            </w:r>
          </w:p>
        </w:tc>
        <w:tc>
          <w:tcPr>
            <w:tcW w:w="743" w:type="dxa"/>
            <w:vAlign w:val="center"/>
          </w:tcPr>
          <w:p w14:paraId="642F48D4" w14:textId="77777777" w:rsidR="0065435A" w:rsidRDefault="0065435A" w:rsidP="00706101">
            <w:pPr>
              <w:cnfStyle w:val="000000000000" w:firstRow="0" w:lastRow="0" w:firstColumn="0" w:lastColumn="0" w:oddVBand="0" w:evenVBand="0" w:oddHBand="0" w:evenHBand="0" w:firstRowFirstColumn="0" w:firstRowLastColumn="0" w:lastRowFirstColumn="0" w:lastRowLastColumn="0"/>
            </w:pPr>
            <w:r>
              <w:t>..</w:t>
            </w:r>
          </w:p>
        </w:tc>
        <w:tc>
          <w:tcPr>
            <w:tcW w:w="1144" w:type="dxa"/>
            <w:vAlign w:val="center"/>
          </w:tcPr>
          <w:p w14:paraId="0509DD69" w14:textId="77777777" w:rsidR="0065435A" w:rsidRDefault="0065435A" w:rsidP="00706101">
            <w:pPr>
              <w:cnfStyle w:val="000000000000" w:firstRow="0" w:lastRow="0" w:firstColumn="0" w:lastColumn="0" w:oddVBand="0" w:evenVBand="0" w:oddHBand="0" w:evenHBand="0" w:firstRowFirstColumn="0" w:firstRowLastColumn="0" w:lastRowFirstColumn="0" w:lastRowLastColumn="0"/>
            </w:pPr>
            <w:r>
              <w:t>..</w:t>
            </w:r>
          </w:p>
        </w:tc>
        <w:tc>
          <w:tcPr>
            <w:tcW w:w="949" w:type="dxa"/>
            <w:vAlign w:val="center"/>
          </w:tcPr>
          <w:p w14:paraId="667FCA4D" w14:textId="77777777" w:rsidR="0065435A" w:rsidRDefault="0065435A" w:rsidP="00706101">
            <w:pPr>
              <w:cnfStyle w:val="000000000000" w:firstRow="0" w:lastRow="0" w:firstColumn="0" w:lastColumn="0" w:oddVBand="0" w:evenVBand="0" w:oddHBand="0" w:evenHBand="0" w:firstRowFirstColumn="0" w:firstRowLastColumn="0" w:lastRowFirstColumn="0" w:lastRowLastColumn="0"/>
            </w:pPr>
            <w:r>
              <w:t>..</w:t>
            </w:r>
          </w:p>
        </w:tc>
        <w:tc>
          <w:tcPr>
            <w:tcW w:w="840" w:type="dxa"/>
            <w:vAlign w:val="center"/>
          </w:tcPr>
          <w:p w14:paraId="4F80DEE9" w14:textId="630E7616" w:rsidR="0065435A" w:rsidRDefault="0065435A" w:rsidP="00706101">
            <w:pP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16"/>
              </w:rPr>
              <w:t>29</w:t>
            </w:r>
            <w:r w:rsidR="00716CD6">
              <w:rPr>
                <w:rFonts w:ascii="Arial" w:hAnsi="Arial" w:cs="Arial" w:hint="eastAsia"/>
                <w:color w:val="000000"/>
                <w:szCs w:val="16"/>
                <w:lang w:eastAsia="zh-CN"/>
              </w:rPr>
              <w:t xml:space="preserve"> </w:t>
            </w:r>
            <w:r>
              <w:rPr>
                <w:rFonts w:ascii="Arial" w:hAnsi="Arial" w:cs="Arial"/>
                <w:color w:val="000000"/>
                <w:szCs w:val="16"/>
              </w:rPr>
              <w:t>478</w:t>
            </w:r>
          </w:p>
        </w:tc>
        <w:tc>
          <w:tcPr>
            <w:tcW w:w="1118" w:type="dxa"/>
            <w:vAlign w:val="center"/>
          </w:tcPr>
          <w:p w14:paraId="1DF482EA" w14:textId="3CD51A9C" w:rsidR="0065435A" w:rsidRDefault="0065435A" w:rsidP="00706101">
            <w:pP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16"/>
              </w:rPr>
              <w:t>39</w:t>
            </w:r>
            <w:r w:rsidR="00716CD6">
              <w:rPr>
                <w:rFonts w:ascii="Arial" w:hAnsi="Arial" w:cs="Arial" w:hint="eastAsia"/>
                <w:color w:val="000000"/>
                <w:szCs w:val="16"/>
                <w:lang w:eastAsia="zh-CN"/>
              </w:rPr>
              <w:t xml:space="preserve"> </w:t>
            </w:r>
            <w:r>
              <w:rPr>
                <w:rFonts w:ascii="Arial" w:hAnsi="Arial" w:cs="Arial"/>
                <w:color w:val="000000"/>
                <w:szCs w:val="16"/>
              </w:rPr>
              <w:t>218</w:t>
            </w:r>
          </w:p>
        </w:tc>
      </w:tr>
      <w:tr w:rsidR="003A5077" w14:paraId="6A6DFAC3" w14:textId="0026BF5D" w:rsidTr="00605D0F">
        <w:tc>
          <w:tcPr>
            <w:cnfStyle w:val="001000000000" w:firstRow="0" w:lastRow="0" w:firstColumn="1" w:lastColumn="0" w:oddVBand="0" w:evenVBand="0" w:oddHBand="0" w:evenHBand="0" w:firstRowFirstColumn="0" w:firstRowLastColumn="0" w:lastRowFirstColumn="0" w:lastRowLastColumn="0"/>
            <w:tcW w:w="2199" w:type="dxa"/>
          </w:tcPr>
          <w:p w14:paraId="53B32298" w14:textId="77777777" w:rsidR="003A5077" w:rsidRDefault="003A5077" w:rsidP="003A5077">
            <w:r>
              <w:rPr>
                <w:b/>
              </w:rPr>
              <w:t>Total</w:t>
            </w:r>
          </w:p>
        </w:tc>
        <w:tc>
          <w:tcPr>
            <w:tcW w:w="920" w:type="dxa"/>
          </w:tcPr>
          <w:p w14:paraId="72A18A74" w14:textId="77777777" w:rsidR="003A5077" w:rsidRDefault="003A5077" w:rsidP="003A5077">
            <w:pPr>
              <w:cnfStyle w:val="000000000000" w:firstRow="0" w:lastRow="0" w:firstColumn="0" w:lastColumn="0" w:oddVBand="0" w:evenVBand="0" w:oddHBand="0" w:evenHBand="0" w:firstRowFirstColumn="0" w:firstRowLastColumn="0" w:lastRowFirstColumn="0" w:lastRowLastColumn="0"/>
              <w:rPr>
                <w:b/>
              </w:rPr>
            </w:pPr>
          </w:p>
        </w:tc>
        <w:tc>
          <w:tcPr>
            <w:tcW w:w="850" w:type="dxa"/>
            <w:vAlign w:val="center"/>
          </w:tcPr>
          <w:p w14:paraId="1A42F0DF" w14:textId="566AACBC" w:rsidR="003A5077" w:rsidRDefault="003A5077" w:rsidP="003A5077">
            <w:pPr>
              <w:cnfStyle w:val="000000000000" w:firstRow="0" w:lastRow="0" w:firstColumn="0" w:lastColumn="0" w:oddVBand="0" w:evenVBand="0" w:oddHBand="0" w:evenHBand="0" w:firstRowFirstColumn="0" w:firstRowLastColumn="0" w:lastRowFirstColumn="0" w:lastRowLastColumn="0"/>
            </w:pPr>
            <w:r>
              <w:rPr>
                <w:rFonts w:ascii="Arial" w:hAnsi="Arial" w:cs="Arial"/>
                <w:b/>
                <w:bCs/>
                <w:color w:val="000000"/>
                <w:szCs w:val="16"/>
              </w:rPr>
              <w:t>67</w:t>
            </w:r>
            <w:r>
              <w:rPr>
                <w:rFonts w:ascii="Arial" w:hAnsi="Arial" w:cs="Arial" w:hint="eastAsia"/>
                <w:b/>
                <w:bCs/>
                <w:color w:val="000000"/>
                <w:szCs w:val="16"/>
                <w:lang w:eastAsia="zh-CN"/>
              </w:rPr>
              <w:t xml:space="preserve"> </w:t>
            </w:r>
            <w:r>
              <w:rPr>
                <w:rFonts w:ascii="Arial" w:hAnsi="Arial" w:cs="Arial"/>
                <w:b/>
                <w:bCs/>
                <w:color w:val="000000"/>
                <w:szCs w:val="16"/>
              </w:rPr>
              <w:t>015</w:t>
            </w:r>
          </w:p>
        </w:tc>
        <w:tc>
          <w:tcPr>
            <w:tcW w:w="845" w:type="dxa"/>
            <w:vAlign w:val="center"/>
          </w:tcPr>
          <w:p w14:paraId="151F51B6" w14:textId="55718EDF" w:rsidR="003A5077" w:rsidRDefault="003A5077" w:rsidP="003A5077">
            <w:pPr>
              <w:cnfStyle w:val="000000000000" w:firstRow="0" w:lastRow="0" w:firstColumn="0" w:lastColumn="0" w:oddVBand="0" w:evenVBand="0" w:oddHBand="0" w:evenHBand="0" w:firstRowFirstColumn="0" w:firstRowLastColumn="0" w:lastRowFirstColumn="0" w:lastRowLastColumn="0"/>
            </w:pPr>
            <w:r>
              <w:rPr>
                <w:rFonts w:ascii="Arial" w:hAnsi="Arial" w:cs="Arial"/>
                <w:b/>
                <w:bCs/>
                <w:color w:val="000000"/>
                <w:szCs w:val="16"/>
              </w:rPr>
              <w:t>92 691</w:t>
            </w:r>
          </w:p>
        </w:tc>
        <w:tc>
          <w:tcPr>
            <w:tcW w:w="743" w:type="dxa"/>
            <w:vAlign w:val="center"/>
          </w:tcPr>
          <w:p w14:paraId="6D8E7D85" w14:textId="0082F468" w:rsidR="003A5077" w:rsidRDefault="003A5077" w:rsidP="003A5077">
            <w:pPr>
              <w:cnfStyle w:val="000000000000" w:firstRow="0" w:lastRow="0" w:firstColumn="0" w:lastColumn="0" w:oddVBand="0" w:evenVBand="0" w:oddHBand="0" w:evenHBand="0" w:firstRowFirstColumn="0" w:firstRowLastColumn="0" w:lastRowFirstColumn="0" w:lastRowLastColumn="0"/>
            </w:pPr>
            <w:r>
              <w:rPr>
                <w:rFonts w:ascii="Arial" w:hAnsi="Arial" w:cs="Arial"/>
                <w:b/>
                <w:bCs/>
                <w:color w:val="000000"/>
                <w:szCs w:val="16"/>
              </w:rPr>
              <w:t>504</w:t>
            </w:r>
          </w:p>
        </w:tc>
        <w:tc>
          <w:tcPr>
            <w:tcW w:w="1144" w:type="dxa"/>
            <w:vAlign w:val="center"/>
          </w:tcPr>
          <w:p w14:paraId="0E723F52" w14:textId="3AE6E2C5" w:rsidR="003A5077" w:rsidRDefault="003A5077" w:rsidP="003A5077">
            <w:pPr>
              <w:cnfStyle w:val="000000000000" w:firstRow="0" w:lastRow="0" w:firstColumn="0" w:lastColumn="0" w:oddVBand="0" w:evenVBand="0" w:oddHBand="0" w:evenHBand="0" w:firstRowFirstColumn="0" w:firstRowLastColumn="0" w:lastRowFirstColumn="0" w:lastRowLastColumn="0"/>
            </w:pPr>
            <w:r>
              <w:rPr>
                <w:rFonts w:ascii="Arial" w:hAnsi="Arial" w:cs="Arial"/>
                <w:b/>
                <w:bCs/>
                <w:color w:val="000000"/>
                <w:szCs w:val="16"/>
              </w:rPr>
              <w:t>3 511</w:t>
            </w:r>
          </w:p>
        </w:tc>
        <w:tc>
          <w:tcPr>
            <w:tcW w:w="949" w:type="dxa"/>
            <w:vAlign w:val="center"/>
          </w:tcPr>
          <w:p w14:paraId="4FF3E4C3" w14:textId="469660C1" w:rsidR="003A5077" w:rsidRDefault="003A5077" w:rsidP="003A5077">
            <w:pPr>
              <w:cnfStyle w:val="000000000000" w:firstRow="0" w:lastRow="0" w:firstColumn="0" w:lastColumn="0" w:oddVBand="0" w:evenVBand="0" w:oddHBand="0" w:evenHBand="0" w:firstRowFirstColumn="0" w:firstRowLastColumn="0" w:lastRowFirstColumn="0" w:lastRowLastColumn="0"/>
            </w:pPr>
            <w:r>
              <w:rPr>
                <w:rFonts w:ascii="Arial" w:hAnsi="Arial" w:cs="Arial"/>
                <w:b/>
                <w:bCs/>
                <w:color w:val="000000"/>
                <w:szCs w:val="16"/>
              </w:rPr>
              <w:t>6 536</w:t>
            </w:r>
          </w:p>
        </w:tc>
        <w:tc>
          <w:tcPr>
            <w:tcW w:w="840" w:type="dxa"/>
            <w:vAlign w:val="center"/>
          </w:tcPr>
          <w:p w14:paraId="5A9BDA9D" w14:textId="120AB278" w:rsidR="003A5077" w:rsidRDefault="003A5077" w:rsidP="003A5077">
            <w:pPr>
              <w:cnfStyle w:val="000000000000" w:firstRow="0" w:lastRow="0" w:firstColumn="0" w:lastColumn="0" w:oddVBand="0" w:evenVBand="0" w:oddHBand="0" w:evenHBand="0" w:firstRowFirstColumn="0" w:firstRowLastColumn="0" w:lastRowFirstColumn="0" w:lastRowLastColumn="0"/>
            </w:pPr>
            <w:r>
              <w:rPr>
                <w:rFonts w:ascii="Arial" w:hAnsi="Arial" w:cs="Arial"/>
                <w:b/>
                <w:bCs/>
                <w:color w:val="000000"/>
                <w:szCs w:val="16"/>
              </w:rPr>
              <w:t>37 791</w:t>
            </w:r>
          </w:p>
        </w:tc>
        <w:tc>
          <w:tcPr>
            <w:tcW w:w="1118" w:type="dxa"/>
            <w:vAlign w:val="center"/>
          </w:tcPr>
          <w:p w14:paraId="281EA7B5" w14:textId="3F6D5DB7" w:rsidR="003A5077" w:rsidRDefault="003A5077" w:rsidP="003A5077">
            <w:pPr>
              <w:cnfStyle w:val="000000000000" w:firstRow="0" w:lastRow="0" w:firstColumn="0" w:lastColumn="0" w:oddVBand="0" w:evenVBand="0" w:oddHBand="0" w:evenHBand="0" w:firstRowFirstColumn="0" w:firstRowLastColumn="0" w:lastRowFirstColumn="0" w:lastRowLastColumn="0"/>
            </w:pPr>
            <w:r>
              <w:rPr>
                <w:rFonts w:ascii="Arial" w:hAnsi="Arial" w:cs="Arial"/>
                <w:b/>
                <w:bCs/>
                <w:color w:val="000000"/>
                <w:szCs w:val="16"/>
              </w:rPr>
              <w:t>44 349</w:t>
            </w:r>
          </w:p>
        </w:tc>
      </w:tr>
      <w:tr w:rsidR="006D1A61" w14:paraId="0619D2EC" w14:textId="111EBCBB" w:rsidTr="00605D0F">
        <w:tc>
          <w:tcPr>
            <w:cnfStyle w:val="001000000000" w:firstRow="0" w:lastRow="0" w:firstColumn="1" w:lastColumn="0" w:oddVBand="0" w:evenVBand="0" w:oddHBand="0" w:evenHBand="0" w:firstRowFirstColumn="0" w:firstRowLastColumn="0" w:lastRowFirstColumn="0" w:lastRowLastColumn="0"/>
            <w:tcW w:w="2199" w:type="dxa"/>
          </w:tcPr>
          <w:p w14:paraId="47FB780F" w14:textId="77777777" w:rsidR="006A780C" w:rsidRDefault="006A780C" w:rsidP="006A780C">
            <w:pPr>
              <w:rPr>
                <w:b/>
              </w:rPr>
            </w:pPr>
          </w:p>
        </w:tc>
        <w:tc>
          <w:tcPr>
            <w:tcW w:w="920" w:type="dxa"/>
          </w:tcPr>
          <w:p w14:paraId="2A79E0FE" w14:textId="77777777" w:rsidR="006A780C" w:rsidRDefault="006A780C" w:rsidP="006A780C">
            <w:pPr>
              <w:cnfStyle w:val="000000000000" w:firstRow="0" w:lastRow="0" w:firstColumn="0" w:lastColumn="0" w:oddVBand="0" w:evenVBand="0" w:oddHBand="0" w:evenHBand="0" w:firstRowFirstColumn="0" w:firstRowLastColumn="0" w:lastRowFirstColumn="0" w:lastRowLastColumn="0"/>
            </w:pPr>
          </w:p>
        </w:tc>
        <w:tc>
          <w:tcPr>
            <w:tcW w:w="850" w:type="dxa"/>
          </w:tcPr>
          <w:p w14:paraId="1539BD34" w14:textId="213FDFD0" w:rsidR="006A780C" w:rsidRDefault="006A780C" w:rsidP="006A780C">
            <w:pPr>
              <w:cnfStyle w:val="000000000000" w:firstRow="0" w:lastRow="0" w:firstColumn="0" w:lastColumn="0" w:oddVBand="0" w:evenVBand="0" w:oddHBand="0" w:evenHBand="0" w:firstRowFirstColumn="0" w:firstRowLastColumn="0" w:lastRowFirstColumn="0" w:lastRowLastColumn="0"/>
            </w:pPr>
          </w:p>
        </w:tc>
        <w:tc>
          <w:tcPr>
            <w:tcW w:w="845" w:type="dxa"/>
          </w:tcPr>
          <w:p w14:paraId="631C40FD" w14:textId="77777777" w:rsidR="006A780C" w:rsidRDefault="006A780C" w:rsidP="006A780C">
            <w:pPr>
              <w:cnfStyle w:val="000000000000" w:firstRow="0" w:lastRow="0" w:firstColumn="0" w:lastColumn="0" w:oddVBand="0" w:evenVBand="0" w:oddHBand="0" w:evenHBand="0" w:firstRowFirstColumn="0" w:firstRowLastColumn="0" w:lastRowFirstColumn="0" w:lastRowLastColumn="0"/>
            </w:pPr>
          </w:p>
        </w:tc>
        <w:tc>
          <w:tcPr>
            <w:tcW w:w="743" w:type="dxa"/>
          </w:tcPr>
          <w:p w14:paraId="4DF62697" w14:textId="77777777" w:rsidR="006A780C" w:rsidRDefault="006A780C" w:rsidP="006A780C">
            <w:pPr>
              <w:cnfStyle w:val="000000000000" w:firstRow="0" w:lastRow="0" w:firstColumn="0" w:lastColumn="0" w:oddVBand="0" w:evenVBand="0" w:oddHBand="0" w:evenHBand="0" w:firstRowFirstColumn="0" w:firstRowLastColumn="0" w:lastRowFirstColumn="0" w:lastRowLastColumn="0"/>
            </w:pPr>
          </w:p>
        </w:tc>
        <w:tc>
          <w:tcPr>
            <w:tcW w:w="1144" w:type="dxa"/>
          </w:tcPr>
          <w:p w14:paraId="77335248" w14:textId="77777777" w:rsidR="006A780C" w:rsidRDefault="006A780C" w:rsidP="006A780C">
            <w:pPr>
              <w:cnfStyle w:val="000000000000" w:firstRow="0" w:lastRow="0" w:firstColumn="0" w:lastColumn="0" w:oddVBand="0" w:evenVBand="0" w:oddHBand="0" w:evenHBand="0" w:firstRowFirstColumn="0" w:firstRowLastColumn="0" w:lastRowFirstColumn="0" w:lastRowLastColumn="0"/>
            </w:pPr>
          </w:p>
        </w:tc>
        <w:tc>
          <w:tcPr>
            <w:tcW w:w="949" w:type="dxa"/>
          </w:tcPr>
          <w:p w14:paraId="06E895C9" w14:textId="77777777" w:rsidR="006A780C" w:rsidRDefault="006A780C" w:rsidP="006A780C">
            <w:pPr>
              <w:cnfStyle w:val="000000000000" w:firstRow="0" w:lastRow="0" w:firstColumn="0" w:lastColumn="0" w:oddVBand="0" w:evenVBand="0" w:oddHBand="0" w:evenHBand="0" w:firstRowFirstColumn="0" w:firstRowLastColumn="0" w:lastRowFirstColumn="0" w:lastRowLastColumn="0"/>
            </w:pPr>
          </w:p>
        </w:tc>
        <w:tc>
          <w:tcPr>
            <w:tcW w:w="840" w:type="dxa"/>
          </w:tcPr>
          <w:p w14:paraId="23C6FCCA" w14:textId="77777777" w:rsidR="006A780C" w:rsidRDefault="006A780C" w:rsidP="006A780C">
            <w:pPr>
              <w:cnfStyle w:val="000000000000" w:firstRow="0" w:lastRow="0" w:firstColumn="0" w:lastColumn="0" w:oddVBand="0" w:evenVBand="0" w:oddHBand="0" w:evenHBand="0" w:firstRowFirstColumn="0" w:firstRowLastColumn="0" w:lastRowFirstColumn="0" w:lastRowLastColumn="0"/>
            </w:pPr>
          </w:p>
        </w:tc>
        <w:tc>
          <w:tcPr>
            <w:tcW w:w="1118" w:type="dxa"/>
          </w:tcPr>
          <w:p w14:paraId="23DC90C6" w14:textId="77777777" w:rsidR="006A780C" w:rsidRDefault="006A780C" w:rsidP="006A780C">
            <w:pPr>
              <w:cnfStyle w:val="000000000000" w:firstRow="0" w:lastRow="0" w:firstColumn="0" w:lastColumn="0" w:oddVBand="0" w:evenVBand="0" w:oddHBand="0" w:evenHBand="0" w:firstRowFirstColumn="0" w:firstRowLastColumn="0" w:lastRowFirstColumn="0" w:lastRowLastColumn="0"/>
            </w:pPr>
          </w:p>
        </w:tc>
      </w:tr>
      <w:tr w:rsidR="00423C51" w14:paraId="3D5AD06B" w14:textId="08E1DEEB" w:rsidTr="00605D0F">
        <w:tc>
          <w:tcPr>
            <w:cnfStyle w:val="001000000000" w:firstRow="0" w:lastRow="0" w:firstColumn="1" w:lastColumn="0" w:oddVBand="0" w:evenVBand="0" w:oddHBand="0" w:evenHBand="0" w:firstRowFirstColumn="0" w:firstRowLastColumn="0" w:lastRowFirstColumn="0" w:lastRowLastColumn="0"/>
            <w:tcW w:w="2199" w:type="dxa"/>
            <w:tcBorders>
              <w:top w:val="nil"/>
              <w:bottom w:val="nil"/>
            </w:tcBorders>
            <w:shd w:val="clear" w:color="auto" w:fill="000000" w:themeFill="text1"/>
          </w:tcPr>
          <w:p w14:paraId="1DDC3C5B" w14:textId="77777777" w:rsidR="006A780C" w:rsidRPr="00E52A40" w:rsidRDefault="006A780C" w:rsidP="006A780C">
            <w:pPr>
              <w:rPr>
                <w:i/>
                <w:iCs/>
              </w:rPr>
            </w:pPr>
            <w:r w:rsidRPr="00E52A40">
              <w:rPr>
                <w:i/>
                <w:iCs/>
              </w:rPr>
              <w:t>20X1</w:t>
            </w:r>
          </w:p>
        </w:tc>
        <w:tc>
          <w:tcPr>
            <w:tcW w:w="920" w:type="dxa"/>
            <w:tcBorders>
              <w:top w:val="nil"/>
              <w:bottom w:val="nil"/>
            </w:tcBorders>
            <w:shd w:val="clear" w:color="auto" w:fill="000000" w:themeFill="text1"/>
          </w:tcPr>
          <w:p w14:paraId="313C17D9" w14:textId="77777777" w:rsidR="006A780C" w:rsidRPr="00E52A40" w:rsidRDefault="006A780C" w:rsidP="006A780C">
            <w:pPr>
              <w:cnfStyle w:val="000000000000" w:firstRow="0" w:lastRow="0" w:firstColumn="0" w:lastColumn="0" w:oddVBand="0" w:evenVBand="0" w:oddHBand="0" w:evenHBand="0" w:firstRowFirstColumn="0" w:firstRowLastColumn="0" w:lastRowFirstColumn="0" w:lastRowLastColumn="0"/>
              <w:rPr>
                <w:i/>
                <w:iCs/>
              </w:rPr>
            </w:pPr>
          </w:p>
        </w:tc>
        <w:tc>
          <w:tcPr>
            <w:tcW w:w="850" w:type="dxa"/>
            <w:tcBorders>
              <w:top w:val="nil"/>
              <w:bottom w:val="nil"/>
            </w:tcBorders>
            <w:shd w:val="clear" w:color="auto" w:fill="000000" w:themeFill="text1"/>
          </w:tcPr>
          <w:p w14:paraId="25043259" w14:textId="7B3812F4" w:rsidR="006A780C" w:rsidRPr="00E52A40" w:rsidRDefault="006A780C" w:rsidP="006A780C">
            <w:pPr>
              <w:cnfStyle w:val="000000000000" w:firstRow="0" w:lastRow="0" w:firstColumn="0" w:lastColumn="0" w:oddVBand="0" w:evenVBand="0" w:oddHBand="0" w:evenHBand="0" w:firstRowFirstColumn="0" w:firstRowLastColumn="0" w:lastRowFirstColumn="0" w:lastRowLastColumn="0"/>
              <w:rPr>
                <w:i/>
                <w:iCs/>
              </w:rPr>
            </w:pPr>
          </w:p>
        </w:tc>
        <w:tc>
          <w:tcPr>
            <w:tcW w:w="845" w:type="dxa"/>
            <w:tcBorders>
              <w:top w:val="nil"/>
              <w:bottom w:val="nil"/>
            </w:tcBorders>
            <w:shd w:val="clear" w:color="auto" w:fill="000000" w:themeFill="text1"/>
          </w:tcPr>
          <w:p w14:paraId="2D0C3828" w14:textId="77777777" w:rsidR="006A780C" w:rsidRPr="00E52A40" w:rsidRDefault="006A780C" w:rsidP="006A780C">
            <w:pPr>
              <w:cnfStyle w:val="000000000000" w:firstRow="0" w:lastRow="0" w:firstColumn="0" w:lastColumn="0" w:oddVBand="0" w:evenVBand="0" w:oddHBand="0" w:evenHBand="0" w:firstRowFirstColumn="0" w:firstRowLastColumn="0" w:lastRowFirstColumn="0" w:lastRowLastColumn="0"/>
              <w:rPr>
                <w:i/>
                <w:iCs/>
              </w:rPr>
            </w:pPr>
          </w:p>
        </w:tc>
        <w:tc>
          <w:tcPr>
            <w:tcW w:w="743" w:type="dxa"/>
            <w:tcBorders>
              <w:top w:val="nil"/>
              <w:bottom w:val="nil"/>
            </w:tcBorders>
            <w:shd w:val="clear" w:color="auto" w:fill="000000" w:themeFill="text1"/>
          </w:tcPr>
          <w:p w14:paraId="48D3165F" w14:textId="77777777" w:rsidR="006A780C" w:rsidRPr="00E52A40" w:rsidRDefault="006A780C" w:rsidP="006A780C">
            <w:pPr>
              <w:cnfStyle w:val="000000000000" w:firstRow="0" w:lastRow="0" w:firstColumn="0" w:lastColumn="0" w:oddVBand="0" w:evenVBand="0" w:oddHBand="0" w:evenHBand="0" w:firstRowFirstColumn="0" w:firstRowLastColumn="0" w:lastRowFirstColumn="0" w:lastRowLastColumn="0"/>
              <w:rPr>
                <w:i/>
                <w:iCs/>
              </w:rPr>
            </w:pPr>
          </w:p>
        </w:tc>
        <w:tc>
          <w:tcPr>
            <w:tcW w:w="1144" w:type="dxa"/>
            <w:tcBorders>
              <w:top w:val="nil"/>
              <w:bottom w:val="nil"/>
            </w:tcBorders>
            <w:shd w:val="clear" w:color="auto" w:fill="000000" w:themeFill="text1"/>
          </w:tcPr>
          <w:p w14:paraId="650E0B0F" w14:textId="77777777" w:rsidR="006A780C" w:rsidRPr="00E52A40" w:rsidRDefault="006A780C" w:rsidP="006A780C">
            <w:pPr>
              <w:cnfStyle w:val="000000000000" w:firstRow="0" w:lastRow="0" w:firstColumn="0" w:lastColumn="0" w:oddVBand="0" w:evenVBand="0" w:oddHBand="0" w:evenHBand="0" w:firstRowFirstColumn="0" w:firstRowLastColumn="0" w:lastRowFirstColumn="0" w:lastRowLastColumn="0"/>
              <w:rPr>
                <w:i/>
                <w:iCs/>
              </w:rPr>
            </w:pPr>
          </w:p>
        </w:tc>
        <w:tc>
          <w:tcPr>
            <w:tcW w:w="949" w:type="dxa"/>
            <w:tcBorders>
              <w:top w:val="nil"/>
              <w:bottom w:val="nil"/>
            </w:tcBorders>
            <w:shd w:val="clear" w:color="auto" w:fill="000000" w:themeFill="text1"/>
          </w:tcPr>
          <w:p w14:paraId="66CB2267" w14:textId="77777777" w:rsidR="006A780C" w:rsidRPr="00E52A40" w:rsidRDefault="006A780C" w:rsidP="006A780C">
            <w:pPr>
              <w:cnfStyle w:val="000000000000" w:firstRow="0" w:lastRow="0" w:firstColumn="0" w:lastColumn="0" w:oddVBand="0" w:evenVBand="0" w:oddHBand="0" w:evenHBand="0" w:firstRowFirstColumn="0" w:firstRowLastColumn="0" w:lastRowFirstColumn="0" w:lastRowLastColumn="0"/>
              <w:rPr>
                <w:i/>
                <w:iCs/>
              </w:rPr>
            </w:pPr>
          </w:p>
        </w:tc>
        <w:tc>
          <w:tcPr>
            <w:tcW w:w="840" w:type="dxa"/>
            <w:tcBorders>
              <w:top w:val="nil"/>
              <w:bottom w:val="nil"/>
            </w:tcBorders>
            <w:shd w:val="clear" w:color="auto" w:fill="000000" w:themeFill="text1"/>
          </w:tcPr>
          <w:p w14:paraId="19F3AF19" w14:textId="77777777" w:rsidR="006A780C" w:rsidRPr="00E52A40" w:rsidRDefault="006A780C" w:rsidP="006A780C">
            <w:pPr>
              <w:cnfStyle w:val="000000000000" w:firstRow="0" w:lastRow="0" w:firstColumn="0" w:lastColumn="0" w:oddVBand="0" w:evenVBand="0" w:oddHBand="0" w:evenHBand="0" w:firstRowFirstColumn="0" w:firstRowLastColumn="0" w:lastRowFirstColumn="0" w:lastRowLastColumn="0"/>
              <w:rPr>
                <w:i/>
                <w:iCs/>
              </w:rPr>
            </w:pPr>
          </w:p>
        </w:tc>
        <w:tc>
          <w:tcPr>
            <w:tcW w:w="1118" w:type="dxa"/>
            <w:tcBorders>
              <w:top w:val="nil"/>
              <w:bottom w:val="nil"/>
            </w:tcBorders>
            <w:shd w:val="clear" w:color="auto" w:fill="000000" w:themeFill="text1"/>
          </w:tcPr>
          <w:p w14:paraId="34911837" w14:textId="77777777" w:rsidR="006A780C" w:rsidRPr="00E52A40" w:rsidRDefault="006A780C" w:rsidP="006A780C">
            <w:pPr>
              <w:cnfStyle w:val="000000000000" w:firstRow="0" w:lastRow="0" w:firstColumn="0" w:lastColumn="0" w:oddVBand="0" w:evenVBand="0" w:oddHBand="0" w:evenHBand="0" w:firstRowFirstColumn="0" w:firstRowLastColumn="0" w:lastRowFirstColumn="0" w:lastRowLastColumn="0"/>
              <w:rPr>
                <w:i/>
                <w:iCs/>
              </w:rPr>
            </w:pPr>
          </w:p>
        </w:tc>
      </w:tr>
      <w:tr w:rsidR="006D1A61" w14:paraId="3B3EE205" w14:textId="7A6C4C42" w:rsidTr="00605D0F">
        <w:tc>
          <w:tcPr>
            <w:cnfStyle w:val="001000000000" w:firstRow="0" w:lastRow="0" w:firstColumn="1" w:lastColumn="0" w:oddVBand="0" w:evenVBand="0" w:oddHBand="0" w:evenHBand="0" w:firstRowFirstColumn="0" w:firstRowLastColumn="0" w:lastRowFirstColumn="0" w:lastRowLastColumn="0"/>
            <w:tcW w:w="2199" w:type="dxa"/>
            <w:tcBorders>
              <w:top w:val="nil"/>
            </w:tcBorders>
          </w:tcPr>
          <w:p w14:paraId="5FFA7BED" w14:textId="77777777" w:rsidR="006A780C" w:rsidRDefault="006A780C" w:rsidP="006A780C">
            <w:r>
              <w:t>Bank overdrafts</w:t>
            </w:r>
          </w:p>
        </w:tc>
        <w:tc>
          <w:tcPr>
            <w:tcW w:w="920" w:type="dxa"/>
            <w:tcBorders>
              <w:top w:val="nil"/>
            </w:tcBorders>
          </w:tcPr>
          <w:p w14:paraId="025DCA7D" w14:textId="00109F2E" w:rsidR="006A780C" w:rsidRDefault="00AB15FE" w:rsidP="006A780C">
            <w:pPr>
              <w:cnfStyle w:val="000000000000" w:firstRow="0" w:lastRow="0" w:firstColumn="0" w:lastColumn="0" w:oddVBand="0" w:evenVBand="0" w:oddHBand="0" w:evenHBand="0" w:firstRowFirstColumn="0" w:firstRowLastColumn="0" w:lastRowFirstColumn="0" w:lastRowLastColumn="0"/>
            </w:pPr>
            <w:r>
              <w:t>10.25</w:t>
            </w:r>
          </w:p>
        </w:tc>
        <w:tc>
          <w:tcPr>
            <w:tcW w:w="850" w:type="dxa"/>
            <w:tcBorders>
              <w:top w:val="nil"/>
            </w:tcBorders>
          </w:tcPr>
          <w:p w14:paraId="277111E2" w14:textId="6BB46399" w:rsidR="006A780C" w:rsidRDefault="006A780C" w:rsidP="006A780C">
            <w:pPr>
              <w:cnfStyle w:val="000000000000" w:firstRow="0" w:lastRow="0" w:firstColumn="0" w:lastColumn="0" w:oddVBand="0" w:evenVBand="0" w:oddHBand="0" w:evenHBand="0" w:firstRowFirstColumn="0" w:firstRowLastColumn="0" w:lastRowFirstColumn="0" w:lastRowLastColumn="0"/>
            </w:pPr>
            <w:r>
              <w:t>5 437</w:t>
            </w:r>
          </w:p>
        </w:tc>
        <w:tc>
          <w:tcPr>
            <w:tcW w:w="845" w:type="dxa"/>
            <w:tcBorders>
              <w:top w:val="nil"/>
            </w:tcBorders>
          </w:tcPr>
          <w:p w14:paraId="37C7DC53" w14:textId="77777777" w:rsidR="006A780C" w:rsidRDefault="006A780C" w:rsidP="006A780C">
            <w:pPr>
              <w:cnfStyle w:val="000000000000" w:firstRow="0" w:lastRow="0" w:firstColumn="0" w:lastColumn="0" w:oddVBand="0" w:evenVBand="0" w:oddHBand="0" w:evenHBand="0" w:firstRowFirstColumn="0" w:firstRowLastColumn="0" w:lastRowFirstColumn="0" w:lastRowLastColumn="0"/>
            </w:pPr>
            <w:r>
              <w:t>5 437</w:t>
            </w:r>
          </w:p>
        </w:tc>
        <w:tc>
          <w:tcPr>
            <w:tcW w:w="743" w:type="dxa"/>
            <w:tcBorders>
              <w:top w:val="nil"/>
            </w:tcBorders>
          </w:tcPr>
          <w:p w14:paraId="095C3219" w14:textId="77777777" w:rsidR="006A780C" w:rsidRDefault="006A780C" w:rsidP="006A780C">
            <w:pPr>
              <w:cnfStyle w:val="000000000000" w:firstRow="0" w:lastRow="0" w:firstColumn="0" w:lastColumn="0" w:oddVBand="0" w:evenVBand="0" w:oddHBand="0" w:evenHBand="0" w:firstRowFirstColumn="0" w:firstRowLastColumn="0" w:lastRowFirstColumn="0" w:lastRowLastColumn="0"/>
            </w:pPr>
            <w:r>
              <w:t>5 437</w:t>
            </w:r>
          </w:p>
        </w:tc>
        <w:tc>
          <w:tcPr>
            <w:tcW w:w="1144" w:type="dxa"/>
            <w:tcBorders>
              <w:top w:val="nil"/>
            </w:tcBorders>
          </w:tcPr>
          <w:p w14:paraId="30FAA9AC" w14:textId="77777777" w:rsidR="006A780C" w:rsidRDefault="006A780C" w:rsidP="006A780C">
            <w:pPr>
              <w:cnfStyle w:val="000000000000" w:firstRow="0" w:lastRow="0" w:firstColumn="0" w:lastColumn="0" w:oddVBand="0" w:evenVBand="0" w:oddHBand="0" w:evenHBand="0" w:firstRowFirstColumn="0" w:firstRowLastColumn="0" w:lastRowFirstColumn="0" w:lastRowLastColumn="0"/>
            </w:pPr>
            <w:r>
              <w:t>..</w:t>
            </w:r>
          </w:p>
        </w:tc>
        <w:tc>
          <w:tcPr>
            <w:tcW w:w="949" w:type="dxa"/>
            <w:tcBorders>
              <w:top w:val="nil"/>
            </w:tcBorders>
          </w:tcPr>
          <w:p w14:paraId="1B4BF4FE" w14:textId="77777777" w:rsidR="006A780C" w:rsidRDefault="006A780C" w:rsidP="006A780C">
            <w:pPr>
              <w:cnfStyle w:val="000000000000" w:firstRow="0" w:lastRow="0" w:firstColumn="0" w:lastColumn="0" w:oddVBand="0" w:evenVBand="0" w:oddHBand="0" w:evenHBand="0" w:firstRowFirstColumn="0" w:firstRowLastColumn="0" w:lastRowFirstColumn="0" w:lastRowLastColumn="0"/>
            </w:pPr>
            <w:r>
              <w:t>..</w:t>
            </w:r>
          </w:p>
        </w:tc>
        <w:tc>
          <w:tcPr>
            <w:tcW w:w="840" w:type="dxa"/>
            <w:tcBorders>
              <w:top w:val="nil"/>
            </w:tcBorders>
          </w:tcPr>
          <w:p w14:paraId="4C026F04" w14:textId="77777777" w:rsidR="006A780C" w:rsidRDefault="006A780C" w:rsidP="006A780C">
            <w:pPr>
              <w:cnfStyle w:val="000000000000" w:firstRow="0" w:lastRow="0" w:firstColumn="0" w:lastColumn="0" w:oddVBand="0" w:evenVBand="0" w:oddHBand="0" w:evenHBand="0" w:firstRowFirstColumn="0" w:firstRowLastColumn="0" w:lastRowFirstColumn="0" w:lastRowLastColumn="0"/>
            </w:pPr>
            <w:r>
              <w:t>..</w:t>
            </w:r>
          </w:p>
        </w:tc>
        <w:tc>
          <w:tcPr>
            <w:tcW w:w="1118" w:type="dxa"/>
            <w:tcBorders>
              <w:top w:val="nil"/>
            </w:tcBorders>
          </w:tcPr>
          <w:p w14:paraId="1469D5E1" w14:textId="77777777" w:rsidR="006A780C" w:rsidRDefault="006A780C" w:rsidP="006A780C">
            <w:pPr>
              <w:cnfStyle w:val="000000000000" w:firstRow="0" w:lastRow="0" w:firstColumn="0" w:lastColumn="0" w:oddVBand="0" w:evenVBand="0" w:oddHBand="0" w:evenHBand="0" w:firstRowFirstColumn="0" w:firstRowLastColumn="0" w:lastRowFirstColumn="0" w:lastRowLastColumn="0"/>
            </w:pPr>
            <w:r>
              <w:t>..</w:t>
            </w:r>
          </w:p>
        </w:tc>
      </w:tr>
      <w:tr w:rsidR="006748F7" w14:paraId="18CD1026" w14:textId="51378169" w:rsidTr="00605D0F">
        <w:tc>
          <w:tcPr>
            <w:cnfStyle w:val="001000000000" w:firstRow="0" w:lastRow="0" w:firstColumn="1" w:lastColumn="0" w:oddVBand="0" w:evenVBand="0" w:oddHBand="0" w:evenHBand="0" w:firstRowFirstColumn="0" w:firstRowLastColumn="0" w:lastRowFirstColumn="0" w:lastRowLastColumn="0"/>
            <w:tcW w:w="2199" w:type="dxa"/>
          </w:tcPr>
          <w:p w14:paraId="7671A604" w14:textId="77777777" w:rsidR="006748F7" w:rsidRDefault="006748F7" w:rsidP="006748F7">
            <w:r>
              <w:t>Lease liabilities</w:t>
            </w:r>
          </w:p>
        </w:tc>
        <w:tc>
          <w:tcPr>
            <w:tcW w:w="920" w:type="dxa"/>
          </w:tcPr>
          <w:p w14:paraId="18942394" w14:textId="4859466B" w:rsidR="006748F7" w:rsidRDefault="006748F7" w:rsidP="006748F7">
            <w:pPr>
              <w:cnfStyle w:val="000000000000" w:firstRow="0" w:lastRow="0" w:firstColumn="0" w:lastColumn="0" w:oddVBand="0" w:evenVBand="0" w:oddHBand="0" w:evenHBand="0" w:firstRowFirstColumn="0" w:firstRowLastColumn="0" w:lastRowFirstColumn="0" w:lastRowLastColumn="0"/>
            </w:pPr>
            <w:r>
              <w:t>4.52</w:t>
            </w:r>
          </w:p>
        </w:tc>
        <w:tc>
          <w:tcPr>
            <w:tcW w:w="850" w:type="dxa"/>
          </w:tcPr>
          <w:p w14:paraId="00FADD3F" w14:textId="61B11131" w:rsidR="006748F7" w:rsidRDefault="006748F7" w:rsidP="006748F7">
            <w:pPr>
              <w:cnfStyle w:val="000000000000" w:firstRow="0" w:lastRow="0" w:firstColumn="0" w:lastColumn="0" w:oddVBand="0" w:evenVBand="0" w:oddHBand="0" w:evenHBand="0" w:firstRowFirstColumn="0" w:firstRowLastColumn="0" w:lastRowFirstColumn="0" w:lastRowLastColumn="0"/>
            </w:pPr>
            <w:r w:rsidRPr="006748F7">
              <w:t>26</w:t>
            </w:r>
            <w:r>
              <w:t xml:space="preserve"> </w:t>
            </w:r>
            <w:r w:rsidRPr="006748F7">
              <w:t>736</w:t>
            </w:r>
          </w:p>
        </w:tc>
        <w:tc>
          <w:tcPr>
            <w:tcW w:w="845" w:type="dxa"/>
            <w:vAlign w:val="center"/>
          </w:tcPr>
          <w:p w14:paraId="33065BAE" w14:textId="60ED6B3A" w:rsidR="006748F7" w:rsidRDefault="006748F7" w:rsidP="006748F7">
            <w:pP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16"/>
              </w:rPr>
              <w:t>29 074</w:t>
            </w:r>
          </w:p>
        </w:tc>
        <w:tc>
          <w:tcPr>
            <w:tcW w:w="743" w:type="dxa"/>
            <w:vAlign w:val="center"/>
          </w:tcPr>
          <w:p w14:paraId="15F7F8FB" w14:textId="0F377587" w:rsidR="006748F7" w:rsidRDefault="006748F7" w:rsidP="006748F7">
            <w:pP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16"/>
              </w:rPr>
              <w:t>8 195</w:t>
            </w:r>
          </w:p>
        </w:tc>
        <w:tc>
          <w:tcPr>
            <w:tcW w:w="1144" w:type="dxa"/>
            <w:vAlign w:val="center"/>
          </w:tcPr>
          <w:p w14:paraId="65178132" w14:textId="5DA46D45" w:rsidR="006748F7" w:rsidRDefault="006748F7" w:rsidP="006748F7">
            <w:pP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16"/>
              </w:rPr>
              <w:t>3 074</w:t>
            </w:r>
          </w:p>
        </w:tc>
        <w:tc>
          <w:tcPr>
            <w:tcW w:w="949" w:type="dxa"/>
            <w:vAlign w:val="center"/>
          </w:tcPr>
          <w:p w14:paraId="51C452B6" w14:textId="0800D6DF" w:rsidR="006748F7" w:rsidRDefault="006748F7" w:rsidP="006748F7">
            <w:pP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16"/>
              </w:rPr>
              <w:t>3 025</w:t>
            </w:r>
          </w:p>
        </w:tc>
        <w:tc>
          <w:tcPr>
            <w:tcW w:w="840" w:type="dxa"/>
            <w:vAlign w:val="center"/>
          </w:tcPr>
          <w:p w14:paraId="73A5F5B8" w14:textId="233FE495" w:rsidR="006748F7" w:rsidRDefault="006748F7" w:rsidP="006748F7">
            <w:pP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16"/>
              </w:rPr>
              <w:t>6 890</w:t>
            </w:r>
          </w:p>
        </w:tc>
        <w:tc>
          <w:tcPr>
            <w:tcW w:w="1118" w:type="dxa"/>
            <w:vAlign w:val="center"/>
          </w:tcPr>
          <w:p w14:paraId="40D0795F" w14:textId="6530EB1D" w:rsidR="006748F7" w:rsidRDefault="006748F7" w:rsidP="006748F7">
            <w:pP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16"/>
              </w:rPr>
              <w:t>7 890</w:t>
            </w:r>
          </w:p>
        </w:tc>
      </w:tr>
      <w:tr w:rsidR="00B705BC" w14:paraId="48C2FB7B" w14:textId="3E85C44E" w:rsidTr="00605D0F">
        <w:tc>
          <w:tcPr>
            <w:cnfStyle w:val="001000000000" w:firstRow="0" w:lastRow="0" w:firstColumn="1" w:lastColumn="0" w:oddVBand="0" w:evenVBand="0" w:oddHBand="0" w:evenHBand="0" w:firstRowFirstColumn="0" w:firstRowLastColumn="0" w:lastRowFirstColumn="0" w:lastRowLastColumn="0"/>
            <w:tcW w:w="2199" w:type="dxa"/>
          </w:tcPr>
          <w:p w14:paraId="28A1F4B6" w14:textId="77777777" w:rsidR="00B705BC" w:rsidRDefault="00B705BC" w:rsidP="00B705BC">
            <w:r>
              <w:t>Loans from TCV</w:t>
            </w:r>
          </w:p>
        </w:tc>
        <w:tc>
          <w:tcPr>
            <w:tcW w:w="920" w:type="dxa"/>
          </w:tcPr>
          <w:p w14:paraId="527D4BF7" w14:textId="5AB13079" w:rsidR="00B705BC" w:rsidRDefault="00B705BC" w:rsidP="00B705BC">
            <w:pPr>
              <w:cnfStyle w:val="000000000000" w:firstRow="0" w:lastRow="0" w:firstColumn="0" w:lastColumn="0" w:oddVBand="0" w:evenVBand="0" w:oddHBand="0" w:evenHBand="0" w:firstRowFirstColumn="0" w:firstRowLastColumn="0" w:lastRowFirstColumn="0" w:lastRowLastColumn="0"/>
            </w:pPr>
            <w:r>
              <w:t>5</w:t>
            </w:r>
          </w:p>
        </w:tc>
        <w:tc>
          <w:tcPr>
            <w:tcW w:w="850" w:type="dxa"/>
          </w:tcPr>
          <w:p w14:paraId="6835AA07" w14:textId="53828D8D" w:rsidR="00B705BC" w:rsidRDefault="00B705BC" w:rsidP="00B705BC">
            <w:pPr>
              <w:cnfStyle w:val="000000000000" w:firstRow="0" w:lastRow="0" w:firstColumn="0" w:lastColumn="0" w:oddVBand="0" w:evenVBand="0" w:oddHBand="0" w:evenHBand="0" w:firstRowFirstColumn="0" w:firstRowLastColumn="0" w:lastRowFirstColumn="0" w:lastRowLastColumn="0"/>
            </w:pPr>
            <w:r>
              <w:t>27 705</w:t>
            </w:r>
          </w:p>
        </w:tc>
        <w:tc>
          <w:tcPr>
            <w:tcW w:w="845" w:type="dxa"/>
          </w:tcPr>
          <w:p w14:paraId="6DC8CC6C" w14:textId="20B8A036" w:rsidR="00B705BC" w:rsidRDefault="00B705BC" w:rsidP="00B705BC">
            <w:pPr>
              <w:cnfStyle w:val="000000000000" w:firstRow="0" w:lastRow="0" w:firstColumn="0" w:lastColumn="0" w:oddVBand="0" w:evenVBand="0" w:oddHBand="0" w:evenHBand="0" w:firstRowFirstColumn="0" w:firstRowLastColumn="0" w:lastRowFirstColumn="0" w:lastRowLastColumn="0"/>
            </w:pPr>
            <w:r w:rsidRPr="00191827">
              <w:t>37</w:t>
            </w:r>
            <w:r w:rsidR="006748F7">
              <w:t xml:space="preserve"> </w:t>
            </w:r>
            <w:r w:rsidRPr="00191827">
              <w:t>655</w:t>
            </w:r>
          </w:p>
        </w:tc>
        <w:tc>
          <w:tcPr>
            <w:tcW w:w="743" w:type="dxa"/>
          </w:tcPr>
          <w:p w14:paraId="4B572B11" w14:textId="65E707F0" w:rsidR="00B705BC" w:rsidRDefault="00B705BC" w:rsidP="00B705BC">
            <w:pPr>
              <w:cnfStyle w:val="000000000000" w:firstRow="0" w:lastRow="0" w:firstColumn="0" w:lastColumn="0" w:oddVBand="0" w:evenVBand="0" w:oddHBand="0" w:evenHBand="0" w:firstRowFirstColumn="0" w:firstRowLastColumn="0" w:lastRowFirstColumn="0" w:lastRowLastColumn="0"/>
            </w:pPr>
            <w:r w:rsidRPr="00191827">
              <w:t>..</w:t>
            </w:r>
          </w:p>
        </w:tc>
        <w:tc>
          <w:tcPr>
            <w:tcW w:w="1144" w:type="dxa"/>
          </w:tcPr>
          <w:p w14:paraId="6A1C114D" w14:textId="6B287799" w:rsidR="00B705BC" w:rsidRDefault="00B705BC" w:rsidP="00B705BC">
            <w:pPr>
              <w:cnfStyle w:val="000000000000" w:firstRow="0" w:lastRow="0" w:firstColumn="0" w:lastColumn="0" w:oddVBand="0" w:evenVBand="0" w:oddHBand="0" w:evenHBand="0" w:firstRowFirstColumn="0" w:firstRowLastColumn="0" w:lastRowFirstColumn="0" w:lastRowLastColumn="0"/>
            </w:pPr>
            <w:r w:rsidRPr="00191827">
              <w:t>..</w:t>
            </w:r>
          </w:p>
        </w:tc>
        <w:tc>
          <w:tcPr>
            <w:tcW w:w="949" w:type="dxa"/>
          </w:tcPr>
          <w:p w14:paraId="51D0A6EA" w14:textId="0A811AA0" w:rsidR="00B705BC" w:rsidRDefault="00B705BC" w:rsidP="00B705BC">
            <w:pPr>
              <w:cnfStyle w:val="000000000000" w:firstRow="0" w:lastRow="0" w:firstColumn="0" w:lastColumn="0" w:oddVBand="0" w:evenVBand="0" w:oddHBand="0" w:evenHBand="0" w:firstRowFirstColumn="0" w:firstRowLastColumn="0" w:lastRowFirstColumn="0" w:lastRowLastColumn="0"/>
            </w:pPr>
            <w:r w:rsidRPr="00191827">
              <w:t>..</w:t>
            </w:r>
          </w:p>
        </w:tc>
        <w:tc>
          <w:tcPr>
            <w:tcW w:w="840" w:type="dxa"/>
          </w:tcPr>
          <w:p w14:paraId="4CA04715" w14:textId="15E73149" w:rsidR="00B705BC" w:rsidRDefault="00B705BC" w:rsidP="00B705BC">
            <w:pPr>
              <w:cnfStyle w:val="000000000000" w:firstRow="0" w:lastRow="0" w:firstColumn="0" w:lastColumn="0" w:oddVBand="0" w:evenVBand="0" w:oddHBand="0" w:evenHBand="0" w:firstRowFirstColumn="0" w:firstRowLastColumn="0" w:lastRowFirstColumn="0" w:lastRowLastColumn="0"/>
            </w:pPr>
            <w:r w:rsidRPr="00191827">
              <w:t>21</w:t>
            </w:r>
            <w:r w:rsidR="00A75F6C">
              <w:rPr>
                <w:rFonts w:hint="eastAsia"/>
                <w:lang w:eastAsia="zh-CN"/>
              </w:rPr>
              <w:t xml:space="preserve"> </w:t>
            </w:r>
            <w:r w:rsidRPr="00191827">
              <w:t>032</w:t>
            </w:r>
          </w:p>
        </w:tc>
        <w:tc>
          <w:tcPr>
            <w:tcW w:w="1118" w:type="dxa"/>
          </w:tcPr>
          <w:p w14:paraId="3BD3D5EF" w14:textId="615A8A18" w:rsidR="00B705BC" w:rsidRDefault="00B705BC" w:rsidP="00B705BC">
            <w:pPr>
              <w:cnfStyle w:val="000000000000" w:firstRow="0" w:lastRow="0" w:firstColumn="0" w:lastColumn="0" w:oddVBand="0" w:evenVBand="0" w:oddHBand="0" w:evenHBand="0" w:firstRowFirstColumn="0" w:firstRowLastColumn="0" w:lastRowFirstColumn="0" w:lastRowLastColumn="0"/>
            </w:pPr>
            <w:r w:rsidRPr="00191827">
              <w:t>16</w:t>
            </w:r>
            <w:r w:rsidR="00A75F6C">
              <w:rPr>
                <w:rFonts w:hint="eastAsia"/>
                <w:lang w:eastAsia="zh-CN"/>
              </w:rPr>
              <w:t xml:space="preserve"> </w:t>
            </w:r>
            <w:r w:rsidRPr="00191827">
              <w:t>623</w:t>
            </w:r>
          </w:p>
        </w:tc>
      </w:tr>
      <w:tr w:rsidR="005C0FF4" w14:paraId="25A620B2" w14:textId="06780700" w:rsidTr="00605D0F">
        <w:tc>
          <w:tcPr>
            <w:cnfStyle w:val="001000000000" w:firstRow="0" w:lastRow="0" w:firstColumn="1" w:lastColumn="0" w:oddVBand="0" w:evenVBand="0" w:oddHBand="0" w:evenHBand="0" w:firstRowFirstColumn="0" w:firstRowLastColumn="0" w:lastRowFirstColumn="0" w:lastRowLastColumn="0"/>
            <w:tcW w:w="2199" w:type="dxa"/>
          </w:tcPr>
          <w:p w14:paraId="46DD0838" w14:textId="77777777" w:rsidR="005C0FF4" w:rsidRDefault="005C0FF4" w:rsidP="005C0FF4">
            <w:r>
              <w:rPr>
                <w:b/>
              </w:rPr>
              <w:t>Total</w:t>
            </w:r>
          </w:p>
        </w:tc>
        <w:tc>
          <w:tcPr>
            <w:tcW w:w="920" w:type="dxa"/>
          </w:tcPr>
          <w:p w14:paraId="58085BFE" w14:textId="77777777" w:rsidR="005C0FF4" w:rsidRDefault="005C0FF4" w:rsidP="005C0FF4">
            <w:pPr>
              <w:cnfStyle w:val="000000000000" w:firstRow="0" w:lastRow="0" w:firstColumn="0" w:lastColumn="0" w:oddVBand="0" w:evenVBand="0" w:oddHBand="0" w:evenHBand="0" w:firstRowFirstColumn="0" w:firstRowLastColumn="0" w:lastRowFirstColumn="0" w:lastRowLastColumn="0"/>
              <w:rPr>
                <w:b/>
              </w:rPr>
            </w:pPr>
          </w:p>
        </w:tc>
        <w:tc>
          <w:tcPr>
            <w:tcW w:w="850" w:type="dxa"/>
            <w:vAlign w:val="center"/>
          </w:tcPr>
          <w:p w14:paraId="28913745" w14:textId="6970ACFB" w:rsidR="005C0FF4" w:rsidRDefault="005C0FF4" w:rsidP="005C0FF4">
            <w:pPr>
              <w:cnfStyle w:val="000000000000" w:firstRow="0" w:lastRow="0" w:firstColumn="0" w:lastColumn="0" w:oddVBand="0" w:evenVBand="0" w:oddHBand="0" w:evenHBand="0" w:firstRowFirstColumn="0" w:firstRowLastColumn="0" w:lastRowFirstColumn="0" w:lastRowLastColumn="0"/>
            </w:pPr>
            <w:r>
              <w:rPr>
                <w:rFonts w:ascii="Arial" w:hAnsi="Arial" w:cs="Arial"/>
                <w:b/>
                <w:bCs/>
                <w:color w:val="000000"/>
                <w:szCs w:val="16"/>
              </w:rPr>
              <w:t>59</w:t>
            </w:r>
            <w:r>
              <w:rPr>
                <w:rFonts w:ascii="Arial" w:hAnsi="Arial" w:cs="Arial" w:hint="eastAsia"/>
                <w:b/>
                <w:bCs/>
                <w:color w:val="000000"/>
                <w:szCs w:val="16"/>
                <w:lang w:eastAsia="zh-CN"/>
              </w:rPr>
              <w:t xml:space="preserve"> </w:t>
            </w:r>
            <w:r>
              <w:rPr>
                <w:rFonts w:ascii="Arial" w:hAnsi="Arial" w:cs="Arial"/>
                <w:b/>
                <w:bCs/>
                <w:color w:val="000000"/>
                <w:szCs w:val="16"/>
              </w:rPr>
              <w:t>878</w:t>
            </w:r>
          </w:p>
        </w:tc>
        <w:tc>
          <w:tcPr>
            <w:tcW w:w="845" w:type="dxa"/>
            <w:vAlign w:val="center"/>
          </w:tcPr>
          <w:p w14:paraId="66020D42" w14:textId="22A91977" w:rsidR="005C0FF4" w:rsidRDefault="005C0FF4" w:rsidP="005C0FF4">
            <w:pPr>
              <w:cnfStyle w:val="000000000000" w:firstRow="0" w:lastRow="0" w:firstColumn="0" w:lastColumn="0" w:oddVBand="0" w:evenVBand="0" w:oddHBand="0" w:evenHBand="0" w:firstRowFirstColumn="0" w:firstRowLastColumn="0" w:lastRowFirstColumn="0" w:lastRowLastColumn="0"/>
            </w:pPr>
            <w:r>
              <w:rPr>
                <w:rFonts w:ascii="Arial" w:hAnsi="Arial" w:cs="Arial"/>
                <w:b/>
                <w:bCs/>
                <w:color w:val="000000"/>
                <w:szCs w:val="16"/>
              </w:rPr>
              <w:t>72 166</w:t>
            </w:r>
          </w:p>
        </w:tc>
        <w:tc>
          <w:tcPr>
            <w:tcW w:w="743" w:type="dxa"/>
            <w:vAlign w:val="center"/>
          </w:tcPr>
          <w:p w14:paraId="77C389D8" w14:textId="4C429C82" w:rsidR="005C0FF4" w:rsidRDefault="005C0FF4" w:rsidP="005C0FF4">
            <w:pPr>
              <w:cnfStyle w:val="000000000000" w:firstRow="0" w:lastRow="0" w:firstColumn="0" w:lastColumn="0" w:oddVBand="0" w:evenVBand="0" w:oddHBand="0" w:evenHBand="0" w:firstRowFirstColumn="0" w:firstRowLastColumn="0" w:lastRowFirstColumn="0" w:lastRowLastColumn="0"/>
            </w:pPr>
            <w:r>
              <w:rPr>
                <w:rFonts w:ascii="Arial" w:hAnsi="Arial" w:cs="Arial"/>
                <w:b/>
                <w:bCs/>
                <w:color w:val="000000"/>
                <w:szCs w:val="16"/>
              </w:rPr>
              <w:t>13 632</w:t>
            </w:r>
          </w:p>
        </w:tc>
        <w:tc>
          <w:tcPr>
            <w:tcW w:w="1144" w:type="dxa"/>
            <w:vAlign w:val="center"/>
          </w:tcPr>
          <w:p w14:paraId="238C20C0" w14:textId="327AFC7F" w:rsidR="005C0FF4" w:rsidRDefault="005C0FF4" w:rsidP="005C0FF4">
            <w:pPr>
              <w:cnfStyle w:val="000000000000" w:firstRow="0" w:lastRow="0" w:firstColumn="0" w:lastColumn="0" w:oddVBand="0" w:evenVBand="0" w:oddHBand="0" w:evenHBand="0" w:firstRowFirstColumn="0" w:firstRowLastColumn="0" w:lastRowFirstColumn="0" w:lastRowLastColumn="0"/>
            </w:pPr>
            <w:r>
              <w:rPr>
                <w:rFonts w:ascii="Arial" w:hAnsi="Arial" w:cs="Arial"/>
                <w:b/>
                <w:bCs/>
                <w:color w:val="000000"/>
                <w:szCs w:val="16"/>
              </w:rPr>
              <w:t>3 074</w:t>
            </w:r>
          </w:p>
        </w:tc>
        <w:tc>
          <w:tcPr>
            <w:tcW w:w="949" w:type="dxa"/>
            <w:vAlign w:val="center"/>
          </w:tcPr>
          <w:p w14:paraId="51D13433" w14:textId="333562BD" w:rsidR="005C0FF4" w:rsidRDefault="005C0FF4" w:rsidP="005C0FF4">
            <w:pPr>
              <w:cnfStyle w:val="000000000000" w:firstRow="0" w:lastRow="0" w:firstColumn="0" w:lastColumn="0" w:oddVBand="0" w:evenVBand="0" w:oddHBand="0" w:evenHBand="0" w:firstRowFirstColumn="0" w:firstRowLastColumn="0" w:lastRowFirstColumn="0" w:lastRowLastColumn="0"/>
            </w:pPr>
            <w:r>
              <w:rPr>
                <w:rFonts w:ascii="Arial" w:hAnsi="Arial" w:cs="Arial"/>
                <w:b/>
                <w:bCs/>
                <w:color w:val="000000"/>
                <w:szCs w:val="16"/>
              </w:rPr>
              <w:t>3 025</w:t>
            </w:r>
          </w:p>
        </w:tc>
        <w:tc>
          <w:tcPr>
            <w:tcW w:w="840" w:type="dxa"/>
            <w:vAlign w:val="center"/>
          </w:tcPr>
          <w:p w14:paraId="61CC692F" w14:textId="4F3D6C90" w:rsidR="005C0FF4" w:rsidRDefault="005C0FF4" w:rsidP="005C0FF4">
            <w:pPr>
              <w:cnfStyle w:val="000000000000" w:firstRow="0" w:lastRow="0" w:firstColumn="0" w:lastColumn="0" w:oddVBand="0" w:evenVBand="0" w:oddHBand="0" w:evenHBand="0" w:firstRowFirstColumn="0" w:firstRowLastColumn="0" w:lastRowFirstColumn="0" w:lastRowLastColumn="0"/>
            </w:pPr>
            <w:r>
              <w:rPr>
                <w:rFonts w:ascii="Arial" w:hAnsi="Arial" w:cs="Arial"/>
                <w:b/>
                <w:bCs/>
                <w:color w:val="000000"/>
                <w:szCs w:val="16"/>
              </w:rPr>
              <w:t>27 922</w:t>
            </w:r>
          </w:p>
        </w:tc>
        <w:tc>
          <w:tcPr>
            <w:tcW w:w="1118" w:type="dxa"/>
            <w:vAlign w:val="center"/>
          </w:tcPr>
          <w:p w14:paraId="79EC160C" w14:textId="027AB312" w:rsidR="005C0FF4" w:rsidRDefault="005C0FF4" w:rsidP="005C0FF4">
            <w:pPr>
              <w:cnfStyle w:val="000000000000" w:firstRow="0" w:lastRow="0" w:firstColumn="0" w:lastColumn="0" w:oddVBand="0" w:evenVBand="0" w:oddHBand="0" w:evenHBand="0" w:firstRowFirstColumn="0" w:firstRowLastColumn="0" w:lastRowFirstColumn="0" w:lastRowLastColumn="0"/>
            </w:pPr>
            <w:r>
              <w:rPr>
                <w:rFonts w:ascii="Arial" w:hAnsi="Arial" w:cs="Arial"/>
                <w:b/>
                <w:bCs/>
                <w:color w:val="000000"/>
                <w:szCs w:val="16"/>
              </w:rPr>
              <w:t>24 513</w:t>
            </w:r>
          </w:p>
        </w:tc>
      </w:tr>
    </w:tbl>
    <w:p w14:paraId="0458318C" w14:textId="39986B9B" w:rsidR="003719CD" w:rsidRDefault="00606E29" w:rsidP="007D536F">
      <w:pPr>
        <w:rPr>
          <w:rStyle w:val="Reference"/>
        </w:rPr>
      </w:pPr>
      <w:r>
        <w:t xml:space="preserve">TV </w:t>
      </w:r>
      <w:r w:rsidR="00AC0A12">
        <w:t>operates under the Government fair payments policy of settling financial obligations within 30 days and in the event of a dispute, making payments within 30 days from the date of resolution.</w:t>
      </w:r>
      <w:r w:rsidR="00AC0A12" w:rsidRPr="00AC0A12">
        <w:rPr>
          <w:rStyle w:val="Reference"/>
        </w:rPr>
        <w:t xml:space="preserve"> </w:t>
      </w:r>
      <w:r w:rsidR="00AC0A12" w:rsidRPr="00353069">
        <w:rPr>
          <w:rStyle w:val="Reference"/>
        </w:rPr>
        <w:t>[AASB</w:t>
      </w:r>
      <w:r w:rsidR="00DC267D">
        <w:rPr>
          <w:rStyle w:val="Reference"/>
        </w:rPr>
        <w:t xml:space="preserve"> </w:t>
      </w:r>
      <w:r w:rsidR="00AC0A12">
        <w:rPr>
          <w:rStyle w:val="Reference"/>
        </w:rPr>
        <w:t>1060.114</w:t>
      </w:r>
      <w:r w:rsidR="00AC0A12" w:rsidRPr="00353069">
        <w:rPr>
          <w:rStyle w:val="Reference"/>
        </w:rPr>
        <w:t>]</w:t>
      </w:r>
    </w:p>
    <w:p w14:paraId="6610178A" w14:textId="77777777" w:rsidR="007176A6" w:rsidRDefault="007176A6" w:rsidP="007D536F"/>
    <w:p w14:paraId="46718BAB" w14:textId="77777777" w:rsidR="003719CD" w:rsidRDefault="003719CD" w:rsidP="007D536F">
      <w:pPr>
        <w:pStyle w:val="GuidanceBlockHeading"/>
      </w:pPr>
      <w:bookmarkStart w:id="3748" w:name="_Toc179813129"/>
      <w:bookmarkStart w:id="3749" w:name="_Toc179818829"/>
      <w:bookmarkStart w:id="3750" w:name="_Toc179824529"/>
      <w:r>
        <w:t>Guidance – Borrowings</w:t>
      </w:r>
      <w:bookmarkEnd w:id="3748"/>
      <w:bookmarkEnd w:id="3749"/>
      <w:bookmarkEnd w:id="3750"/>
    </w:p>
    <w:p w14:paraId="66EB86D7" w14:textId="19857EBF" w:rsidR="00A94770" w:rsidRPr="00A94770" w:rsidRDefault="00A94770" w:rsidP="002A0038">
      <w:pPr>
        <w:spacing w:before="120" w:after="0"/>
        <w:rPr>
          <w:color w:val="4472C4" w:themeColor="accent1"/>
        </w:rPr>
      </w:pPr>
      <w:r w:rsidRPr="00A94770">
        <w:rPr>
          <w:color w:val="4472C4" w:themeColor="accent1"/>
        </w:rPr>
        <w:t>An entity shall classify a liability as current when:</w:t>
      </w:r>
      <w:r w:rsidR="00DA3D8C">
        <w:rPr>
          <w:color w:val="4472C4" w:themeColor="accent1"/>
        </w:rPr>
        <w:t xml:space="preserve"> </w:t>
      </w:r>
    </w:p>
    <w:p w14:paraId="74A0D226" w14:textId="2A5DDF51" w:rsidR="00A94770" w:rsidRPr="002A0038" w:rsidRDefault="00A94770" w:rsidP="00605D0F">
      <w:pPr>
        <w:pStyle w:val="ListParagraph"/>
        <w:numPr>
          <w:ilvl w:val="0"/>
          <w:numId w:val="340"/>
        </w:numPr>
        <w:tabs>
          <w:tab w:val="clear" w:pos="284"/>
        </w:tabs>
        <w:spacing w:before="40" w:line="264" w:lineRule="auto"/>
        <w:ind w:left="360" w:hanging="360"/>
        <w:rPr>
          <w:color w:val="4472C4" w:themeColor="accent1"/>
        </w:rPr>
      </w:pPr>
      <w:r w:rsidRPr="002A0038">
        <w:rPr>
          <w:color w:val="4472C4" w:themeColor="accent1"/>
        </w:rPr>
        <w:t>it expects to settle the liability in the entity’s normal operating cycle</w:t>
      </w:r>
    </w:p>
    <w:p w14:paraId="58AAF929" w14:textId="0742737E" w:rsidR="00A94770" w:rsidRPr="002A0038" w:rsidRDefault="00A94770" w:rsidP="00605D0F">
      <w:pPr>
        <w:pStyle w:val="ListParagraph"/>
        <w:numPr>
          <w:ilvl w:val="0"/>
          <w:numId w:val="340"/>
        </w:numPr>
        <w:tabs>
          <w:tab w:val="clear" w:pos="284"/>
        </w:tabs>
        <w:spacing w:before="40" w:line="264" w:lineRule="auto"/>
        <w:ind w:left="360" w:hanging="360"/>
        <w:rPr>
          <w:color w:val="4472C4" w:themeColor="accent1"/>
        </w:rPr>
      </w:pPr>
      <w:r w:rsidRPr="002A0038">
        <w:rPr>
          <w:color w:val="4472C4" w:themeColor="accent1"/>
        </w:rPr>
        <w:t>it holds the liability primarily for the purpose of trading</w:t>
      </w:r>
    </w:p>
    <w:p w14:paraId="32256F64" w14:textId="4981AAD1" w:rsidR="00A94770" w:rsidRPr="002A0038" w:rsidRDefault="00A94770" w:rsidP="00605D0F">
      <w:pPr>
        <w:pStyle w:val="ListParagraph"/>
        <w:numPr>
          <w:ilvl w:val="0"/>
          <w:numId w:val="340"/>
        </w:numPr>
        <w:tabs>
          <w:tab w:val="clear" w:pos="284"/>
        </w:tabs>
        <w:spacing w:before="40" w:line="264" w:lineRule="auto"/>
        <w:ind w:left="360" w:hanging="360"/>
        <w:rPr>
          <w:color w:val="4472C4" w:themeColor="accent1"/>
        </w:rPr>
      </w:pPr>
      <w:r w:rsidRPr="002A0038">
        <w:rPr>
          <w:color w:val="4472C4" w:themeColor="accent1"/>
        </w:rPr>
        <w:t>the liability is due to be settled within twelve months after the reporting date</w:t>
      </w:r>
    </w:p>
    <w:p w14:paraId="53D06822" w14:textId="6B430357" w:rsidR="006D1A61" w:rsidRPr="002A0038" w:rsidRDefault="00A94770" w:rsidP="00605D0F">
      <w:pPr>
        <w:pStyle w:val="ListParagraph"/>
        <w:numPr>
          <w:ilvl w:val="0"/>
          <w:numId w:val="340"/>
        </w:numPr>
        <w:tabs>
          <w:tab w:val="clear" w:pos="284"/>
        </w:tabs>
        <w:spacing w:before="40" w:line="264" w:lineRule="auto"/>
        <w:ind w:left="360" w:hanging="360"/>
        <w:rPr>
          <w:rStyle w:val="Reference"/>
          <w:color w:val="4472C4" w:themeColor="accent1"/>
          <w:sz w:val="18"/>
        </w:rPr>
      </w:pPr>
      <w:r w:rsidRPr="00814F8D">
        <w:rPr>
          <w:color w:val="4472C4" w:themeColor="accent1"/>
        </w:rPr>
        <w:t xml:space="preserve">the entity does not have </w:t>
      </w:r>
      <w:r w:rsidR="00814F8D" w:rsidRPr="00814F8D">
        <w:rPr>
          <w:color w:val="4472C4" w:themeColor="accent1"/>
        </w:rPr>
        <w:t>the right at the reporting date</w:t>
      </w:r>
      <w:r w:rsidRPr="00514FD9">
        <w:rPr>
          <w:color w:val="4472C4" w:themeColor="accent1"/>
        </w:rPr>
        <w:t xml:space="preserve"> </w:t>
      </w:r>
      <w:r w:rsidR="00514FD9" w:rsidRPr="00514FD9">
        <w:rPr>
          <w:color w:val="4472C4" w:themeColor="accent1"/>
        </w:rPr>
        <w:t xml:space="preserve">to defer settlement of the liability for at least </w:t>
      </w:r>
      <w:r w:rsidR="00514FD9" w:rsidRPr="00B43D3B">
        <w:rPr>
          <w:color w:val="4472C4" w:themeColor="accent1"/>
        </w:rPr>
        <w:t>twelve</w:t>
      </w:r>
      <w:r w:rsidR="00DC7BBA" w:rsidRPr="00B43D3B">
        <w:rPr>
          <w:color w:val="4472C4" w:themeColor="accent1"/>
        </w:rPr>
        <w:t xml:space="preserve"> </w:t>
      </w:r>
      <w:r w:rsidR="00514FD9" w:rsidRPr="00B43D3B">
        <w:rPr>
          <w:color w:val="4472C4" w:themeColor="accent1"/>
        </w:rPr>
        <w:t xml:space="preserve">months after </w:t>
      </w:r>
      <w:r w:rsidR="00814F8D" w:rsidRPr="002A0038">
        <w:rPr>
          <w:color w:val="4472C4" w:themeColor="accent1"/>
        </w:rPr>
        <w:t>the reporting date.</w:t>
      </w:r>
      <w:r w:rsidR="00F26C84">
        <w:rPr>
          <w:color w:val="4472C4" w:themeColor="accent1"/>
        </w:rPr>
        <w:t xml:space="preserve"> </w:t>
      </w:r>
      <w:r w:rsidR="00F26C84" w:rsidRPr="00056098">
        <w:rPr>
          <w:rStyle w:val="Reference"/>
        </w:rPr>
        <w:t>[</w:t>
      </w:r>
      <w:r w:rsidR="0007383E">
        <w:rPr>
          <w:rStyle w:val="Reference"/>
        </w:rPr>
        <w:t>AASB </w:t>
      </w:r>
      <w:r w:rsidR="00F26C84">
        <w:rPr>
          <w:rStyle w:val="Reference"/>
        </w:rPr>
        <w:t>1060.</w:t>
      </w:r>
      <w:r w:rsidR="00F26C84">
        <w:rPr>
          <w:rStyle w:val="Reference"/>
          <w:rFonts w:hint="eastAsia"/>
          <w:lang w:eastAsia="zh-CN"/>
        </w:rPr>
        <w:t>40</w:t>
      </w:r>
      <w:r w:rsidR="00F26C84" w:rsidRPr="00056098">
        <w:rPr>
          <w:rStyle w:val="Reference"/>
        </w:rPr>
        <w:t>]</w:t>
      </w:r>
    </w:p>
    <w:p w14:paraId="3B0913B2" w14:textId="1AC92297" w:rsidR="00A94770" w:rsidRPr="002A0038" w:rsidRDefault="00A94770" w:rsidP="002A0038">
      <w:pPr>
        <w:spacing w:before="120" w:after="0"/>
        <w:rPr>
          <w:color w:val="4472C4" w:themeColor="accent1"/>
        </w:rPr>
      </w:pPr>
      <w:r w:rsidRPr="002A0038">
        <w:rPr>
          <w:color w:val="4472C4" w:themeColor="accent1"/>
        </w:rPr>
        <w:t xml:space="preserve">An entity shall classify all other liabilities as non-current. </w:t>
      </w:r>
      <w:r w:rsidRPr="00056098">
        <w:rPr>
          <w:rStyle w:val="Reference"/>
        </w:rPr>
        <w:t>[</w:t>
      </w:r>
      <w:r w:rsidR="0007383E">
        <w:rPr>
          <w:rStyle w:val="Reference"/>
        </w:rPr>
        <w:t>AASB </w:t>
      </w:r>
      <w:r>
        <w:rPr>
          <w:rStyle w:val="Reference"/>
        </w:rPr>
        <w:t>1060.</w:t>
      </w:r>
      <w:r>
        <w:rPr>
          <w:rStyle w:val="Reference"/>
          <w:rFonts w:hint="eastAsia"/>
          <w:lang w:eastAsia="zh-CN"/>
        </w:rPr>
        <w:t>41</w:t>
      </w:r>
      <w:r w:rsidRPr="00056098">
        <w:rPr>
          <w:rStyle w:val="Reference"/>
        </w:rPr>
        <w:t>]</w:t>
      </w:r>
    </w:p>
    <w:p w14:paraId="557F98F6" w14:textId="1ABBE94A" w:rsidR="00A84D8B" w:rsidRDefault="00A74A41" w:rsidP="00A74A41">
      <w:pPr>
        <w:spacing w:before="120" w:after="0"/>
        <w:rPr>
          <w:color w:val="4472C4" w:themeColor="accent1"/>
        </w:rPr>
      </w:pPr>
      <w:r w:rsidRPr="00A74A41">
        <w:rPr>
          <w:color w:val="4472C4" w:themeColor="accent1"/>
        </w:rPr>
        <w:t>In applying paragraph 40, an entity might classify liabilities arising from loan arrangements as non-current</w:t>
      </w:r>
      <w:r>
        <w:rPr>
          <w:color w:val="4472C4" w:themeColor="accent1"/>
        </w:rPr>
        <w:t xml:space="preserve"> </w:t>
      </w:r>
      <w:r w:rsidRPr="00A74A41">
        <w:rPr>
          <w:color w:val="4472C4" w:themeColor="accent1"/>
        </w:rPr>
        <w:t>when the entity’s right to defer settlement of those liabilities is subject to the entity complying with covenants</w:t>
      </w:r>
      <w:r>
        <w:rPr>
          <w:color w:val="4472C4" w:themeColor="accent1"/>
        </w:rPr>
        <w:t xml:space="preserve"> </w:t>
      </w:r>
      <w:r w:rsidRPr="00A74A41">
        <w:rPr>
          <w:color w:val="4472C4" w:themeColor="accent1"/>
        </w:rPr>
        <w:t>within twelve months after the reporting date. In such situations, the entity shall disclose information in the</w:t>
      </w:r>
      <w:r>
        <w:rPr>
          <w:color w:val="4472C4" w:themeColor="accent1"/>
        </w:rPr>
        <w:t xml:space="preserve"> </w:t>
      </w:r>
      <w:r w:rsidRPr="00A74A41">
        <w:rPr>
          <w:color w:val="4472C4" w:themeColor="accent1"/>
        </w:rPr>
        <w:t>notes that enables users of financial statements to understand the risk that the liabilities could become</w:t>
      </w:r>
      <w:r>
        <w:rPr>
          <w:color w:val="4472C4" w:themeColor="accent1"/>
        </w:rPr>
        <w:t xml:space="preserve"> </w:t>
      </w:r>
      <w:r w:rsidRPr="00A74A41">
        <w:rPr>
          <w:color w:val="4472C4" w:themeColor="accent1"/>
        </w:rPr>
        <w:t>repayable within twelve months after the reporting date, including:</w:t>
      </w:r>
    </w:p>
    <w:p w14:paraId="7ED197C7" w14:textId="277284CB" w:rsidR="00605D0F" w:rsidRPr="002A0038" w:rsidRDefault="00A74A41" w:rsidP="00605D0F">
      <w:pPr>
        <w:pStyle w:val="ListParagraph"/>
        <w:numPr>
          <w:ilvl w:val="0"/>
          <w:numId w:val="401"/>
        </w:numPr>
        <w:tabs>
          <w:tab w:val="clear" w:pos="284"/>
        </w:tabs>
        <w:spacing w:before="40" w:line="264" w:lineRule="auto"/>
        <w:ind w:left="360" w:hanging="360"/>
        <w:rPr>
          <w:color w:val="4472C4" w:themeColor="accent1"/>
        </w:rPr>
      </w:pPr>
      <w:r w:rsidRPr="00A74A41">
        <w:rPr>
          <w:color w:val="4472C4" w:themeColor="accent1"/>
        </w:rPr>
        <w:t>information about the covenants (including the nature of the covenants and when the entity is</w:t>
      </w:r>
      <w:r>
        <w:rPr>
          <w:color w:val="4472C4" w:themeColor="accent1"/>
        </w:rPr>
        <w:t xml:space="preserve"> </w:t>
      </w:r>
      <w:r w:rsidRPr="00A74A41">
        <w:rPr>
          <w:color w:val="4472C4" w:themeColor="accent1"/>
        </w:rPr>
        <w:t>required to comply with them) and the carrying amount of related liabilities</w:t>
      </w:r>
    </w:p>
    <w:p w14:paraId="32655F8D" w14:textId="2094DC99" w:rsidR="00605D0F" w:rsidRPr="002A0038" w:rsidRDefault="00A74A41" w:rsidP="00605D0F">
      <w:pPr>
        <w:pStyle w:val="ListParagraph"/>
        <w:numPr>
          <w:ilvl w:val="0"/>
          <w:numId w:val="401"/>
        </w:numPr>
        <w:tabs>
          <w:tab w:val="clear" w:pos="284"/>
        </w:tabs>
        <w:spacing w:before="40" w:line="264" w:lineRule="auto"/>
        <w:ind w:left="360" w:hanging="360"/>
        <w:rPr>
          <w:color w:val="4472C4" w:themeColor="accent1"/>
        </w:rPr>
      </w:pPr>
      <w:r w:rsidRPr="00A74A41">
        <w:rPr>
          <w:color w:val="4472C4" w:themeColor="accent1"/>
        </w:rPr>
        <w:t>facts and circumstances, if any, that indicate the entity may have difficulty complying with the</w:t>
      </w:r>
      <w:r>
        <w:rPr>
          <w:color w:val="4472C4" w:themeColor="accent1"/>
        </w:rPr>
        <w:t xml:space="preserve"> </w:t>
      </w:r>
      <w:r w:rsidRPr="00A74A41">
        <w:rPr>
          <w:color w:val="4472C4" w:themeColor="accent1"/>
        </w:rPr>
        <w:t xml:space="preserve">covenants </w:t>
      </w:r>
      <w:r w:rsidRPr="00A74A41">
        <w:rPr>
          <w:b/>
          <w:bCs/>
          <w:color w:val="4472C4" w:themeColor="accent1"/>
        </w:rPr>
        <w:t xml:space="preserve">– </w:t>
      </w:r>
      <w:r w:rsidRPr="00A74A41">
        <w:rPr>
          <w:color w:val="4472C4" w:themeColor="accent1"/>
        </w:rPr>
        <w:t>for example, the entity having acted during or after the reporting period to avoid or</w:t>
      </w:r>
      <w:r>
        <w:rPr>
          <w:color w:val="4472C4" w:themeColor="accent1"/>
        </w:rPr>
        <w:t xml:space="preserve"> </w:t>
      </w:r>
      <w:r w:rsidRPr="00A74A41">
        <w:rPr>
          <w:color w:val="4472C4" w:themeColor="accent1"/>
        </w:rPr>
        <w:t>mitigate a potential breach. Such facts and circumstances could also include the fact that the entity</w:t>
      </w:r>
      <w:r>
        <w:rPr>
          <w:color w:val="4472C4" w:themeColor="accent1"/>
        </w:rPr>
        <w:t xml:space="preserve"> </w:t>
      </w:r>
      <w:r w:rsidRPr="00A74A41">
        <w:rPr>
          <w:color w:val="4472C4" w:themeColor="accent1"/>
        </w:rPr>
        <w:t>would not have complied with the covenants if they were to be assessed for compliance based on</w:t>
      </w:r>
      <w:r>
        <w:rPr>
          <w:color w:val="4472C4" w:themeColor="accent1"/>
        </w:rPr>
        <w:t xml:space="preserve"> </w:t>
      </w:r>
      <w:r w:rsidRPr="00A74A41">
        <w:rPr>
          <w:color w:val="4472C4" w:themeColor="accent1"/>
        </w:rPr>
        <w:t>the entity’s circumstances at the reporting date.</w:t>
      </w:r>
      <w:r w:rsidR="00E86505">
        <w:rPr>
          <w:color w:val="4472C4" w:themeColor="accent1"/>
        </w:rPr>
        <w:t xml:space="preserve"> </w:t>
      </w:r>
      <w:r w:rsidR="00E86505" w:rsidRPr="00056098">
        <w:rPr>
          <w:rStyle w:val="Reference"/>
        </w:rPr>
        <w:t>[</w:t>
      </w:r>
      <w:r w:rsidR="0007383E">
        <w:rPr>
          <w:rStyle w:val="Reference"/>
        </w:rPr>
        <w:t>AASB </w:t>
      </w:r>
      <w:r w:rsidR="00E86505">
        <w:rPr>
          <w:rStyle w:val="Reference"/>
        </w:rPr>
        <w:t>1060.</w:t>
      </w:r>
      <w:r w:rsidR="00E86505">
        <w:rPr>
          <w:rStyle w:val="Reference"/>
          <w:rFonts w:hint="eastAsia"/>
        </w:rPr>
        <w:t>4</w:t>
      </w:r>
      <w:r w:rsidR="00E86505">
        <w:rPr>
          <w:rStyle w:val="Reference"/>
        </w:rPr>
        <w:t>7A</w:t>
      </w:r>
      <w:r w:rsidR="00E86505" w:rsidRPr="00056098">
        <w:rPr>
          <w:rStyle w:val="Reference"/>
        </w:rPr>
        <w:t>]</w:t>
      </w:r>
    </w:p>
    <w:p w14:paraId="02E0822B" w14:textId="7B59DAAB" w:rsidR="008B7593" w:rsidRDefault="007D345B" w:rsidP="002A0038">
      <w:pPr>
        <w:spacing w:before="120" w:after="0"/>
        <w:rPr>
          <w:color w:val="4472C4" w:themeColor="accent1"/>
        </w:rPr>
      </w:pPr>
      <w:r>
        <w:rPr>
          <w:color w:val="4472C4" w:themeColor="accent1"/>
        </w:rPr>
        <w:t>A</w:t>
      </w:r>
      <w:r w:rsidRPr="00CF5EC2">
        <w:rPr>
          <w:color w:val="4472C4" w:themeColor="accent1"/>
        </w:rPr>
        <w:t>n entity shall disclose material accounting policy information. Information</w:t>
      </w:r>
      <w:r>
        <w:rPr>
          <w:color w:val="4472C4" w:themeColor="accent1"/>
        </w:rPr>
        <w:t xml:space="preserve"> </w:t>
      </w:r>
      <w:r w:rsidRPr="00CF5EC2">
        <w:rPr>
          <w:color w:val="4472C4" w:themeColor="accent1"/>
        </w:rPr>
        <w:t>about the measurement basis (or bases) for financial instruments used in preparing the financial statements is</w:t>
      </w:r>
      <w:r>
        <w:rPr>
          <w:color w:val="4472C4" w:themeColor="accent1"/>
        </w:rPr>
        <w:t xml:space="preserve"> </w:t>
      </w:r>
      <w:r w:rsidRPr="00CF5EC2">
        <w:rPr>
          <w:color w:val="4472C4" w:themeColor="accent1"/>
        </w:rPr>
        <w:t>expected to be material accounting policy information.</w:t>
      </w:r>
      <w:r>
        <w:rPr>
          <w:rStyle w:val="Guidance"/>
        </w:rPr>
        <w:t xml:space="preserve"> </w:t>
      </w:r>
      <w:r w:rsidRPr="00056098">
        <w:rPr>
          <w:rStyle w:val="Reference"/>
        </w:rPr>
        <w:t>[</w:t>
      </w:r>
      <w:r w:rsidR="0007383E">
        <w:rPr>
          <w:rStyle w:val="Reference"/>
        </w:rPr>
        <w:t>AASB </w:t>
      </w:r>
      <w:r>
        <w:rPr>
          <w:rStyle w:val="Reference"/>
        </w:rPr>
        <w:t>1060.112</w:t>
      </w:r>
      <w:r w:rsidRPr="00056098">
        <w:rPr>
          <w:rStyle w:val="Reference"/>
        </w:rPr>
        <w:t>]</w:t>
      </w:r>
    </w:p>
    <w:p w14:paraId="18429F49" w14:textId="0765A2AA" w:rsidR="00C86FDC" w:rsidRDefault="00C86FDC" w:rsidP="002A0038">
      <w:pPr>
        <w:spacing w:before="120" w:after="0"/>
        <w:rPr>
          <w:rStyle w:val="Reference"/>
        </w:rPr>
      </w:pPr>
      <w:r w:rsidRPr="00011C87">
        <w:rPr>
          <w:color w:val="4472C4" w:themeColor="accent1"/>
        </w:rPr>
        <w:t>An entity shall disclose information that enables users of its financial statements to evaluate the significance</w:t>
      </w:r>
      <w:r>
        <w:rPr>
          <w:color w:val="4472C4" w:themeColor="accent1"/>
        </w:rPr>
        <w:t xml:space="preserve"> </w:t>
      </w:r>
      <w:r w:rsidRPr="00011C87">
        <w:rPr>
          <w:color w:val="4472C4" w:themeColor="accent1"/>
        </w:rPr>
        <w:t>of financial instruments for its financial position and performance. For example, for long-term debt such</w:t>
      </w:r>
      <w:r>
        <w:rPr>
          <w:color w:val="4472C4" w:themeColor="accent1"/>
        </w:rPr>
        <w:t xml:space="preserve"> </w:t>
      </w:r>
      <w:r w:rsidRPr="00011C87">
        <w:rPr>
          <w:color w:val="4472C4" w:themeColor="accent1"/>
        </w:rPr>
        <w:t>information would normally include the terms and conditions of the debt instrument (such as interest rate,</w:t>
      </w:r>
      <w:r>
        <w:rPr>
          <w:color w:val="4472C4" w:themeColor="accent1"/>
        </w:rPr>
        <w:t xml:space="preserve"> </w:t>
      </w:r>
      <w:r w:rsidRPr="00011C87">
        <w:rPr>
          <w:color w:val="4472C4" w:themeColor="accent1"/>
        </w:rPr>
        <w:t>maturity, repayment schedule, and restrictions that the debt instrument imposes on the entity).</w:t>
      </w:r>
      <w:r>
        <w:rPr>
          <w:color w:val="4472C4" w:themeColor="accent1"/>
        </w:rPr>
        <w:t xml:space="preserve"> </w:t>
      </w:r>
      <w:r w:rsidRPr="00752021">
        <w:rPr>
          <w:rStyle w:val="Reference"/>
        </w:rPr>
        <w:t>[</w:t>
      </w:r>
      <w:r w:rsidR="0007383E">
        <w:rPr>
          <w:rStyle w:val="Reference"/>
        </w:rPr>
        <w:t>AASB </w:t>
      </w:r>
      <w:r>
        <w:rPr>
          <w:rStyle w:val="Reference"/>
        </w:rPr>
        <w:t>1060.114]</w:t>
      </w:r>
    </w:p>
    <w:p w14:paraId="13E55814" w14:textId="5878756D" w:rsidR="0048084E" w:rsidRPr="002A0038" w:rsidRDefault="008C1A93" w:rsidP="002A0038">
      <w:pPr>
        <w:pStyle w:val="GuidanceHeading"/>
        <w:spacing w:before="120" w:after="0"/>
        <w:rPr>
          <w:rStyle w:val="Guidance"/>
          <w:b w:val="0"/>
          <w:bCs/>
          <w:sz w:val="18"/>
        </w:rPr>
      </w:pPr>
      <w:r w:rsidRPr="009B37DA">
        <w:rPr>
          <w:b w:val="0"/>
          <w:sz w:val="18"/>
        </w:rPr>
        <w:t>For all financial assets and financial liabilities measured at fair value, the entity shall disclose the basis for</w:t>
      </w:r>
      <w:r>
        <w:rPr>
          <w:b w:val="0"/>
          <w:sz w:val="18"/>
        </w:rPr>
        <w:t xml:space="preserve"> </w:t>
      </w:r>
      <w:r w:rsidRPr="009B37DA">
        <w:rPr>
          <w:b w:val="0"/>
          <w:sz w:val="18"/>
        </w:rPr>
        <w:t>determining fair value, for example, quoted market price in an active market or a valuation technique. When</w:t>
      </w:r>
      <w:r>
        <w:rPr>
          <w:b w:val="0"/>
          <w:sz w:val="18"/>
        </w:rPr>
        <w:t xml:space="preserve"> </w:t>
      </w:r>
      <w:r w:rsidRPr="009B37DA">
        <w:rPr>
          <w:b w:val="0"/>
          <w:sz w:val="18"/>
        </w:rPr>
        <w:t>a valuation technique is used, the entity shall disclose the assumptions applied in determining fair value for</w:t>
      </w:r>
      <w:r>
        <w:rPr>
          <w:b w:val="0"/>
          <w:sz w:val="18"/>
        </w:rPr>
        <w:t xml:space="preserve"> </w:t>
      </w:r>
      <w:r w:rsidRPr="009B37DA">
        <w:rPr>
          <w:b w:val="0"/>
          <w:sz w:val="18"/>
        </w:rPr>
        <w:t>each class of financial assets or financial liabilities. For example, if applicable, an entity discloses information</w:t>
      </w:r>
      <w:r>
        <w:rPr>
          <w:b w:val="0"/>
          <w:sz w:val="18"/>
        </w:rPr>
        <w:t xml:space="preserve"> </w:t>
      </w:r>
      <w:r w:rsidRPr="009B37DA">
        <w:rPr>
          <w:b w:val="0"/>
          <w:sz w:val="18"/>
        </w:rPr>
        <w:t>about the assumptions relating to prepayment rates, rates of estimated credit losses, and interest rates or</w:t>
      </w:r>
      <w:r>
        <w:rPr>
          <w:b w:val="0"/>
          <w:sz w:val="18"/>
        </w:rPr>
        <w:t xml:space="preserve"> </w:t>
      </w:r>
      <w:r w:rsidRPr="009B37DA">
        <w:rPr>
          <w:b w:val="0"/>
          <w:sz w:val="18"/>
        </w:rPr>
        <w:t>discount rates.</w:t>
      </w:r>
      <w:r w:rsidRPr="00C65137">
        <w:rPr>
          <w:b w:val="0"/>
          <w:sz w:val="18"/>
        </w:rPr>
        <w:t xml:space="preserve"> </w:t>
      </w:r>
      <w:r w:rsidRPr="009B37DA">
        <w:rPr>
          <w:rStyle w:val="Reference"/>
          <w:b w:val="0"/>
        </w:rPr>
        <w:t>[</w:t>
      </w:r>
      <w:r w:rsidR="0007383E">
        <w:rPr>
          <w:rStyle w:val="Reference"/>
          <w:b w:val="0"/>
        </w:rPr>
        <w:t>AASB </w:t>
      </w:r>
      <w:r w:rsidRPr="009B37DA">
        <w:rPr>
          <w:rStyle w:val="Reference"/>
          <w:b w:val="0"/>
        </w:rPr>
        <w:t>1060.115]</w:t>
      </w:r>
    </w:p>
    <w:p w14:paraId="1651005A" w14:textId="3F941BFA" w:rsidR="003719CD" w:rsidRPr="001777C5" w:rsidRDefault="003719CD" w:rsidP="002A0038">
      <w:pPr>
        <w:keepNext/>
        <w:spacing w:before="120" w:after="0"/>
        <w:rPr>
          <w:rStyle w:val="Guidance"/>
        </w:rPr>
      </w:pPr>
      <w:r w:rsidRPr="001777C5">
        <w:rPr>
          <w:rStyle w:val="Guidance"/>
          <w:b/>
          <w:bCs/>
        </w:rPr>
        <w:t>Defaults and breaches</w:t>
      </w:r>
      <w:r w:rsidRPr="001777C5">
        <w:rPr>
          <w:rStyle w:val="Guidance"/>
        </w:rPr>
        <w:t xml:space="preserve">: </w:t>
      </w:r>
    </w:p>
    <w:p w14:paraId="452CA875" w14:textId="12D2D867" w:rsidR="00BC3BDB" w:rsidRPr="00BC3BDB" w:rsidRDefault="00BC3BDB" w:rsidP="002A0038">
      <w:pPr>
        <w:spacing w:before="120" w:after="0"/>
        <w:rPr>
          <w:color w:val="4472C4" w:themeColor="accent1"/>
        </w:rPr>
      </w:pPr>
      <w:r w:rsidRPr="00BC3BDB">
        <w:rPr>
          <w:color w:val="4472C4" w:themeColor="accent1"/>
        </w:rPr>
        <w:t xml:space="preserve">For loans payable recognised at the reporting date for which there is a breach of terms or a default of principal, interest, sinking fund or redemption terms that have not been remedied by the reporting date, an entity shall disclose: </w:t>
      </w:r>
    </w:p>
    <w:p w14:paraId="5D477BBA" w14:textId="3DC4AA68" w:rsidR="00BC3BDB" w:rsidRPr="002A0038" w:rsidRDefault="00BC3BDB" w:rsidP="002A0038">
      <w:pPr>
        <w:pStyle w:val="ListBullet"/>
        <w:numPr>
          <w:ilvl w:val="0"/>
          <w:numId w:val="341"/>
        </w:numPr>
        <w:spacing w:after="0"/>
        <w:ind w:left="357" w:hanging="357"/>
        <w:rPr>
          <w:rStyle w:val="Guidance"/>
        </w:rPr>
      </w:pPr>
      <w:r w:rsidRPr="002A0038">
        <w:rPr>
          <w:rStyle w:val="Guidance"/>
        </w:rPr>
        <w:t xml:space="preserve">details of that breach or default </w:t>
      </w:r>
    </w:p>
    <w:p w14:paraId="1A6265A4" w14:textId="3CCA1A18" w:rsidR="00BC3BDB" w:rsidRPr="002A0038" w:rsidRDefault="00BC3BDB" w:rsidP="002A0038">
      <w:pPr>
        <w:pStyle w:val="ListBullet"/>
        <w:numPr>
          <w:ilvl w:val="0"/>
          <w:numId w:val="341"/>
        </w:numPr>
        <w:spacing w:after="0"/>
        <w:ind w:left="357" w:hanging="357"/>
        <w:rPr>
          <w:rStyle w:val="Guidance"/>
        </w:rPr>
      </w:pPr>
      <w:r w:rsidRPr="002A0038">
        <w:rPr>
          <w:rStyle w:val="Guidance"/>
        </w:rPr>
        <w:t>the carrying amount of the related loans payable at the reporting date</w:t>
      </w:r>
    </w:p>
    <w:p w14:paraId="4C53786C" w14:textId="787E77AD" w:rsidR="00BC3BDB" w:rsidRPr="001777C5" w:rsidRDefault="00BC3BDB" w:rsidP="002A0038">
      <w:pPr>
        <w:pStyle w:val="ListBullet"/>
        <w:numPr>
          <w:ilvl w:val="0"/>
          <w:numId w:val="341"/>
        </w:numPr>
        <w:spacing w:after="0"/>
        <w:ind w:left="357" w:hanging="357"/>
        <w:rPr>
          <w:rStyle w:val="Guidance"/>
        </w:rPr>
      </w:pPr>
      <w:r w:rsidRPr="002A0038">
        <w:rPr>
          <w:rStyle w:val="Guidance"/>
        </w:rPr>
        <w:t xml:space="preserve">whether the breach or default was remedied, or the terms of the </w:t>
      </w:r>
      <w:proofErr w:type="gramStart"/>
      <w:r w:rsidRPr="002A0038">
        <w:rPr>
          <w:rStyle w:val="Guidance"/>
        </w:rPr>
        <w:t>loans</w:t>
      </w:r>
      <w:proofErr w:type="gramEnd"/>
      <w:r w:rsidRPr="002A0038">
        <w:rPr>
          <w:rStyle w:val="Guidance"/>
        </w:rPr>
        <w:t xml:space="preserve"> payable were renegotiated, before the financial statements were authorised for issue.</w:t>
      </w:r>
      <w:r w:rsidR="00187562">
        <w:rPr>
          <w:rStyle w:val="Guidance"/>
        </w:rPr>
        <w:t xml:space="preserve"> </w:t>
      </w:r>
      <w:r w:rsidR="00187562" w:rsidRPr="001777C5">
        <w:rPr>
          <w:rStyle w:val="Reference"/>
        </w:rPr>
        <w:t>[</w:t>
      </w:r>
      <w:r w:rsidR="0007383E">
        <w:rPr>
          <w:rStyle w:val="Reference"/>
        </w:rPr>
        <w:t>AASB </w:t>
      </w:r>
      <w:r w:rsidR="00187562">
        <w:rPr>
          <w:rStyle w:val="Reference"/>
        </w:rPr>
        <w:t>1060.118</w:t>
      </w:r>
      <w:r w:rsidR="00187562" w:rsidRPr="001777C5">
        <w:rPr>
          <w:rStyle w:val="Reference"/>
        </w:rPr>
        <w:t>]</w:t>
      </w:r>
    </w:p>
    <w:p w14:paraId="78D6F348" w14:textId="1B429BB5" w:rsidR="00165D8F" w:rsidRPr="00605D0F" w:rsidRDefault="003719CD" w:rsidP="002A0038">
      <w:pPr>
        <w:spacing w:before="120" w:after="0"/>
        <w:rPr>
          <w:rStyle w:val="Guidance"/>
          <w:color w:val="C00000"/>
          <w:sz w:val="16"/>
        </w:rPr>
      </w:pPr>
      <w:r w:rsidRPr="001777C5">
        <w:rPr>
          <w:rStyle w:val="Guidance"/>
          <w:b/>
          <w:bCs/>
        </w:rPr>
        <w:t>Statutory borrowings</w:t>
      </w:r>
      <w:r w:rsidRPr="001777C5">
        <w:rPr>
          <w:rStyle w:val="Guidance"/>
        </w:rPr>
        <w:t xml:space="preserve">: </w:t>
      </w:r>
      <w:r w:rsidR="007667F2">
        <w:rPr>
          <w:rStyle w:val="Guidance"/>
        </w:rPr>
        <w:t>L</w:t>
      </w:r>
      <w:r w:rsidRPr="001777C5">
        <w:rPr>
          <w:rStyle w:val="Guidance"/>
        </w:rPr>
        <w:t xml:space="preserve">iabilities that are not contractual (such as liabilities that arise </w:t>
      </w:r>
      <w:proofErr w:type="gramStart"/>
      <w:r w:rsidRPr="001777C5">
        <w:rPr>
          <w:rStyle w:val="Guidance"/>
        </w:rPr>
        <w:t>as a result of</w:t>
      </w:r>
      <w:proofErr w:type="gramEnd"/>
      <w:r w:rsidRPr="001777C5">
        <w:rPr>
          <w:rStyle w:val="Guidance"/>
        </w:rPr>
        <w:t xml:space="preserve"> statutory requirements), are not financial instruments. Therefore, although these liabilities are </w:t>
      </w:r>
      <w:proofErr w:type="gramStart"/>
      <w:r w:rsidRPr="001777C5">
        <w:rPr>
          <w:rStyle w:val="Guidance"/>
        </w:rPr>
        <w:t>similar to</w:t>
      </w:r>
      <w:proofErr w:type="gramEnd"/>
      <w:r w:rsidRPr="001777C5">
        <w:rPr>
          <w:rStyle w:val="Guidance"/>
        </w:rPr>
        <w:t xml:space="preserve"> financial instruments, they are in fact not in the scope of </w:t>
      </w:r>
      <w:r w:rsidR="0007383E">
        <w:rPr>
          <w:rStyle w:val="Guidance"/>
        </w:rPr>
        <w:t>AASB </w:t>
      </w:r>
      <w:r w:rsidRPr="001777C5">
        <w:rPr>
          <w:rStyle w:val="Guidance"/>
        </w:rPr>
        <w:t xml:space="preserve">7. </w:t>
      </w:r>
      <w:r w:rsidRPr="001777C5">
        <w:rPr>
          <w:rStyle w:val="Reference"/>
        </w:rPr>
        <w:t>[</w:t>
      </w:r>
      <w:r w:rsidR="0007383E">
        <w:rPr>
          <w:rStyle w:val="Reference"/>
        </w:rPr>
        <w:t>AASB </w:t>
      </w:r>
      <w:r w:rsidRPr="001777C5">
        <w:rPr>
          <w:rStyle w:val="Reference"/>
        </w:rPr>
        <w:t>132.AG12]</w:t>
      </w:r>
    </w:p>
    <w:p w14:paraId="057B9571" w14:textId="77777777" w:rsidR="003719CD" w:rsidRPr="001777C5" w:rsidRDefault="003719CD" w:rsidP="007D536F">
      <w:pPr>
        <w:pStyle w:val="GuidanceEnd"/>
        <w:rPr>
          <w:rStyle w:val="Guidance"/>
        </w:rPr>
      </w:pPr>
    </w:p>
    <w:p w14:paraId="7E80354B" w14:textId="77777777" w:rsidR="00DB0380" w:rsidRDefault="003719CD" w:rsidP="00605D0F">
      <w:pPr>
        <w:pStyle w:val="Caption"/>
        <w:pageBreakBefore/>
      </w:pPr>
      <w:r w:rsidRPr="00E10CD7">
        <w:rPr>
          <w:color w:val="auto"/>
        </w:rPr>
        <w:t>Interest expense</w:t>
      </w:r>
    </w:p>
    <w:p w14:paraId="7120BD4F" w14:textId="5F805761" w:rsidR="003719CD" w:rsidRDefault="00605D0F" w:rsidP="00E10CD7">
      <w:pPr>
        <w:pStyle w:val="Caption"/>
        <w:jc w:val="right"/>
      </w:pPr>
      <w:r>
        <w:t xml:space="preserve"> </w:t>
      </w:r>
      <w:r w:rsidR="003719CD">
        <w:t>($ thousand)</w:t>
      </w:r>
    </w:p>
    <w:tbl>
      <w:tblPr>
        <w:tblStyle w:val="DTFTable"/>
        <w:tblW w:w="9639" w:type="dxa"/>
        <w:tblLayout w:type="fixed"/>
        <w:tblLook w:val="0620" w:firstRow="1" w:lastRow="0" w:firstColumn="0" w:lastColumn="0" w:noHBand="1" w:noVBand="1"/>
      </w:tblPr>
      <w:tblGrid>
        <w:gridCol w:w="1349"/>
        <w:gridCol w:w="6558"/>
        <w:gridCol w:w="866"/>
        <w:gridCol w:w="866"/>
      </w:tblGrid>
      <w:tr w:rsidR="00182709" w14:paraId="60EE0965" w14:textId="77777777" w:rsidTr="002A0038">
        <w:trPr>
          <w:cnfStyle w:val="100000000000" w:firstRow="1" w:lastRow="0" w:firstColumn="0" w:lastColumn="0" w:oddVBand="0" w:evenVBand="0" w:oddHBand="0" w:evenHBand="0" w:firstRowFirstColumn="0" w:firstRowLastColumn="0" w:lastRowFirstColumn="0" w:lastRowLastColumn="0"/>
          <w:tblHeader/>
        </w:trPr>
        <w:tc>
          <w:tcPr>
            <w:tcW w:w="1349" w:type="dxa"/>
            <w:tcBorders>
              <w:top w:val="nil"/>
              <w:bottom w:val="nil"/>
            </w:tcBorders>
            <w:shd w:val="clear" w:color="auto" w:fill="FFFFFF" w:themeFill="background1"/>
          </w:tcPr>
          <w:p w14:paraId="139F19E4" w14:textId="77777777" w:rsidR="00182709" w:rsidRDefault="0044097C">
            <w:pPr>
              <w:keepNext/>
              <w:jc w:val="left"/>
            </w:pPr>
            <w:r>
              <w:rPr>
                <w:color w:val="4472C4"/>
                <w:sz w:val="13"/>
              </w:rPr>
              <w:t>Source reference</w:t>
            </w:r>
          </w:p>
        </w:tc>
        <w:tc>
          <w:tcPr>
            <w:tcW w:w="6558" w:type="dxa"/>
          </w:tcPr>
          <w:p w14:paraId="59B0FE18" w14:textId="77777777" w:rsidR="00182709" w:rsidRDefault="00182709">
            <w:pPr>
              <w:keepNext/>
              <w:jc w:val="left"/>
            </w:pPr>
          </w:p>
        </w:tc>
        <w:tc>
          <w:tcPr>
            <w:tcW w:w="866" w:type="dxa"/>
          </w:tcPr>
          <w:p w14:paraId="7610B662" w14:textId="77777777" w:rsidR="00182709" w:rsidRDefault="0044097C">
            <w:pPr>
              <w:keepNext/>
            </w:pPr>
            <w:r>
              <w:t>20X2</w:t>
            </w:r>
          </w:p>
        </w:tc>
        <w:tc>
          <w:tcPr>
            <w:tcW w:w="866" w:type="dxa"/>
          </w:tcPr>
          <w:p w14:paraId="7A31BB5E" w14:textId="77777777" w:rsidR="00182709" w:rsidRDefault="0044097C">
            <w:pPr>
              <w:keepNext/>
            </w:pPr>
            <w:r>
              <w:t>20X1</w:t>
            </w:r>
          </w:p>
        </w:tc>
      </w:tr>
      <w:tr w:rsidR="00461E78" w14:paraId="2F03F5CB" w14:textId="77777777" w:rsidTr="002A0038">
        <w:tc>
          <w:tcPr>
            <w:tcW w:w="1349" w:type="dxa"/>
          </w:tcPr>
          <w:p w14:paraId="26EB5876" w14:textId="77777777" w:rsidR="00461E78" w:rsidRDefault="00461E78" w:rsidP="00461E78">
            <w:pPr>
              <w:jc w:val="left"/>
            </w:pPr>
          </w:p>
        </w:tc>
        <w:tc>
          <w:tcPr>
            <w:tcW w:w="6558" w:type="dxa"/>
          </w:tcPr>
          <w:p w14:paraId="2DAD6881" w14:textId="77777777" w:rsidR="00461E78" w:rsidRDefault="00461E78" w:rsidP="00461E78">
            <w:pPr>
              <w:jc w:val="left"/>
            </w:pPr>
            <w:r>
              <w:t>Interest on government loans</w:t>
            </w:r>
          </w:p>
        </w:tc>
        <w:tc>
          <w:tcPr>
            <w:tcW w:w="866" w:type="dxa"/>
            <w:vAlign w:val="center"/>
          </w:tcPr>
          <w:p w14:paraId="708EFB32" w14:textId="2400296F" w:rsidR="00461E78" w:rsidRDefault="00461E78" w:rsidP="00461E78">
            <w:r>
              <w:rPr>
                <w:rFonts w:ascii="Arial" w:hAnsi="Arial" w:cs="Arial"/>
                <w:color w:val="000000"/>
                <w:szCs w:val="16"/>
              </w:rPr>
              <w:t>1</w:t>
            </w:r>
            <w:r>
              <w:rPr>
                <w:rFonts w:ascii="Arial" w:hAnsi="Arial" w:cs="Arial" w:hint="eastAsia"/>
                <w:color w:val="000000"/>
                <w:szCs w:val="16"/>
                <w:lang w:eastAsia="zh-CN"/>
              </w:rPr>
              <w:t xml:space="preserve"> </w:t>
            </w:r>
            <w:r>
              <w:rPr>
                <w:rFonts w:ascii="Arial" w:hAnsi="Arial" w:cs="Arial"/>
                <w:color w:val="000000"/>
                <w:szCs w:val="16"/>
              </w:rPr>
              <w:t>0</w:t>
            </w:r>
            <w:r w:rsidR="00D0361B">
              <w:rPr>
                <w:rFonts w:ascii="Arial" w:hAnsi="Arial" w:cs="Arial"/>
                <w:color w:val="000000"/>
                <w:szCs w:val="16"/>
              </w:rPr>
              <w:t>0</w:t>
            </w:r>
            <w:r>
              <w:rPr>
                <w:rFonts w:ascii="Arial" w:hAnsi="Arial" w:cs="Arial"/>
                <w:color w:val="000000"/>
                <w:szCs w:val="16"/>
              </w:rPr>
              <w:t>5</w:t>
            </w:r>
          </w:p>
        </w:tc>
        <w:tc>
          <w:tcPr>
            <w:tcW w:w="866" w:type="dxa"/>
            <w:vAlign w:val="center"/>
          </w:tcPr>
          <w:p w14:paraId="3847A14E" w14:textId="35424D02" w:rsidR="00461E78" w:rsidRDefault="00D0361B" w:rsidP="00461E78">
            <w:r>
              <w:rPr>
                <w:rFonts w:ascii="Arial" w:hAnsi="Arial" w:cs="Arial"/>
                <w:color w:val="000000"/>
                <w:szCs w:val="16"/>
              </w:rPr>
              <w:t>6</w:t>
            </w:r>
            <w:r w:rsidR="00461E78">
              <w:rPr>
                <w:rFonts w:ascii="Arial" w:hAnsi="Arial" w:cs="Arial"/>
                <w:color w:val="000000"/>
                <w:szCs w:val="16"/>
              </w:rPr>
              <w:t>50</w:t>
            </w:r>
          </w:p>
        </w:tc>
      </w:tr>
      <w:tr w:rsidR="00461E78" w14:paraId="0A450373" w14:textId="77777777" w:rsidTr="002A0038">
        <w:tc>
          <w:tcPr>
            <w:tcW w:w="1349" w:type="dxa"/>
          </w:tcPr>
          <w:p w14:paraId="45F93906" w14:textId="77777777" w:rsidR="00461E78" w:rsidRDefault="00461E78" w:rsidP="00461E78">
            <w:pPr>
              <w:jc w:val="left"/>
            </w:pPr>
          </w:p>
        </w:tc>
        <w:tc>
          <w:tcPr>
            <w:tcW w:w="6558" w:type="dxa"/>
          </w:tcPr>
          <w:p w14:paraId="050D7193" w14:textId="2AA74EE8" w:rsidR="00461E78" w:rsidRDefault="00461E78" w:rsidP="00461E78">
            <w:pPr>
              <w:jc w:val="left"/>
            </w:pPr>
            <w:r>
              <w:t xml:space="preserve">Interest on leases liabilities </w:t>
            </w:r>
          </w:p>
        </w:tc>
        <w:tc>
          <w:tcPr>
            <w:tcW w:w="866" w:type="dxa"/>
            <w:vAlign w:val="center"/>
          </w:tcPr>
          <w:p w14:paraId="6FCAD86F" w14:textId="19079444" w:rsidR="00461E78" w:rsidRDefault="00D0361B" w:rsidP="00461E78">
            <w:r>
              <w:rPr>
                <w:rFonts w:ascii="Arial" w:hAnsi="Arial" w:cs="Arial"/>
                <w:color w:val="000000"/>
                <w:szCs w:val="16"/>
              </w:rPr>
              <w:t>30</w:t>
            </w:r>
            <w:r w:rsidR="00461E78">
              <w:rPr>
                <w:rFonts w:ascii="Arial" w:hAnsi="Arial" w:cs="Arial"/>
                <w:color w:val="000000"/>
                <w:szCs w:val="16"/>
              </w:rPr>
              <w:t>0</w:t>
            </w:r>
          </w:p>
        </w:tc>
        <w:tc>
          <w:tcPr>
            <w:tcW w:w="866" w:type="dxa"/>
            <w:vAlign w:val="center"/>
          </w:tcPr>
          <w:p w14:paraId="53DE17D4" w14:textId="52CFAAE0" w:rsidR="00461E78" w:rsidRDefault="00D0361B" w:rsidP="00461E78">
            <w:r>
              <w:rPr>
                <w:rFonts w:ascii="Arial" w:hAnsi="Arial" w:cs="Arial"/>
                <w:color w:val="000000"/>
                <w:szCs w:val="16"/>
              </w:rPr>
              <w:t>4</w:t>
            </w:r>
            <w:r w:rsidR="00461E78">
              <w:rPr>
                <w:rFonts w:ascii="Arial" w:hAnsi="Arial" w:cs="Arial"/>
                <w:color w:val="000000"/>
                <w:szCs w:val="16"/>
              </w:rPr>
              <w:t>60</w:t>
            </w:r>
          </w:p>
        </w:tc>
      </w:tr>
      <w:tr w:rsidR="00DB0380" w14:paraId="3F12BE9C" w14:textId="77777777" w:rsidTr="002A0038">
        <w:tc>
          <w:tcPr>
            <w:tcW w:w="1349" w:type="dxa"/>
          </w:tcPr>
          <w:p w14:paraId="01B97C7D" w14:textId="77777777" w:rsidR="00DB0380" w:rsidRDefault="00DB0380" w:rsidP="00461E78"/>
        </w:tc>
        <w:tc>
          <w:tcPr>
            <w:tcW w:w="6558" w:type="dxa"/>
          </w:tcPr>
          <w:p w14:paraId="43E9738B" w14:textId="3BD23903" w:rsidR="00DB0380" w:rsidRDefault="00DB0380" w:rsidP="00E10CD7">
            <w:pPr>
              <w:jc w:val="left"/>
            </w:pPr>
            <w:r>
              <w:t>Other expense</w:t>
            </w:r>
          </w:p>
        </w:tc>
        <w:tc>
          <w:tcPr>
            <w:tcW w:w="866" w:type="dxa"/>
            <w:vAlign w:val="center"/>
          </w:tcPr>
          <w:p w14:paraId="6E0274CF" w14:textId="55DB6F56" w:rsidR="00DB0380" w:rsidRDefault="00D0361B" w:rsidP="00461E78">
            <w:pPr>
              <w:rPr>
                <w:rFonts w:ascii="Arial" w:hAnsi="Arial" w:cs="Arial"/>
                <w:color w:val="000000"/>
                <w:szCs w:val="16"/>
              </w:rPr>
            </w:pPr>
            <w:r>
              <w:rPr>
                <w:rFonts w:ascii="Arial" w:hAnsi="Arial" w:cs="Arial"/>
                <w:color w:val="000000"/>
                <w:szCs w:val="16"/>
              </w:rPr>
              <w:t>180</w:t>
            </w:r>
          </w:p>
        </w:tc>
        <w:tc>
          <w:tcPr>
            <w:tcW w:w="866" w:type="dxa"/>
            <w:vAlign w:val="center"/>
          </w:tcPr>
          <w:p w14:paraId="6F482DD2" w14:textId="0198BE14" w:rsidR="00DB0380" w:rsidRDefault="00D0361B" w:rsidP="00461E78">
            <w:pPr>
              <w:rPr>
                <w:rFonts w:ascii="Arial" w:hAnsi="Arial" w:cs="Arial"/>
                <w:color w:val="000000"/>
                <w:szCs w:val="16"/>
              </w:rPr>
            </w:pPr>
            <w:r>
              <w:rPr>
                <w:rFonts w:ascii="Arial" w:hAnsi="Arial" w:cs="Arial"/>
                <w:color w:val="000000"/>
                <w:szCs w:val="16"/>
              </w:rPr>
              <w:t>200</w:t>
            </w:r>
          </w:p>
        </w:tc>
      </w:tr>
      <w:tr w:rsidR="00461E78" w14:paraId="6B43D679" w14:textId="77777777" w:rsidTr="002A0038">
        <w:tc>
          <w:tcPr>
            <w:tcW w:w="1349" w:type="dxa"/>
            <w:tcBorders>
              <w:bottom w:val="nil"/>
            </w:tcBorders>
          </w:tcPr>
          <w:p w14:paraId="38E1A1E9" w14:textId="0DD7CA8D" w:rsidR="00461E78" w:rsidRDefault="0007383E" w:rsidP="00461E78">
            <w:pPr>
              <w:jc w:val="left"/>
            </w:pPr>
            <w:r>
              <w:rPr>
                <w:color w:val="4472C4"/>
                <w:sz w:val="13"/>
              </w:rPr>
              <w:t>AASB </w:t>
            </w:r>
            <w:r w:rsidR="00461E78">
              <w:rPr>
                <w:color w:val="4472C4"/>
                <w:sz w:val="13"/>
              </w:rPr>
              <w:t>1060.119</w:t>
            </w:r>
          </w:p>
        </w:tc>
        <w:tc>
          <w:tcPr>
            <w:tcW w:w="6558" w:type="dxa"/>
          </w:tcPr>
          <w:p w14:paraId="430D4335" w14:textId="77777777" w:rsidR="00461E78" w:rsidRDefault="00461E78" w:rsidP="00461E78">
            <w:pPr>
              <w:jc w:val="left"/>
            </w:pPr>
            <w:r>
              <w:rPr>
                <w:b/>
              </w:rPr>
              <w:t>Total interest expense</w:t>
            </w:r>
          </w:p>
        </w:tc>
        <w:tc>
          <w:tcPr>
            <w:tcW w:w="866" w:type="dxa"/>
            <w:vAlign w:val="center"/>
          </w:tcPr>
          <w:p w14:paraId="6ED820BE" w14:textId="5DD06345" w:rsidR="00461E78" w:rsidRDefault="00461E78" w:rsidP="00461E78">
            <w:r>
              <w:rPr>
                <w:rFonts w:ascii="Arial" w:hAnsi="Arial" w:cs="Arial"/>
                <w:b/>
                <w:bCs/>
                <w:color w:val="000000"/>
                <w:szCs w:val="16"/>
              </w:rPr>
              <w:t>1</w:t>
            </w:r>
            <w:r>
              <w:rPr>
                <w:rFonts w:ascii="Arial" w:hAnsi="Arial" w:cs="Arial" w:hint="eastAsia"/>
                <w:b/>
                <w:bCs/>
                <w:color w:val="000000"/>
                <w:szCs w:val="16"/>
                <w:lang w:eastAsia="zh-CN"/>
              </w:rPr>
              <w:t xml:space="preserve"> </w:t>
            </w:r>
            <w:r>
              <w:rPr>
                <w:rFonts w:ascii="Arial" w:hAnsi="Arial" w:cs="Arial"/>
                <w:b/>
                <w:bCs/>
                <w:color w:val="000000"/>
                <w:szCs w:val="16"/>
              </w:rPr>
              <w:t>485</w:t>
            </w:r>
          </w:p>
        </w:tc>
        <w:tc>
          <w:tcPr>
            <w:tcW w:w="866" w:type="dxa"/>
            <w:vAlign w:val="center"/>
          </w:tcPr>
          <w:p w14:paraId="746D06B7" w14:textId="1E7D4641" w:rsidR="00461E78" w:rsidRDefault="00461E78" w:rsidP="00461E78">
            <w:r>
              <w:rPr>
                <w:rFonts w:ascii="Arial" w:hAnsi="Arial" w:cs="Arial"/>
                <w:b/>
                <w:bCs/>
                <w:color w:val="000000"/>
                <w:szCs w:val="16"/>
              </w:rPr>
              <w:t>1</w:t>
            </w:r>
            <w:r>
              <w:rPr>
                <w:rFonts w:ascii="Arial" w:hAnsi="Arial" w:cs="Arial" w:hint="eastAsia"/>
                <w:b/>
                <w:bCs/>
                <w:color w:val="000000"/>
                <w:szCs w:val="16"/>
                <w:lang w:eastAsia="zh-CN"/>
              </w:rPr>
              <w:t xml:space="preserve"> </w:t>
            </w:r>
            <w:r>
              <w:rPr>
                <w:rFonts w:ascii="Arial" w:hAnsi="Arial" w:cs="Arial"/>
                <w:b/>
                <w:bCs/>
                <w:color w:val="000000"/>
                <w:szCs w:val="16"/>
              </w:rPr>
              <w:t>310</w:t>
            </w:r>
          </w:p>
        </w:tc>
      </w:tr>
    </w:tbl>
    <w:p w14:paraId="5B878A5F" w14:textId="630E64F4" w:rsidR="003719CD" w:rsidRDefault="003719CD" w:rsidP="00DC39DE">
      <w:r>
        <w:t>‘Interest expense’ includes costs incurred in connection with the borrowing of funds and includes interest on bank overdrafts and short-term and long-term borrowings</w:t>
      </w:r>
      <w:r w:rsidR="00AD23FE">
        <w:t xml:space="preserve">, </w:t>
      </w:r>
      <w:r>
        <w:t>interest component of lease repayments and the increase in financial liabilities and non-employee provisions due to the unwinding of discounts to reflect the passage of time.</w:t>
      </w:r>
      <w:r w:rsidR="00950E27" w:rsidRPr="00950E27">
        <w:rPr>
          <w:rStyle w:val="Reference"/>
        </w:rPr>
        <w:t xml:space="preserve"> </w:t>
      </w:r>
      <w:r w:rsidR="00950E27" w:rsidRPr="00056098">
        <w:rPr>
          <w:rStyle w:val="Reference"/>
        </w:rPr>
        <w:t>[</w:t>
      </w:r>
      <w:r w:rsidR="0007383E">
        <w:rPr>
          <w:rStyle w:val="Reference"/>
        </w:rPr>
        <w:t>AASB </w:t>
      </w:r>
      <w:r w:rsidR="00950E27">
        <w:rPr>
          <w:rStyle w:val="Reference"/>
        </w:rPr>
        <w:t>1060.112</w:t>
      </w:r>
      <w:r w:rsidR="00950E27" w:rsidRPr="00056098">
        <w:rPr>
          <w:rStyle w:val="Reference"/>
        </w:rPr>
        <w:t>]</w:t>
      </w:r>
    </w:p>
    <w:p w14:paraId="79D45425" w14:textId="049E2934" w:rsidR="003719CD" w:rsidRDefault="003719CD" w:rsidP="00DC39DE">
      <w:r>
        <w:t xml:space="preserve">Interest expense is recognised in the period in which it is incurred. </w:t>
      </w:r>
      <w:r w:rsidRPr="001777C5">
        <w:rPr>
          <w:rStyle w:val="Reference"/>
        </w:rPr>
        <w:t>[</w:t>
      </w:r>
      <w:r w:rsidR="0007383E">
        <w:rPr>
          <w:rStyle w:val="Reference"/>
        </w:rPr>
        <w:t>AASB </w:t>
      </w:r>
      <w:r w:rsidRPr="001777C5">
        <w:rPr>
          <w:rStyle w:val="Reference"/>
        </w:rPr>
        <w:t>123.8 and 123</w:t>
      </w:r>
      <w:r w:rsidR="004634A1">
        <w:rPr>
          <w:rStyle w:val="Reference"/>
          <w:lang w:eastAsia="zh-CN"/>
        </w:rPr>
        <w:t xml:space="preserve">; </w:t>
      </w:r>
      <w:r w:rsidR="0007383E">
        <w:rPr>
          <w:rStyle w:val="Reference"/>
        </w:rPr>
        <w:t>AASB </w:t>
      </w:r>
      <w:r w:rsidR="00950E27">
        <w:rPr>
          <w:rStyle w:val="Reference"/>
        </w:rPr>
        <w:t>1060.112</w:t>
      </w:r>
      <w:r w:rsidR="00950E27" w:rsidRPr="00056098">
        <w:rPr>
          <w:rStyle w:val="Reference"/>
        </w:rPr>
        <w:t>]</w:t>
      </w:r>
    </w:p>
    <w:p w14:paraId="665A3C60" w14:textId="32980780" w:rsidR="003719CD" w:rsidRPr="00823120" w:rsidRDefault="007837DB" w:rsidP="002A0038">
      <w:pPr>
        <w:rPr>
          <w:rStyle w:val="Guidance"/>
        </w:rPr>
      </w:pPr>
      <w:r>
        <w:t>TV</w:t>
      </w:r>
      <w:r w:rsidR="003719CD">
        <w:t xml:space="preserve"> recognises borrowing costs immediately as an expense, even where they are directly attributable to the acquisition, construction or production of a qualifying asset. </w:t>
      </w:r>
      <w:r w:rsidR="003719CD" w:rsidRPr="001777C5">
        <w:rPr>
          <w:rStyle w:val="Reference"/>
        </w:rPr>
        <w:t>[</w:t>
      </w:r>
      <w:r w:rsidR="0007383E">
        <w:rPr>
          <w:rStyle w:val="Reference"/>
        </w:rPr>
        <w:t>AASB </w:t>
      </w:r>
      <w:r w:rsidR="003719CD" w:rsidRPr="001777C5">
        <w:rPr>
          <w:rStyle w:val="Reference"/>
        </w:rPr>
        <w:t>123.Aus1.0, Aus8.1, FRD 105</w:t>
      </w:r>
      <w:r w:rsidR="00950E27">
        <w:rPr>
          <w:rStyle w:val="Reference"/>
          <w:rFonts w:hint="eastAsia"/>
          <w:lang w:eastAsia="zh-CN"/>
        </w:rPr>
        <w:t xml:space="preserve">; </w:t>
      </w:r>
      <w:r w:rsidR="0007383E">
        <w:rPr>
          <w:rStyle w:val="Reference"/>
        </w:rPr>
        <w:t>AASB </w:t>
      </w:r>
      <w:r w:rsidR="00950E27">
        <w:rPr>
          <w:rStyle w:val="Reference"/>
        </w:rPr>
        <w:t>1060.112</w:t>
      </w:r>
      <w:r w:rsidR="003719CD" w:rsidRPr="001777C5">
        <w:rPr>
          <w:rStyle w:val="Reference"/>
        </w:rPr>
        <w:t>]</w:t>
      </w:r>
    </w:p>
    <w:p w14:paraId="2ECB214B" w14:textId="77777777" w:rsidR="003719CD" w:rsidRDefault="003719CD" w:rsidP="00A80494">
      <w:pPr>
        <w:pStyle w:val="Heading2numbered"/>
      </w:pPr>
      <w:bookmarkStart w:id="3751" w:name="_Toc96704975"/>
      <w:bookmarkStart w:id="3752" w:name="_Toc130225984"/>
      <w:bookmarkStart w:id="3753" w:name="_Toc64983168"/>
      <w:bookmarkStart w:id="3754" w:name="_Toc179813130"/>
      <w:bookmarkStart w:id="3755" w:name="_Toc179818830"/>
      <w:bookmarkStart w:id="3756" w:name="_Toc179824530"/>
      <w:bookmarkStart w:id="3757" w:name="_Toc179830195"/>
      <w:bookmarkStart w:id="3758" w:name="_Toc179861725"/>
      <w:bookmarkStart w:id="3759" w:name="_Toc179869036"/>
      <w:bookmarkStart w:id="3760" w:name="_Toc179873429"/>
      <w:bookmarkStart w:id="3761" w:name="_Toc179877822"/>
      <w:bookmarkStart w:id="3762" w:name="_Toc179880323"/>
      <w:bookmarkStart w:id="3763" w:name="_Toc190333174"/>
      <w:bookmarkStart w:id="3764" w:name="_Toc190340940"/>
      <w:r>
        <w:t>Leases</w:t>
      </w:r>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p>
    <w:p w14:paraId="6E298036" w14:textId="73347142" w:rsidR="009B2925" w:rsidRPr="00C823E8" w:rsidRDefault="00C823E8" w:rsidP="00E10CD7">
      <w:pPr>
        <w:pStyle w:val="Heading3numbered"/>
      </w:pPr>
      <w:r w:rsidRPr="00E10CD7">
        <w:t xml:space="preserve">Right-of-use </w:t>
      </w:r>
      <w:r w:rsidR="00056616" w:rsidRPr="00E10CD7">
        <w:t>assets</w:t>
      </w:r>
    </w:p>
    <w:p w14:paraId="7C136BF8" w14:textId="62BDCD15" w:rsidR="009B2925" w:rsidRDefault="009B2925" w:rsidP="009B2925">
      <w:r>
        <w:t>TV</w:t>
      </w:r>
      <w:r w:rsidDel="00606E29">
        <w:t xml:space="preserve"> </w:t>
      </w:r>
      <w:r>
        <w:t xml:space="preserve">leases various properties, IT equipment and motor vehicles. The lease contracts are typically made for fixed periods of 1-10 years with an option to renew the lease after that date. Lease payments for properties are renegotiated every five years to reflect market rentals. </w:t>
      </w:r>
      <w:r w:rsidRPr="00823120">
        <w:rPr>
          <w:rStyle w:val="Reference"/>
        </w:rPr>
        <w:t>[</w:t>
      </w:r>
      <w:r w:rsidR="0007383E">
        <w:rPr>
          <w:rStyle w:val="Reference"/>
        </w:rPr>
        <w:t>AASB </w:t>
      </w:r>
      <w:r>
        <w:rPr>
          <w:rStyle w:val="Reference"/>
        </w:rPr>
        <w:t>1060.144(c)</w:t>
      </w:r>
      <w:r w:rsidRPr="00823120">
        <w:rPr>
          <w:rStyle w:val="Reference"/>
        </w:rPr>
        <w:t>]</w:t>
      </w:r>
    </w:p>
    <w:p w14:paraId="12DE853B" w14:textId="0EE21CA2" w:rsidR="009B2925" w:rsidRPr="00E10CD7" w:rsidRDefault="009B2925" w:rsidP="00DC39DE">
      <w:pPr>
        <w:rPr>
          <w:color w:val="C00000"/>
          <w:sz w:val="16"/>
        </w:rPr>
      </w:pPr>
      <w:r>
        <w:t>Leases of IT equipment are either short-term and or/leases of low-value items</w:t>
      </w:r>
      <w:r>
        <w:rPr>
          <w:rFonts w:hint="eastAsia"/>
          <w:lang w:eastAsia="zh-CN"/>
        </w:rPr>
        <w:t xml:space="preserve"> (see </w:t>
      </w:r>
      <w:r w:rsidR="00BA03D1">
        <w:rPr>
          <w:lang w:eastAsia="zh-CN"/>
        </w:rPr>
        <w:t>N</w:t>
      </w:r>
      <w:r>
        <w:rPr>
          <w:rFonts w:hint="eastAsia"/>
          <w:lang w:eastAsia="zh-CN"/>
        </w:rPr>
        <w:t>ote 6.2.2 for lease expenses)</w:t>
      </w:r>
      <w:r>
        <w:t xml:space="preserve">. TV has elected not to recognise right-of-use assets and lease liabilities for these leases. </w:t>
      </w:r>
      <w:r w:rsidRPr="00823120">
        <w:rPr>
          <w:rStyle w:val="Reference"/>
        </w:rPr>
        <w:t>[</w:t>
      </w:r>
      <w:r w:rsidR="0007383E">
        <w:rPr>
          <w:rStyle w:val="Reference"/>
        </w:rPr>
        <w:t>AASB </w:t>
      </w:r>
      <w:r w:rsidRPr="00823120">
        <w:rPr>
          <w:rStyle w:val="Reference"/>
        </w:rPr>
        <w:t>16.60]</w:t>
      </w:r>
    </w:p>
    <w:p w14:paraId="120E6086" w14:textId="777EEEAF" w:rsidR="005D5F44" w:rsidRDefault="003719CD" w:rsidP="00DC39DE">
      <w:r>
        <w:t xml:space="preserve">Right-of-use assets are </w:t>
      </w:r>
      <w:r w:rsidRPr="00706101">
        <w:t xml:space="preserve">presented in </w:t>
      </w:r>
      <w:r w:rsidR="00BA03D1">
        <w:t>N</w:t>
      </w:r>
      <w:r w:rsidRPr="00706101">
        <w:t xml:space="preserve">ote </w:t>
      </w:r>
      <w:r w:rsidR="00DF2374" w:rsidRPr="002A0038">
        <w:rPr>
          <w:lang w:eastAsia="zh-CN"/>
        </w:rPr>
        <w:t>4</w:t>
      </w:r>
      <w:r w:rsidRPr="00706101">
        <w:t>.1.1</w:t>
      </w:r>
      <w:r w:rsidR="00F363B8">
        <w:t>.</w:t>
      </w:r>
      <w:r w:rsidR="00180158">
        <w:t xml:space="preserve"> </w:t>
      </w:r>
      <w:r w:rsidR="00180158" w:rsidRPr="00823120">
        <w:rPr>
          <w:rStyle w:val="Reference"/>
        </w:rPr>
        <w:t>[</w:t>
      </w:r>
      <w:r w:rsidR="0007383E">
        <w:rPr>
          <w:rStyle w:val="Reference"/>
        </w:rPr>
        <w:t>AASB </w:t>
      </w:r>
      <w:r w:rsidR="00180158" w:rsidRPr="00823120">
        <w:rPr>
          <w:rStyle w:val="Reference"/>
        </w:rPr>
        <w:t>1</w:t>
      </w:r>
      <w:r w:rsidR="00180158">
        <w:rPr>
          <w:rStyle w:val="Reference"/>
        </w:rPr>
        <w:t>060.144 (a)</w:t>
      </w:r>
      <w:r w:rsidR="00180158" w:rsidRPr="00823120">
        <w:rPr>
          <w:rStyle w:val="Reference"/>
        </w:rPr>
        <w:t>]</w:t>
      </w:r>
    </w:p>
    <w:p w14:paraId="402AC0A5" w14:textId="5B97A67C" w:rsidR="00693BE3" w:rsidRPr="00E10CD7" w:rsidRDefault="00EE3A44" w:rsidP="00E10CD7">
      <w:pPr>
        <w:rPr>
          <w:bCs/>
        </w:rPr>
      </w:pPr>
      <w:r>
        <w:rPr>
          <w:b/>
          <w:bCs/>
        </w:rPr>
        <w:t>Significantly b</w:t>
      </w:r>
      <w:r w:rsidR="00693BE3" w:rsidRPr="00E10CD7">
        <w:rPr>
          <w:b/>
          <w:bCs/>
        </w:rPr>
        <w:t>elow market lease</w:t>
      </w:r>
      <w:r>
        <w:rPr>
          <w:b/>
          <w:bCs/>
        </w:rPr>
        <w:t>s</w:t>
      </w:r>
    </w:p>
    <w:p w14:paraId="344AF081" w14:textId="47846CAA" w:rsidR="00693BE3" w:rsidRDefault="00693BE3" w:rsidP="00DC39DE">
      <w:pPr>
        <w:rPr>
          <w:rStyle w:val="Reference"/>
        </w:rPr>
      </w:pPr>
      <w:r>
        <w:t>Right-of-use assets under leases at significantly below-market terms and conditions that are entered into principally to enable TV</w:t>
      </w:r>
      <w:r w:rsidDel="00D56657">
        <w:t xml:space="preserve"> </w:t>
      </w:r>
      <w:r>
        <w:t xml:space="preserve">to further its objectives, are initially and subsequently measured at cost. </w:t>
      </w:r>
      <w:r w:rsidRPr="00542015">
        <w:rPr>
          <w:rStyle w:val="Reference"/>
        </w:rPr>
        <w:t>[</w:t>
      </w:r>
      <w:r w:rsidR="0007383E">
        <w:rPr>
          <w:rStyle w:val="Reference"/>
        </w:rPr>
        <w:t>AASB </w:t>
      </w:r>
      <w:proofErr w:type="gramStart"/>
      <w:r w:rsidRPr="00542015">
        <w:rPr>
          <w:rStyle w:val="Reference"/>
        </w:rPr>
        <w:t>16.Aus</w:t>
      </w:r>
      <w:proofErr w:type="gramEnd"/>
      <w:r w:rsidRPr="00542015">
        <w:rPr>
          <w:rStyle w:val="Reference"/>
        </w:rPr>
        <w:t xml:space="preserve">25.1, </w:t>
      </w:r>
      <w:r w:rsidR="0007383E">
        <w:rPr>
          <w:rStyle w:val="Reference"/>
        </w:rPr>
        <w:t>AASB </w:t>
      </w:r>
      <w:proofErr w:type="gramStart"/>
      <w:r w:rsidRPr="00542015">
        <w:rPr>
          <w:rStyle w:val="Reference"/>
        </w:rPr>
        <w:t>16.Aus</w:t>
      </w:r>
      <w:proofErr w:type="gramEnd"/>
      <w:r w:rsidRPr="00542015">
        <w:rPr>
          <w:rStyle w:val="Reference"/>
        </w:rPr>
        <w:t>35.1, FRD</w:t>
      </w:r>
      <w:r w:rsidR="004B05AB">
        <w:rPr>
          <w:rStyle w:val="Reference"/>
        </w:rPr>
        <w:t xml:space="preserve"> </w:t>
      </w:r>
      <w:r>
        <w:rPr>
          <w:rStyle w:val="Reference"/>
        </w:rPr>
        <w:t>104</w:t>
      </w:r>
      <w:r w:rsidRPr="00542015">
        <w:rPr>
          <w:rStyle w:val="Reference"/>
        </w:rPr>
        <w:t>]</w:t>
      </w:r>
    </w:p>
    <w:p w14:paraId="42A51211" w14:textId="739A471E" w:rsidR="00B1608E" w:rsidRPr="00E10CD7" w:rsidRDefault="00B1608E" w:rsidP="00DC39DE">
      <w:pPr>
        <w:rPr>
          <w:color w:val="C00000"/>
          <w:sz w:val="16"/>
        </w:rPr>
      </w:pPr>
      <w:r>
        <w:t>TV</w:t>
      </w:r>
      <w:r w:rsidDel="004A6D5C">
        <w:t xml:space="preserve"> </w:t>
      </w:r>
      <w:proofErr w:type="gramStart"/>
      <w:r>
        <w:t>entered into</w:t>
      </w:r>
      <w:proofErr w:type="gramEnd"/>
      <w:r>
        <w:t xml:space="preserve"> a 30-year lease for the use of a facility to provide community services. The lease contract specifies lease payments of $100 per annum. The leased premises must be used by </w:t>
      </w:r>
      <w:r w:rsidRPr="004A6D5C">
        <w:t>TV</w:t>
      </w:r>
      <w:r w:rsidRPr="004A6D5C" w:rsidDel="004A6D5C">
        <w:t xml:space="preserve"> </w:t>
      </w:r>
      <w:r>
        <w:t>for the provision of IT classes to the community. This building accounts for a small portion of similar assets used by TV</w:t>
      </w:r>
      <w:r w:rsidDel="004A6D5C">
        <w:t xml:space="preserve"> </w:t>
      </w:r>
      <w:r>
        <w:t>is using for the purpose of providing services to the community and therefore it does not have a significant impact on TV</w:t>
      </w:r>
      <w:r w:rsidDel="00CE43B7">
        <w:t xml:space="preserve"> </w:t>
      </w:r>
      <w:r>
        <w:t xml:space="preserve">’s operations. </w:t>
      </w:r>
      <w:r w:rsidRPr="00823120">
        <w:rPr>
          <w:rStyle w:val="Reference"/>
        </w:rPr>
        <w:t>[</w:t>
      </w:r>
      <w:r w:rsidR="0007383E">
        <w:rPr>
          <w:rStyle w:val="Reference"/>
        </w:rPr>
        <w:t>AASB </w:t>
      </w:r>
      <w:r w:rsidRPr="00823120">
        <w:rPr>
          <w:rStyle w:val="Reference"/>
        </w:rPr>
        <w:t>16.</w:t>
      </w:r>
      <w:r>
        <w:rPr>
          <w:rStyle w:val="Reference"/>
        </w:rPr>
        <w:t xml:space="preserve"> </w:t>
      </w:r>
      <w:r w:rsidRPr="00823120">
        <w:rPr>
          <w:rStyle w:val="Reference"/>
        </w:rPr>
        <w:t xml:space="preserve">Aus59.1 and </w:t>
      </w:r>
      <w:proofErr w:type="gramStart"/>
      <w:r w:rsidRPr="00823120">
        <w:rPr>
          <w:rStyle w:val="Reference"/>
        </w:rPr>
        <w:t>16.Aus</w:t>
      </w:r>
      <w:proofErr w:type="gramEnd"/>
      <w:r w:rsidRPr="00823120">
        <w:rPr>
          <w:rStyle w:val="Reference"/>
        </w:rPr>
        <w:t>59.2</w:t>
      </w:r>
      <w:r>
        <w:rPr>
          <w:rStyle w:val="Reference"/>
        </w:rPr>
        <w:t xml:space="preserve">; </w:t>
      </w:r>
      <w:r w:rsidR="0007383E">
        <w:rPr>
          <w:rStyle w:val="Reference"/>
        </w:rPr>
        <w:t>AASB </w:t>
      </w:r>
      <w:r>
        <w:rPr>
          <w:rStyle w:val="Reference"/>
        </w:rPr>
        <w:t>1060.144(c)</w:t>
      </w:r>
      <w:r w:rsidRPr="00823120">
        <w:rPr>
          <w:rStyle w:val="Reference"/>
        </w:rPr>
        <w:t>]</w:t>
      </w:r>
      <w:r>
        <w:rPr>
          <w:rStyle w:val="Reference"/>
        </w:rPr>
        <w:t>;151;152</w:t>
      </w:r>
      <w:r w:rsidRPr="00823120">
        <w:rPr>
          <w:rStyle w:val="Reference"/>
        </w:rPr>
        <w:t>]</w:t>
      </w:r>
    </w:p>
    <w:p w14:paraId="01EDED1E" w14:textId="495B4B69" w:rsidR="003719CD" w:rsidRDefault="00F90FC2" w:rsidP="00D1027E">
      <w:pPr>
        <w:pStyle w:val="Heading3numbered"/>
      </w:pPr>
      <w:bookmarkStart w:id="3765" w:name="_Toc179813134"/>
      <w:bookmarkStart w:id="3766" w:name="_Toc179818834"/>
      <w:bookmarkStart w:id="3767" w:name="_Toc179824534"/>
      <w:bookmarkStart w:id="3768" w:name="_Toc179830199"/>
      <w:bookmarkStart w:id="3769" w:name="_Toc179861729"/>
      <w:r>
        <w:t>Expense</w:t>
      </w:r>
      <w:r w:rsidR="003719CD">
        <w:t xml:space="preserve"> recognised </w:t>
      </w:r>
      <w:r>
        <w:t>for short-term leases and leases of low-value assets</w:t>
      </w:r>
      <w:bookmarkEnd w:id="3765"/>
      <w:bookmarkEnd w:id="3766"/>
      <w:bookmarkEnd w:id="3767"/>
      <w:bookmarkEnd w:id="3768"/>
      <w:bookmarkEnd w:id="3769"/>
    </w:p>
    <w:p w14:paraId="1FAE423C" w14:textId="2CD4F0A9" w:rsidR="003719CD" w:rsidRDefault="003719CD" w:rsidP="00DC39DE">
      <w:r>
        <w:t>The following amounts are recognised</w:t>
      </w:r>
      <w:r w:rsidR="00F90FC2">
        <w:t xml:space="preserve"> as expense </w:t>
      </w:r>
      <w:r>
        <w:t xml:space="preserve">relating to </w:t>
      </w:r>
      <w:r w:rsidR="00C95A3C">
        <w:t>short-term leases and leases of low-value assets</w:t>
      </w:r>
      <w:r>
        <w:t>:</w:t>
      </w:r>
    </w:p>
    <w:p w14:paraId="7B2FC353" w14:textId="77777777" w:rsidR="003719CD" w:rsidRDefault="003719CD" w:rsidP="007D536F">
      <w:pPr>
        <w:pStyle w:val="TableUnits"/>
      </w:pPr>
      <w:r>
        <w:t>($ thousand)</w:t>
      </w:r>
    </w:p>
    <w:tbl>
      <w:tblPr>
        <w:tblStyle w:val="DTFTable"/>
        <w:tblW w:w="9639" w:type="dxa"/>
        <w:tblLayout w:type="fixed"/>
        <w:tblLook w:val="0620" w:firstRow="1" w:lastRow="0" w:firstColumn="0" w:lastColumn="0" w:noHBand="1" w:noVBand="1"/>
      </w:tblPr>
      <w:tblGrid>
        <w:gridCol w:w="1349"/>
        <w:gridCol w:w="6558"/>
        <w:gridCol w:w="866"/>
        <w:gridCol w:w="866"/>
      </w:tblGrid>
      <w:tr w:rsidR="003C49FA" w14:paraId="03C9BFD5" w14:textId="77777777" w:rsidTr="003C49FA">
        <w:trPr>
          <w:cnfStyle w:val="100000000000" w:firstRow="1" w:lastRow="0" w:firstColumn="0" w:lastColumn="0" w:oddVBand="0" w:evenVBand="0" w:oddHBand="0" w:evenHBand="0" w:firstRowFirstColumn="0" w:firstRowLastColumn="0" w:lastRowFirstColumn="0" w:lastRowLastColumn="0"/>
          <w:tblHeader/>
        </w:trPr>
        <w:tc>
          <w:tcPr>
            <w:tcW w:w="1349" w:type="dxa"/>
            <w:tcBorders>
              <w:top w:val="nil"/>
              <w:bottom w:val="nil"/>
            </w:tcBorders>
            <w:shd w:val="clear" w:color="auto" w:fill="FFFFFF" w:themeFill="background1"/>
          </w:tcPr>
          <w:p w14:paraId="788D99FD" w14:textId="4F36D827" w:rsidR="003C49FA" w:rsidRDefault="003C49FA" w:rsidP="003C49FA">
            <w:pPr>
              <w:keepNext/>
              <w:jc w:val="left"/>
            </w:pPr>
            <w:r>
              <w:rPr>
                <w:color w:val="4472C4"/>
                <w:sz w:val="13"/>
              </w:rPr>
              <w:t>Source reference</w:t>
            </w:r>
          </w:p>
        </w:tc>
        <w:tc>
          <w:tcPr>
            <w:tcW w:w="6558" w:type="dxa"/>
          </w:tcPr>
          <w:p w14:paraId="6B59797E" w14:textId="77777777" w:rsidR="003C49FA" w:rsidRDefault="003C49FA" w:rsidP="003C49FA">
            <w:pPr>
              <w:keepNext/>
              <w:jc w:val="left"/>
            </w:pPr>
          </w:p>
        </w:tc>
        <w:tc>
          <w:tcPr>
            <w:tcW w:w="866" w:type="dxa"/>
          </w:tcPr>
          <w:p w14:paraId="6296B6E8" w14:textId="77777777" w:rsidR="003C49FA" w:rsidRDefault="003C49FA" w:rsidP="003C49FA">
            <w:pPr>
              <w:keepNext/>
            </w:pPr>
            <w:r>
              <w:t>20X2</w:t>
            </w:r>
          </w:p>
        </w:tc>
        <w:tc>
          <w:tcPr>
            <w:tcW w:w="866" w:type="dxa"/>
          </w:tcPr>
          <w:p w14:paraId="4AF3BDEB" w14:textId="77777777" w:rsidR="003C49FA" w:rsidRDefault="003C49FA" w:rsidP="003C49FA">
            <w:pPr>
              <w:keepNext/>
            </w:pPr>
            <w:r>
              <w:t>20X1</w:t>
            </w:r>
          </w:p>
        </w:tc>
      </w:tr>
      <w:tr w:rsidR="00C31831" w14:paraId="051ECF89" w14:textId="77777777" w:rsidTr="00713ADC">
        <w:tc>
          <w:tcPr>
            <w:tcW w:w="1349" w:type="dxa"/>
          </w:tcPr>
          <w:p w14:paraId="46FA22D8" w14:textId="295D4107" w:rsidR="00C31831" w:rsidRDefault="0007383E" w:rsidP="00C31831">
            <w:pPr>
              <w:jc w:val="left"/>
            </w:pPr>
            <w:r>
              <w:rPr>
                <w:color w:val="4472C4"/>
                <w:sz w:val="13"/>
              </w:rPr>
              <w:t>AASB </w:t>
            </w:r>
            <w:r w:rsidR="00C31831">
              <w:rPr>
                <w:color w:val="4472C4"/>
                <w:sz w:val="13"/>
              </w:rPr>
              <w:t>1060.146 (b)</w:t>
            </w:r>
          </w:p>
        </w:tc>
        <w:tc>
          <w:tcPr>
            <w:tcW w:w="6558" w:type="dxa"/>
          </w:tcPr>
          <w:p w14:paraId="05179ADB" w14:textId="77777777" w:rsidR="00C31831" w:rsidRDefault="00C31831" w:rsidP="00C31831">
            <w:pPr>
              <w:jc w:val="left"/>
            </w:pPr>
            <w:r>
              <w:t>Expenses relating to short term leases</w:t>
            </w:r>
          </w:p>
        </w:tc>
        <w:tc>
          <w:tcPr>
            <w:tcW w:w="866" w:type="dxa"/>
            <w:vAlign w:val="center"/>
          </w:tcPr>
          <w:p w14:paraId="759C6F17" w14:textId="509E769B" w:rsidR="00C31831" w:rsidRDefault="00C31831" w:rsidP="00C31831">
            <w:r>
              <w:rPr>
                <w:rFonts w:ascii="Arial" w:hAnsi="Arial" w:cs="Arial"/>
                <w:color w:val="000000"/>
                <w:szCs w:val="16"/>
              </w:rPr>
              <w:t>1</w:t>
            </w:r>
            <w:r>
              <w:rPr>
                <w:rFonts w:ascii="Arial" w:hAnsi="Arial" w:cs="Arial" w:hint="eastAsia"/>
                <w:color w:val="000000"/>
                <w:szCs w:val="16"/>
                <w:lang w:eastAsia="zh-CN"/>
              </w:rPr>
              <w:t xml:space="preserve"> </w:t>
            </w:r>
            <w:r>
              <w:rPr>
                <w:rFonts w:ascii="Arial" w:hAnsi="Arial" w:cs="Arial"/>
                <w:color w:val="000000"/>
                <w:szCs w:val="16"/>
              </w:rPr>
              <w:t>036</w:t>
            </w:r>
          </w:p>
        </w:tc>
        <w:tc>
          <w:tcPr>
            <w:tcW w:w="866" w:type="dxa"/>
            <w:vAlign w:val="center"/>
          </w:tcPr>
          <w:p w14:paraId="0D5EB3A7" w14:textId="6A38ECE6" w:rsidR="00C31831" w:rsidRDefault="00C31831" w:rsidP="00C31831">
            <w:r>
              <w:rPr>
                <w:rFonts w:ascii="Arial" w:hAnsi="Arial" w:cs="Arial"/>
                <w:color w:val="000000"/>
                <w:szCs w:val="16"/>
              </w:rPr>
              <w:t>854</w:t>
            </w:r>
          </w:p>
        </w:tc>
      </w:tr>
      <w:tr w:rsidR="00C31831" w14:paraId="29841E4C" w14:textId="77777777" w:rsidTr="00713ADC">
        <w:tc>
          <w:tcPr>
            <w:tcW w:w="1349" w:type="dxa"/>
          </w:tcPr>
          <w:p w14:paraId="0A0C6149" w14:textId="4D39F50C" w:rsidR="00C31831" w:rsidRDefault="0007383E" w:rsidP="00C31831">
            <w:pPr>
              <w:jc w:val="left"/>
            </w:pPr>
            <w:r>
              <w:rPr>
                <w:color w:val="4472C4"/>
                <w:sz w:val="13"/>
              </w:rPr>
              <w:t>AASB </w:t>
            </w:r>
            <w:r w:rsidR="00C31831">
              <w:rPr>
                <w:color w:val="4472C4"/>
                <w:sz w:val="13"/>
              </w:rPr>
              <w:t>1060.146 (b)</w:t>
            </w:r>
          </w:p>
        </w:tc>
        <w:tc>
          <w:tcPr>
            <w:tcW w:w="6558" w:type="dxa"/>
          </w:tcPr>
          <w:p w14:paraId="17FCEEEF" w14:textId="77777777" w:rsidR="00C31831" w:rsidRDefault="00C31831" w:rsidP="00C31831">
            <w:pPr>
              <w:jc w:val="left"/>
            </w:pPr>
            <w:r>
              <w:t>Expenses relating to leases of low</w:t>
            </w:r>
            <w:r>
              <w:noBreakHyphen/>
              <w:t>value assets</w:t>
            </w:r>
          </w:p>
        </w:tc>
        <w:tc>
          <w:tcPr>
            <w:tcW w:w="866" w:type="dxa"/>
            <w:vAlign w:val="center"/>
          </w:tcPr>
          <w:p w14:paraId="5D671041" w14:textId="24E53688" w:rsidR="00C31831" w:rsidRDefault="00C31831" w:rsidP="00C31831">
            <w:r>
              <w:rPr>
                <w:rFonts w:ascii="Arial" w:hAnsi="Arial" w:cs="Arial"/>
                <w:color w:val="000000"/>
                <w:szCs w:val="16"/>
              </w:rPr>
              <w:t>820</w:t>
            </w:r>
          </w:p>
        </w:tc>
        <w:tc>
          <w:tcPr>
            <w:tcW w:w="866" w:type="dxa"/>
            <w:vAlign w:val="center"/>
          </w:tcPr>
          <w:p w14:paraId="55E767C0" w14:textId="0869C65E" w:rsidR="00C31831" w:rsidRDefault="00C31831" w:rsidP="00C31831">
            <w:r>
              <w:rPr>
                <w:rFonts w:ascii="Arial" w:hAnsi="Arial" w:cs="Arial"/>
                <w:color w:val="000000"/>
                <w:szCs w:val="16"/>
              </w:rPr>
              <w:t>98</w:t>
            </w:r>
          </w:p>
        </w:tc>
      </w:tr>
      <w:tr w:rsidR="00F50B6F" w14:paraId="0964F107" w14:textId="77777777" w:rsidTr="00713ADC">
        <w:tc>
          <w:tcPr>
            <w:tcW w:w="1349" w:type="dxa"/>
            <w:tcBorders>
              <w:bottom w:val="nil"/>
            </w:tcBorders>
          </w:tcPr>
          <w:p w14:paraId="65CE5A3F" w14:textId="77777777" w:rsidR="00F50B6F" w:rsidRDefault="00F50B6F" w:rsidP="00F50B6F">
            <w:pPr>
              <w:jc w:val="left"/>
            </w:pPr>
          </w:p>
        </w:tc>
        <w:tc>
          <w:tcPr>
            <w:tcW w:w="6558" w:type="dxa"/>
          </w:tcPr>
          <w:p w14:paraId="38691621" w14:textId="66AB9995" w:rsidR="00F50B6F" w:rsidRDefault="00F50B6F" w:rsidP="00F50B6F">
            <w:pPr>
              <w:jc w:val="left"/>
            </w:pPr>
            <w:r>
              <w:rPr>
                <w:b/>
              </w:rPr>
              <w:t>Total amount recognised as expense</w:t>
            </w:r>
          </w:p>
        </w:tc>
        <w:tc>
          <w:tcPr>
            <w:tcW w:w="866" w:type="dxa"/>
            <w:vAlign w:val="center"/>
          </w:tcPr>
          <w:p w14:paraId="3282B167" w14:textId="5CEBB826" w:rsidR="00F50B6F" w:rsidRDefault="00F50B6F" w:rsidP="00F50B6F">
            <w:r>
              <w:rPr>
                <w:rFonts w:ascii="Arial" w:hAnsi="Arial" w:cs="Arial"/>
                <w:b/>
                <w:bCs/>
                <w:color w:val="000000"/>
                <w:szCs w:val="16"/>
              </w:rPr>
              <w:t>1</w:t>
            </w:r>
            <w:r>
              <w:rPr>
                <w:rFonts w:ascii="Arial" w:hAnsi="Arial" w:cs="Arial" w:hint="eastAsia"/>
                <w:b/>
                <w:bCs/>
                <w:color w:val="000000"/>
                <w:szCs w:val="16"/>
                <w:lang w:eastAsia="zh-CN"/>
              </w:rPr>
              <w:t xml:space="preserve"> </w:t>
            </w:r>
            <w:r>
              <w:rPr>
                <w:rFonts w:ascii="Arial" w:hAnsi="Arial" w:cs="Arial"/>
                <w:b/>
                <w:bCs/>
                <w:color w:val="000000"/>
                <w:szCs w:val="16"/>
              </w:rPr>
              <w:t>856</w:t>
            </w:r>
          </w:p>
        </w:tc>
        <w:tc>
          <w:tcPr>
            <w:tcW w:w="866" w:type="dxa"/>
            <w:vAlign w:val="center"/>
          </w:tcPr>
          <w:p w14:paraId="5ADC85D9" w14:textId="5A0465E4" w:rsidR="00F50B6F" w:rsidRDefault="00F50B6F" w:rsidP="00F50B6F">
            <w:r>
              <w:rPr>
                <w:rFonts w:ascii="Arial" w:hAnsi="Arial" w:cs="Arial"/>
                <w:b/>
                <w:bCs/>
                <w:color w:val="000000"/>
                <w:szCs w:val="16"/>
              </w:rPr>
              <w:t>952</w:t>
            </w:r>
          </w:p>
        </w:tc>
      </w:tr>
    </w:tbl>
    <w:p w14:paraId="1AE68F32" w14:textId="34211162" w:rsidR="00713ADC" w:rsidRPr="00E10CD7" w:rsidRDefault="00713ADC" w:rsidP="00E10CD7">
      <w:pPr>
        <w:rPr>
          <w:lang w:eastAsia="zh-CN"/>
        </w:rPr>
      </w:pPr>
      <w:bookmarkStart w:id="3770" w:name="_Toc179813135"/>
      <w:bookmarkStart w:id="3771" w:name="_Toc179818835"/>
      <w:bookmarkStart w:id="3772" w:name="_Toc179824535"/>
      <w:bookmarkStart w:id="3773" w:name="_Toc179830200"/>
      <w:bookmarkStart w:id="3774" w:name="_Toc179861730"/>
      <w:r>
        <w:t>TV</w:t>
      </w:r>
      <w:r w:rsidDel="00D56657">
        <w:t xml:space="preserve"> </w:t>
      </w:r>
      <w:r>
        <w:t>has elected to account for short-term leases and leases of low-value assets using the practical expedients. Instead of recognising a right-of-use asset and lease liability, the payments in relation to these are recognised as an expense in profit or loss included in “other operating expenses</w:t>
      </w:r>
      <w:r w:rsidRPr="00706101">
        <w:t>” (see note 3.3)</w:t>
      </w:r>
      <w:r>
        <w:t xml:space="preserve"> on a straight-line basis over the lease term. </w:t>
      </w:r>
      <w:r w:rsidRPr="00587743">
        <w:rPr>
          <w:rStyle w:val="Reference"/>
        </w:rPr>
        <w:t>[</w:t>
      </w:r>
      <w:r w:rsidR="0007383E">
        <w:rPr>
          <w:rStyle w:val="Reference"/>
        </w:rPr>
        <w:t>AASB </w:t>
      </w:r>
      <w:r w:rsidRPr="00587743">
        <w:rPr>
          <w:rStyle w:val="Reference"/>
        </w:rPr>
        <w:t>16.60, FRD</w:t>
      </w:r>
      <w:r w:rsidR="0028792C">
        <w:rPr>
          <w:rStyle w:val="Reference"/>
        </w:rPr>
        <w:t xml:space="preserve"> </w:t>
      </w:r>
      <w:r>
        <w:rPr>
          <w:rStyle w:val="Reference"/>
        </w:rPr>
        <w:t>104</w:t>
      </w:r>
      <w:r w:rsidRPr="00587743">
        <w:rPr>
          <w:rStyle w:val="Reference"/>
        </w:rPr>
        <w:t>]</w:t>
      </w:r>
    </w:p>
    <w:p w14:paraId="7F1272B2" w14:textId="429F3BCE" w:rsidR="003719CD" w:rsidRDefault="003719CD" w:rsidP="00056616">
      <w:pPr>
        <w:pStyle w:val="Heading3numbered"/>
        <w:pageBreakBefore/>
        <w:ind w:left="965" w:hanging="965"/>
      </w:pPr>
      <w:r>
        <w:t>Recognition and measurement of leases as a lessee</w:t>
      </w:r>
      <w:bookmarkEnd w:id="3770"/>
      <w:bookmarkEnd w:id="3771"/>
      <w:bookmarkEnd w:id="3772"/>
      <w:bookmarkEnd w:id="3773"/>
      <w:bookmarkEnd w:id="3774"/>
      <w:r>
        <w:t xml:space="preserve"> </w:t>
      </w:r>
    </w:p>
    <w:p w14:paraId="3BB6DE57" w14:textId="1AE24F85" w:rsidR="00785F6D" w:rsidRDefault="00785F6D" w:rsidP="00785F6D">
      <w:r>
        <w:t xml:space="preserve">For any new contracts </w:t>
      </w:r>
      <w:proofErr w:type="gramStart"/>
      <w:r>
        <w:t>entered into</w:t>
      </w:r>
      <w:proofErr w:type="gramEnd"/>
      <w:r>
        <w:t>, TV</w:t>
      </w:r>
      <w:r w:rsidDel="004A6D5C">
        <w:t xml:space="preserve"> </w:t>
      </w:r>
      <w:r>
        <w:t xml:space="preserve">considers whether a contract </w:t>
      </w:r>
      <w:r w:rsidR="003565D5">
        <w:t>is or</w:t>
      </w:r>
      <w:r>
        <w:t xml:space="preserve"> contains a lease. A lease is defined as ‘a contract, or part of a contract, that conveys the right to use an asset (the underlying asset) for a period of time in exchange for consideration’. To apply this definition TV</w:t>
      </w:r>
      <w:r w:rsidDel="004A6D5C">
        <w:t xml:space="preserve"> </w:t>
      </w:r>
      <w:r>
        <w:t xml:space="preserve">assesses whether the contract meets three key evaluations: </w:t>
      </w:r>
    </w:p>
    <w:p w14:paraId="717C713D" w14:textId="67FD2858" w:rsidR="00785F6D" w:rsidRDefault="00785F6D" w:rsidP="002A0038">
      <w:pPr>
        <w:pStyle w:val="ListBullet"/>
        <w:numPr>
          <w:ilvl w:val="0"/>
          <w:numId w:val="376"/>
        </w:numPr>
        <w:ind w:left="357" w:hanging="357"/>
      </w:pPr>
      <w:r>
        <w:t>whether the contract contains an identified asset, which is either explicitly identified in the contract or implicitly specified by being identified at the time the asset is made available to TV</w:t>
      </w:r>
      <w:r w:rsidDel="004A6D5C">
        <w:t xml:space="preserve"> </w:t>
      </w:r>
      <w:r>
        <w:t>and for which the supplier does not have substantive substitution rights</w:t>
      </w:r>
    </w:p>
    <w:p w14:paraId="4E1135DC" w14:textId="37AAA832" w:rsidR="00785F6D" w:rsidRDefault="00785F6D" w:rsidP="002A0038">
      <w:pPr>
        <w:pStyle w:val="ListBullet"/>
        <w:numPr>
          <w:ilvl w:val="0"/>
          <w:numId w:val="376"/>
        </w:numPr>
        <w:ind w:left="357" w:hanging="357"/>
      </w:pPr>
      <w:r>
        <w:t>whether TV</w:t>
      </w:r>
      <w:r w:rsidDel="00D56657">
        <w:t xml:space="preserve"> </w:t>
      </w:r>
      <w:r>
        <w:t xml:space="preserve">has the right to obtain substantially </w:t>
      </w:r>
      <w:proofErr w:type="gramStart"/>
      <w:r>
        <w:t>all of</w:t>
      </w:r>
      <w:proofErr w:type="gramEnd"/>
      <w:r>
        <w:t xml:space="preserve"> the economic benefits from use of the identified asset throughout the period of use, considering its rights within the defined scope of the contract and TV</w:t>
      </w:r>
      <w:r w:rsidDel="00D56657">
        <w:t xml:space="preserve"> </w:t>
      </w:r>
      <w:r>
        <w:t>has the right to direct the use of the identified asset throughout the period of use</w:t>
      </w:r>
    </w:p>
    <w:p w14:paraId="79781852" w14:textId="44CB247A" w:rsidR="00785F6D" w:rsidRPr="00785F6D" w:rsidRDefault="00785F6D" w:rsidP="00785F6D">
      <w:pPr>
        <w:pStyle w:val="ListBullet"/>
        <w:numPr>
          <w:ilvl w:val="0"/>
          <w:numId w:val="376"/>
        </w:numPr>
        <w:ind w:left="357" w:hanging="357"/>
        <w:rPr>
          <w:rFonts w:asciiTheme="majorHAnsi" w:eastAsiaTheme="majorEastAsia" w:hAnsiTheme="majorHAnsi" w:cstheme="majorBidi"/>
          <w:b/>
          <w:iCs/>
          <w:szCs w:val="24"/>
        </w:rPr>
      </w:pPr>
      <w:r>
        <w:t>whether TV</w:t>
      </w:r>
      <w:r w:rsidDel="00D56657">
        <w:t xml:space="preserve"> </w:t>
      </w:r>
      <w:r>
        <w:t>has the right to make decisions in respect of ‘how and for what purpose’ the asset is used throughout the period of use.</w:t>
      </w:r>
    </w:p>
    <w:p w14:paraId="01C72136" w14:textId="0A4E49A4" w:rsidR="003719CD" w:rsidRDefault="003719CD" w:rsidP="00785F6D">
      <w:pPr>
        <w:pStyle w:val="Heading4"/>
      </w:pPr>
      <w:bookmarkStart w:id="3775" w:name="_Toc179813136"/>
      <w:bookmarkStart w:id="3776" w:name="_Toc179818836"/>
      <w:bookmarkStart w:id="3777" w:name="_Toc179824536"/>
      <w:r>
        <w:t xml:space="preserve">Lease </w:t>
      </w:r>
      <w:r w:rsidR="00056616">
        <w:t xml:space="preserve">liability </w:t>
      </w:r>
      <w:r>
        <w:t>– initial measurement</w:t>
      </w:r>
      <w:bookmarkEnd w:id="3775"/>
      <w:bookmarkEnd w:id="3776"/>
      <w:bookmarkEnd w:id="3777"/>
    </w:p>
    <w:p w14:paraId="4F51C28C" w14:textId="292396D3" w:rsidR="003719CD" w:rsidRDefault="003719CD" w:rsidP="00DC39DE">
      <w:r>
        <w:t xml:space="preserve">The lease liability is initially measured at the present value of the lease payments unpaid at the commencement date, discounted using the interest rate implicit in the lease if that rate is readily determinable or </w:t>
      </w:r>
      <w:r w:rsidR="00D56657">
        <w:t xml:space="preserve">TV’s </w:t>
      </w:r>
      <w:r>
        <w:t xml:space="preserve">incremental borrowing rate. </w:t>
      </w:r>
      <w:r w:rsidRPr="00587743">
        <w:rPr>
          <w:rStyle w:val="Reference"/>
        </w:rPr>
        <w:t>[</w:t>
      </w:r>
      <w:r w:rsidR="0007383E">
        <w:rPr>
          <w:rStyle w:val="Reference"/>
        </w:rPr>
        <w:t>AASB </w:t>
      </w:r>
      <w:r w:rsidRPr="00587743">
        <w:rPr>
          <w:rStyle w:val="Reference"/>
        </w:rPr>
        <w:t>16.26]</w:t>
      </w:r>
    </w:p>
    <w:p w14:paraId="052DF781" w14:textId="6CCF5C95" w:rsidR="00B61307" w:rsidRDefault="003719CD" w:rsidP="00DC39DE">
      <w:r w:rsidRPr="002A0038">
        <w:t>Lease payments included in the measurement of the lease liability comprise the fol</w:t>
      </w:r>
      <w:r w:rsidRPr="00FB433D">
        <w:t>l</w:t>
      </w:r>
      <w:r w:rsidRPr="002A0038">
        <w:t>owing:</w:t>
      </w:r>
    </w:p>
    <w:p w14:paraId="3D8AE164" w14:textId="63DAC713" w:rsidR="003719CD" w:rsidRPr="002A0038" w:rsidRDefault="00844B42" w:rsidP="002A0038">
      <w:pPr>
        <w:pStyle w:val="ListBullet"/>
        <w:numPr>
          <w:ilvl w:val="0"/>
          <w:numId w:val="351"/>
        </w:numPr>
        <w:ind w:left="357" w:hanging="357"/>
      </w:pPr>
      <w:r>
        <w:t>F</w:t>
      </w:r>
      <w:r w:rsidR="003719CD" w:rsidRPr="002A0038">
        <w:t>ixed payments (including in-substance fixed payments) less any lease incentive receivable</w:t>
      </w:r>
    </w:p>
    <w:p w14:paraId="62442D5C" w14:textId="5B14108C" w:rsidR="003719CD" w:rsidRPr="002A0038" w:rsidRDefault="00844B42" w:rsidP="002A0038">
      <w:pPr>
        <w:pStyle w:val="ListBullet"/>
        <w:numPr>
          <w:ilvl w:val="0"/>
          <w:numId w:val="351"/>
        </w:numPr>
        <w:ind w:left="357" w:hanging="357"/>
      </w:pPr>
      <w:r>
        <w:t>V</w:t>
      </w:r>
      <w:r w:rsidR="003719CD" w:rsidRPr="002A0038">
        <w:t>ariable payments based on an index or rate, initially measured using the index or rate as at the commencement date</w:t>
      </w:r>
    </w:p>
    <w:p w14:paraId="6C8D0D6B" w14:textId="2BCBB33C" w:rsidR="003719CD" w:rsidRPr="002A0038" w:rsidRDefault="00844B42" w:rsidP="002A0038">
      <w:pPr>
        <w:pStyle w:val="ListBullet"/>
        <w:numPr>
          <w:ilvl w:val="0"/>
          <w:numId w:val="351"/>
        </w:numPr>
        <w:ind w:left="357" w:hanging="357"/>
      </w:pPr>
      <w:r>
        <w:t>A</w:t>
      </w:r>
      <w:r w:rsidR="003719CD" w:rsidRPr="002A0038">
        <w:t>mounts expected to be payable under a residual value guarantee</w:t>
      </w:r>
    </w:p>
    <w:p w14:paraId="7A48AA65" w14:textId="40A7DF9C" w:rsidR="003719CD" w:rsidRPr="002A0038" w:rsidRDefault="00844B42" w:rsidP="002A0038">
      <w:pPr>
        <w:pStyle w:val="ListBullet"/>
        <w:numPr>
          <w:ilvl w:val="0"/>
          <w:numId w:val="351"/>
        </w:numPr>
        <w:ind w:left="357" w:hanging="357"/>
      </w:pPr>
      <w:r>
        <w:t>P</w:t>
      </w:r>
      <w:r w:rsidR="003719CD" w:rsidRPr="002A0038">
        <w:t>ayments arising from purchase and termination options reasonably certain to be exercised.</w:t>
      </w:r>
    </w:p>
    <w:p w14:paraId="50BDCD84" w14:textId="0DE6328E" w:rsidR="003719CD" w:rsidRPr="00587743" w:rsidRDefault="003719CD" w:rsidP="00DC39DE">
      <w:pPr>
        <w:rPr>
          <w:rStyle w:val="Reference"/>
        </w:rPr>
      </w:pPr>
      <w:r w:rsidRPr="002A0038">
        <w:rPr>
          <w:rStyle w:val="Reference"/>
        </w:rPr>
        <w:t>[</w:t>
      </w:r>
      <w:r w:rsidR="0007383E">
        <w:rPr>
          <w:rStyle w:val="Reference"/>
        </w:rPr>
        <w:t>AASB </w:t>
      </w:r>
      <w:r w:rsidRPr="002A0038">
        <w:rPr>
          <w:rStyle w:val="Reference"/>
        </w:rPr>
        <w:t>16.27]</w:t>
      </w:r>
    </w:p>
    <w:p w14:paraId="1C821F4A" w14:textId="14B01BCB" w:rsidR="003719CD" w:rsidRDefault="003719CD" w:rsidP="00785F6D">
      <w:pPr>
        <w:pStyle w:val="Heading4"/>
      </w:pPr>
      <w:bookmarkStart w:id="3778" w:name="_Toc179813137"/>
      <w:bookmarkStart w:id="3779" w:name="_Toc179818837"/>
      <w:bookmarkStart w:id="3780" w:name="_Toc179824537"/>
      <w:r>
        <w:t xml:space="preserve">Lease </w:t>
      </w:r>
      <w:r w:rsidR="00056616">
        <w:t xml:space="preserve">liability </w:t>
      </w:r>
      <w:r>
        <w:t>– subsequent measurement</w:t>
      </w:r>
      <w:bookmarkEnd w:id="3778"/>
      <w:bookmarkEnd w:id="3779"/>
      <w:bookmarkEnd w:id="3780"/>
    </w:p>
    <w:p w14:paraId="46F727A9" w14:textId="2F1F4827" w:rsidR="003719CD" w:rsidRDefault="003719CD" w:rsidP="00DC39DE">
      <w:proofErr w:type="gramStart"/>
      <w:r>
        <w:t>Subsequent to</w:t>
      </w:r>
      <w:proofErr w:type="gramEnd"/>
      <w:r>
        <w:t xml:space="preserve"> initial measurement, the liability will be reduced for payments made and increased for interest. It is remeasured to reflect any reassessment or modification, or if there are changes in-substance fixed payments. </w:t>
      </w:r>
      <w:r w:rsidRPr="00587743">
        <w:rPr>
          <w:rStyle w:val="Reference"/>
        </w:rPr>
        <w:t>[</w:t>
      </w:r>
      <w:r w:rsidR="0007383E">
        <w:rPr>
          <w:rStyle w:val="Reference"/>
        </w:rPr>
        <w:t>AASB </w:t>
      </w:r>
      <w:r w:rsidRPr="00587743">
        <w:rPr>
          <w:rStyle w:val="Reference"/>
        </w:rPr>
        <w:t>16.36]</w:t>
      </w:r>
    </w:p>
    <w:p w14:paraId="12B946B4" w14:textId="07BEC79C" w:rsidR="003719CD" w:rsidRDefault="003719CD" w:rsidP="00DC39DE">
      <w:r w:rsidRPr="002A0038">
        <w:t xml:space="preserve">When the lease liability is remeasured, the corresponding adjustment is reflected in the right-of-use asset, or profit and loss if the right-of-use asset is already reduced to zero. </w:t>
      </w:r>
      <w:r w:rsidRPr="002A0038">
        <w:rPr>
          <w:rStyle w:val="Reference"/>
        </w:rPr>
        <w:t>[</w:t>
      </w:r>
      <w:r w:rsidR="0007383E">
        <w:rPr>
          <w:rStyle w:val="Reference"/>
        </w:rPr>
        <w:t>AASB </w:t>
      </w:r>
      <w:r w:rsidRPr="002A0038">
        <w:rPr>
          <w:rStyle w:val="Reference"/>
        </w:rPr>
        <w:t>16.39]</w:t>
      </w:r>
    </w:p>
    <w:p w14:paraId="3DD1C1F6" w14:textId="77777777" w:rsidR="003719CD" w:rsidRDefault="003719CD" w:rsidP="00785F6D">
      <w:pPr>
        <w:pStyle w:val="Heading4"/>
      </w:pPr>
      <w:bookmarkStart w:id="3781" w:name="_Toc179813140"/>
      <w:bookmarkStart w:id="3782" w:name="_Toc179818840"/>
      <w:bookmarkStart w:id="3783" w:name="_Toc179824540"/>
      <w:r>
        <w:t>Presentation of right-of-use assets and lease liabilities</w:t>
      </w:r>
      <w:bookmarkEnd w:id="3781"/>
      <w:bookmarkEnd w:id="3782"/>
      <w:bookmarkEnd w:id="3783"/>
    </w:p>
    <w:p w14:paraId="330ADE53" w14:textId="0E9CFF6D" w:rsidR="003719CD" w:rsidRDefault="00D56657" w:rsidP="00DC39DE">
      <w:r>
        <w:t>TV</w:t>
      </w:r>
      <w:r w:rsidDel="00D56657">
        <w:t xml:space="preserve"> </w:t>
      </w:r>
      <w:r w:rsidR="003719CD">
        <w:t>presents right-of-use assets as ‘property plant equipment’</w:t>
      </w:r>
      <w:r w:rsidR="000B3D45">
        <w:t xml:space="preserve"> (refer to</w:t>
      </w:r>
      <w:r w:rsidR="003A5ED6">
        <w:t xml:space="preserve"> </w:t>
      </w:r>
      <w:r w:rsidR="0028792C">
        <w:t>N</w:t>
      </w:r>
      <w:r w:rsidR="003A5ED6">
        <w:t>ote 4.1)</w:t>
      </w:r>
      <w:r w:rsidR="003719CD">
        <w:t>. Lease liabilities are presented as ‘borrowings’ in the balance sheet</w:t>
      </w:r>
      <w:r w:rsidR="003A5ED6">
        <w:t xml:space="preserve"> (refer to </w:t>
      </w:r>
      <w:r w:rsidR="0028792C">
        <w:t>N</w:t>
      </w:r>
      <w:r w:rsidR="003A5ED6">
        <w:t>ote 6.1)</w:t>
      </w:r>
      <w:r w:rsidR="003719CD">
        <w:t xml:space="preserve">. </w:t>
      </w:r>
      <w:r w:rsidR="003719CD" w:rsidRPr="00542015">
        <w:rPr>
          <w:rStyle w:val="Reference"/>
        </w:rPr>
        <w:t>[</w:t>
      </w:r>
      <w:r w:rsidR="0007383E">
        <w:rPr>
          <w:rStyle w:val="Reference"/>
        </w:rPr>
        <w:t>AASB </w:t>
      </w:r>
      <w:r w:rsidR="003719CD" w:rsidRPr="00542015">
        <w:rPr>
          <w:rStyle w:val="Reference"/>
        </w:rPr>
        <w:t xml:space="preserve">16.47 and </w:t>
      </w:r>
      <w:r w:rsidR="0007383E">
        <w:rPr>
          <w:rStyle w:val="Reference"/>
        </w:rPr>
        <w:t>AASB </w:t>
      </w:r>
      <w:r w:rsidR="003719CD" w:rsidRPr="00542015">
        <w:rPr>
          <w:rStyle w:val="Reference"/>
        </w:rPr>
        <w:t>16.48]</w:t>
      </w:r>
    </w:p>
    <w:p w14:paraId="1C4EE0B5" w14:textId="3F1ACE91" w:rsidR="00710F93" w:rsidRDefault="0085028F" w:rsidP="000572E0">
      <w:pPr>
        <w:pStyle w:val="Heading4"/>
      </w:pPr>
      <w:bookmarkStart w:id="3784" w:name="_Toc179813141"/>
      <w:bookmarkStart w:id="3785" w:name="_Toc179818841"/>
      <w:bookmarkStart w:id="3786" w:name="_Toc179824541"/>
      <w:r>
        <w:t>Future lease payments</w:t>
      </w:r>
      <w:bookmarkEnd w:id="3784"/>
      <w:bookmarkEnd w:id="3785"/>
      <w:bookmarkEnd w:id="3786"/>
      <w:r>
        <w:t xml:space="preserve"> </w:t>
      </w:r>
    </w:p>
    <w:p w14:paraId="6C1A1402" w14:textId="19DBB22B" w:rsidR="003719CD" w:rsidRDefault="003719CD" w:rsidP="007D536F">
      <w:pPr>
        <w:pStyle w:val="TableUnits"/>
      </w:pPr>
      <w:r>
        <w:t>($ thousand)</w:t>
      </w:r>
    </w:p>
    <w:tbl>
      <w:tblPr>
        <w:tblStyle w:val="DTFTable"/>
        <w:tblW w:w="9639" w:type="dxa"/>
        <w:tblLayout w:type="fixed"/>
        <w:tblLook w:val="06A0" w:firstRow="1" w:lastRow="0" w:firstColumn="1" w:lastColumn="0" w:noHBand="1" w:noVBand="1"/>
      </w:tblPr>
      <w:tblGrid>
        <w:gridCol w:w="1418"/>
        <w:gridCol w:w="6142"/>
        <w:gridCol w:w="1039"/>
        <w:gridCol w:w="1040"/>
      </w:tblGrid>
      <w:tr w:rsidR="000A1BCF" w14:paraId="01E53DF9" w14:textId="77777777" w:rsidTr="00482A44">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418" w:type="dxa"/>
            <w:tcBorders>
              <w:bottom w:val="nil"/>
            </w:tcBorders>
          </w:tcPr>
          <w:p w14:paraId="0C6EB857" w14:textId="77777777" w:rsidR="000A1BCF" w:rsidRPr="000A1BCF" w:rsidRDefault="000A1BCF">
            <w:pPr>
              <w:keepNext/>
            </w:pPr>
          </w:p>
        </w:tc>
        <w:tc>
          <w:tcPr>
            <w:tcW w:w="6142" w:type="dxa"/>
          </w:tcPr>
          <w:p w14:paraId="368EA7F5" w14:textId="77777777" w:rsidR="000A1BCF" w:rsidRDefault="000A1BCF" w:rsidP="00482A44">
            <w:pPr>
              <w:keepNext/>
              <w:jc w:val="left"/>
              <w:cnfStyle w:val="100000000000" w:firstRow="1" w:lastRow="0" w:firstColumn="0" w:lastColumn="0" w:oddVBand="0" w:evenVBand="0" w:oddHBand="0" w:evenHBand="0" w:firstRowFirstColumn="0" w:firstRowLastColumn="0" w:lastRowFirstColumn="0" w:lastRowLastColumn="0"/>
            </w:pPr>
          </w:p>
        </w:tc>
        <w:tc>
          <w:tcPr>
            <w:tcW w:w="2079" w:type="dxa"/>
            <w:gridSpan w:val="2"/>
          </w:tcPr>
          <w:p w14:paraId="19CE3E3E" w14:textId="77777777" w:rsidR="000A1BCF" w:rsidRDefault="000A1BCF" w:rsidP="007B1CAB">
            <w:pPr>
              <w:keepNext/>
              <w:jc w:val="center"/>
              <w:cnfStyle w:val="100000000000" w:firstRow="1" w:lastRow="0" w:firstColumn="0" w:lastColumn="0" w:oddVBand="0" w:evenVBand="0" w:oddHBand="0" w:evenHBand="0" w:firstRowFirstColumn="0" w:firstRowLastColumn="0" w:lastRowFirstColumn="0" w:lastRowLastColumn="0"/>
            </w:pPr>
            <w:r>
              <w:t>Minimum future lease payments</w:t>
            </w:r>
            <w:r>
              <w:rPr>
                <w:vertAlign w:val="superscript"/>
              </w:rPr>
              <w:t xml:space="preserve"> (a)</w:t>
            </w:r>
          </w:p>
        </w:tc>
      </w:tr>
      <w:tr w:rsidR="000A1BCF" w14:paraId="21758F0D" w14:textId="77777777" w:rsidTr="00482A44">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418" w:type="dxa"/>
            <w:tcBorders>
              <w:bottom w:val="nil"/>
            </w:tcBorders>
          </w:tcPr>
          <w:p w14:paraId="28CA8699" w14:textId="1BBF1504" w:rsidR="000A1BCF" w:rsidRDefault="000A1BCF" w:rsidP="000A1BCF">
            <w:pPr>
              <w:keepNext/>
              <w:rPr>
                <w:color w:val="4472C4"/>
                <w:sz w:val="13"/>
              </w:rPr>
            </w:pPr>
            <w:r>
              <w:rPr>
                <w:color w:val="4472C4"/>
                <w:sz w:val="13"/>
              </w:rPr>
              <w:t>Source reference</w:t>
            </w:r>
          </w:p>
        </w:tc>
        <w:tc>
          <w:tcPr>
            <w:tcW w:w="6142" w:type="dxa"/>
          </w:tcPr>
          <w:p w14:paraId="52872D4E" w14:textId="77777777" w:rsidR="000A1BCF" w:rsidRDefault="000A1BCF" w:rsidP="00482A44">
            <w:pPr>
              <w:keepNext/>
              <w:jc w:val="left"/>
              <w:cnfStyle w:val="100000000000" w:firstRow="1" w:lastRow="0" w:firstColumn="0" w:lastColumn="0" w:oddVBand="0" w:evenVBand="0" w:oddHBand="0" w:evenHBand="0" w:firstRowFirstColumn="0" w:firstRowLastColumn="0" w:lastRowFirstColumn="0" w:lastRowLastColumn="0"/>
            </w:pPr>
          </w:p>
        </w:tc>
        <w:tc>
          <w:tcPr>
            <w:tcW w:w="1039" w:type="dxa"/>
          </w:tcPr>
          <w:p w14:paraId="26E1FDDB" w14:textId="77777777" w:rsidR="000A1BCF" w:rsidRDefault="000A1BCF" w:rsidP="000A1BCF">
            <w:pPr>
              <w:keepNext/>
              <w:cnfStyle w:val="100000000000" w:firstRow="1" w:lastRow="0" w:firstColumn="0" w:lastColumn="0" w:oddVBand="0" w:evenVBand="0" w:oddHBand="0" w:evenHBand="0" w:firstRowFirstColumn="0" w:firstRowLastColumn="0" w:lastRowFirstColumn="0" w:lastRowLastColumn="0"/>
            </w:pPr>
            <w:r>
              <w:t>20X2</w:t>
            </w:r>
          </w:p>
        </w:tc>
        <w:tc>
          <w:tcPr>
            <w:tcW w:w="1040" w:type="dxa"/>
          </w:tcPr>
          <w:p w14:paraId="46D46FFB" w14:textId="77777777" w:rsidR="000A1BCF" w:rsidRDefault="000A1BCF" w:rsidP="000A1BCF">
            <w:pPr>
              <w:keepNext/>
              <w:cnfStyle w:val="100000000000" w:firstRow="1" w:lastRow="0" w:firstColumn="0" w:lastColumn="0" w:oddVBand="0" w:evenVBand="0" w:oddHBand="0" w:evenHBand="0" w:firstRowFirstColumn="0" w:firstRowLastColumn="0" w:lastRowFirstColumn="0" w:lastRowLastColumn="0"/>
            </w:pPr>
            <w:r>
              <w:t>20X1</w:t>
            </w:r>
          </w:p>
        </w:tc>
      </w:tr>
      <w:tr w:rsidR="00977A9C" w14:paraId="527116B2" w14:textId="77777777" w:rsidTr="00482A44">
        <w:tc>
          <w:tcPr>
            <w:cnfStyle w:val="001000000000" w:firstRow="0" w:lastRow="0" w:firstColumn="1" w:lastColumn="0" w:oddVBand="0" w:evenVBand="0" w:oddHBand="0" w:evenHBand="0" w:firstRowFirstColumn="0" w:firstRowLastColumn="0" w:lastRowFirstColumn="0" w:lastRowLastColumn="0"/>
            <w:tcW w:w="1418" w:type="dxa"/>
            <w:tcBorders>
              <w:bottom w:val="nil"/>
            </w:tcBorders>
          </w:tcPr>
          <w:p w14:paraId="66317907" w14:textId="2A035C15" w:rsidR="00977A9C" w:rsidRDefault="0007383E" w:rsidP="00977A9C">
            <w:pPr>
              <w:rPr>
                <w:color w:val="4472C4"/>
                <w:sz w:val="13"/>
              </w:rPr>
            </w:pPr>
            <w:r>
              <w:rPr>
                <w:color w:val="4472C4"/>
                <w:sz w:val="13"/>
              </w:rPr>
              <w:t>AASB </w:t>
            </w:r>
            <w:r w:rsidR="00977A9C">
              <w:rPr>
                <w:color w:val="4472C4"/>
                <w:sz w:val="13"/>
              </w:rPr>
              <w:t>1060.144 (b)(i)</w:t>
            </w:r>
          </w:p>
        </w:tc>
        <w:tc>
          <w:tcPr>
            <w:tcW w:w="6142" w:type="dxa"/>
          </w:tcPr>
          <w:p w14:paraId="4DC601B0" w14:textId="77777777" w:rsidR="00977A9C" w:rsidRDefault="00977A9C" w:rsidP="00482A44">
            <w:pPr>
              <w:jc w:val="left"/>
              <w:cnfStyle w:val="000000000000" w:firstRow="0" w:lastRow="0" w:firstColumn="0" w:lastColumn="0" w:oddVBand="0" w:evenVBand="0" w:oddHBand="0" w:evenHBand="0" w:firstRowFirstColumn="0" w:firstRowLastColumn="0" w:lastRowFirstColumn="0" w:lastRowLastColumn="0"/>
            </w:pPr>
            <w:r>
              <w:t>Not longer than 1 year</w:t>
            </w:r>
          </w:p>
        </w:tc>
        <w:tc>
          <w:tcPr>
            <w:tcW w:w="1039" w:type="dxa"/>
            <w:vAlign w:val="center"/>
          </w:tcPr>
          <w:p w14:paraId="403B97E7" w14:textId="02735A09" w:rsidR="00977A9C" w:rsidRDefault="00977A9C" w:rsidP="00977A9C">
            <w:pP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16"/>
              </w:rPr>
              <w:t>6</w:t>
            </w:r>
            <w:r w:rsidR="00CD1048">
              <w:rPr>
                <w:rFonts w:ascii="Arial" w:hAnsi="Arial" w:cs="Arial" w:hint="eastAsia"/>
                <w:color w:val="000000"/>
                <w:szCs w:val="16"/>
                <w:lang w:eastAsia="zh-CN"/>
              </w:rPr>
              <w:t xml:space="preserve"> </w:t>
            </w:r>
            <w:r>
              <w:rPr>
                <w:rFonts w:ascii="Arial" w:hAnsi="Arial" w:cs="Arial"/>
                <w:color w:val="000000"/>
                <w:szCs w:val="16"/>
              </w:rPr>
              <w:t>878</w:t>
            </w:r>
          </w:p>
        </w:tc>
        <w:tc>
          <w:tcPr>
            <w:tcW w:w="1040" w:type="dxa"/>
            <w:vAlign w:val="center"/>
          </w:tcPr>
          <w:p w14:paraId="493F4006" w14:textId="1E51B814" w:rsidR="00977A9C" w:rsidRDefault="00977A9C" w:rsidP="00977A9C">
            <w:pP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16"/>
              </w:rPr>
              <w:t>7</w:t>
            </w:r>
            <w:r w:rsidR="00CD1048">
              <w:rPr>
                <w:rFonts w:ascii="Arial" w:hAnsi="Arial" w:cs="Arial" w:hint="eastAsia"/>
                <w:color w:val="000000"/>
                <w:szCs w:val="16"/>
                <w:lang w:eastAsia="zh-CN"/>
              </w:rPr>
              <w:t xml:space="preserve"> </w:t>
            </w:r>
            <w:r>
              <w:rPr>
                <w:rFonts w:ascii="Arial" w:hAnsi="Arial" w:cs="Arial"/>
                <w:color w:val="000000"/>
                <w:szCs w:val="16"/>
              </w:rPr>
              <w:t>294</w:t>
            </w:r>
          </w:p>
        </w:tc>
      </w:tr>
      <w:tr w:rsidR="00977A9C" w14:paraId="57702E41" w14:textId="77777777" w:rsidTr="00482A44">
        <w:tc>
          <w:tcPr>
            <w:cnfStyle w:val="001000000000" w:firstRow="0" w:lastRow="0" w:firstColumn="1" w:lastColumn="0" w:oddVBand="0" w:evenVBand="0" w:oddHBand="0" w:evenHBand="0" w:firstRowFirstColumn="0" w:firstRowLastColumn="0" w:lastRowFirstColumn="0" w:lastRowLastColumn="0"/>
            <w:tcW w:w="1418" w:type="dxa"/>
            <w:tcBorders>
              <w:bottom w:val="nil"/>
            </w:tcBorders>
          </w:tcPr>
          <w:p w14:paraId="2885FAB6" w14:textId="6BADE862" w:rsidR="00977A9C" w:rsidRDefault="0007383E" w:rsidP="00977A9C">
            <w:pPr>
              <w:rPr>
                <w:color w:val="4472C4"/>
                <w:sz w:val="13"/>
              </w:rPr>
            </w:pPr>
            <w:r>
              <w:rPr>
                <w:color w:val="4472C4"/>
                <w:sz w:val="13"/>
              </w:rPr>
              <w:t>AASB </w:t>
            </w:r>
            <w:r w:rsidR="00977A9C">
              <w:rPr>
                <w:color w:val="4472C4"/>
                <w:sz w:val="13"/>
              </w:rPr>
              <w:t>1060.144 (b)(ii)</w:t>
            </w:r>
          </w:p>
        </w:tc>
        <w:tc>
          <w:tcPr>
            <w:tcW w:w="6142" w:type="dxa"/>
          </w:tcPr>
          <w:p w14:paraId="57809AFB" w14:textId="77777777" w:rsidR="00977A9C" w:rsidRDefault="00977A9C" w:rsidP="00482A44">
            <w:pPr>
              <w:jc w:val="left"/>
              <w:cnfStyle w:val="000000000000" w:firstRow="0" w:lastRow="0" w:firstColumn="0" w:lastColumn="0" w:oddVBand="0" w:evenVBand="0" w:oddHBand="0" w:evenHBand="0" w:firstRowFirstColumn="0" w:firstRowLastColumn="0" w:lastRowFirstColumn="0" w:lastRowLastColumn="0"/>
            </w:pPr>
            <w:r>
              <w:t>Longer than 1 year but not longer than 5 years</w:t>
            </w:r>
          </w:p>
        </w:tc>
        <w:tc>
          <w:tcPr>
            <w:tcW w:w="1039" w:type="dxa"/>
            <w:vAlign w:val="center"/>
          </w:tcPr>
          <w:p w14:paraId="7BC673BC" w14:textId="400FA292" w:rsidR="00977A9C" w:rsidRDefault="00977A9C" w:rsidP="00977A9C">
            <w:pP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16"/>
              </w:rPr>
              <w:t>5</w:t>
            </w:r>
            <w:r w:rsidR="00CD1048">
              <w:rPr>
                <w:rFonts w:ascii="Arial" w:hAnsi="Arial" w:cs="Arial" w:hint="eastAsia"/>
                <w:color w:val="000000"/>
                <w:szCs w:val="16"/>
                <w:lang w:eastAsia="zh-CN"/>
              </w:rPr>
              <w:t xml:space="preserve"> </w:t>
            </w:r>
            <w:r>
              <w:rPr>
                <w:rFonts w:ascii="Arial" w:hAnsi="Arial" w:cs="Arial"/>
                <w:color w:val="000000"/>
                <w:szCs w:val="16"/>
              </w:rPr>
              <w:t>400</w:t>
            </w:r>
          </w:p>
        </w:tc>
        <w:tc>
          <w:tcPr>
            <w:tcW w:w="1040" w:type="dxa"/>
            <w:vAlign w:val="center"/>
          </w:tcPr>
          <w:p w14:paraId="0752EA5D" w14:textId="32DC9A93" w:rsidR="00977A9C" w:rsidRDefault="00977A9C" w:rsidP="00977A9C">
            <w:pP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16"/>
              </w:rPr>
              <w:t>6</w:t>
            </w:r>
            <w:r w:rsidR="00CD1048">
              <w:rPr>
                <w:rFonts w:ascii="Arial" w:hAnsi="Arial" w:cs="Arial" w:hint="eastAsia"/>
                <w:color w:val="000000"/>
                <w:szCs w:val="16"/>
                <w:lang w:eastAsia="zh-CN"/>
              </w:rPr>
              <w:t xml:space="preserve"> </w:t>
            </w:r>
            <w:r>
              <w:rPr>
                <w:rFonts w:ascii="Arial" w:hAnsi="Arial" w:cs="Arial"/>
                <w:color w:val="000000"/>
                <w:szCs w:val="16"/>
              </w:rPr>
              <w:t>490</w:t>
            </w:r>
          </w:p>
        </w:tc>
      </w:tr>
      <w:tr w:rsidR="00977A9C" w14:paraId="62B6F0E1" w14:textId="77777777" w:rsidTr="00482A44">
        <w:tc>
          <w:tcPr>
            <w:cnfStyle w:val="001000000000" w:firstRow="0" w:lastRow="0" w:firstColumn="1" w:lastColumn="0" w:oddVBand="0" w:evenVBand="0" w:oddHBand="0" w:evenHBand="0" w:firstRowFirstColumn="0" w:firstRowLastColumn="0" w:lastRowFirstColumn="0" w:lastRowLastColumn="0"/>
            <w:tcW w:w="1418" w:type="dxa"/>
            <w:tcBorders>
              <w:bottom w:val="nil"/>
            </w:tcBorders>
          </w:tcPr>
          <w:p w14:paraId="1A3DDBB1" w14:textId="16AE7B1B" w:rsidR="00977A9C" w:rsidRDefault="0007383E" w:rsidP="00977A9C">
            <w:pPr>
              <w:rPr>
                <w:color w:val="4472C4"/>
                <w:sz w:val="13"/>
              </w:rPr>
            </w:pPr>
            <w:r>
              <w:rPr>
                <w:color w:val="4472C4"/>
                <w:sz w:val="13"/>
              </w:rPr>
              <w:t>AASB </w:t>
            </w:r>
            <w:r w:rsidR="00977A9C">
              <w:rPr>
                <w:color w:val="4472C4"/>
                <w:sz w:val="13"/>
              </w:rPr>
              <w:t>1060.144 (b)(iii)</w:t>
            </w:r>
          </w:p>
        </w:tc>
        <w:tc>
          <w:tcPr>
            <w:tcW w:w="6142" w:type="dxa"/>
          </w:tcPr>
          <w:p w14:paraId="05AB4776" w14:textId="77777777" w:rsidR="00977A9C" w:rsidRDefault="00977A9C" w:rsidP="00482A44">
            <w:pPr>
              <w:jc w:val="left"/>
              <w:cnfStyle w:val="000000000000" w:firstRow="0" w:lastRow="0" w:firstColumn="0" w:lastColumn="0" w:oddVBand="0" w:evenVBand="0" w:oddHBand="0" w:evenHBand="0" w:firstRowFirstColumn="0" w:firstRowLastColumn="0" w:lastRowFirstColumn="0" w:lastRowLastColumn="0"/>
            </w:pPr>
            <w:r>
              <w:t>Longer than 5 years</w:t>
            </w:r>
          </w:p>
        </w:tc>
        <w:tc>
          <w:tcPr>
            <w:tcW w:w="1039" w:type="dxa"/>
            <w:vAlign w:val="center"/>
          </w:tcPr>
          <w:p w14:paraId="16E13729" w14:textId="5422C395" w:rsidR="00977A9C" w:rsidRDefault="00977A9C" w:rsidP="00977A9C">
            <w:pP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16"/>
              </w:rPr>
              <w:t>4</w:t>
            </w:r>
            <w:r w:rsidR="00CD1048">
              <w:rPr>
                <w:rFonts w:ascii="Arial" w:hAnsi="Arial" w:cs="Arial" w:hint="eastAsia"/>
                <w:color w:val="000000"/>
                <w:szCs w:val="16"/>
                <w:lang w:eastAsia="zh-CN"/>
              </w:rPr>
              <w:t xml:space="preserve"> </w:t>
            </w:r>
            <w:r>
              <w:rPr>
                <w:rFonts w:ascii="Arial" w:hAnsi="Arial" w:cs="Arial"/>
                <w:color w:val="000000"/>
                <w:szCs w:val="16"/>
              </w:rPr>
              <w:t>399</w:t>
            </w:r>
          </w:p>
        </w:tc>
        <w:tc>
          <w:tcPr>
            <w:tcW w:w="1040" w:type="dxa"/>
            <w:vAlign w:val="center"/>
          </w:tcPr>
          <w:p w14:paraId="590DE9B3" w14:textId="54B5FE39" w:rsidR="00977A9C" w:rsidRDefault="00977A9C" w:rsidP="00977A9C">
            <w:pP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16"/>
              </w:rPr>
              <w:t>5</w:t>
            </w:r>
            <w:r w:rsidR="00CD1048">
              <w:rPr>
                <w:rFonts w:ascii="Arial" w:hAnsi="Arial" w:cs="Arial" w:hint="eastAsia"/>
                <w:color w:val="000000"/>
                <w:szCs w:val="16"/>
                <w:lang w:eastAsia="zh-CN"/>
              </w:rPr>
              <w:t xml:space="preserve"> </w:t>
            </w:r>
            <w:r>
              <w:rPr>
                <w:rFonts w:ascii="Arial" w:hAnsi="Arial" w:cs="Arial"/>
                <w:color w:val="000000"/>
                <w:szCs w:val="16"/>
              </w:rPr>
              <w:t>890</w:t>
            </w:r>
          </w:p>
        </w:tc>
      </w:tr>
      <w:tr w:rsidR="00977A9C" w14:paraId="340925CE" w14:textId="77777777" w:rsidTr="00482A44">
        <w:tc>
          <w:tcPr>
            <w:cnfStyle w:val="001000000000" w:firstRow="0" w:lastRow="0" w:firstColumn="1" w:lastColumn="0" w:oddVBand="0" w:evenVBand="0" w:oddHBand="0" w:evenHBand="0" w:firstRowFirstColumn="0" w:firstRowLastColumn="0" w:lastRowFirstColumn="0" w:lastRowLastColumn="0"/>
            <w:tcW w:w="1418" w:type="dxa"/>
            <w:tcBorders>
              <w:bottom w:val="nil"/>
            </w:tcBorders>
          </w:tcPr>
          <w:p w14:paraId="1EF2C67F" w14:textId="77777777" w:rsidR="00977A9C" w:rsidRDefault="00977A9C" w:rsidP="00977A9C">
            <w:pPr>
              <w:rPr>
                <w:b/>
              </w:rPr>
            </w:pPr>
          </w:p>
        </w:tc>
        <w:tc>
          <w:tcPr>
            <w:tcW w:w="6142" w:type="dxa"/>
          </w:tcPr>
          <w:p w14:paraId="1F7CBF2D" w14:textId="77777777" w:rsidR="00977A9C" w:rsidRDefault="00977A9C" w:rsidP="00482A44">
            <w:pPr>
              <w:jc w:val="left"/>
              <w:cnfStyle w:val="000000000000" w:firstRow="0" w:lastRow="0" w:firstColumn="0" w:lastColumn="0" w:oddVBand="0" w:evenVBand="0" w:oddHBand="0" w:evenHBand="0" w:firstRowFirstColumn="0" w:firstRowLastColumn="0" w:lastRowFirstColumn="0" w:lastRowLastColumn="0"/>
            </w:pPr>
            <w:r>
              <w:rPr>
                <w:b/>
              </w:rPr>
              <w:t>Minimum future lease payments</w:t>
            </w:r>
          </w:p>
        </w:tc>
        <w:tc>
          <w:tcPr>
            <w:tcW w:w="1039" w:type="dxa"/>
            <w:vAlign w:val="center"/>
          </w:tcPr>
          <w:p w14:paraId="0FBEE982" w14:textId="64E6BB67" w:rsidR="00977A9C" w:rsidRDefault="00977A9C" w:rsidP="00977A9C">
            <w:pPr>
              <w:cnfStyle w:val="000000000000" w:firstRow="0" w:lastRow="0" w:firstColumn="0" w:lastColumn="0" w:oddVBand="0" w:evenVBand="0" w:oddHBand="0" w:evenHBand="0" w:firstRowFirstColumn="0" w:firstRowLastColumn="0" w:lastRowFirstColumn="0" w:lastRowLastColumn="0"/>
            </w:pPr>
            <w:r>
              <w:rPr>
                <w:rFonts w:ascii="Arial" w:hAnsi="Arial" w:cs="Arial"/>
                <w:b/>
                <w:bCs/>
                <w:color w:val="000000"/>
                <w:szCs w:val="16"/>
              </w:rPr>
              <w:t>16</w:t>
            </w:r>
            <w:r w:rsidR="00CD1048">
              <w:rPr>
                <w:rFonts w:ascii="Arial" w:hAnsi="Arial" w:cs="Arial" w:hint="eastAsia"/>
                <w:b/>
                <w:bCs/>
                <w:color w:val="000000"/>
                <w:szCs w:val="16"/>
                <w:lang w:eastAsia="zh-CN"/>
              </w:rPr>
              <w:t xml:space="preserve"> </w:t>
            </w:r>
            <w:r>
              <w:rPr>
                <w:rFonts w:ascii="Arial" w:hAnsi="Arial" w:cs="Arial"/>
                <w:b/>
                <w:bCs/>
                <w:color w:val="000000"/>
                <w:szCs w:val="16"/>
              </w:rPr>
              <w:t>677</w:t>
            </w:r>
          </w:p>
        </w:tc>
        <w:tc>
          <w:tcPr>
            <w:tcW w:w="1040" w:type="dxa"/>
            <w:vAlign w:val="center"/>
          </w:tcPr>
          <w:p w14:paraId="2A10D0A2" w14:textId="02B05170" w:rsidR="00977A9C" w:rsidRDefault="00977A9C" w:rsidP="00977A9C">
            <w:pPr>
              <w:cnfStyle w:val="000000000000" w:firstRow="0" w:lastRow="0" w:firstColumn="0" w:lastColumn="0" w:oddVBand="0" w:evenVBand="0" w:oddHBand="0" w:evenHBand="0" w:firstRowFirstColumn="0" w:firstRowLastColumn="0" w:lastRowFirstColumn="0" w:lastRowLastColumn="0"/>
            </w:pPr>
            <w:r>
              <w:rPr>
                <w:rFonts w:ascii="Arial" w:hAnsi="Arial" w:cs="Arial"/>
                <w:b/>
                <w:bCs/>
                <w:color w:val="000000"/>
                <w:szCs w:val="16"/>
              </w:rPr>
              <w:t>19</w:t>
            </w:r>
            <w:r w:rsidR="00CD1048">
              <w:rPr>
                <w:rFonts w:ascii="Arial" w:hAnsi="Arial" w:cs="Arial" w:hint="eastAsia"/>
                <w:b/>
                <w:bCs/>
                <w:color w:val="000000"/>
                <w:szCs w:val="16"/>
                <w:lang w:eastAsia="zh-CN"/>
              </w:rPr>
              <w:t xml:space="preserve"> </w:t>
            </w:r>
            <w:r>
              <w:rPr>
                <w:rFonts w:ascii="Arial" w:hAnsi="Arial" w:cs="Arial"/>
                <w:b/>
                <w:bCs/>
                <w:color w:val="000000"/>
                <w:szCs w:val="16"/>
              </w:rPr>
              <w:t>674</w:t>
            </w:r>
          </w:p>
        </w:tc>
      </w:tr>
      <w:tr w:rsidR="00CD1048" w14:paraId="6B90D413" w14:textId="77777777" w:rsidTr="00482A44">
        <w:tc>
          <w:tcPr>
            <w:cnfStyle w:val="001000000000" w:firstRow="0" w:lastRow="0" w:firstColumn="1" w:lastColumn="0" w:oddVBand="0" w:evenVBand="0" w:oddHBand="0" w:evenHBand="0" w:firstRowFirstColumn="0" w:firstRowLastColumn="0" w:lastRowFirstColumn="0" w:lastRowLastColumn="0"/>
            <w:tcW w:w="1418" w:type="dxa"/>
            <w:tcBorders>
              <w:bottom w:val="nil"/>
            </w:tcBorders>
          </w:tcPr>
          <w:p w14:paraId="188D977D" w14:textId="77777777" w:rsidR="00CD1048" w:rsidRDefault="00CD1048" w:rsidP="00CD1048"/>
        </w:tc>
        <w:tc>
          <w:tcPr>
            <w:tcW w:w="6142" w:type="dxa"/>
          </w:tcPr>
          <w:p w14:paraId="5DFC1285" w14:textId="77777777" w:rsidR="00CD1048" w:rsidRDefault="00CD1048" w:rsidP="00482A44">
            <w:pPr>
              <w:jc w:val="left"/>
              <w:cnfStyle w:val="000000000000" w:firstRow="0" w:lastRow="0" w:firstColumn="0" w:lastColumn="0" w:oddVBand="0" w:evenVBand="0" w:oddHBand="0" w:evenHBand="0" w:firstRowFirstColumn="0" w:firstRowLastColumn="0" w:lastRowFirstColumn="0" w:lastRowLastColumn="0"/>
            </w:pPr>
            <w:r>
              <w:t>Less future finance charges</w:t>
            </w:r>
          </w:p>
        </w:tc>
        <w:tc>
          <w:tcPr>
            <w:tcW w:w="1039" w:type="dxa"/>
            <w:vAlign w:val="center"/>
          </w:tcPr>
          <w:p w14:paraId="2A5F6B7C" w14:textId="4130E232" w:rsidR="00CD1048" w:rsidRDefault="00CD1048" w:rsidP="00CD1048">
            <w:pP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16"/>
              </w:rPr>
              <w:t>(3</w:t>
            </w:r>
            <w:r>
              <w:rPr>
                <w:rFonts w:ascii="Arial" w:hAnsi="Arial" w:cs="Arial" w:hint="eastAsia"/>
                <w:color w:val="000000"/>
                <w:szCs w:val="16"/>
                <w:lang w:eastAsia="zh-CN"/>
              </w:rPr>
              <w:t xml:space="preserve"> </w:t>
            </w:r>
            <w:r>
              <w:rPr>
                <w:rFonts w:ascii="Arial" w:hAnsi="Arial" w:cs="Arial"/>
                <w:color w:val="000000"/>
                <w:szCs w:val="16"/>
              </w:rPr>
              <w:t>671)</w:t>
            </w:r>
          </w:p>
        </w:tc>
        <w:tc>
          <w:tcPr>
            <w:tcW w:w="1040" w:type="dxa"/>
            <w:vAlign w:val="center"/>
          </w:tcPr>
          <w:p w14:paraId="29AB2E7E" w14:textId="0B626DF6" w:rsidR="00CD1048" w:rsidRDefault="00CD1048" w:rsidP="00CD1048">
            <w:pP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16"/>
              </w:rPr>
              <w:t>(5</w:t>
            </w:r>
            <w:r>
              <w:rPr>
                <w:rFonts w:ascii="Arial" w:hAnsi="Arial" w:cs="Arial" w:hint="eastAsia"/>
                <w:color w:val="000000"/>
                <w:szCs w:val="16"/>
                <w:lang w:eastAsia="zh-CN"/>
              </w:rPr>
              <w:t xml:space="preserve"> </w:t>
            </w:r>
            <w:r>
              <w:rPr>
                <w:rFonts w:ascii="Arial" w:hAnsi="Arial" w:cs="Arial"/>
                <w:color w:val="000000"/>
                <w:szCs w:val="16"/>
              </w:rPr>
              <w:t>282)</w:t>
            </w:r>
          </w:p>
        </w:tc>
      </w:tr>
      <w:tr w:rsidR="00CD1048" w14:paraId="5A437951" w14:textId="77777777" w:rsidTr="00482A44">
        <w:tc>
          <w:tcPr>
            <w:cnfStyle w:val="001000000000" w:firstRow="0" w:lastRow="0" w:firstColumn="1" w:lastColumn="0" w:oddVBand="0" w:evenVBand="0" w:oddHBand="0" w:evenHBand="0" w:firstRowFirstColumn="0" w:firstRowLastColumn="0" w:lastRowFirstColumn="0" w:lastRowLastColumn="0"/>
            <w:tcW w:w="1418" w:type="dxa"/>
            <w:tcBorders>
              <w:bottom w:val="nil"/>
            </w:tcBorders>
          </w:tcPr>
          <w:p w14:paraId="73E0BE90" w14:textId="77777777" w:rsidR="00CD1048" w:rsidRDefault="00CD1048" w:rsidP="00CD1048">
            <w:pPr>
              <w:rPr>
                <w:b/>
              </w:rPr>
            </w:pPr>
          </w:p>
        </w:tc>
        <w:tc>
          <w:tcPr>
            <w:tcW w:w="6142" w:type="dxa"/>
          </w:tcPr>
          <w:p w14:paraId="2E24BA6A" w14:textId="77777777" w:rsidR="00CD1048" w:rsidRDefault="00CD1048" w:rsidP="00482A44">
            <w:pPr>
              <w:jc w:val="left"/>
              <w:cnfStyle w:val="000000000000" w:firstRow="0" w:lastRow="0" w:firstColumn="0" w:lastColumn="0" w:oddVBand="0" w:evenVBand="0" w:oddHBand="0" w:evenHBand="0" w:firstRowFirstColumn="0" w:firstRowLastColumn="0" w:lastRowFirstColumn="0" w:lastRowLastColumn="0"/>
            </w:pPr>
            <w:r>
              <w:rPr>
                <w:b/>
              </w:rPr>
              <w:t>Present value of minimum lease payments</w:t>
            </w:r>
          </w:p>
        </w:tc>
        <w:tc>
          <w:tcPr>
            <w:tcW w:w="1039" w:type="dxa"/>
            <w:vAlign w:val="center"/>
          </w:tcPr>
          <w:p w14:paraId="5210425C" w14:textId="5A214005" w:rsidR="00CD1048" w:rsidRDefault="00CD1048" w:rsidP="00CD1048">
            <w:pPr>
              <w:cnfStyle w:val="000000000000" w:firstRow="0" w:lastRow="0" w:firstColumn="0" w:lastColumn="0" w:oddVBand="0" w:evenVBand="0" w:oddHBand="0" w:evenHBand="0" w:firstRowFirstColumn="0" w:firstRowLastColumn="0" w:lastRowFirstColumn="0" w:lastRowLastColumn="0"/>
            </w:pPr>
            <w:r>
              <w:rPr>
                <w:rFonts w:ascii="Arial" w:hAnsi="Arial" w:cs="Arial"/>
                <w:b/>
                <w:bCs/>
                <w:color w:val="000000"/>
                <w:szCs w:val="16"/>
              </w:rPr>
              <w:t>13</w:t>
            </w:r>
            <w:r>
              <w:rPr>
                <w:rFonts w:ascii="Arial" w:hAnsi="Arial" w:cs="Arial" w:hint="eastAsia"/>
                <w:b/>
                <w:bCs/>
                <w:color w:val="000000"/>
                <w:szCs w:val="16"/>
                <w:lang w:eastAsia="zh-CN"/>
              </w:rPr>
              <w:t xml:space="preserve"> </w:t>
            </w:r>
            <w:r>
              <w:rPr>
                <w:rFonts w:ascii="Arial" w:hAnsi="Arial" w:cs="Arial"/>
                <w:b/>
                <w:bCs/>
                <w:color w:val="000000"/>
                <w:szCs w:val="16"/>
              </w:rPr>
              <w:t>006</w:t>
            </w:r>
          </w:p>
        </w:tc>
        <w:tc>
          <w:tcPr>
            <w:tcW w:w="1040" w:type="dxa"/>
            <w:vAlign w:val="center"/>
          </w:tcPr>
          <w:p w14:paraId="54CE92B2" w14:textId="48A1EEDC" w:rsidR="00CD1048" w:rsidRDefault="00CD1048" w:rsidP="00CD1048">
            <w:pPr>
              <w:cnfStyle w:val="000000000000" w:firstRow="0" w:lastRow="0" w:firstColumn="0" w:lastColumn="0" w:oddVBand="0" w:evenVBand="0" w:oddHBand="0" w:evenHBand="0" w:firstRowFirstColumn="0" w:firstRowLastColumn="0" w:lastRowFirstColumn="0" w:lastRowLastColumn="0"/>
            </w:pPr>
            <w:r>
              <w:rPr>
                <w:rFonts w:ascii="Arial" w:hAnsi="Arial" w:cs="Arial"/>
                <w:b/>
                <w:bCs/>
                <w:color w:val="000000"/>
                <w:szCs w:val="16"/>
              </w:rPr>
              <w:t>14</w:t>
            </w:r>
            <w:r>
              <w:rPr>
                <w:rFonts w:ascii="Arial" w:hAnsi="Arial" w:cs="Arial" w:hint="eastAsia"/>
                <w:b/>
                <w:bCs/>
                <w:color w:val="000000"/>
                <w:szCs w:val="16"/>
                <w:lang w:eastAsia="zh-CN"/>
              </w:rPr>
              <w:t xml:space="preserve"> </w:t>
            </w:r>
            <w:r>
              <w:rPr>
                <w:rFonts w:ascii="Arial" w:hAnsi="Arial" w:cs="Arial"/>
                <w:b/>
                <w:bCs/>
                <w:color w:val="000000"/>
                <w:szCs w:val="16"/>
              </w:rPr>
              <w:t>392</w:t>
            </w:r>
          </w:p>
        </w:tc>
      </w:tr>
    </w:tbl>
    <w:p w14:paraId="49C0663D" w14:textId="79075083" w:rsidR="003719CD" w:rsidRDefault="003719CD" w:rsidP="007D536F">
      <w:pPr>
        <w:pStyle w:val="Note"/>
      </w:pPr>
      <w:r>
        <w:t>Note:</w:t>
      </w:r>
    </w:p>
    <w:p w14:paraId="751F0B52" w14:textId="77777777" w:rsidR="003719CD" w:rsidRDefault="003719CD" w:rsidP="007D536F">
      <w:pPr>
        <w:pStyle w:val="Note"/>
      </w:pPr>
      <w:r>
        <w:t>(a)</w:t>
      </w:r>
      <w:r>
        <w:tab/>
        <w:t>Minimum future lease payments include the aggregate of all base payments and any guaranteed residual.</w:t>
      </w:r>
    </w:p>
    <w:p w14:paraId="43024ED6" w14:textId="77777777" w:rsidR="003719CD" w:rsidRPr="002A0038" w:rsidRDefault="003719CD" w:rsidP="002A0038">
      <w:pPr>
        <w:pStyle w:val="Note"/>
        <w:spacing w:before="160" w:after="80" w:line="264" w:lineRule="auto"/>
        <w:rPr>
          <w:i w:val="0"/>
          <w:iCs/>
          <w:sz w:val="20"/>
          <w:szCs w:val="20"/>
        </w:rPr>
      </w:pPr>
    </w:p>
    <w:p w14:paraId="379E070D" w14:textId="14A31DB0" w:rsidR="003719CD" w:rsidRDefault="003719CD" w:rsidP="00482A44">
      <w:pPr>
        <w:pStyle w:val="GuidanceBlockHeading"/>
        <w:pageBreakBefore/>
      </w:pPr>
      <w:bookmarkStart w:id="3787" w:name="_Toc179813142"/>
      <w:bookmarkStart w:id="3788" w:name="_Toc179818842"/>
      <w:bookmarkStart w:id="3789" w:name="_Toc179824542"/>
      <w:r>
        <w:t>Guidance – Leases</w:t>
      </w:r>
      <w:bookmarkEnd w:id="3787"/>
      <w:bookmarkEnd w:id="3788"/>
      <w:bookmarkEnd w:id="3789"/>
      <w:r w:rsidR="00A5392E">
        <w:t xml:space="preserve"> [REVISED]</w:t>
      </w:r>
    </w:p>
    <w:p w14:paraId="0EE43766" w14:textId="77777777" w:rsidR="001A073B" w:rsidRPr="001A073B" w:rsidRDefault="001A073B" w:rsidP="002A0038">
      <w:pPr>
        <w:spacing w:before="120" w:after="0"/>
        <w:rPr>
          <w:color w:val="4472C4" w:themeColor="accent1"/>
        </w:rPr>
      </w:pPr>
      <w:r w:rsidRPr="001A073B">
        <w:rPr>
          <w:color w:val="4472C4" w:themeColor="accent1"/>
        </w:rPr>
        <w:t xml:space="preserve">A lessee shall make the following disclosures for leases: </w:t>
      </w:r>
    </w:p>
    <w:p w14:paraId="642E0803" w14:textId="37FFAD93" w:rsidR="001A073B" w:rsidRPr="001A073B" w:rsidRDefault="00F77BFB" w:rsidP="00482A44">
      <w:pPr>
        <w:pStyle w:val="ListBullet"/>
        <w:numPr>
          <w:ilvl w:val="0"/>
          <w:numId w:val="343"/>
        </w:numPr>
        <w:tabs>
          <w:tab w:val="clear" w:pos="284"/>
        </w:tabs>
        <w:spacing w:after="0"/>
        <w:ind w:left="360" w:hanging="360"/>
        <w:rPr>
          <w:rStyle w:val="Guidance"/>
        </w:rPr>
      </w:pPr>
      <w:r>
        <w:rPr>
          <w:rStyle w:val="Guidance"/>
        </w:rPr>
        <w:t>F</w:t>
      </w:r>
      <w:r w:rsidR="001A073B" w:rsidRPr="001A073B">
        <w:rPr>
          <w:rStyle w:val="Guidance"/>
        </w:rPr>
        <w:t xml:space="preserve">or each class of underlying asset, the net carrying amount of the right-of-use asset at the end of the reporting period </w:t>
      </w:r>
    </w:p>
    <w:p w14:paraId="54F651A0" w14:textId="66B2A3FC" w:rsidR="001A073B" w:rsidRPr="001A073B" w:rsidRDefault="00F77BFB" w:rsidP="00482A44">
      <w:pPr>
        <w:pStyle w:val="ListBullet"/>
        <w:numPr>
          <w:ilvl w:val="0"/>
          <w:numId w:val="343"/>
        </w:numPr>
        <w:tabs>
          <w:tab w:val="clear" w:pos="284"/>
        </w:tabs>
        <w:spacing w:after="0"/>
        <w:ind w:left="360" w:hanging="360"/>
        <w:rPr>
          <w:rStyle w:val="Guidance"/>
        </w:rPr>
      </w:pPr>
      <w:r>
        <w:rPr>
          <w:rStyle w:val="Guidance"/>
        </w:rPr>
        <w:t>T</w:t>
      </w:r>
      <w:r w:rsidR="001A073B" w:rsidRPr="001A073B">
        <w:rPr>
          <w:rStyle w:val="Guidance"/>
        </w:rPr>
        <w:t xml:space="preserve">he total of future lease payments at the end of the reporting period, for each of the following periods: </w:t>
      </w:r>
    </w:p>
    <w:p w14:paraId="08A64E9B" w14:textId="4B570C09" w:rsidR="001A073B" w:rsidRPr="001A073B" w:rsidRDefault="001A073B" w:rsidP="002A0038">
      <w:pPr>
        <w:pStyle w:val="ListBullet"/>
        <w:numPr>
          <w:ilvl w:val="0"/>
          <w:numId w:val="344"/>
        </w:numPr>
        <w:spacing w:after="0"/>
        <w:ind w:left="697" w:hanging="357"/>
        <w:rPr>
          <w:rStyle w:val="Guidance"/>
        </w:rPr>
      </w:pPr>
      <w:r w:rsidRPr="001A073B">
        <w:rPr>
          <w:rStyle w:val="Guidance"/>
        </w:rPr>
        <w:t xml:space="preserve">not later than one year </w:t>
      </w:r>
    </w:p>
    <w:p w14:paraId="6F223DDD" w14:textId="6575A0A4" w:rsidR="001A073B" w:rsidRPr="001A073B" w:rsidRDefault="001A073B" w:rsidP="002A0038">
      <w:pPr>
        <w:pStyle w:val="ListBullet"/>
        <w:numPr>
          <w:ilvl w:val="0"/>
          <w:numId w:val="344"/>
        </w:numPr>
        <w:spacing w:after="0"/>
        <w:ind w:left="697" w:hanging="357"/>
        <w:rPr>
          <w:rStyle w:val="Guidance"/>
        </w:rPr>
      </w:pPr>
      <w:r w:rsidRPr="001A073B">
        <w:rPr>
          <w:rStyle w:val="Guidance"/>
        </w:rPr>
        <w:t>later than one year and not later than five years</w:t>
      </w:r>
    </w:p>
    <w:p w14:paraId="0FAC31E9" w14:textId="247D7BEF" w:rsidR="001A073B" w:rsidRPr="001A073B" w:rsidRDefault="001A073B" w:rsidP="002A0038">
      <w:pPr>
        <w:pStyle w:val="ListBullet"/>
        <w:numPr>
          <w:ilvl w:val="0"/>
          <w:numId w:val="344"/>
        </w:numPr>
        <w:spacing w:after="0"/>
        <w:ind w:left="697" w:hanging="357"/>
        <w:rPr>
          <w:rStyle w:val="Guidance"/>
        </w:rPr>
      </w:pPr>
      <w:r w:rsidRPr="001A073B">
        <w:rPr>
          <w:rStyle w:val="Guidance"/>
        </w:rPr>
        <w:t xml:space="preserve">later than five years; and </w:t>
      </w:r>
    </w:p>
    <w:p w14:paraId="04DA0197" w14:textId="6E49F49A" w:rsidR="001E26BC" w:rsidRDefault="00F77BFB" w:rsidP="00482A44">
      <w:pPr>
        <w:pStyle w:val="ListBullet"/>
        <w:numPr>
          <w:ilvl w:val="0"/>
          <w:numId w:val="343"/>
        </w:numPr>
        <w:tabs>
          <w:tab w:val="clear" w:pos="284"/>
        </w:tabs>
        <w:spacing w:after="0"/>
        <w:ind w:left="360" w:hanging="360"/>
        <w:rPr>
          <w:color w:val="4472C4" w:themeColor="accent1"/>
        </w:rPr>
      </w:pPr>
      <w:r>
        <w:rPr>
          <w:rStyle w:val="Guidance"/>
        </w:rPr>
        <w:t>A</w:t>
      </w:r>
      <w:r w:rsidR="001A073B" w:rsidRPr="001A073B">
        <w:rPr>
          <w:rStyle w:val="Guidance"/>
        </w:rPr>
        <w:t xml:space="preserve"> general description of the lessee’s significant leasing arrangements including, for example, information about variable lease payments, extension and termination options, residual value guarantees, subleases and restrictions imposed by lease arrangements.</w:t>
      </w:r>
      <w:r w:rsidR="001A073B">
        <w:rPr>
          <w:rStyle w:val="Guidance"/>
        </w:rPr>
        <w:t xml:space="preserve"> </w:t>
      </w:r>
      <w:r w:rsidR="001A073B" w:rsidRPr="00254BFF">
        <w:rPr>
          <w:rStyle w:val="Reference"/>
        </w:rPr>
        <w:t>[</w:t>
      </w:r>
      <w:r w:rsidR="0007383E">
        <w:rPr>
          <w:rStyle w:val="Reference"/>
        </w:rPr>
        <w:t>AASB </w:t>
      </w:r>
      <w:r w:rsidR="001A073B">
        <w:rPr>
          <w:rStyle w:val="Reference"/>
        </w:rPr>
        <w:t>1060.144]</w:t>
      </w:r>
    </w:p>
    <w:p w14:paraId="47A58CC9" w14:textId="4298CC20" w:rsidR="00AE0FD1" w:rsidRPr="002A0038" w:rsidRDefault="00ED0FE0" w:rsidP="002A0038">
      <w:pPr>
        <w:pStyle w:val="ListBullet"/>
        <w:numPr>
          <w:ilvl w:val="0"/>
          <w:numId w:val="0"/>
        </w:numPr>
        <w:spacing w:before="120" w:after="0"/>
        <w:rPr>
          <w:rStyle w:val="Guidance"/>
        </w:rPr>
      </w:pPr>
      <w:r w:rsidRPr="002A0038">
        <w:rPr>
          <w:rStyle w:val="Guidance"/>
        </w:rPr>
        <w:t>The following requirements for disclosure about assets apply to lessees for the right-of-use assets</w:t>
      </w:r>
      <w:r w:rsidR="00D07335">
        <w:rPr>
          <w:rStyle w:val="Guidance"/>
        </w:rPr>
        <w:t>:</w:t>
      </w:r>
      <w:r w:rsidRPr="002A0038">
        <w:rPr>
          <w:rStyle w:val="Guidance"/>
        </w:rPr>
        <w:t xml:space="preserve"> </w:t>
      </w:r>
    </w:p>
    <w:p w14:paraId="1AEB6CFD" w14:textId="2639B407" w:rsidR="00ED0FE0" w:rsidRDefault="00F77BFB" w:rsidP="00482A44">
      <w:pPr>
        <w:pStyle w:val="ListBullet"/>
        <w:numPr>
          <w:ilvl w:val="0"/>
          <w:numId w:val="345"/>
        </w:numPr>
        <w:tabs>
          <w:tab w:val="clear" w:pos="284"/>
        </w:tabs>
        <w:spacing w:after="0"/>
        <w:ind w:left="360" w:hanging="360"/>
        <w:rPr>
          <w:color w:val="4472C4" w:themeColor="accent1"/>
        </w:rPr>
      </w:pPr>
      <w:r>
        <w:rPr>
          <w:color w:val="4472C4" w:themeColor="accent1"/>
        </w:rPr>
        <w:t>A</w:t>
      </w:r>
      <w:r w:rsidR="006F5583" w:rsidRPr="006F5583">
        <w:rPr>
          <w:color w:val="4472C4" w:themeColor="accent1"/>
        </w:rPr>
        <w:t xml:space="preserve"> reconciliation of the carrying amount at the beginning and end of the reporting period, showing separately:</w:t>
      </w:r>
    </w:p>
    <w:p w14:paraId="572DC8ED" w14:textId="6CA09894" w:rsidR="006F5583" w:rsidRDefault="00830213" w:rsidP="002A0038">
      <w:pPr>
        <w:pStyle w:val="ListAlpha2"/>
        <w:numPr>
          <w:ilvl w:val="1"/>
          <w:numId w:val="346"/>
        </w:numPr>
        <w:spacing w:after="0"/>
        <w:ind w:left="697" w:hanging="357"/>
        <w:rPr>
          <w:rStyle w:val="Guidance"/>
        </w:rPr>
      </w:pPr>
      <w:r>
        <w:rPr>
          <w:rStyle w:val="Guidance"/>
        </w:rPr>
        <w:t>additions</w:t>
      </w:r>
    </w:p>
    <w:p w14:paraId="3016FD88" w14:textId="28A21D8A" w:rsidR="00C43585" w:rsidRDefault="00830213" w:rsidP="002A0038">
      <w:pPr>
        <w:pStyle w:val="ListAlpha2"/>
        <w:numPr>
          <w:ilvl w:val="1"/>
          <w:numId w:val="346"/>
        </w:numPr>
        <w:spacing w:after="0"/>
        <w:ind w:left="697" w:hanging="357"/>
        <w:rPr>
          <w:color w:val="4472C4" w:themeColor="accent1"/>
        </w:rPr>
      </w:pPr>
      <w:r w:rsidRPr="00830213">
        <w:rPr>
          <w:color w:val="4472C4" w:themeColor="accent1"/>
        </w:rPr>
        <w:t>depreciation</w:t>
      </w:r>
    </w:p>
    <w:p w14:paraId="6158C063" w14:textId="6B50C4AF" w:rsidR="004D5220" w:rsidRPr="004D5220" w:rsidRDefault="004D5220" w:rsidP="002A0038">
      <w:pPr>
        <w:pStyle w:val="ListBullet"/>
        <w:numPr>
          <w:ilvl w:val="0"/>
          <w:numId w:val="0"/>
        </w:numPr>
        <w:spacing w:before="120" w:after="0"/>
        <w:rPr>
          <w:rStyle w:val="Guidance"/>
        </w:rPr>
      </w:pPr>
      <w:r w:rsidRPr="004D5220">
        <w:rPr>
          <w:rStyle w:val="Guidance"/>
        </w:rPr>
        <w:t xml:space="preserve">A lessee shall make the following disclosures for short-term leases and leases of low-value assets that are not recognised as right-of-use assets under the exemption in paragraph 6 of </w:t>
      </w:r>
      <w:r w:rsidR="0007383E">
        <w:rPr>
          <w:rStyle w:val="Guidance"/>
        </w:rPr>
        <w:t>AASB </w:t>
      </w:r>
      <w:r w:rsidRPr="004D5220">
        <w:rPr>
          <w:rStyle w:val="Guidance"/>
        </w:rPr>
        <w:t>16:</w:t>
      </w:r>
    </w:p>
    <w:p w14:paraId="24D98B01" w14:textId="30EB95BE" w:rsidR="004D5220" w:rsidRPr="004D5220" w:rsidRDefault="00F77BFB" w:rsidP="00482A44">
      <w:pPr>
        <w:pStyle w:val="ListBullet"/>
        <w:numPr>
          <w:ilvl w:val="0"/>
          <w:numId w:val="348"/>
        </w:numPr>
        <w:tabs>
          <w:tab w:val="clear" w:pos="284"/>
        </w:tabs>
        <w:spacing w:after="0"/>
        <w:ind w:left="360" w:hanging="360"/>
        <w:rPr>
          <w:rStyle w:val="Guidance"/>
        </w:rPr>
      </w:pPr>
      <w:r>
        <w:rPr>
          <w:rStyle w:val="Guidance"/>
        </w:rPr>
        <w:t>T</w:t>
      </w:r>
      <w:r w:rsidR="004D5220" w:rsidRPr="004D5220">
        <w:rPr>
          <w:rStyle w:val="Guidance"/>
        </w:rPr>
        <w:t xml:space="preserve">he amount of its lease commitments for short-term leases if the portfolio of short-term leases to which it is committed at the end of the reporting period is dissimilar to the portfolio of short-term leases to which the short-term lease expense </w:t>
      </w:r>
      <w:r w:rsidR="00F211B2">
        <w:rPr>
          <w:rStyle w:val="Guidance"/>
        </w:rPr>
        <w:t xml:space="preserve">is </w:t>
      </w:r>
      <w:r w:rsidR="004D5220" w:rsidRPr="004D5220">
        <w:rPr>
          <w:rStyle w:val="Guidance"/>
        </w:rPr>
        <w:t>disclosed; and</w:t>
      </w:r>
    </w:p>
    <w:p w14:paraId="04B6A612" w14:textId="58DC68D9" w:rsidR="001A073B" w:rsidRDefault="00F77BFB" w:rsidP="00482A44">
      <w:pPr>
        <w:pStyle w:val="ListBullet"/>
        <w:numPr>
          <w:ilvl w:val="0"/>
          <w:numId w:val="348"/>
        </w:numPr>
        <w:tabs>
          <w:tab w:val="clear" w:pos="284"/>
        </w:tabs>
        <w:spacing w:after="0"/>
        <w:ind w:left="360" w:hanging="360"/>
        <w:rPr>
          <w:rStyle w:val="Guidance"/>
        </w:rPr>
      </w:pPr>
      <w:r>
        <w:rPr>
          <w:rStyle w:val="Guidance"/>
        </w:rPr>
        <w:t>L</w:t>
      </w:r>
      <w:r w:rsidR="004D5220" w:rsidRPr="004D5220">
        <w:rPr>
          <w:rStyle w:val="Guidance"/>
        </w:rPr>
        <w:t>ease payments recognised as an expense.</w:t>
      </w:r>
      <w:r w:rsidR="004D5220">
        <w:rPr>
          <w:rStyle w:val="Guidance"/>
        </w:rPr>
        <w:t xml:space="preserve"> </w:t>
      </w:r>
      <w:r w:rsidR="004D5220" w:rsidRPr="00254BFF">
        <w:rPr>
          <w:rStyle w:val="Reference"/>
        </w:rPr>
        <w:t>[</w:t>
      </w:r>
      <w:r w:rsidR="0007383E">
        <w:rPr>
          <w:rStyle w:val="Reference"/>
        </w:rPr>
        <w:t>AASB </w:t>
      </w:r>
      <w:r w:rsidR="004D5220">
        <w:rPr>
          <w:rStyle w:val="Reference"/>
        </w:rPr>
        <w:t>1060.14</w:t>
      </w:r>
      <w:r w:rsidR="00AE0FD1">
        <w:rPr>
          <w:rStyle w:val="Reference"/>
        </w:rPr>
        <w:t>6</w:t>
      </w:r>
      <w:r w:rsidR="004D5220">
        <w:rPr>
          <w:rStyle w:val="Reference"/>
        </w:rPr>
        <w:t>]</w:t>
      </w:r>
    </w:p>
    <w:p w14:paraId="453A1C2C" w14:textId="77777777" w:rsidR="003719CD" w:rsidRDefault="003719CD" w:rsidP="007D536F">
      <w:pPr>
        <w:pStyle w:val="GuidanceEnd"/>
      </w:pPr>
    </w:p>
    <w:p w14:paraId="61578CE3" w14:textId="77777777" w:rsidR="003719CD" w:rsidRDefault="003719CD" w:rsidP="00A80494">
      <w:pPr>
        <w:pStyle w:val="Heading2numbered"/>
      </w:pPr>
      <w:bookmarkStart w:id="3790" w:name="_Toc96704976"/>
      <w:bookmarkStart w:id="3791" w:name="_Toc130225985"/>
      <w:bookmarkStart w:id="3792" w:name="_Toc64983169"/>
      <w:bookmarkStart w:id="3793" w:name="_Toc179813143"/>
      <w:bookmarkStart w:id="3794" w:name="_Toc179818843"/>
      <w:bookmarkStart w:id="3795" w:name="_Toc179824543"/>
      <w:bookmarkStart w:id="3796" w:name="_Toc179830201"/>
      <w:bookmarkStart w:id="3797" w:name="_Toc179861731"/>
      <w:bookmarkStart w:id="3798" w:name="_Toc179869037"/>
      <w:bookmarkStart w:id="3799" w:name="_Toc179873430"/>
      <w:bookmarkStart w:id="3800" w:name="_Toc179877823"/>
      <w:bookmarkStart w:id="3801" w:name="_Toc179880324"/>
      <w:bookmarkStart w:id="3802" w:name="_Toc190333175"/>
      <w:bookmarkStart w:id="3803" w:name="_Toc190340941"/>
      <w:r>
        <w:t>Cash flow information and balances</w:t>
      </w:r>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p>
    <w:p w14:paraId="76C4D68C" w14:textId="12B14910" w:rsidR="003719CD" w:rsidRDefault="003719CD" w:rsidP="00DC39DE">
      <w:r>
        <w:t xml:space="preserve">Cash and deposits, including cash equivalents, comprise cash on hand and cash at bank </w:t>
      </w:r>
      <w:r w:rsidR="00CE1189" w:rsidRPr="006F6737">
        <w:rPr>
          <w:rStyle w:val="Reference"/>
        </w:rPr>
        <w:t>[</w:t>
      </w:r>
      <w:r w:rsidR="0007383E">
        <w:rPr>
          <w:rStyle w:val="Reference"/>
        </w:rPr>
        <w:t>AASB </w:t>
      </w:r>
      <w:r w:rsidR="008E0878">
        <w:rPr>
          <w:rStyle w:val="Reference"/>
        </w:rPr>
        <w:t>1060.88</w:t>
      </w:r>
      <w:r w:rsidR="00CE1189" w:rsidRPr="006F6737">
        <w:rPr>
          <w:rStyle w:val="Reference"/>
        </w:rPr>
        <w:t>]</w:t>
      </w:r>
      <w:r w:rsidR="00F352CF">
        <w:rPr>
          <w:rStyle w:val="Reference"/>
          <w:rFonts w:hint="eastAsia"/>
          <w:lang w:eastAsia="zh-CN"/>
        </w:rPr>
        <w:t xml:space="preserve">. </w:t>
      </w:r>
      <w:r w:rsidR="00F352CF">
        <w:rPr>
          <w:rFonts w:hint="eastAsia"/>
          <w:lang w:eastAsia="zh-CN"/>
        </w:rPr>
        <w:t>TV</w:t>
      </w:r>
      <w:r w:rsidR="00F352CF">
        <w:rPr>
          <w:lang w:eastAsia="zh-CN"/>
        </w:rPr>
        <w:t>’</w:t>
      </w:r>
      <w:r w:rsidR="00F352CF">
        <w:rPr>
          <w:rFonts w:hint="eastAsia"/>
          <w:lang w:eastAsia="zh-CN"/>
        </w:rPr>
        <w:t>s</w:t>
      </w:r>
      <w:r w:rsidR="00F352CF" w:rsidRPr="00B770D8">
        <w:rPr>
          <w:rFonts w:hint="eastAsia"/>
        </w:rPr>
        <w:t xml:space="preserve"> </w:t>
      </w:r>
      <w:r w:rsidR="00F352CF" w:rsidRPr="00B770D8">
        <w:t xml:space="preserve">bank accounts </w:t>
      </w:r>
      <w:r w:rsidR="00F352CF">
        <w:rPr>
          <w:rFonts w:hint="eastAsia"/>
          <w:lang w:eastAsia="zh-CN"/>
        </w:rPr>
        <w:t xml:space="preserve">are held </w:t>
      </w:r>
      <w:r w:rsidR="00F352CF" w:rsidRPr="00B770D8">
        <w:t xml:space="preserve">in the </w:t>
      </w:r>
      <w:r w:rsidR="00F352CF">
        <w:rPr>
          <w:rFonts w:hint="eastAsia"/>
          <w:lang w:eastAsia="zh-CN"/>
        </w:rPr>
        <w:t>Central Banking System (</w:t>
      </w:r>
      <w:r w:rsidR="00F352CF" w:rsidRPr="00B770D8">
        <w:t>CBS</w:t>
      </w:r>
      <w:r w:rsidR="00F352CF">
        <w:rPr>
          <w:rFonts w:hint="eastAsia"/>
          <w:lang w:eastAsia="zh-CN"/>
        </w:rPr>
        <w:t>) under the</w:t>
      </w:r>
      <w:r w:rsidR="00F352CF" w:rsidRPr="00960347">
        <w:rPr>
          <w:i/>
          <w:iCs/>
        </w:rPr>
        <w:t xml:space="preserve"> </w:t>
      </w:r>
      <w:r w:rsidR="00F352CF" w:rsidRPr="004907BD">
        <w:rPr>
          <w:i/>
          <w:iCs/>
        </w:rPr>
        <w:t>Standing Directions 2018</w:t>
      </w:r>
      <w:r w:rsidR="00F352CF" w:rsidRPr="00B770D8">
        <w:t>.</w:t>
      </w:r>
    </w:p>
    <w:p w14:paraId="7867C340" w14:textId="77777777" w:rsidR="003719CD" w:rsidRDefault="003719CD" w:rsidP="00DC39DE">
      <w:r>
        <w:t>For cash flow statement presentation purposes, cash and cash equivalents include bank overdrafts, which are included as current borrowings on the balance sheet, as indicated in the reconciliation below.</w:t>
      </w:r>
    </w:p>
    <w:p w14:paraId="3FBA5AF9" w14:textId="77777777" w:rsidR="003719CD" w:rsidRDefault="003719CD" w:rsidP="007D536F">
      <w:pPr>
        <w:pStyle w:val="TableUnits"/>
      </w:pPr>
      <w:r>
        <w:t>($ thousand)</w:t>
      </w:r>
    </w:p>
    <w:tbl>
      <w:tblPr>
        <w:tblStyle w:val="DTFTable"/>
        <w:tblW w:w="9639" w:type="dxa"/>
        <w:tblLayout w:type="fixed"/>
        <w:tblLook w:val="0620" w:firstRow="1" w:lastRow="0" w:firstColumn="0" w:lastColumn="0" w:noHBand="1" w:noVBand="1"/>
      </w:tblPr>
      <w:tblGrid>
        <w:gridCol w:w="1349"/>
        <w:gridCol w:w="6558"/>
        <w:gridCol w:w="866"/>
        <w:gridCol w:w="866"/>
      </w:tblGrid>
      <w:tr w:rsidR="00182709" w14:paraId="0C88B883" w14:textId="77777777" w:rsidTr="00B70F75">
        <w:trPr>
          <w:cnfStyle w:val="100000000000" w:firstRow="1" w:lastRow="0" w:firstColumn="0" w:lastColumn="0" w:oddVBand="0" w:evenVBand="0" w:oddHBand="0" w:evenHBand="0" w:firstRowFirstColumn="0" w:firstRowLastColumn="0" w:lastRowFirstColumn="0" w:lastRowLastColumn="0"/>
          <w:tblHeader/>
        </w:trPr>
        <w:tc>
          <w:tcPr>
            <w:tcW w:w="1349" w:type="dxa"/>
            <w:tcBorders>
              <w:top w:val="nil"/>
              <w:bottom w:val="nil"/>
            </w:tcBorders>
            <w:shd w:val="clear" w:color="auto" w:fill="FFFFFF" w:themeFill="background1"/>
          </w:tcPr>
          <w:p w14:paraId="2CE6E902" w14:textId="77777777" w:rsidR="00182709" w:rsidRDefault="0044097C">
            <w:pPr>
              <w:keepNext/>
              <w:jc w:val="left"/>
            </w:pPr>
            <w:r>
              <w:rPr>
                <w:color w:val="4472C4"/>
                <w:sz w:val="13"/>
              </w:rPr>
              <w:t>Source reference</w:t>
            </w:r>
          </w:p>
        </w:tc>
        <w:tc>
          <w:tcPr>
            <w:tcW w:w="6558" w:type="dxa"/>
          </w:tcPr>
          <w:p w14:paraId="3185B803" w14:textId="77777777" w:rsidR="00182709" w:rsidRDefault="00182709">
            <w:pPr>
              <w:keepNext/>
              <w:jc w:val="left"/>
            </w:pPr>
          </w:p>
        </w:tc>
        <w:tc>
          <w:tcPr>
            <w:tcW w:w="866" w:type="dxa"/>
          </w:tcPr>
          <w:p w14:paraId="71F10D19" w14:textId="77777777" w:rsidR="00182709" w:rsidRDefault="0044097C">
            <w:pPr>
              <w:keepNext/>
            </w:pPr>
            <w:r>
              <w:t>20X2</w:t>
            </w:r>
          </w:p>
        </w:tc>
        <w:tc>
          <w:tcPr>
            <w:tcW w:w="866" w:type="dxa"/>
          </w:tcPr>
          <w:p w14:paraId="47907942" w14:textId="77777777" w:rsidR="00182709" w:rsidRDefault="0044097C">
            <w:pPr>
              <w:keepNext/>
            </w:pPr>
            <w:r>
              <w:t>20X1</w:t>
            </w:r>
          </w:p>
        </w:tc>
      </w:tr>
      <w:tr w:rsidR="00647FEF" w14:paraId="62EB4345" w14:textId="77777777" w:rsidTr="002A0038">
        <w:tc>
          <w:tcPr>
            <w:tcW w:w="0" w:type="dxa"/>
          </w:tcPr>
          <w:p w14:paraId="741B43C4" w14:textId="339537BD" w:rsidR="00647FEF" w:rsidRDefault="0007383E" w:rsidP="00647FEF">
            <w:pPr>
              <w:jc w:val="left"/>
            </w:pPr>
            <w:r>
              <w:rPr>
                <w:color w:val="4472C4"/>
                <w:sz w:val="13"/>
              </w:rPr>
              <w:t>AASB </w:t>
            </w:r>
            <w:r w:rsidR="00647FEF">
              <w:rPr>
                <w:color w:val="4472C4"/>
                <w:sz w:val="13"/>
              </w:rPr>
              <w:t>1060.88</w:t>
            </w:r>
          </w:p>
        </w:tc>
        <w:tc>
          <w:tcPr>
            <w:tcW w:w="0" w:type="dxa"/>
          </w:tcPr>
          <w:p w14:paraId="5503AFA9" w14:textId="553DCFE1" w:rsidR="00647FEF" w:rsidRPr="002A0038" w:rsidRDefault="00647FEF" w:rsidP="00647FEF">
            <w:pPr>
              <w:jc w:val="left"/>
              <w:rPr>
                <w:b/>
                <w:bCs/>
              </w:rPr>
            </w:pPr>
            <w:r w:rsidRPr="002A0038">
              <w:rPr>
                <w:b/>
                <w:bCs/>
              </w:rPr>
              <w:t>Total cash and deposits disclosed in the balance sheet</w:t>
            </w:r>
            <w:r>
              <w:rPr>
                <w:b/>
                <w:vertAlign w:val="superscript"/>
              </w:rPr>
              <w:t xml:space="preserve"> (a)</w:t>
            </w:r>
          </w:p>
        </w:tc>
        <w:tc>
          <w:tcPr>
            <w:tcW w:w="0" w:type="dxa"/>
          </w:tcPr>
          <w:p w14:paraId="0976D12C" w14:textId="3F8339ED" w:rsidR="00647FEF" w:rsidRPr="00391526" w:rsidRDefault="00647FEF" w:rsidP="00647FEF">
            <w:r w:rsidRPr="00391526">
              <w:t>71 083</w:t>
            </w:r>
          </w:p>
        </w:tc>
        <w:tc>
          <w:tcPr>
            <w:tcW w:w="0" w:type="dxa"/>
            <w:vAlign w:val="center"/>
          </w:tcPr>
          <w:p w14:paraId="2E43323E" w14:textId="0326A1FA" w:rsidR="00647FEF" w:rsidRPr="00391526" w:rsidRDefault="00647FEF" w:rsidP="00647FEF">
            <w:r>
              <w:rPr>
                <w:rFonts w:ascii="Arial" w:hAnsi="Arial" w:cs="Arial"/>
                <w:color w:val="000000"/>
                <w:szCs w:val="16"/>
              </w:rPr>
              <w:t>66</w:t>
            </w:r>
            <w:r>
              <w:rPr>
                <w:rFonts w:ascii="Arial" w:hAnsi="Arial" w:cs="Arial" w:hint="eastAsia"/>
                <w:color w:val="000000"/>
                <w:szCs w:val="16"/>
                <w:lang w:eastAsia="zh-CN"/>
              </w:rPr>
              <w:t xml:space="preserve"> </w:t>
            </w:r>
            <w:r>
              <w:rPr>
                <w:rFonts w:ascii="Arial" w:hAnsi="Arial" w:cs="Arial"/>
                <w:color w:val="000000"/>
                <w:szCs w:val="16"/>
              </w:rPr>
              <w:t>443</w:t>
            </w:r>
          </w:p>
        </w:tc>
      </w:tr>
      <w:tr w:rsidR="00647FEF" w14:paraId="321D88D7" w14:textId="77777777" w:rsidTr="002A0038">
        <w:tc>
          <w:tcPr>
            <w:tcW w:w="0" w:type="dxa"/>
          </w:tcPr>
          <w:p w14:paraId="7680AA98" w14:textId="77777777" w:rsidR="00647FEF" w:rsidRDefault="00647FEF" w:rsidP="00647FEF">
            <w:pPr>
              <w:jc w:val="left"/>
            </w:pPr>
          </w:p>
        </w:tc>
        <w:tc>
          <w:tcPr>
            <w:tcW w:w="0" w:type="dxa"/>
          </w:tcPr>
          <w:p w14:paraId="411D8513" w14:textId="77777777" w:rsidR="00647FEF" w:rsidRDefault="00647FEF" w:rsidP="00647FEF">
            <w:pPr>
              <w:jc w:val="left"/>
            </w:pPr>
            <w:r>
              <w:t>Bank overdraft</w:t>
            </w:r>
          </w:p>
        </w:tc>
        <w:tc>
          <w:tcPr>
            <w:tcW w:w="0" w:type="dxa"/>
          </w:tcPr>
          <w:p w14:paraId="24870D7C" w14:textId="77777777" w:rsidR="00647FEF" w:rsidRPr="00391526" w:rsidRDefault="00647FEF" w:rsidP="00647FEF">
            <w:r w:rsidRPr="00391526">
              <w:t>..</w:t>
            </w:r>
          </w:p>
        </w:tc>
        <w:tc>
          <w:tcPr>
            <w:tcW w:w="0" w:type="dxa"/>
            <w:vAlign w:val="center"/>
          </w:tcPr>
          <w:p w14:paraId="6C1D10E1" w14:textId="7C20984F" w:rsidR="00647FEF" w:rsidRPr="00391526" w:rsidRDefault="00647FEF" w:rsidP="00647FEF">
            <w:r>
              <w:rPr>
                <w:rFonts w:ascii="Arial" w:hAnsi="Arial" w:cs="Arial"/>
                <w:color w:val="000000"/>
                <w:szCs w:val="16"/>
              </w:rPr>
              <w:t>(5</w:t>
            </w:r>
            <w:r>
              <w:rPr>
                <w:rFonts w:ascii="Arial" w:hAnsi="Arial" w:cs="Arial" w:hint="eastAsia"/>
                <w:color w:val="000000"/>
                <w:szCs w:val="16"/>
                <w:lang w:eastAsia="zh-CN"/>
              </w:rPr>
              <w:t xml:space="preserve"> </w:t>
            </w:r>
            <w:r>
              <w:rPr>
                <w:rFonts w:ascii="Arial" w:hAnsi="Arial" w:cs="Arial"/>
                <w:color w:val="000000"/>
                <w:szCs w:val="16"/>
              </w:rPr>
              <w:t>437)</w:t>
            </w:r>
          </w:p>
        </w:tc>
      </w:tr>
      <w:tr w:rsidR="00647FEF" w14:paraId="369319C3" w14:textId="77777777" w:rsidTr="002A0038">
        <w:tc>
          <w:tcPr>
            <w:tcW w:w="0" w:type="dxa"/>
            <w:tcBorders>
              <w:bottom w:val="nil"/>
            </w:tcBorders>
          </w:tcPr>
          <w:p w14:paraId="48BD638A" w14:textId="4629E4A6" w:rsidR="00647FEF" w:rsidRDefault="0007383E" w:rsidP="00647FEF">
            <w:pPr>
              <w:jc w:val="left"/>
            </w:pPr>
            <w:r>
              <w:rPr>
                <w:color w:val="4472C4"/>
                <w:sz w:val="13"/>
              </w:rPr>
              <w:t>AASB </w:t>
            </w:r>
            <w:r w:rsidR="00647FEF">
              <w:rPr>
                <w:color w:val="4472C4"/>
                <w:sz w:val="13"/>
              </w:rPr>
              <w:t>1060.88</w:t>
            </w:r>
          </w:p>
        </w:tc>
        <w:tc>
          <w:tcPr>
            <w:tcW w:w="0" w:type="dxa"/>
          </w:tcPr>
          <w:p w14:paraId="24A08E8F" w14:textId="77777777" w:rsidR="00647FEF" w:rsidRDefault="00647FEF" w:rsidP="00647FEF">
            <w:pPr>
              <w:jc w:val="left"/>
            </w:pPr>
            <w:r>
              <w:rPr>
                <w:b/>
              </w:rPr>
              <w:t>Balance as per cash flow statement</w:t>
            </w:r>
          </w:p>
        </w:tc>
        <w:tc>
          <w:tcPr>
            <w:tcW w:w="0" w:type="dxa"/>
            <w:vAlign w:val="center"/>
          </w:tcPr>
          <w:p w14:paraId="3E89CD3B" w14:textId="0DAC607F" w:rsidR="00647FEF" w:rsidRPr="00391526" w:rsidRDefault="00647FEF" w:rsidP="00647FEF">
            <w:r>
              <w:rPr>
                <w:rFonts w:ascii="Arial" w:hAnsi="Arial" w:cs="Arial"/>
                <w:b/>
                <w:bCs/>
                <w:color w:val="000000"/>
                <w:szCs w:val="16"/>
              </w:rPr>
              <w:t>71</w:t>
            </w:r>
            <w:r>
              <w:rPr>
                <w:rFonts w:ascii="Arial" w:hAnsi="Arial" w:cs="Arial" w:hint="eastAsia"/>
                <w:b/>
                <w:bCs/>
                <w:color w:val="000000"/>
                <w:szCs w:val="16"/>
                <w:lang w:eastAsia="zh-CN"/>
              </w:rPr>
              <w:t xml:space="preserve"> </w:t>
            </w:r>
            <w:r>
              <w:rPr>
                <w:rFonts w:ascii="Arial" w:hAnsi="Arial" w:cs="Arial"/>
                <w:b/>
                <w:bCs/>
                <w:color w:val="000000"/>
                <w:szCs w:val="16"/>
              </w:rPr>
              <w:t>803</w:t>
            </w:r>
          </w:p>
        </w:tc>
        <w:tc>
          <w:tcPr>
            <w:tcW w:w="0" w:type="dxa"/>
            <w:vAlign w:val="center"/>
          </w:tcPr>
          <w:p w14:paraId="47931CA3" w14:textId="28FE8FB3" w:rsidR="00647FEF" w:rsidRPr="00391526" w:rsidRDefault="00647FEF" w:rsidP="00647FEF">
            <w:r>
              <w:rPr>
                <w:rFonts w:ascii="Arial" w:hAnsi="Arial" w:cs="Arial"/>
                <w:b/>
                <w:bCs/>
                <w:color w:val="000000"/>
                <w:szCs w:val="16"/>
              </w:rPr>
              <w:t>61</w:t>
            </w:r>
            <w:r>
              <w:rPr>
                <w:rFonts w:ascii="Arial" w:hAnsi="Arial" w:cs="Arial" w:hint="eastAsia"/>
                <w:b/>
                <w:bCs/>
                <w:color w:val="000000"/>
                <w:szCs w:val="16"/>
                <w:lang w:eastAsia="zh-CN"/>
              </w:rPr>
              <w:t xml:space="preserve"> </w:t>
            </w:r>
            <w:r>
              <w:rPr>
                <w:rFonts w:ascii="Arial" w:hAnsi="Arial" w:cs="Arial"/>
                <w:b/>
                <w:bCs/>
                <w:color w:val="000000"/>
                <w:szCs w:val="16"/>
              </w:rPr>
              <w:t>006</w:t>
            </w:r>
          </w:p>
        </w:tc>
      </w:tr>
    </w:tbl>
    <w:p w14:paraId="1D125B9F" w14:textId="56341B22" w:rsidR="00B70F75" w:rsidRDefault="00B70F75" w:rsidP="00B70F75">
      <w:pPr>
        <w:pStyle w:val="Note"/>
      </w:pPr>
      <w:r>
        <w:t>Note:</w:t>
      </w:r>
    </w:p>
    <w:p w14:paraId="1E0FC28D" w14:textId="327B2907" w:rsidR="00B431FC" w:rsidRDefault="00B70F75" w:rsidP="002A0038">
      <w:pPr>
        <w:pStyle w:val="Note"/>
      </w:pPr>
      <w:r>
        <w:t>(a)</w:t>
      </w:r>
      <w:r>
        <w:tab/>
      </w:r>
      <w:r w:rsidR="00095EAC">
        <w:t xml:space="preserve">Cash and deposits </w:t>
      </w:r>
      <w:r w:rsidR="007070DA">
        <w:t>bear</w:t>
      </w:r>
      <w:r w:rsidR="003D7475">
        <w:t xml:space="preserve"> variable interest rate with a weighted-average interest rate of </w:t>
      </w:r>
      <w:r w:rsidR="00176A73">
        <w:rPr>
          <w:rFonts w:hint="eastAsia"/>
          <w:lang w:eastAsia="zh-CN"/>
        </w:rPr>
        <w:t>3</w:t>
      </w:r>
      <w:r w:rsidR="003D7475">
        <w:t>.</w:t>
      </w:r>
      <w:r w:rsidR="00176A73">
        <w:rPr>
          <w:rFonts w:hint="eastAsia"/>
          <w:lang w:eastAsia="zh-CN"/>
        </w:rPr>
        <w:t>0</w:t>
      </w:r>
      <w:r w:rsidR="003D7475">
        <w:t xml:space="preserve">0% during </w:t>
      </w:r>
      <w:r w:rsidR="003D7475" w:rsidRPr="003D7475">
        <w:t>20X1</w:t>
      </w:r>
      <w:r w:rsidR="003D7475" w:rsidRPr="003D7475">
        <w:rPr>
          <w:rFonts w:ascii="Cambria Math" w:hAnsi="Cambria Math" w:cs="Cambria Math"/>
        </w:rPr>
        <w:t>‑</w:t>
      </w:r>
      <w:r w:rsidR="003D7475" w:rsidRPr="003D7475">
        <w:t>22</w:t>
      </w:r>
      <w:r w:rsidRPr="00587E55">
        <w:rPr>
          <w:rStyle w:val="Reference"/>
        </w:rPr>
        <w:t xml:space="preserve"> </w:t>
      </w:r>
      <w:r w:rsidRPr="00752021">
        <w:rPr>
          <w:rStyle w:val="Reference"/>
        </w:rPr>
        <w:t>[</w:t>
      </w:r>
      <w:r w:rsidR="0007383E">
        <w:rPr>
          <w:rStyle w:val="Reference"/>
        </w:rPr>
        <w:t>AASB </w:t>
      </w:r>
      <w:r>
        <w:rPr>
          <w:rStyle w:val="Reference"/>
        </w:rPr>
        <w:t>1060.114]</w:t>
      </w:r>
    </w:p>
    <w:p w14:paraId="6E211CC4" w14:textId="77777777" w:rsidR="003719CD" w:rsidRDefault="003719CD" w:rsidP="007D536F">
      <w:pPr>
        <w:pStyle w:val="GuidanceBlockHeading"/>
      </w:pPr>
      <w:bookmarkStart w:id="3804" w:name="_Toc179813144"/>
      <w:bookmarkStart w:id="3805" w:name="_Toc179818844"/>
      <w:bookmarkStart w:id="3806" w:name="_Toc179824544"/>
      <w:r>
        <w:t>Guidance – Cash flow balances and information</w:t>
      </w:r>
      <w:bookmarkEnd w:id="3804"/>
      <w:bookmarkEnd w:id="3805"/>
      <w:bookmarkEnd w:id="3806"/>
    </w:p>
    <w:p w14:paraId="7234C28A" w14:textId="08A07E4E" w:rsidR="00706A1E" w:rsidRDefault="00AF2579" w:rsidP="002A0038">
      <w:pPr>
        <w:pStyle w:val="GuidanceHeading"/>
        <w:spacing w:before="120" w:after="0"/>
        <w:rPr>
          <w:rStyle w:val="Guidance"/>
          <w:rFonts w:asciiTheme="majorHAnsi" w:eastAsiaTheme="majorEastAsia" w:hAnsiTheme="majorHAnsi" w:cstheme="majorBidi"/>
          <w:bCs/>
          <w:iCs/>
          <w:szCs w:val="24"/>
        </w:rPr>
      </w:pPr>
      <w:r>
        <w:rPr>
          <w:rStyle w:val="Guidance"/>
        </w:rPr>
        <w:t>Components of cash and cash equivalents</w:t>
      </w:r>
    </w:p>
    <w:p w14:paraId="0E4D57B3" w14:textId="24055A24" w:rsidR="00073744" w:rsidRPr="002A0038" w:rsidRDefault="00073744" w:rsidP="002A0038">
      <w:pPr>
        <w:spacing w:before="120" w:after="0"/>
        <w:rPr>
          <w:rStyle w:val="Guidance"/>
          <w:b/>
          <w:bCs/>
        </w:rPr>
      </w:pPr>
      <w:r w:rsidRPr="00073744">
        <w:rPr>
          <w:color w:val="4472C4" w:themeColor="accent1"/>
        </w:rPr>
        <w:t>An entity shall present the components of cash and cash equivalents and shall present a reconciliation of the</w:t>
      </w:r>
      <w:r>
        <w:rPr>
          <w:color w:val="4472C4" w:themeColor="accent1"/>
        </w:rPr>
        <w:t xml:space="preserve"> </w:t>
      </w:r>
      <w:r w:rsidRPr="00073744">
        <w:rPr>
          <w:color w:val="4472C4" w:themeColor="accent1"/>
        </w:rPr>
        <w:t>amounts presented in the statement of cash flows to the equivalent items presented in the statement of</w:t>
      </w:r>
      <w:r>
        <w:rPr>
          <w:color w:val="4472C4" w:themeColor="accent1"/>
        </w:rPr>
        <w:t xml:space="preserve"> </w:t>
      </w:r>
      <w:r w:rsidRPr="00073744">
        <w:rPr>
          <w:color w:val="4472C4" w:themeColor="accent1"/>
        </w:rPr>
        <w:t>financial position. However, an entity is not required to present this reconciliation if the amount of cash and</w:t>
      </w:r>
      <w:r>
        <w:rPr>
          <w:color w:val="4472C4" w:themeColor="accent1"/>
        </w:rPr>
        <w:t xml:space="preserve"> </w:t>
      </w:r>
      <w:r w:rsidRPr="00073744">
        <w:rPr>
          <w:color w:val="4472C4" w:themeColor="accent1"/>
        </w:rPr>
        <w:t>cash equivalents presented in the statement of cash flows is identical to the amount similarly described in the</w:t>
      </w:r>
      <w:r>
        <w:rPr>
          <w:b/>
          <w:bCs/>
          <w:color w:val="4472C4" w:themeColor="accent1"/>
        </w:rPr>
        <w:t xml:space="preserve"> </w:t>
      </w:r>
      <w:r w:rsidRPr="00073744">
        <w:rPr>
          <w:color w:val="4472C4" w:themeColor="accent1"/>
        </w:rPr>
        <w:t xml:space="preserve">statement of financial position. </w:t>
      </w:r>
      <w:r w:rsidRPr="00833270">
        <w:rPr>
          <w:rStyle w:val="Reference"/>
        </w:rPr>
        <w:t>[</w:t>
      </w:r>
      <w:r w:rsidR="0007383E">
        <w:rPr>
          <w:rStyle w:val="Reference"/>
        </w:rPr>
        <w:t>AASB </w:t>
      </w:r>
      <w:r w:rsidRPr="00833270">
        <w:rPr>
          <w:rStyle w:val="Reference"/>
        </w:rPr>
        <w:t>10</w:t>
      </w:r>
      <w:r>
        <w:rPr>
          <w:rStyle w:val="Reference"/>
        </w:rPr>
        <w:t>60.88</w:t>
      </w:r>
      <w:r w:rsidRPr="00833270">
        <w:rPr>
          <w:rStyle w:val="Reference"/>
        </w:rPr>
        <w:t>]</w:t>
      </w:r>
    </w:p>
    <w:p w14:paraId="2AF20B53" w14:textId="04A21BF7" w:rsidR="00073744" w:rsidRDefault="00A56C50" w:rsidP="002A0038">
      <w:pPr>
        <w:spacing w:before="120" w:after="0"/>
        <w:rPr>
          <w:rStyle w:val="Reference"/>
        </w:rPr>
      </w:pPr>
      <w:r w:rsidRPr="00A56C50">
        <w:rPr>
          <w:rStyle w:val="Guidance"/>
        </w:rPr>
        <w:t>An entity shall disclose, together with a commentary by management, the amount of significant cash and cash</w:t>
      </w:r>
      <w:r>
        <w:rPr>
          <w:rStyle w:val="Guidance"/>
        </w:rPr>
        <w:t xml:space="preserve"> </w:t>
      </w:r>
      <w:r w:rsidRPr="00A56C50">
        <w:rPr>
          <w:rStyle w:val="Guidance"/>
        </w:rPr>
        <w:t>equivalent balances held by the entity that are not available for use by the entity. Cash and cash equivalents</w:t>
      </w:r>
      <w:r>
        <w:rPr>
          <w:rStyle w:val="Guidance"/>
        </w:rPr>
        <w:t xml:space="preserve"> </w:t>
      </w:r>
      <w:r w:rsidRPr="00A56C50">
        <w:rPr>
          <w:rStyle w:val="Guidance"/>
        </w:rPr>
        <w:t>held by an entity may not be available for use by the entity because of, among other reasons, foreign exchange</w:t>
      </w:r>
      <w:r>
        <w:rPr>
          <w:rStyle w:val="Guidance"/>
        </w:rPr>
        <w:t xml:space="preserve"> </w:t>
      </w:r>
      <w:r w:rsidRPr="00A56C50">
        <w:rPr>
          <w:rStyle w:val="Guidance"/>
        </w:rPr>
        <w:t xml:space="preserve">controls or legal restrictions. </w:t>
      </w:r>
      <w:r w:rsidRPr="00833270">
        <w:rPr>
          <w:rStyle w:val="Reference"/>
        </w:rPr>
        <w:t>[</w:t>
      </w:r>
      <w:r w:rsidR="0007383E">
        <w:rPr>
          <w:rStyle w:val="Reference"/>
        </w:rPr>
        <w:t>AASB </w:t>
      </w:r>
      <w:r w:rsidRPr="00833270">
        <w:rPr>
          <w:rStyle w:val="Reference"/>
        </w:rPr>
        <w:t>10</w:t>
      </w:r>
      <w:r>
        <w:rPr>
          <w:rStyle w:val="Reference"/>
        </w:rPr>
        <w:t>60.89</w:t>
      </w:r>
      <w:r w:rsidRPr="00833270">
        <w:rPr>
          <w:rStyle w:val="Reference"/>
        </w:rPr>
        <w:t>]</w:t>
      </w:r>
    </w:p>
    <w:p w14:paraId="42261DD4" w14:textId="77777777" w:rsidR="003719CD" w:rsidRDefault="003719CD" w:rsidP="007D536F">
      <w:pPr>
        <w:pStyle w:val="GuidanceEnd"/>
      </w:pPr>
    </w:p>
    <w:p w14:paraId="31F71A4C" w14:textId="405A1DD0" w:rsidR="003719CD" w:rsidRDefault="003719CD" w:rsidP="00A80494">
      <w:pPr>
        <w:pStyle w:val="Heading2numbered"/>
      </w:pPr>
      <w:bookmarkStart w:id="3807" w:name="_Toc179807473"/>
      <w:bookmarkStart w:id="3808" w:name="_Toc179813145"/>
      <w:bookmarkStart w:id="3809" w:name="_Toc179818845"/>
      <w:bookmarkStart w:id="3810" w:name="_Toc179824545"/>
      <w:bookmarkStart w:id="3811" w:name="_Toc179830202"/>
      <w:bookmarkStart w:id="3812" w:name="_Toc179861732"/>
      <w:bookmarkStart w:id="3813" w:name="_Toc179869038"/>
      <w:bookmarkStart w:id="3814" w:name="_Toc179873431"/>
      <w:bookmarkStart w:id="3815" w:name="_Toc179877824"/>
      <w:bookmarkStart w:id="3816" w:name="_Toc179807474"/>
      <w:bookmarkStart w:id="3817" w:name="_Toc179813146"/>
      <w:bookmarkStart w:id="3818" w:name="_Toc179818846"/>
      <w:bookmarkStart w:id="3819" w:name="_Toc179824546"/>
      <w:bookmarkStart w:id="3820" w:name="_Toc179830203"/>
      <w:bookmarkStart w:id="3821" w:name="_Toc179861733"/>
      <w:bookmarkStart w:id="3822" w:name="_Toc179869039"/>
      <w:bookmarkStart w:id="3823" w:name="_Toc179873432"/>
      <w:bookmarkStart w:id="3824" w:name="_Toc179877825"/>
      <w:bookmarkStart w:id="3825" w:name="_Toc179807510"/>
      <w:bookmarkStart w:id="3826" w:name="_Toc179813182"/>
      <w:bookmarkStart w:id="3827" w:name="_Toc179818882"/>
      <w:bookmarkStart w:id="3828" w:name="_Toc179824582"/>
      <w:bookmarkStart w:id="3829" w:name="_Toc179830239"/>
      <w:bookmarkStart w:id="3830" w:name="_Toc179861769"/>
      <w:bookmarkStart w:id="3831" w:name="_Toc179869075"/>
      <w:bookmarkStart w:id="3832" w:name="_Toc179873468"/>
      <w:bookmarkStart w:id="3833" w:name="_Toc179877861"/>
      <w:bookmarkStart w:id="3834" w:name="_Toc179807511"/>
      <w:bookmarkStart w:id="3835" w:name="_Toc179813183"/>
      <w:bookmarkStart w:id="3836" w:name="_Toc179818883"/>
      <w:bookmarkStart w:id="3837" w:name="_Toc179824583"/>
      <w:bookmarkStart w:id="3838" w:name="_Toc179830240"/>
      <w:bookmarkStart w:id="3839" w:name="_Toc179861770"/>
      <w:bookmarkStart w:id="3840" w:name="_Toc179869076"/>
      <w:bookmarkStart w:id="3841" w:name="_Toc179873469"/>
      <w:bookmarkStart w:id="3842" w:name="_Toc179877862"/>
      <w:bookmarkStart w:id="3843" w:name="_Toc179807512"/>
      <w:bookmarkStart w:id="3844" w:name="_Toc179813184"/>
      <w:bookmarkStart w:id="3845" w:name="_Toc179818884"/>
      <w:bookmarkStart w:id="3846" w:name="_Toc179824584"/>
      <w:bookmarkStart w:id="3847" w:name="_Toc179830241"/>
      <w:bookmarkStart w:id="3848" w:name="_Toc179861771"/>
      <w:bookmarkStart w:id="3849" w:name="_Toc179869077"/>
      <w:bookmarkStart w:id="3850" w:name="_Toc179873470"/>
      <w:bookmarkStart w:id="3851" w:name="_Toc179877863"/>
      <w:bookmarkStart w:id="3852" w:name="_Toc179807513"/>
      <w:bookmarkStart w:id="3853" w:name="_Toc179813185"/>
      <w:bookmarkStart w:id="3854" w:name="_Toc179818885"/>
      <w:bookmarkStart w:id="3855" w:name="_Toc179824585"/>
      <w:bookmarkStart w:id="3856" w:name="_Toc179830242"/>
      <w:bookmarkStart w:id="3857" w:name="_Toc179861772"/>
      <w:bookmarkStart w:id="3858" w:name="_Toc179869078"/>
      <w:bookmarkStart w:id="3859" w:name="_Toc179873471"/>
      <w:bookmarkStart w:id="3860" w:name="_Toc179877864"/>
      <w:bookmarkStart w:id="3861" w:name="_Toc179807647"/>
      <w:bookmarkStart w:id="3862" w:name="_Toc179813319"/>
      <w:bookmarkStart w:id="3863" w:name="_Toc179819019"/>
      <w:bookmarkStart w:id="3864" w:name="_Toc179824719"/>
      <w:bookmarkStart w:id="3865" w:name="_Toc179830376"/>
      <w:bookmarkStart w:id="3866" w:name="_Toc179861906"/>
      <w:bookmarkStart w:id="3867" w:name="_Toc179869212"/>
      <w:bookmarkStart w:id="3868" w:name="_Toc179873605"/>
      <w:bookmarkStart w:id="3869" w:name="_Toc179877998"/>
      <w:bookmarkStart w:id="3870" w:name="_Toc179807648"/>
      <w:bookmarkStart w:id="3871" w:name="_Toc179813320"/>
      <w:bookmarkStart w:id="3872" w:name="_Toc179819020"/>
      <w:bookmarkStart w:id="3873" w:name="_Toc179824720"/>
      <w:bookmarkStart w:id="3874" w:name="_Toc179830377"/>
      <w:bookmarkStart w:id="3875" w:name="_Toc179861907"/>
      <w:bookmarkStart w:id="3876" w:name="_Toc179869213"/>
      <w:bookmarkStart w:id="3877" w:name="_Toc179873606"/>
      <w:bookmarkStart w:id="3878" w:name="_Toc179877999"/>
      <w:bookmarkStart w:id="3879" w:name="_Toc179807649"/>
      <w:bookmarkStart w:id="3880" w:name="_Toc179813321"/>
      <w:bookmarkStart w:id="3881" w:name="_Toc179819021"/>
      <w:bookmarkStart w:id="3882" w:name="_Toc179824721"/>
      <w:bookmarkStart w:id="3883" w:name="_Toc179830378"/>
      <w:bookmarkStart w:id="3884" w:name="_Toc179861908"/>
      <w:bookmarkStart w:id="3885" w:name="_Toc179869214"/>
      <w:bookmarkStart w:id="3886" w:name="_Toc179873607"/>
      <w:bookmarkStart w:id="3887" w:name="_Toc179878000"/>
      <w:bookmarkStart w:id="3888" w:name="_Toc179807650"/>
      <w:bookmarkStart w:id="3889" w:name="_Toc179813322"/>
      <w:bookmarkStart w:id="3890" w:name="_Toc179819022"/>
      <w:bookmarkStart w:id="3891" w:name="_Toc179824722"/>
      <w:bookmarkStart w:id="3892" w:name="_Toc179830379"/>
      <w:bookmarkStart w:id="3893" w:name="_Toc179861909"/>
      <w:bookmarkStart w:id="3894" w:name="_Toc179869215"/>
      <w:bookmarkStart w:id="3895" w:name="_Toc179873608"/>
      <w:bookmarkStart w:id="3896" w:name="_Toc179878001"/>
      <w:bookmarkStart w:id="3897" w:name="_Toc179807651"/>
      <w:bookmarkStart w:id="3898" w:name="_Toc179813323"/>
      <w:bookmarkStart w:id="3899" w:name="_Toc179819023"/>
      <w:bookmarkStart w:id="3900" w:name="_Toc179824723"/>
      <w:bookmarkStart w:id="3901" w:name="_Toc179830380"/>
      <w:bookmarkStart w:id="3902" w:name="_Toc179861910"/>
      <w:bookmarkStart w:id="3903" w:name="_Toc179869216"/>
      <w:bookmarkStart w:id="3904" w:name="_Toc179873609"/>
      <w:bookmarkStart w:id="3905" w:name="_Toc179878002"/>
      <w:bookmarkStart w:id="3906" w:name="_Toc179807652"/>
      <w:bookmarkStart w:id="3907" w:name="_Toc179813324"/>
      <w:bookmarkStart w:id="3908" w:name="_Toc179819024"/>
      <w:bookmarkStart w:id="3909" w:name="_Toc179824724"/>
      <w:bookmarkStart w:id="3910" w:name="_Toc179830381"/>
      <w:bookmarkStart w:id="3911" w:name="_Toc179861911"/>
      <w:bookmarkStart w:id="3912" w:name="_Toc179869217"/>
      <w:bookmarkStart w:id="3913" w:name="_Toc179873610"/>
      <w:bookmarkStart w:id="3914" w:name="_Toc179878003"/>
      <w:bookmarkStart w:id="3915" w:name="_Toc179807653"/>
      <w:bookmarkStart w:id="3916" w:name="_Toc179813325"/>
      <w:bookmarkStart w:id="3917" w:name="_Toc179819025"/>
      <w:bookmarkStart w:id="3918" w:name="_Toc179824725"/>
      <w:bookmarkStart w:id="3919" w:name="_Toc179830382"/>
      <w:bookmarkStart w:id="3920" w:name="_Toc179861912"/>
      <w:bookmarkStart w:id="3921" w:name="_Toc179869218"/>
      <w:bookmarkStart w:id="3922" w:name="_Toc179873611"/>
      <w:bookmarkStart w:id="3923" w:name="_Toc179878004"/>
      <w:bookmarkStart w:id="3924" w:name="_Toc179807654"/>
      <w:bookmarkStart w:id="3925" w:name="_Toc179813326"/>
      <w:bookmarkStart w:id="3926" w:name="_Toc179819026"/>
      <w:bookmarkStart w:id="3927" w:name="_Toc179824726"/>
      <w:bookmarkStart w:id="3928" w:name="_Toc179830383"/>
      <w:bookmarkStart w:id="3929" w:name="_Toc179861913"/>
      <w:bookmarkStart w:id="3930" w:name="_Toc179869219"/>
      <w:bookmarkStart w:id="3931" w:name="_Toc179873612"/>
      <w:bookmarkStart w:id="3932" w:name="_Toc179878005"/>
      <w:bookmarkStart w:id="3933" w:name="_Toc179807655"/>
      <w:bookmarkStart w:id="3934" w:name="_Toc179813327"/>
      <w:bookmarkStart w:id="3935" w:name="_Toc179819027"/>
      <w:bookmarkStart w:id="3936" w:name="_Toc179824727"/>
      <w:bookmarkStart w:id="3937" w:name="_Toc179830384"/>
      <w:bookmarkStart w:id="3938" w:name="_Toc179861914"/>
      <w:bookmarkStart w:id="3939" w:name="_Toc179869220"/>
      <w:bookmarkStart w:id="3940" w:name="_Toc179873613"/>
      <w:bookmarkStart w:id="3941" w:name="_Toc179878006"/>
      <w:bookmarkStart w:id="3942" w:name="_Toc179807656"/>
      <w:bookmarkStart w:id="3943" w:name="_Toc179813328"/>
      <w:bookmarkStart w:id="3944" w:name="_Toc179819028"/>
      <w:bookmarkStart w:id="3945" w:name="_Toc179824728"/>
      <w:bookmarkStart w:id="3946" w:name="_Toc179830385"/>
      <w:bookmarkStart w:id="3947" w:name="_Toc179861915"/>
      <w:bookmarkStart w:id="3948" w:name="_Toc179869221"/>
      <w:bookmarkStart w:id="3949" w:name="_Toc179873614"/>
      <w:bookmarkStart w:id="3950" w:name="_Toc179878007"/>
      <w:bookmarkStart w:id="3951" w:name="_Toc179807657"/>
      <w:bookmarkStart w:id="3952" w:name="_Toc179813329"/>
      <w:bookmarkStart w:id="3953" w:name="_Toc179819029"/>
      <w:bookmarkStart w:id="3954" w:name="_Toc179824729"/>
      <w:bookmarkStart w:id="3955" w:name="_Toc179830386"/>
      <w:bookmarkStart w:id="3956" w:name="_Toc179861916"/>
      <w:bookmarkStart w:id="3957" w:name="_Toc179869222"/>
      <w:bookmarkStart w:id="3958" w:name="_Toc179873615"/>
      <w:bookmarkStart w:id="3959" w:name="_Toc179878008"/>
      <w:bookmarkStart w:id="3960" w:name="_Toc179807658"/>
      <w:bookmarkStart w:id="3961" w:name="_Toc179813330"/>
      <w:bookmarkStart w:id="3962" w:name="_Toc179819030"/>
      <w:bookmarkStart w:id="3963" w:name="_Toc179824730"/>
      <w:bookmarkStart w:id="3964" w:name="_Toc179830387"/>
      <w:bookmarkStart w:id="3965" w:name="_Toc179861917"/>
      <w:bookmarkStart w:id="3966" w:name="_Toc179869223"/>
      <w:bookmarkStart w:id="3967" w:name="_Toc179873616"/>
      <w:bookmarkStart w:id="3968" w:name="_Toc179878009"/>
      <w:bookmarkStart w:id="3969" w:name="_Toc179807669"/>
      <w:bookmarkStart w:id="3970" w:name="_Toc179813341"/>
      <w:bookmarkStart w:id="3971" w:name="_Toc179819041"/>
      <w:bookmarkStart w:id="3972" w:name="_Toc179824741"/>
      <w:bookmarkStart w:id="3973" w:name="_Toc179830398"/>
      <w:bookmarkStart w:id="3974" w:name="_Toc179861928"/>
      <w:bookmarkStart w:id="3975" w:name="_Toc179869234"/>
      <w:bookmarkStart w:id="3976" w:name="_Toc179873627"/>
      <w:bookmarkStart w:id="3977" w:name="_Toc179878020"/>
      <w:bookmarkStart w:id="3978" w:name="_Toc179807674"/>
      <w:bookmarkStart w:id="3979" w:name="_Toc179813346"/>
      <w:bookmarkStart w:id="3980" w:name="_Toc179819046"/>
      <w:bookmarkStart w:id="3981" w:name="_Toc179824746"/>
      <w:bookmarkStart w:id="3982" w:name="_Toc179830403"/>
      <w:bookmarkStart w:id="3983" w:name="_Toc179861933"/>
      <w:bookmarkStart w:id="3984" w:name="_Toc179869239"/>
      <w:bookmarkStart w:id="3985" w:name="_Toc179873632"/>
      <w:bookmarkStart w:id="3986" w:name="_Toc179878025"/>
      <w:bookmarkStart w:id="3987" w:name="_Toc179807679"/>
      <w:bookmarkStart w:id="3988" w:name="_Toc179813351"/>
      <w:bookmarkStart w:id="3989" w:name="_Toc179819051"/>
      <w:bookmarkStart w:id="3990" w:name="_Toc179824751"/>
      <w:bookmarkStart w:id="3991" w:name="_Toc179830408"/>
      <w:bookmarkStart w:id="3992" w:name="_Toc179861938"/>
      <w:bookmarkStart w:id="3993" w:name="_Toc179869244"/>
      <w:bookmarkStart w:id="3994" w:name="_Toc179873637"/>
      <w:bookmarkStart w:id="3995" w:name="_Toc179878030"/>
      <w:bookmarkStart w:id="3996" w:name="_Toc179807684"/>
      <w:bookmarkStart w:id="3997" w:name="_Toc179813356"/>
      <w:bookmarkStart w:id="3998" w:name="_Toc179819056"/>
      <w:bookmarkStart w:id="3999" w:name="_Toc179824756"/>
      <w:bookmarkStart w:id="4000" w:name="_Toc179830413"/>
      <w:bookmarkStart w:id="4001" w:name="_Toc179861943"/>
      <w:bookmarkStart w:id="4002" w:name="_Toc179869249"/>
      <w:bookmarkStart w:id="4003" w:name="_Toc179873642"/>
      <w:bookmarkStart w:id="4004" w:name="_Toc179878035"/>
      <w:bookmarkStart w:id="4005" w:name="_Toc179807689"/>
      <w:bookmarkStart w:id="4006" w:name="_Toc179813361"/>
      <w:bookmarkStart w:id="4007" w:name="_Toc179819061"/>
      <w:bookmarkStart w:id="4008" w:name="_Toc179824761"/>
      <w:bookmarkStart w:id="4009" w:name="_Toc179830418"/>
      <w:bookmarkStart w:id="4010" w:name="_Toc179861948"/>
      <w:bookmarkStart w:id="4011" w:name="_Toc179869254"/>
      <w:bookmarkStart w:id="4012" w:name="_Toc179873647"/>
      <w:bookmarkStart w:id="4013" w:name="_Toc179878040"/>
      <w:bookmarkStart w:id="4014" w:name="_Toc179807694"/>
      <w:bookmarkStart w:id="4015" w:name="_Toc179813366"/>
      <w:bookmarkStart w:id="4016" w:name="_Toc179819066"/>
      <w:bookmarkStart w:id="4017" w:name="_Toc179824766"/>
      <w:bookmarkStart w:id="4018" w:name="_Toc179830423"/>
      <w:bookmarkStart w:id="4019" w:name="_Toc179861953"/>
      <w:bookmarkStart w:id="4020" w:name="_Toc179869259"/>
      <w:bookmarkStart w:id="4021" w:name="_Toc179873652"/>
      <w:bookmarkStart w:id="4022" w:name="_Toc179878045"/>
      <w:bookmarkStart w:id="4023" w:name="_Toc179807699"/>
      <w:bookmarkStart w:id="4024" w:name="_Toc179813371"/>
      <w:bookmarkStart w:id="4025" w:name="_Toc179819071"/>
      <w:bookmarkStart w:id="4026" w:name="_Toc179824771"/>
      <w:bookmarkStart w:id="4027" w:name="_Toc179830428"/>
      <w:bookmarkStart w:id="4028" w:name="_Toc179861958"/>
      <w:bookmarkStart w:id="4029" w:name="_Toc179869264"/>
      <w:bookmarkStart w:id="4030" w:name="_Toc179873657"/>
      <w:bookmarkStart w:id="4031" w:name="_Toc179878050"/>
      <w:bookmarkStart w:id="4032" w:name="_Toc179807704"/>
      <w:bookmarkStart w:id="4033" w:name="_Toc179813376"/>
      <w:bookmarkStart w:id="4034" w:name="_Toc179819076"/>
      <w:bookmarkStart w:id="4035" w:name="_Toc179824776"/>
      <w:bookmarkStart w:id="4036" w:name="_Toc179830433"/>
      <w:bookmarkStart w:id="4037" w:name="_Toc179861963"/>
      <w:bookmarkStart w:id="4038" w:name="_Toc179869269"/>
      <w:bookmarkStart w:id="4039" w:name="_Toc179873662"/>
      <w:bookmarkStart w:id="4040" w:name="_Toc179878055"/>
      <w:bookmarkStart w:id="4041" w:name="_Toc179807709"/>
      <w:bookmarkStart w:id="4042" w:name="_Toc179813381"/>
      <w:bookmarkStart w:id="4043" w:name="_Toc179819081"/>
      <w:bookmarkStart w:id="4044" w:name="_Toc179824781"/>
      <w:bookmarkStart w:id="4045" w:name="_Toc179830438"/>
      <w:bookmarkStart w:id="4046" w:name="_Toc179861968"/>
      <w:bookmarkStart w:id="4047" w:name="_Toc179869274"/>
      <w:bookmarkStart w:id="4048" w:name="_Toc179873667"/>
      <w:bookmarkStart w:id="4049" w:name="_Toc179878060"/>
      <w:bookmarkStart w:id="4050" w:name="_Toc179807714"/>
      <w:bookmarkStart w:id="4051" w:name="_Toc179813386"/>
      <w:bookmarkStart w:id="4052" w:name="_Toc179819086"/>
      <w:bookmarkStart w:id="4053" w:name="_Toc179824786"/>
      <w:bookmarkStart w:id="4054" w:name="_Toc179830443"/>
      <w:bookmarkStart w:id="4055" w:name="_Toc179861973"/>
      <w:bookmarkStart w:id="4056" w:name="_Toc179869279"/>
      <w:bookmarkStart w:id="4057" w:name="_Toc179873672"/>
      <w:bookmarkStart w:id="4058" w:name="_Toc179878065"/>
      <w:bookmarkStart w:id="4059" w:name="_Toc179807719"/>
      <w:bookmarkStart w:id="4060" w:name="_Toc179813391"/>
      <w:bookmarkStart w:id="4061" w:name="_Toc179819091"/>
      <w:bookmarkStart w:id="4062" w:name="_Toc179824791"/>
      <w:bookmarkStart w:id="4063" w:name="_Toc179830448"/>
      <w:bookmarkStart w:id="4064" w:name="_Toc179861978"/>
      <w:bookmarkStart w:id="4065" w:name="_Toc179869284"/>
      <w:bookmarkStart w:id="4066" w:name="_Toc179873677"/>
      <w:bookmarkStart w:id="4067" w:name="_Toc179878070"/>
      <w:bookmarkStart w:id="4068" w:name="_Toc179807724"/>
      <w:bookmarkStart w:id="4069" w:name="_Toc179813396"/>
      <w:bookmarkStart w:id="4070" w:name="_Toc179819096"/>
      <w:bookmarkStart w:id="4071" w:name="_Toc179824796"/>
      <w:bookmarkStart w:id="4072" w:name="_Toc179830453"/>
      <w:bookmarkStart w:id="4073" w:name="_Toc179861983"/>
      <w:bookmarkStart w:id="4074" w:name="_Toc179869289"/>
      <w:bookmarkStart w:id="4075" w:name="_Toc179873682"/>
      <w:bookmarkStart w:id="4076" w:name="_Toc179878075"/>
      <w:bookmarkStart w:id="4077" w:name="_Toc179807725"/>
      <w:bookmarkStart w:id="4078" w:name="_Toc179813397"/>
      <w:bookmarkStart w:id="4079" w:name="_Toc179819097"/>
      <w:bookmarkStart w:id="4080" w:name="_Toc179824797"/>
      <w:bookmarkStart w:id="4081" w:name="_Toc179830454"/>
      <w:bookmarkStart w:id="4082" w:name="_Toc179861984"/>
      <w:bookmarkStart w:id="4083" w:name="_Toc179869290"/>
      <w:bookmarkStart w:id="4084" w:name="_Toc179873683"/>
      <w:bookmarkStart w:id="4085" w:name="_Toc179878076"/>
      <w:bookmarkStart w:id="4086" w:name="_Toc179807726"/>
      <w:bookmarkStart w:id="4087" w:name="_Toc179813398"/>
      <w:bookmarkStart w:id="4088" w:name="_Toc179819098"/>
      <w:bookmarkStart w:id="4089" w:name="_Toc179824798"/>
      <w:bookmarkStart w:id="4090" w:name="_Toc179830455"/>
      <w:bookmarkStart w:id="4091" w:name="_Toc179861985"/>
      <w:bookmarkStart w:id="4092" w:name="_Toc179869291"/>
      <w:bookmarkStart w:id="4093" w:name="_Toc179873684"/>
      <w:bookmarkStart w:id="4094" w:name="_Toc179878077"/>
      <w:bookmarkStart w:id="4095" w:name="_Toc179807727"/>
      <w:bookmarkStart w:id="4096" w:name="_Toc179813399"/>
      <w:bookmarkStart w:id="4097" w:name="_Toc179819099"/>
      <w:bookmarkStart w:id="4098" w:name="_Toc179824799"/>
      <w:bookmarkStart w:id="4099" w:name="_Toc179830456"/>
      <w:bookmarkStart w:id="4100" w:name="_Toc179861986"/>
      <w:bookmarkStart w:id="4101" w:name="_Toc179869292"/>
      <w:bookmarkStart w:id="4102" w:name="_Toc179873685"/>
      <w:bookmarkStart w:id="4103" w:name="_Toc179878078"/>
      <w:bookmarkStart w:id="4104" w:name="_Toc179807728"/>
      <w:bookmarkStart w:id="4105" w:name="_Toc179813400"/>
      <w:bookmarkStart w:id="4106" w:name="_Toc179819100"/>
      <w:bookmarkStart w:id="4107" w:name="_Toc179824800"/>
      <w:bookmarkStart w:id="4108" w:name="_Toc179830457"/>
      <w:bookmarkStart w:id="4109" w:name="_Toc179861987"/>
      <w:bookmarkStart w:id="4110" w:name="_Toc179869293"/>
      <w:bookmarkStart w:id="4111" w:name="_Toc179873686"/>
      <w:bookmarkStart w:id="4112" w:name="_Toc179878079"/>
      <w:bookmarkStart w:id="4113" w:name="_Toc179807729"/>
      <w:bookmarkStart w:id="4114" w:name="_Toc179813401"/>
      <w:bookmarkStart w:id="4115" w:name="_Toc179819101"/>
      <w:bookmarkStart w:id="4116" w:name="_Toc179824801"/>
      <w:bookmarkStart w:id="4117" w:name="_Toc179830458"/>
      <w:bookmarkStart w:id="4118" w:name="_Toc179861988"/>
      <w:bookmarkStart w:id="4119" w:name="_Toc179869294"/>
      <w:bookmarkStart w:id="4120" w:name="_Toc179873687"/>
      <w:bookmarkStart w:id="4121" w:name="_Toc179878080"/>
      <w:bookmarkStart w:id="4122" w:name="_Toc179807730"/>
      <w:bookmarkStart w:id="4123" w:name="_Toc179813402"/>
      <w:bookmarkStart w:id="4124" w:name="_Toc179819102"/>
      <w:bookmarkStart w:id="4125" w:name="_Toc179824802"/>
      <w:bookmarkStart w:id="4126" w:name="_Toc179830459"/>
      <w:bookmarkStart w:id="4127" w:name="_Toc179861989"/>
      <w:bookmarkStart w:id="4128" w:name="_Toc179869295"/>
      <w:bookmarkStart w:id="4129" w:name="_Toc179873688"/>
      <w:bookmarkStart w:id="4130" w:name="_Toc179878081"/>
      <w:bookmarkStart w:id="4131" w:name="_Toc179807746"/>
      <w:bookmarkStart w:id="4132" w:name="_Toc179813418"/>
      <w:bookmarkStart w:id="4133" w:name="_Toc179819118"/>
      <w:bookmarkStart w:id="4134" w:name="_Toc179824818"/>
      <w:bookmarkStart w:id="4135" w:name="_Toc179830475"/>
      <w:bookmarkStart w:id="4136" w:name="_Toc179862005"/>
      <w:bookmarkStart w:id="4137" w:name="_Toc179869311"/>
      <w:bookmarkStart w:id="4138" w:name="_Toc179873704"/>
      <w:bookmarkStart w:id="4139" w:name="_Toc179878097"/>
      <w:bookmarkStart w:id="4140" w:name="_Toc179807747"/>
      <w:bookmarkStart w:id="4141" w:name="_Toc179813419"/>
      <w:bookmarkStart w:id="4142" w:name="_Toc179819119"/>
      <w:bookmarkStart w:id="4143" w:name="_Toc179824819"/>
      <w:bookmarkStart w:id="4144" w:name="_Toc179830476"/>
      <w:bookmarkStart w:id="4145" w:name="_Toc179862006"/>
      <w:bookmarkStart w:id="4146" w:name="_Toc179869312"/>
      <w:bookmarkStart w:id="4147" w:name="_Toc179873705"/>
      <w:bookmarkStart w:id="4148" w:name="_Toc179878098"/>
      <w:bookmarkStart w:id="4149" w:name="_Toc179807748"/>
      <w:bookmarkStart w:id="4150" w:name="_Toc179813420"/>
      <w:bookmarkStart w:id="4151" w:name="_Toc179819120"/>
      <w:bookmarkStart w:id="4152" w:name="_Toc179824820"/>
      <w:bookmarkStart w:id="4153" w:name="_Toc179830477"/>
      <w:bookmarkStart w:id="4154" w:name="_Toc179862007"/>
      <w:bookmarkStart w:id="4155" w:name="_Toc179869313"/>
      <w:bookmarkStart w:id="4156" w:name="_Toc179873706"/>
      <w:bookmarkStart w:id="4157" w:name="_Toc179878099"/>
      <w:bookmarkStart w:id="4158" w:name="_Toc179807749"/>
      <w:bookmarkStart w:id="4159" w:name="_Toc179813421"/>
      <w:bookmarkStart w:id="4160" w:name="_Toc179819121"/>
      <w:bookmarkStart w:id="4161" w:name="_Toc179824821"/>
      <w:bookmarkStart w:id="4162" w:name="_Toc179830478"/>
      <w:bookmarkStart w:id="4163" w:name="_Toc179862008"/>
      <w:bookmarkStart w:id="4164" w:name="_Toc179869314"/>
      <w:bookmarkStart w:id="4165" w:name="_Toc179873707"/>
      <w:bookmarkStart w:id="4166" w:name="_Toc179878100"/>
      <w:bookmarkStart w:id="4167" w:name="_Toc179807750"/>
      <w:bookmarkStart w:id="4168" w:name="_Toc179813422"/>
      <w:bookmarkStart w:id="4169" w:name="_Toc179819122"/>
      <w:bookmarkStart w:id="4170" w:name="_Toc179824822"/>
      <w:bookmarkStart w:id="4171" w:name="_Toc179830479"/>
      <w:bookmarkStart w:id="4172" w:name="_Toc179862009"/>
      <w:bookmarkStart w:id="4173" w:name="_Toc179869315"/>
      <w:bookmarkStart w:id="4174" w:name="_Toc179873708"/>
      <w:bookmarkStart w:id="4175" w:name="_Toc179878101"/>
      <w:bookmarkStart w:id="4176" w:name="_Toc179807751"/>
      <w:bookmarkStart w:id="4177" w:name="_Toc179813423"/>
      <w:bookmarkStart w:id="4178" w:name="_Toc179819123"/>
      <w:bookmarkStart w:id="4179" w:name="_Toc179824823"/>
      <w:bookmarkStart w:id="4180" w:name="_Toc179830480"/>
      <w:bookmarkStart w:id="4181" w:name="_Toc179862010"/>
      <w:bookmarkStart w:id="4182" w:name="_Toc179869316"/>
      <w:bookmarkStart w:id="4183" w:name="_Toc179873709"/>
      <w:bookmarkStart w:id="4184" w:name="_Toc179878102"/>
      <w:bookmarkStart w:id="4185" w:name="_Toc179807752"/>
      <w:bookmarkStart w:id="4186" w:name="_Toc179813424"/>
      <w:bookmarkStart w:id="4187" w:name="_Toc179819124"/>
      <w:bookmarkStart w:id="4188" w:name="_Toc179824824"/>
      <w:bookmarkStart w:id="4189" w:name="_Toc179830481"/>
      <w:bookmarkStart w:id="4190" w:name="_Toc179862011"/>
      <w:bookmarkStart w:id="4191" w:name="_Toc179869317"/>
      <w:bookmarkStart w:id="4192" w:name="_Toc179873710"/>
      <w:bookmarkStart w:id="4193" w:name="_Toc179878103"/>
      <w:bookmarkStart w:id="4194" w:name="_Toc179807753"/>
      <w:bookmarkStart w:id="4195" w:name="_Toc179813425"/>
      <w:bookmarkStart w:id="4196" w:name="_Toc179819125"/>
      <w:bookmarkStart w:id="4197" w:name="_Toc179824825"/>
      <w:bookmarkStart w:id="4198" w:name="_Toc179830482"/>
      <w:bookmarkStart w:id="4199" w:name="_Toc179862012"/>
      <w:bookmarkStart w:id="4200" w:name="_Toc179869318"/>
      <w:bookmarkStart w:id="4201" w:name="_Toc179873711"/>
      <w:bookmarkStart w:id="4202" w:name="_Toc179878104"/>
      <w:bookmarkStart w:id="4203" w:name="_Toc179807754"/>
      <w:bookmarkStart w:id="4204" w:name="_Toc179813426"/>
      <w:bookmarkStart w:id="4205" w:name="_Toc179819126"/>
      <w:bookmarkStart w:id="4206" w:name="_Toc179824826"/>
      <w:bookmarkStart w:id="4207" w:name="_Toc179830483"/>
      <w:bookmarkStart w:id="4208" w:name="_Toc179862013"/>
      <w:bookmarkStart w:id="4209" w:name="_Toc179869319"/>
      <w:bookmarkStart w:id="4210" w:name="_Toc179873712"/>
      <w:bookmarkStart w:id="4211" w:name="_Toc179878105"/>
      <w:bookmarkStart w:id="4212" w:name="_Toc179807755"/>
      <w:bookmarkStart w:id="4213" w:name="_Toc179813427"/>
      <w:bookmarkStart w:id="4214" w:name="_Toc179819127"/>
      <w:bookmarkStart w:id="4215" w:name="_Toc179824827"/>
      <w:bookmarkStart w:id="4216" w:name="_Toc179830484"/>
      <w:bookmarkStart w:id="4217" w:name="_Toc179862014"/>
      <w:bookmarkStart w:id="4218" w:name="_Toc179869320"/>
      <w:bookmarkStart w:id="4219" w:name="_Toc179873713"/>
      <w:bookmarkStart w:id="4220" w:name="_Toc179878106"/>
      <w:bookmarkStart w:id="4221" w:name="_Toc179807756"/>
      <w:bookmarkStart w:id="4222" w:name="_Toc179813428"/>
      <w:bookmarkStart w:id="4223" w:name="_Toc179819128"/>
      <w:bookmarkStart w:id="4224" w:name="_Toc179824828"/>
      <w:bookmarkStart w:id="4225" w:name="_Toc179830485"/>
      <w:bookmarkStart w:id="4226" w:name="_Toc179862015"/>
      <w:bookmarkStart w:id="4227" w:name="_Toc179869321"/>
      <w:bookmarkStart w:id="4228" w:name="_Toc179873714"/>
      <w:bookmarkStart w:id="4229" w:name="_Toc179878107"/>
      <w:bookmarkStart w:id="4230" w:name="_Toc179807757"/>
      <w:bookmarkStart w:id="4231" w:name="_Toc179813429"/>
      <w:bookmarkStart w:id="4232" w:name="_Toc179819129"/>
      <w:bookmarkStart w:id="4233" w:name="_Toc179824829"/>
      <w:bookmarkStart w:id="4234" w:name="_Toc179830486"/>
      <w:bookmarkStart w:id="4235" w:name="_Toc179862016"/>
      <w:bookmarkStart w:id="4236" w:name="_Toc179869322"/>
      <w:bookmarkStart w:id="4237" w:name="_Toc179873715"/>
      <w:bookmarkStart w:id="4238" w:name="_Toc179878108"/>
      <w:bookmarkStart w:id="4239" w:name="_Toc179807758"/>
      <w:bookmarkStart w:id="4240" w:name="_Toc179813430"/>
      <w:bookmarkStart w:id="4241" w:name="_Toc179819130"/>
      <w:bookmarkStart w:id="4242" w:name="_Toc179824830"/>
      <w:bookmarkStart w:id="4243" w:name="_Toc179830487"/>
      <w:bookmarkStart w:id="4244" w:name="_Toc179862017"/>
      <w:bookmarkStart w:id="4245" w:name="_Toc179869323"/>
      <w:bookmarkStart w:id="4246" w:name="_Toc179873716"/>
      <w:bookmarkStart w:id="4247" w:name="_Toc179878109"/>
      <w:bookmarkStart w:id="4248" w:name="_Toc179807759"/>
      <w:bookmarkStart w:id="4249" w:name="_Toc179813431"/>
      <w:bookmarkStart w:id="4250" w:name="_Toc179819131"/>
      <w:bookmarkStart w:id="4251" w:name="_Toc179824831"/>
      <w:bookmarkStart w:id="4252" w:name="_Toc179830488"/>
      <w:bookmarkStart w:id="4253" w:name="_Toc179862018"/>
      <w:bookmarkStart w:id="4254" w:name="_Toc179869324"/>
      <w:bookmarkStart w:id="4255" w:name="_Toc179873717"/>
      <w:bookmarkStart w:id="4256" w:name="_Toc179878110"/>
      <w:bookmarkStart w:id="4257" w:name="_Toc179807760"/>
      <w:bookmarkStart w:id="4258" w:name="_Toc179813432"/>
      <w:bookmarkStart w:id="4259" w:name="_Toc179819132"/>
      <w:bookmarkStart w:id="4260" w:name="_Toc179824832"/>
      <w:bookmarkStart w:id="4261" w:name="_Toc179830489"/>
      <w:bookmarkStart w:id="4262" w:name="_Toc179862019"/>
      <w:bookmarkStart w:id="4263" w:name="_Toc179869325"/>
      <w:bookmarkStart w:id="4264" w:name="_Toc179873718"/>
      <w:bookmarkStart w:id="4265" w:name="_Toc179878111"/>
      <w:bookmarkStart w:id="4266" w:name="_Toc179807761"/>
      <w:bookmarkStart w:id="4267" w:name="_Toc179813433"/>
      <w:bookmarkStart w:id="4268" w:name="_Toc179819133"/>
      <w:bookmarkStart w:id="4269" w:name="_Toc179824833"/>
      <w:bookmarkStart w:id="4270" w:name="_Toc179830490"/>
      <w:bookmarkStart w:id="4271" w:name="_Toc179862020"/>
      <w:bookmarkStart w:id="4272" w:name="_Toc179869326"/>
      <w:bookmarkStart w:id="4273" w:name="_Toc179873719"/>
      <w:bookmarkStart w:id="4274" w:name="_Toc179878112"/>
      <w:bookmarkStart w:id="4275" w:name="_Toc179807762"/>
      <w:bookmarkStart w:id="4276" w:name="_Toc179813434"/>
      <w:bookmarkStart w:id="4277" w:name="_Toc179819134"/>
      <w:bookmarkStart w:id="4278" w:name="_Toc179824834"/>
      <w:bookmarkStart w:id="4279" w:name="_Toc179830491"/>
      <w:bookmarkStart w:id="4280" w:name="_Toc179862021"/>
      <w:bookmarkStart w:id="4281" w:name="_Toc179869327"/>
      <w:bookmarkStart w:id="4282" w:name="_Toc179873720"/>
      <w:bookmarkStart w:id="4283" w:name="_Toc179878113"/>
      <w:bookmarkStart w:id="4284" w:name="_Toc179807763"/>
      <w:bookmarkStart w:id="4285" w:name="_Toc179813435"/>
      <w:bookmarkStart w:id="4286" w:name="_Toc179819135"/>
      <w:bookmarkStart w:id="4287" w:name="_Toc179824835"/>
      <w:bookmarkStart w:id="4288" w:name="_Toc179830492"/>
      <w:bookmarkStart w:id="4289" w:name="_Toc179862022"/>
      <w:bookmarkStart w:id="4290" w:name="_Toc179869328"/>
      <w:bookmarkStart w:id="4291" w:name="_Toc179873721"/>
      <w:bookmarkStart w:id="4292" w:name="_Toc179878114"/>
      <w:bookmarkStart w:id="4293" w:name="_Toc179807764"/>
      <w:bookmarkStart w:id="4294" w:name="_Toc179813436"/>
      <w:bookmarkStart w:id="4295" w:name="_Toc179819136"/>
      <w:bookmarkStart w:id="4296" w:name="_Toc179824836"/>
      <w:bookmarkStart w:id="4297" w:name="_Toc179830493"/>
      <w:bookmarkStart w:id="4298" w:name="_Toc179862023"/>
      <w:bookmarkStart w:id="4299" w:name="_Toc179869329"/>
      <w:bookmarkStart w:id="4300" w:name="_Toc179873722"/>
      <w:bookmarkStart w:id="4301" w:name="_Toc179878115"/>
      <w:bookmarkStart w:id="4302" w:name="_Toc179807765"/>
      <w:bookmarkStart w:id="4303" w:name="_Toc179813437"/>
      <w:bookmarkStart w:id="4304" w:name="_Toc179819137"/>
      <w:bookmarkStart w:id="4305" w:name="_Toc179824837"/>
      <w:bookmarkStart w:id="4306" w:name="_Toc179830494"/>
      <w:bookmarkStart w:id="4307" w:name="_Toc179862024"/>
      <w:bookmarkStart w:id="4308" w:name="_Toc179869330"/>
      <w:bookmarkStart w:id="4309" w:name="_Toc179873723"/>
      <w:bookmarkStart w:id="4310" w:name="_Toc179878116"/>
      <w:bookmarkStart w:id="4311" w:name="_Toc179807766"/>
      <w:bookmarkStart w:id="4312" w:name="_Toc179813438"/>
      <w:bookmarkStart w:id="4313" w:name="_Toc179819138"/>
      <w:bookmarkStart w:id="4314" w:name="_Toc179824838"/>
      <w:bookmarkStart w:id="4315" w:name="_Toc179830495"/>
      <w:bookmarkStart w:id="4316" w:name="_Toc179862025"/>
      <w:bookmarkStart w:id="4317" w:name="_Toc179869331"/>
      <w:bookmarkStart w:id="4318" w:name="_Toc179873724"/>
      <w:bookmarkStart w:id="4319" w:name="_Toc179878117"/>
      <w:bookmarkStart w:id="4320" w:name="_Toc179807767"/>
      <w:bookmarkStart w:id="4321" w:name="_Toc179813439"/>
      <w:bookmarkStart w:id="4322" w:name="_Toc179819139"/>
      <w:bookmarkStart w:id="4323" w:name="_Toc179824839"/>
      <w:bookmarkStart w:id="4324" w:name="_Toc179830496"/>
      <w:bookmarkStart w:id="4325" w:name="_Toc179862026"/>
      <w:bookmarkStart w:id="4326" w:name="_Toc179869332"/>
      <w:bookmarkStart w:id="4327" w:name="_Toc179873725"/>
      <w:bookmarkStart w:id="4328" w:name="_Toc179878118"/>
      <w:bookmarkStart w:id="4329" w:name="_Toc179807768"/>
      <w:bookmarkStart w:id="4330" w:name="_Toc179813440"/>
      <w:bookmarkStart w:id="4331" w:name="_Toc179819140"/>
      <w:bookmarkStart w:id="4332" w:name="_Toc179824840"/>
      <w:bookmarkStart w:id="4333" w:name="_Toc179830497"/>
      <w:bookmarkStart w:id="4334" w:name="_Toc179862027"/>
      <w:bookmarkStart w:id="4335" w:name="_Toc179869333"/>
      <w:bookmarkStart w:id="4336" w:name="_Toc179873726"/>
      <w:bookmarkStart w:id="4337" w:name="_Toc179878119"/>
      <w:bookmarkStart w:id="4338" w:name="_Toc179807769"/>
      <w:bookmarkStart w:id="4339" w:name="_Toc179813441"/>
      <w:bookmarkStart w:id="4340" w:name="_Toc179819141"/>
      <w:bookmarkStart w:id="4341" w:name="_Toc179824841"/>
      <w:bookmarkStart w:id="4342" w:name="_Toc179830498"/>
      <w:bookmarkStart w:id="4343" w:name="_Toc179862028"/>
      <w:bookmarkStart w:id="4344" w:name="_Toc179869334"/>
      <w:bookmarkStart w:id="4345" w:name="_Toc179873727"/>
      <w:bookmarkStart w:id="4346" w:name="_Toc179878120"/>
      <w:bookmarkStart w:id="4347" w:name="_Toc179807770"/>
      <w:bookmarkStart w:id="4348" w:name="_Toc179813442"/>
      <w:bookmarkStart w:id="4349" w:name="_Toc179819142"/>
      <w:bookmarkStart w:id="4350" w:name="_Toc179824842"/>
      <w:bookmarkStart w:id="4351" w:name="_Toc179830499"/>
      <w:bookmarkStart w:id="4352" w:name="_Toc179862029"/>
      <w:bookmarkStart w:id="4353" w:name="_Toc179869335"/>
      <w:bookmarkStart w:id="4354" w:name="_Toc179873728"/>
      <w:bookmarkStart w:id="4355" w:name="_Toc179878121"/>
      <w:bookmarkStart w:id="4356" w:name="_Toc179807771"/>
      <w:bookmarkStart w:id="4357" w:name="_Toc179813443"/>
      <w:bookmarkStart w:id="4358" w:name="_Toc179819143"/>
      <w:bookmarkStart w:id="4359" w:name="_Toc179824843"/>
      <w:bookmarkStart w:id="4360" w:name="_Toc179830500"/>
      <w:bookmarkStart w:id="4361" w:name="_Toc179862030"/>
      <w:bookmarkStart w:id="4362" w:name="_Toc179869336"/>
      <w:bookmarkStart w:id="4363" w:name="_Toc179873729"/>
      <w:bookmarkStart w:id="4364" w:name="_Toc179878122"/>
      <w:bookmarkStart w:id="4365" w:name="_Toc179807772"/>
      <w:bookmarkStart w:id="4366" w:name="_Toc179813444"/>
      <w:bookmarkStart w:id="4367" w:name="_Toc179819144"/>
      <w:bookmarkStart w:id="4368" w:name="_Toc179824844"/>
      <w:bookmarkStart w:id="4369" w:name="_Toc179830501"/>
      <w:bookmarkStart w:id="4370" w:name="_Toc179862031"/>
      <w:bookmarkStart w:id="4371" w:name="_Toc179869337"/>
      <w:bookmarkStart w:id="4372" w:name="_Toc179873730"/>
      <w:bookmarkStart w:id="4373" w:name="_Toc179878123"/>
      <w:bookmarkStart w:id="4374" w:name="_Toc96704978"/>
      <w:bookmarkStart w:id="4375" w:name="_Toc130225987"/>
      <w:bookmarkStart w:id="4376" w:name="_Toc64983171"/>
      <w:bookmarkStart w:id="4377" w:name="_Toc179813445"/>
      <w:bookmarkStart w:id="4378" w:name="_Toc179819145"/>
      <w:bookmarkStart w:id="4379" w:name="_Toc179824845"/>
      <w:bookmarkStart w:id="4380" w:name="_Toc179830502"/>
      <w:bookmarkStart w:id="4381" w:name="_Toc179862032"/>
      <w:bookmarkStart w:id="4382" w:name="_Toc179869338"/>
      <w:bookmarkStart w:id="4383" w:name="_Toc179873731"/>
      <w:bookmarkStart w:id="4384" w:name="_Toc179878124"/>
      <w:bookmarkStart w:id="4385" w:name="_Toc179880325"/>
      <w:bookmarkStart w:id="4386" w:name="_Toc190333176"/>
      <w:bookmarkStart w:id="4387" w:name="_Toc190340942"/>
      <w:bookmarkStart w:id="4388" w:name="_Hlk63429185"/>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r>
        <w:t>Commitments for expenditure</w:t>
      </w:r>
      <w:bookmarkEnd w:id="4374"/>
      <w:bookmarkEnd w:id="4375"/>
      <w:bookmarkEnd w:id="4376"/>
      <w:bookmarkEnd w:id="4377"/>
      <w:bookmarkEnd w:id="4378"/>
      <w:bookmarkEnd w:id="4379"/>
      <w:bookmarkEnd w:id="4380"/>
      <w:bookmarkEnd w:id="4381"/>
      <w:bookmarkEnd w:id="4382"/>
      <w:bookmarkEnd w:id="4383"/>
      <w:bookmarkEnd w:id="4384"/>
      <w:bookmarkEnd w:id="4385"/>
      <w:bookmarkEnd w:id="4386"/>
      <w:bookmarkEnd w:id="4387"/>
    </w:p>
    <w:p w14:paraId="6FB8B1EB" w14:textId="559A2178" w:rsidR="003719CD" w:rsidRDefault="003719CD" w:rsidP="00DC39DE">
      <w:r>
        <w:t>Commitments for future expenditure include operating and capital commitments arising from contracts. These commitments are recorded at their nominal value and inclusive of GST. Where it is considered appropriate and provides additional relevant information to users, the net present values of significant individual projects are stated. These future expenditures cease to be disclosed as commitments once the related liabilities are recognised in the balance sheet.</w:t>
      </w:r>
    </w:p>
    <w:p w14:paraId="1B8E7C2F" w14:textId="77777777" w:rsidR="003719CD" w:rsidRDefault="003719CD" w:rsidP="00A80494">
      <w:pPr>
        <w:pStyle w:val="Heading3numbered"/>
      </w:pPr>
      <w:bookmarkStart w:id="4389" w:name="_Toc179813446"/>
      <w:bookmarkStart w:id="4390" w:name="_Toc179819146"/>
      <w:bookmarkStart w:id="4391" w:name="_Toc179824846"/>
      <w:bookmarkStart w:id="4392" w:name="_Toc179830503"/>
      <w:bookmarkStart w:id="4393" w:name="_Toc179862033"/>
      <w:bookmarkStart w:id="4394" w:name="_Hlk63413301"/>
      <w:r>
        <w:t>Total commitments payable</w:t>
      </w:r>
      <w:bookmarkEnd w:id="4389"/>
      <w:bookmarkEnd w:id="4390"/>
      <w:bookmarkEnd w:id="4391"/>
      <w:bookmarkEnd w:id="4392"/>
      <w:bookmarkEnd w:id="4393"/>
      <w:r>
        <w:t xml:space="preserve"> </w:t>
      </w:r>
    </w:p>
    <w:p w14:paraId="443EDBA2" w14:textId="77777777" w:rsidR="003719CD" w:rsidRDefault="003719CD" w:rsidP="007D536F">
      <w:pPr>
        <w:pStyle w:val="TableUnits"/>
      </w:pPr>
      <w:r>
        <w:t>($ thousand)</w:t>
      </w:r>
    </w:p>
    <w:tbl>
      <w:tblPr>
        <w:tblStyle w:val="DTFTable"/>
        <w:tblW w:w="9639" w:type="dxa"/>
        <w:tblLayout w:type="fixed"/>
        <w:tblLook w:val="0620" w:firstRow="1" w:lastRow="0" w:firstColumn="0" w:lastColumn="0" w:noHBand="1" w:noVBand="1"/>
      </w:tblPr>
      <w:tblGrid>
        <w:gridCol w:w="1701"/>
        <w:gridCol w:w="4478"/>
        <w:gridCol w:w="865"/>
        <w:gridCol w:w="865"/>
        <w:gridCol w:w="865"/>
        <w:gridCol w:w="865"/>
      </w:tblGrid>
      <w:tr w:rsidR="00182709" w14:paraId="4BFDD720" w14:textId="77777777" w:rsidTr="005B452C">
        <w:trPr>
          <w:cnfStyle w:val="100000000000" w:firstRow="1" w:lastRow="0" w:firstColumn="0" w:lastColumn="0" w:oddVBand="0" w:evenVBand="0" w:oddHBand="0" w:evenHBand="0" w:firstRowFirstColumn="0" w:firstRowLastColumn="0" w:lastRowFirstColumn="0" w:lastRowLastColumn="0"/>
          <w:tblHeader/>
        </w:trPr>
        <w:tc>
          <w:tcPr>
            <w:tcW w:w="1701" w:type="dxa"/>
            <w:tcBorders>
              <w:top w:val="nil"/>
              <w:bottom w:val="nil"/>
            </w:tcBorders>
            <w:shd w:val="clear" w:color="auto" w:fill="FFFFFF" w:themeFill="background1"/>
          </w:tcPr>
          <w:p w14:paraId="277173D7" w14:textId="77777777" w:rsidR="00182709" w:rsidRDefault="0044097C">
            <w:pPr>
              <w:keepNext/>
              <w:jc w:val="left"/>
            </w:pPr>
            <w:r>
              <w:rPr>
                <w:color w:val="4472C4"/>
                <w:sz w:val="13"/>
              </w:rPr>
              <w:t>Source reference</w:t>
            </w:r>
          </w:p>
        </w:tc>
        <w:tc>
          <w:tcPr>
            <w:tcW w:w="4478" w:type="dxa"/>
          </w:tcPr>
          <w:p w14:paraId="4675C743" w14:textId="77777777" w:rsidR="00182709" w:rsidRDefault="0044097C">
            <w:pPr>
              <w:keepNext/>
              <w:jc w:val="left"/>
            </w:pPr>
            <w:r>
              <w:t>Nominal amounts</w:t>
            </w:r>
          </w:p>
        </w:tc>
        <w:tc>
          <w:tcPr>
            <w:tcW w:w="865" w:type="dxa"/>
          </w:tcPr>
          <w:p w14:paraId="2F6A2C1C" w14:textId="77777777" w:rsidR="00182709" w:rsidRDefault="0044097C">
            <w:pPr>
              <w:keepNext/>
            </w:pPr>
            <w:r>
              <w:t>Less than</w:t>
            </w:r>
          </w:p>
        </w:tc>
        <w:tc>
          <w:tcPr>
            <w:tcW w:w="865" w:type="dxa"/>
          </w:tcPr>
          <w:p w14:paraId="172AEEB0" w14:textId="77777777" w:rsidR="00182709" w:rsidRDefault="0044097C">
            <w:pPr>
              <w:keepNext/>
            </w:pPr>
            <w:r>
              <w:t>1–5</w:t>
            </w:r>
          </w:p>
        </w:tc>
        <w:tc>
          <w:tcPr>
            <w:tcW w:w="865" w:type="dxa"/>
          </w:tcPr>
          <w:p w14:paraId="65139879" w14:textId="77777777" w:rsidR="00182709" w:rsidRDefault="0044097C">
            <w:pPr>
              <w:keepNext/>
            </w:pPr>
            <w:r>
              <w:t>5+</w:t>
            </w:r>
          </w:p>
        </w:tc>
        <w:tc>
          <w:tcPr>
            <w:tcW w:w="865" w:type="dxa"/>
          </w:tcPr>
          <w:p w14:paraId="3BCD3F30" w14:textId="77777777" w:rsidR="00182709" w:rsidRDefault="0044097C">
            <w:pPr>
              <w:keepNext/>
            </w:pPr>
            <w:r>
              <w:t>Total</w:t>
            </w:r>
          </w:p>
        </w:tc>
      </w:tr>
      <w:tr w:rsidR="00182709" w14:paraId="376DBCC6" w14:textId="77777777" w:rsidTr="005B452C">
        <w:trPr>
          <w:cnfStyle w:val="100000000000" w:firstRow="1" w:lastRow="0" w:firstColumn="0" w:lastColumn="0" w:oddVBand="0" w:evenVBand="0" w:oddHBand="0" w:evenHBand="0" w:firstRowFirstColumn="0" w:firstRowLastColumn="0" w:lastRowFirstColumn="0" w:lastRowLastColumn="0"/>
          <w:tblHeader/>
        </w:trPr>
        <w:tc>
          <w:tcPr>
            <w:tcW w:w="1701" w:type="dxa"/>
            <w:tcBorders>
              <w:top w:val="nil"/>
              <w:bottom w:val="nil"/>
            </w:tcBorders>
            <w:shd w:val="clear" w:color="auto" w:fill="FFFFFF" w:themeFill="background1"/>
          </w:tcPr>
          <w:p w14:paraId="6432B36D" w14:textId="77777777" w:rsidR="00182709" w:rsidRDefault="00182709">
            <w:pPr>
              <w:keepNext/>
              <w:jc w:val="left"/>
            </w:pPr>
          </w:p>
        </w:tc>
        <w:tc>
          <w:tcPr>
            <w:tcW w:w="4478" w:type="dxa"/>
          </w:tcPr>
          <w:p w14:paraId="081A3D69" w14:textId="77777777" w:rsidR="00182709" w:rsidRDefault="0044097C">
            <w:pPr>
              <w:keepNext/>
              <w:jc w:val="left"/>
            </w:pPr>
            <w:r>
              <w:t>20X2</w:t>
            </w:r>
          </w:p>
        </w:tc>
        <w:tc>
          <w:tcPr>
            <w:tcW w:w="865" w:type="dxa"/>
          </w:tcPr>
          <w:p w14:paraId="71B28C54" w14:textId="77777777" w:rsidR="00182709" w:rsidRDefault="0044097C">
            <w:pPr>
              <w:keepNext/>
            </w:pPr>
            <w:r>
              <w:t>1 year</w:t>
            </w:r>
          </w:p>
        </w:tc>
        <w:tc>
          <w:tcPr>
            <w:tcW w:w="865" w:type="dxa"/>
          </w:tcPr>
          <w:p w14:paraId="69BE72A4" w14:textId="77777777" w:rsidR="00182709" w:rsidRDefault="0044097C">
            <w:pPr>
              <w:keepNext/>
            </w:pPr>
            <w:r>
              <w:t>years</w:t>
            </w:r>
          </w:p>
        </w:tc>
        <w:tc>
          <w:tcPr>
            <w:tcW w:w="865" w:type="dxa"/>
          </w:tcPr>
          <w:p w14:paraId="4A40EECB" w14:textId="77777777" w:rsidR="00182709" w:rsidRDefault="0044097C">
            <w:pPr>
              <w:keepNext/>
            </w:pPr>
            <w:r>
              <w:t>years</w:t>
            </w:r>
          </w:p>
        </w:tc>
        <w:tc>
          <w:tcPr>
            <w:tcW w:w="865" w:type="dxa"/>
          </w:tcPr>
          <w:p w14:paraId="3815CD32" w14:textId="77777777" w:rsidR="00182709" w:rsidRDefault="00182709">
            <w:pPr>
              <w:keepNext/>
            </w:pPr>
          </w:p>
        </w:tc>
      </w:tr>
      <w:tr w:rsidR="00182709" w14:paraId="2ABF8291" w14:textId="77777777" w:rsidTr="005B452C">
        <w:tc>
          <w:tcPr>
            <w:tcW w:w="1701" w:type="dxa"/>
          </w:tcPr>
          <w:p w14:paraId="08D2B0A5" w14:textId="5378F171" w:rsidR="00182709" w:rsidRDefault="0007383E">
            <w:pPr>
              <w:jc w:val="left"/>
            </w:pPr>
            <w:r>
              <w:rPr>
                <w:color w:val="4472C4"/>
                <w:sz w:val="13"/>
              </w:rPr>
              <w:t>AASB </w:t>
            </w:r>
            <w:r w:rsidR="0044097C">
              <w:rPr>
                <w:color w:val="4472C4"/>
                <w:sz w:val="13"/>
              </w:rPr>
              <w:t>1</w:t>
            </w:r>
            <w:r w:rsidR="0045122F">
              <w:rPr>
                <w:color w:val="4472C4"/>
                <w:sz w:val="13"/>
              </w:rPr>
              <w:t>060.135 (b)</w:t>
            </w:r>
          </w:p>
        </w:tc>
        <w:tc>
          <w:tcPr>
            <w:tcW w:w="4478" w:type="dxa"/>
          </w:tcPr>
          <w:p w14:paraId="15CF51CE" w14:textId="77777777" w:rsidR="00182709" w:rsidRDefault="0044097C">
            <w:pPr>
              <w:jc w:val="left"/>
            </w:pPr>
            <w:r>
              <w:t>Capital expenditure commitments payable</w:t>
            </w:r>
          </w:p>
        </w:tc>
        <w:tc>
          <w:tcPr>
            <w:tcW w:w="865" w:type="dxa"/>
          </w:tcPr>
          <w:p w14:paraId="4D821797" w14:textId="77777777" w:rsidR="00182709" w:rsidRDefault="0044097C">
            <w:r>
              <w:t>4 782</w:t>
            </w:r>
          </w:p>
        </w:tc>
        <w:tc>
          <w:tcPr>
            <w:tcW w:w="865" w:type="dxa"/>
          </w:tcPr>
          <w:p w14:paraId="12CFC7D6" w14:textId="77777777" w:rsidR="00182709" w:rsidRDefault="0044097C">
            <w:r>
              <w:t>74</w:t>
            </w:r>
          </w:p>
        </w:tc>
        <w:tc>
          <w:tcPr>
            <w:tcW w:w="865" w:type="dxa"/>
          </w:tcPr>
          <w:p w14:paraId="48321743" w14:textId="77777777" w:rsidR="00182709" w:rsidRDefault="0044097C">
            <w:r>
              <w:t>..</w:t>
            </w:r>
          </w:p>
        </w:tc>
        <w:tc>
          <w:tcPr>
            <w:tcW w:w="865" w:type="dxa"/>
          </w:tcPr>
          <w:p w14:paraId="44B339DC" w14:textId="77777777" w:rsidR="00182709" w:rsidRDefault="0044097C">
            <w:r>
              <w:t>4 856</w:t>
            </w:r>
          </w:p>
        </w:tc>
      </w:tr>
      <w:tr w:rsidR="00182709" w14:paraId="274E94B6" w14:textId="77777777" w:rsidTr="005B452C">
        <w:tc>
          <w:tcPr>
            <w:tcW w:w="1701" w:type="dxa"/>
          </w:tcPr>
          <w:p w14:paraId="1000BFC2" w14:textId="05FA01D4" w:rsidR="00182709" w:rsidRDefault="0007383E">
            <w:pPr>
              <w:jc w:val="left"/>
            </w:pPr>
            <w:r>
              <w:rPr>
                <w:color w:val="4472C4"/>
                <w:sz w:val="13"/>
              </w:rPr>
              <w:t>AASB </w:t>
            </w:r>
            <w:r w:rsidR="0044097C">
              <w:rPr>
                <w:color w:val="4472C4"/>
                <w:sz w:val="13"/>
              </w:rPr>
              <w:t>1</w:t>
            </w:r>
            <w:r w:rsidR="002D2BC2">
              <w:rPr>
                <w:color w:val="4472C4"/>
                <w:sz w:val="13"/>
              </w:rPr>
              <w:t>060.138 (d)</w:t>
            </w:r>
          </w:p>
        </w:tc>
        <w:tc>
          <w:tcPr>
            <w:tcW w:w="4478" w:type="dxa"/>
          </w:tcPr>
          <w:p w14:paraId="07C9291B" w14:textId="77777777" w:rsidR="00182709" w:rsidRDefault="0044097C">
            <w:pPr>
              <w:jc w:val="left"/>
            </w:pPr>
            <w:r>
              <w:t>Intangible assets commitments payable</w:t>
            </w:r>
          </w:p>
        </w:tc>
        <w:tc>
          <w:tcPr>
            <w:tcW w:w="865" w:type="dxa"/>
          </w:tcPr>
          <w:p w14:paraId="4B3AAA0E" w14:textId="77777777" w:rsidR="00182709" w:rsidRDefault="0044097C">
            <w:r>
              <w:t>23</w:t>
            </w:r>
          </w:p>
        </w:tc>
        <w:tc>
          <w:tcPr>
            <w:tcW w:w="865" w:type="dxa"/>
          </w:tcPr>
          <w:p w14:paraId="249AAC3C" w14:textId="77777777" w:rsidR="00182709" w:rsidRDefault="0044097C">
            <w:r>
              <w:t>..</w:t>
            </w:r>
          </w:p>
        </w:tc>
        <w:tc>
          <w:tcPr>
            <w:tcW w:w="865" w:type="dxa"/>
          </w:tcPr>
          <w:p w14:paraId="5CCE48C5" w14:textId="77777777" w:rsidR="00182709" w:rsidRDefault="0044097C">
            <w:r>
              <w:t>20</w:t>
            </w:r>
          </w:p>
        </w:tc>
        <w:tc>
          <w:tcPr>
            <w:tcW w:w="865" w:type="dxa"/>
          </w:tcPr>
          <w:p w14:paraId="70CA98A3" w14:textId="77777777" w:rsidR="00182709" w:rsidRDefault="0044097C">
            <w:r>
              <w:t>43</w:t>
            </w:r>
          </w:p>
        </w:tc>
      </w:tr>
      <w:tr w:rsidR="004D7D40" w14:paraId="072CE804" w14:textId="515A6552" w:rsidTr="005B452C">
        <w:tc>
          <w:tcPr>
            <w:tcW w:w="1701" w:type="dxa"/>
          </w:tcPr>
          <w:p w14:paraId="421323FD" w14:textId="5FB2D2EE" w:rsidR="004D7D40" w:rsidRDefault="004D7D40" w:rsidP="004D7D40">
            <w:pPr>
              <w:jc w:val="left"/>
            </w:pPr>
          </w:p>
        </w:tc>
        <w:tc>
          <w:tcPr>
            <w:tcW w:w="4478" w:type="dxa"/>
            <w:tcBorders>
              <w:bottom w:val="single" w:sz="12" w:space="0" w:color="auto"/>
            </w:tcBorders>
          </w:tcPr>
          <w:p w14:paraId="7358720E" w14:textId="77777777" w:rsidR="004D7D40" w:rsidRDefault="004D7D40" w:rsidP="004D7D40">
            <w:pPr>
              <w:jc w:val="left"/>
            </w:pPr>
            <w:r>
              <w:t>Other commitments payable</w:t>
            </w:r>
          </w:p>
        </w:tc>
        <w:tc>
          <w:tcPr>
            <w:tcW w:w="865" w:type="dxa"/>
            <w:tcBorders>
              <w:bottom w:val="single" w:sz="12" w:space="0" w:color="auto"/>
            </w:tcBorders>
          </w:tcPr>
          <w:p w14:paraId="231C786D" w14:textId="77777777" w:rsidR="004D7D40" w:rsidRDefault="004D7D40" w:rsidP="004D7D40">
            <w:r>
              <w:t>56</w:t>
            </w:r>
          </w:p>
        </w:tc>
        <w:tc>
          <w:tcPr>
            <w:tcW w:w="865" w:type="dxa"/>
            <w:tcBorders>
              <w:bottom w:val="single" w:sz="12" w:space="0" w:color="auto"/>
            </w:tcBorders>
          </w:tcPr>
          <w:p w14:paraId="1644B276" w14:textId="77777777" w:rsidR="004D7D40" w:rsidRDefault="004D7D40" w:rsidP="004D7D40">
            <w:r>
              <w:t>112</w:t>
            </w:r>
          </w:p>
        </w:tc>
        <w:tc>
          <w:tcPr>
            <w:tcW w:w="865" w:type="dxa"/>
            <w:tcBorders>
              <w:bottom w:val="single" w:sz="12" w:space="0" w:color="auto"/>
            </w:tcBorders>
          </w:tcPr>
          <w:p w14:paraId="647F0992" w14:textId="77777777" w:rsidR="004D7D40" w:rsidRDefault="004D7D40" w:rsidP="004D7D40">
            <w:r>
              <w:t>..</w:t>
            </w:r>
          </w:p>
        </w:tc>
        <w:tc>
          <w:tcPr>
            <w:tcW w:w="865" w:type="dxa"/>
            <w:tcBorders>
              <w:bottom w:val="single" w:sz="12" w:space="0" w:color="auto"/>
            </w:tcBorders>
          </w:tcPr>
          <w:p w14:paraId="789F026C" w14:textId="77777777" w:rsidR="004D7D40" w:rsidRDefault="004D7D40" w:rsidP="004D7D40">
            <w:r>
              <w:t>168</w:t>
            </w:r>
          </w:p>
        </w:tc>
      </w:tr>
      <w:tr w:rsidR="002F4AA4" w14:paraId="0F06D91C" w14:textId="77777777" w:rsidTr="002A0038">
        <w:tc>
          <w:tcPr>
            <w:tcW w:w="0" w:type="dxa"/>
          </w:tcPr>
          <w:p w14:paraId="60CDA1D1" w14:textId="77777777" w:rsidR="002F4AA4" w:rsidRDefault="002F4AA4" w:rsidP="002F4AA4">
            <w:pPr>
              <w:jc w:val="left"/>
            </w:pPr>
          </w:p>
        </w:tc>
        <w:tc>
          <w:tcPr>
            <w:tcW w:w="0" w:type="dxa"/>
          </w:tcPr>
          <w:p w14:paraId="4BC5A9E3" w14:textId="77777777" w:rsidR="002F4AA4" w:rsidRDefault="002F4AA4" w:rsidP="002F4AA4">
            <w:pPr>
              <w:jc w:val="left"/>
            </w:pPr>
            <w:r>
              <w:rPr>
                <w:b/>
              </w:rPr>
              <w:t>Total commitments (inclusive of GST)</w:t>
            </w:r>
          </w:p>
        </w:tc>
        <w:tc>
          <w:tcPr>
            <w:tcW w:w="0" w:type="dxa"/>
            <w:vAlign w:val="center"/>
          </w:tcPr>
          <w:p w14:paraId="791356EF" w14:textId="250C997F" w:rsidR="002F4AA4" w:rsidRDefault="002F4AA4" w:rsidP="002F4AA4">
            <w:r>
              <w:rPr>
                <w:rFonts w:ascii="Arial" w:hAnsi="Arial" w:cs="Arial"/>
                <w:b/>
                <w:bCs/>
                <w:color w:val="000000"/>
                <w:szCs w:val="16"/>
              </w:rPr>
              <w:t>4</w:t>
            </w:r>
            <w:r>
              <w:rPr>
                <w:rFonts w:ascii="Arial" w:hAnsi="Arial" w:cs="Arial" w:hint="eastAsia"/>
                <w:b/>
                <w:bCs/>
                <w:color w:val="000000"/>
                <w:szCs w:val="16"/>
                <w:lang w:eastAsia="zh-CN"/>
              </w:rPr>
              <w:t xml:space="preserve"> </w:t>
            </w:r>
            <w:r>
              <w:rPr>
                <w:rFonts w:ascii="Arial" w:hAnsi="Arial" w:cs="Arial"/>
                <w:b/>
                <w:bCs/>
                <w:color w:val="000000"/>
                <w:szCs w:val="16"/>
              </w:rPr>
              <w:t>861</w:t>
            </w:r>
          </w:p>
        </w:tc>
        <w:tc>
          <w:tcPr>
            <w:tcW w:w="0" w:type="dxa"/>
            <w:vAlign w:val="center"/>
          </w:tcPr>
          <w:p w14:paraId="75FAF71F" w14:textId="6F695674" w:rsidR="002F4AA4" w:rsidRDefault="002F4AA4" w:rsidP="002F4AA4">
            <w:r>
              <w:rPr>
                <w:rFonts w:ascii="Arial" w:hAnsi="Arial" w:cs="Arial"/>
                <w:b/>
                <w:bCs/>
                <w:color w:val="000000"/>
                <w:szCs w:val="16"/>
              </w:rPr>
              <w:t>186</w:t>
            </w:r>
          </w:p>
        </w:tc>
        <w:tc>
          <w:tcPr>
            <w:tcW w:w="0" w:type="dxa"/>
            <w:vAlign w:val="center"/>
          </w:tcPr>
          <w:p w14:paraId="37E75A78" w14:textId="37269E9F" w:rsidR="002F4AA4" w:rsidRDefault="002F4AA4" w:rsidP="002F4AA4">
            <w:r>
              <w:rPr>
                <w:rFonts w:ascii="Arial" w:hAnsi="Arial" w:cs="Arial"/>
                <w:b/>
                <w:bCs/>
                <w:color w:val="000000"/>
                <w:szCs w:val="16"/>
              </w:rPr>
              <w:t>20</w:t>
            </w:r>
          </w:p>
        </w:tc>
        <w:tc>
          <w:tcPr>
            <w:tcW w:w="0" w:type="dxa"/>
            <w:vAlign w:val="center"/>
          </w:tcPr>
          <w:p w14:paraId="41869153" w14:textId="5FA0049D" w:rsidR="002F4AA4" w:rsidRDefault="002F4AA4" w:rsidP="002F4AA4">
            <w:r>
              <w:rPr>
                <w:rFonts w:ascii="Arial" w:hAnsi="Arial" w:cs="Arial"/>
                <w:b/>
                <w:bCs/>
                <w:color w:val="000000"/>
                <w:szCs w:val="16"/>
              </w:rPr>
              <w:t>5</w:t>
            </w:r>
            <w:r>
              <w:rPr>
                <w:rFonts w:ascii="Arial" w:hAnsi="Arial" w:cs="Arial" w:hint="eastAsia"/>
                <w:b/>
                <w:bCs/>
                <w:color w:val="000000"/>
                <w:szCs w:val="16"/>
                <w:lang w:eastAsia="zh-CN"/>
              </w:rPr>
              <w:t xml:space="preserve"> </w:t>
            </w:r>
            <w:r>
              <w:rPr>
                <w:rFonts w:ascii="Arial" w:hAnsi="Arial" w:cs="Arial"/>
                <w:b/>
                <w:bCs/>
                <w:color w:val="000000"/>
                <w:szCs w:val="16"/>
              </w:rPr>
              <w:t>067</w:t>
            </w:r>
          </w:p>
        </w:tc>
      </w:tr>
      <w:tr w:rsidR="00382FB3" w14:paraId="364EE7C9" w14:textId="77777777" w:rsidTr="002A0038">
        <w:tc>
          <w:tcPr>
            <w:tcW w:w="0" w:type="dxa"/>
          </w:tcPr>
          <w:p w14:paraId="2D916F98" w14:textId="77777777" w:rsidR="00382FB3" w:rsidRDefault="00382FB3" w:rsidP="00382FB3">
            <w:pPr>
              <w:jc w:val="left"/>
            </w:pPr>
          </w:p>
        </w:tc>
        <w:tc>
          <w:tcPr>
            <w:tcW w:w="0" w:type="dxa"/>
          </w:tcPr>
          <w:p w14:paraId="3F72F389" w14:textId="77777777" w:rsidR="00382FB3" w:rsidRDefault="00382FB3" w:rsidP="00382FB3">
            <w:pPr>
              <w:jc w:val="left"/>
            </w:pPr>
            <w:r>
              <w:t>Less GST recoverable</w:t>
            </w:r>
          </w:p>
        </w:tc>
        <w:tc>
          <w:tcPr>
            <w:tcW w:w="0" w:type="dxa"/>
          </w:tcPr>
          <w:p w14:paraId="37F59607" w14:textId="77777777" w:rsidR="00382FB3" w:rsidRDefault="00382FB3" w:rsidP="00382FB3"/>
        </w:tc>
        <w:tc>
          <w:tcPr>
            <w:tcW w:w="0" w:type="dxa"/>
          </w:tcPr>
          <w:p w14:paraId="63895A6A" w14:textId="77777777" w:rsidR="00382FB3" w:rsidRDefault="00382FB3" w:rsidP="00382FB3"/>
        </w:tc>
        <w:tc>
          <w:tcPr>
            <w:tcW w:w="0" w:type="dxa"/>
          </w:tcPr>
          <w:p w14:paraId="275E867A" w14:textId="77777777" w:rsidR="00382FB3" w:rsidRDefault="00382FB3" w:rsidP="00382FB3"/>
        </w:tc>
        <w:tc>
          <w:tcPr>
            <w:tcW w:w="0" w:type="dxa"/>
            <w:vAlign w:val="center"/>
          </w:tcPr>
          <w:p w14:paraId="7059B45C" w14:textId="18DDE67C" w:rsidR="00382FB3" w:rsidRDefault="00382FB3" w:rsidP="00382FB3">
            <w:r>
              <w:rPr>
                <w:rFonts w:ascii="Arial" w:hAnsi="Arial" w:cs="Arial"/>
                <w:color w:val="000000"/>
                <w:szCs w:val="16"/>
              </w:rPr>
              <w:t>(340)</w:t>
            </w:r>
          </w:p>
        </w:tc>
      </w:tr>
      <w:tr w:rsidR="00382FB3" w14:paraId="159FDD0C" w14:textId="77777777" w:rsidTr="002A0038">
        <w:tc>
          <w:tcPr>
            <w:tcW w:w="0" w:type="dxa"/>
            <w:tcBorders>
              <w:bottom w:val="nil"/>
            </w:tcBorders>
          </w:tcPr>
          <w:p w14:paraId="2692CCB5" w14:textId="77777777" w:rsidR="00382FB3" w:rsidRDefault="00382FB3" w:rsidP="00382FB3">
            <w:pPr>
              <w:jc w:val="left"/>
            </w:pPr>
          </w:p>
        </w:tc>
        <w:tc>
          <w:tcPr>
            <w:tcW w:w="0" w:type="dxa"/>
          </w:tcPr>
          <w:p w14:paraId="68C3F90B" w14:textId="77777777" w:rsidR="00382FB3" w:rsidRDefault="00382FB3" w:rsidP="00382FB3">
            <w:pPr>
              <w:jc w:val="left"/>
            </w:pPr>
            <w:r>
              <w:rPr>
                <w:b/>
              </w:rPr>
              <w:t>Total commitments (exclusive of GST)</w:t>
            </w:r>
          </w:p>
        </w:tc>
        <w:tc>
          <w:tcPr>
            <w:tcW w:w="0" w:type="dxa"/>
          </w:tcPr>
          <w:p w14:paraId="41360B2A" w14:textId="77777777" w:rsidR="00382FB3" w:rsidRDefault="00382FB3" w:rsidP="00382FB3"/>
        </w:tc>
        <w:tc>
          <w:tcPr>
            <w:tcW w:w="0" w:type="dxa"/>
          </w:tcPr>
          <w:p w14:paraId="515720E0" w14:textId="77777777" w:rsidR="00382FB3" w:rsidRDefault="00382FB3" w:rsidP="00382FB3"/>
        </w:tc>
        <w:tc>
          <w:tcPr>
            <w:tcW w:w="0" w:type="dxa"/>
          </w:tcPr>
          <w:p w14:paraId="16950A51" w14:textId="77777777" w:rsidR="00382FB3" w:rsidRDefault="00382FB3" w:rsidP="00382FB3"/>
        </w:tc>
        <w:tc>
          <w:tcPr>
            <w:tcW w:w="0" w:type="dxa"/>
            <w:vAlign w:val="center"/>
          </w:tcPr>
          <w:p w14:paraId="6EB99034" w14:textId="13DFE8A9" w:rsidR="00382FB3" w:rsidRDefault="00382FB3" w:rsidP="00382FB3">
            <w:r>
              <w:rPr>
                <w:rFonts w:ascii="Arial" w:hAnsi="Arial" w:cs="Arial"/>
                <w:b/>
                <w:bCs/>
                <w:color w:val="000000"/>
                <w:szCs w:val="16"/>
              </w:rPr>
              <w:t>4</w:t>
            </w:r>
            <w:r>
              <w:rPr>
                <w:rFonts w:ascii="Arial" w:hAnsi="Arial" w:cs="Arial" w:hint="eastAsia"/>
                <w:b/>
                <w:bCs/>
                <w:color w:val="000000"/>
                <w:szCs w:val="16"/>
                <w:lang w:eastAsia="zh-CN"/>
              </w:rPr>
              <w:t xml:space="preserve"> </w:t>
            </w:r>
            <w:r>
              <w:rPr>
                <w:rFonts w:ascii="Arial" w:hAnsi="Arial" w:cs="Arial"/>
                <w:b/>
                <w:bCs/>
                <w:color w:val="000000"/>
                <w:szCs w:val="16"/>
              </w:rPr>
              <w:t>727</w:t>
            </w:r>
          </w:p>
        </w:tc>
      </w:tr>
    </w:tbl>
    <w:p w14:paraId="0D3AE062" w14:textId="77777777" w:rsidR="003719CD" w:rsidRDefault="003719CD" w:rsidP="007D536F">
      <w:pPr>
        <w:pStyle w:val="Note"/>
      </w:pPr>
    </w:p>
    <w:tbl>
      <w:tblPr>
        <w:tblStyle w:val="DTFTable"/>
        <w:tblW w:w="9639" w:type="dxa"/>
        <w:tblLayout w:type="fixed"/>
        <w:tblLook w:val="0620" w:firstRow="1" w:lastRow="0" w:firstColumn="0" w:lastColumn="0" w:noHBand="1" w:noVBand="1"/>
      </w:tblPr>
      <w:tblGrid>
        <w:gridCol w:w="1701"/>
        <w:gridCol w:w="4486"/>
        <w:gridCol w:w="863"/>
        <w:gridCol w:w="863"/>
        <w:gridCol w:w="863"/>
        <w:gridCol w:w="863"/>
      </w:tblGrid>
      <w:tr w:rsidR="00671D55" w14:paraId="7D8AA249" w14:textId="77777777" w:rsidTr="005B452C">
        <w:trPr>
          <w:cnfStyle w:val="100000000000" w:firstRow="1" w:lastRow="0" w:firstColumn="0" w:lastColumn="0" w:oddVBand="0" w:evenVBand="0" w:oddHBand="0" w:evenHBand="0" w:firstRowFirstColumn="0" w:firstRowLastColumn="0" w:lastRowFirstColumn="0" w:lastRowLastColumn="0"/>
          <w:tblHeader/>
        </w:trPr>
        <w:tc>
          <w:tcPr>
            <w:tcW w:w="1701" w:type="dxa"/>
            <w:tcBorders>
              <w:top w:val="nil"/>
              <w:bottom w:val="nil"/>
            </w:tcBorders>
          </w:tcPr>
          <w:p w14:paraId="629AA950" w14:textId="093FF3D6" w:rsidR="00182709" w:rsidRPr="005B452C" w:rsidRDefault="005B452C">
            <w:pPr>
              <w:keepNext/>
              <w:jc w:val="left"/>
              <w:rPr>
                <w:color w:val="4472C4"/>
                <w:sz w:val="13"/>
              </w:rPr>
            </w:pPr>
            <w:r w:rsidRPr="005B452C">
              <w:rPr>
                <w:color w:val="4472C4"/>
                <w:sz w:val="13"/>
              </w:rPr>
              <w:t>Source reference</w:t>
            </w:r>
          </w:p>
        </w:tc>
        <w:tc>
          <w:tcPr>
            <w:tcW w:w="4486" w:type="dxa"/>
          </w:tcPr>
          <w:p w14:paraId="625E5F0B" w14:textId="77777777" w:rsidR="00182709" w:rsidRDefault="0044097C" w:rsidP="005B452C">
            <w:pPr>
              <w:keepNext/>
              <w:ind w:left="170" w:hanging="170"/>
              <w:jc w:val="left"/>
            </w:pPr>
            <w:r>
              <w:t>20X1</w:t>
            </w:r>
          </w:p>
        </w:tc>
        <w:tc>
          <w:tcPr>
            <w:tcW w:w="863" w:type="dxa"/>
          </w:tcPr>
          <w:p w14:paraId="597101EF" w14:textId="77777777" w:rsidR="00182709" w:rsidRDefault="00182709">
            <w:pPr>
              <w:keepNext/>
            </w:pPr>
          </w:p>
        </w:tc>
        <w:tc>
          <w:tcPr>
            <w:tcW w:w="863" w:type="dxa"/>
          </w:tcPr>
          <w:p w14:paraId="5F641EF7" w14:textId="77777777" w:rsidR="00182709" w:rsidRDefault="00182709">
            <w:pPr>
              <w:keepNext/>
            </w:pPr>
          </w:p>
        </w:tc>
        <w:tc>
          <w:tcPr>
            <w:tcW w:w="863" w:type="dxa"/>
          </w:tcPr>
          <w:p w14:paraId="1F04CE36" w14:textId="77777777" w:rsidR="00182709" w:rsidRDefault="00182709">
            <w:pPr>
              <w:keepNext/>
            </w:pPr>
          </w:p>
        </w:tc>
        <w:tc>
          <w:tcPr>
            <w:tcW w:w="863" w:type="dxa"/>
          </w:tcPr>
          <w:p w14:paraId="1667B759" w14:textId="77777777" w:rsidR="00182709" w:rsidRDefault="00182709">
            <w:pPr>
              <w:keepNext/>
            </w:pPr>
          </w:p>
        </w:tc>
      </w:tr>
      <w:tr w:rsidR="00696B8D" w14:paraId="4C75EF0D" w14:textId="77777777" w:rsidTr="005B452C">
        <w:tc>
          <w:tcPr>
            <w:tcW w:w="1701" w:type="dxa"/>
            <w:tcBorders>
              <w:bottom w:val="nil"/>
            </w:tcBorders>
          </w:tcPr>
          <w:p w14:paraId="56667697" w14:textId="171F1473" w:rsidR="00696B8D" w:rsidRPr="005B452C" w:rsidRDefault="0007383E" w:rsidP="00696B8D">
            <w:pPr>
              <w:jc w:val="left"/>
              <w:rPr>
                <w:bCs/>
                <w:iCs/>
                <w:color w:val="4472C4"/>
                <w:sz w:val="13"/>
              </w:rPr>
            </w:pPr>
            <w:r>
              <w:rPr>
                <w:color w:val="4472C4"/>
                <w:sz w:val="13"/>
              </w:rPr>
              <w:t>AASB </w:t>
            </w:r>
            <w:r w:rsidR="00696B8D">
              <w:rPr>
                <w:color w:val="4472C4"/>
                <w:sz w:val="13"/>
              </w:rPr>
              <w:t>1060.135 (b)</w:t>
            </w:r>
          </w:p>
        </w:tc>
        <w:tc>
          <w:tcPr>
            <w:tcW w:w="4486" w:type="dxa"/>
          </w:tcPr>
          <w:p w14:paraId="33E06881" w14:textId="77777777" w:rsidR="00696B8D" w:rsidRDefault="00696B8D" w:rsidP="00696B8D">
            <w:pPr>
              <w:ind w:left="170" w:hanging="170"/>
              <w:jc w:val="left"/>
            </w:pPr>
            <w:r>
              <w:t>Capital expenditure commitments payable</w:t>
            </w:r>
          </w:p>
        </w:tc>
        <w:tc>
          <w:tcPr>
            <w:tcW w:w="863" w:type="dxa"/>
          </w:tcPr>
          <w:p w14:paraId="4315FB0C" w14:textId="77777777" w:rsidR="00696B8D" w:rsidRDefault="00696B8D" w:rsidP="00696B8D">
            <w:r>
              <w:t>5 812</w:t>
            </w:r>
          </w:p>
        </w:tc>
        <w:tc>
          <w:tcPr>
            <w:tcW w:w="863" w:type="dxa"/>
          </w:tcPr>
          <w:p w14:paraId="3D4CE190" w14:textId="77777777" w:rsidR="00696B8D" w:rsidRDefault="00696B8D" w:rsidP="00696B8D">
            <w:r>
              <w:t>198</w:t>
            </w:r>
          </w:p>
        </w:tc>
        <w:tc>
          <w:tcPr>
            <w:tcW w:w="863" w:type="dxa"/>
          </w:tcPr>
          <w:p w14:paraId="497621DC" w14:textId="77777777" w:rsidR="00696B8D" w:rsidRDefault="00696B8D" w:rsidP="00696B8D">
            <w:r>
              <w:t>..</w:t>
            </w:r>
          </w:p>
        </w:tc>
        <w:tc>
          <w:tcPr>
            <w:tcW w:w="863" w:type="dxa"/>
          </w:tcPr>
          <w:p w14:paraId="53FDD8E0" w14:textId="77777777" w:rsidR="00696B8D" w:rsidRDefault="00696B8D" w:rsidP="00696B8D">
            <w:r>
              <w:t>6 010</w:t>
            </w:r>
          </w:p>
        </w:tc>
      </w:tr>
      <w:tr w:rsidR="00696B8D" w14:paraId="3EE683C5" w14:textId="77777777" w:rsidTr="005B452C">
        <w:tc>
          <w:tcPr>
            <w:tcW w:w="1701" w:type="dxa"/>
            <w:tcBorders>
              <w:bottom w:val="nil"/>
            </w:tcBorders>
          </w:tcPr>
          <w:p w14:paraId="6360B238" w14:textId="6B89D70F" w:rsidR="00696B8D" w:rsidRPr="005B452C" w:rsidRDefault="0007383E" w:rsidP="00696B8D">
            <w:pPr>
              <w:jc w:val="left"/>
              <w:rPr>
                <w:bCs/>
                <w:iCs/>
                <w:color w:val="4472C4"/>
                <w:sz w:val="13"/>
              </w:rPr>
            </w:pPr>
            <w:r>
              <w:rPr>
                <w:color w:val="4472C4"/>
                <w:sz w:val="13"/>
              </w:rPr>
              <w:t>AASB </w:t>
            </w:r>
            <w:r w:rsidR="00696B8D">
              <w:rPr>
                <w:color w:val="4472C4"/>
                <w:sz w:val="13"/>
              </w:rPr>
              <w:t>1060.138 (d)</w:t>
            </w:r>
          </w:p>
        </w:tc>
        <w:tc>
          <w:tcPr>
            <w:tcW w:w="4486" w:type="dxa"/>
          </w:tcPr>
          <w:p w14:paraId="0FA1E8C9" w14:textId="77777777" w:rsidR="00696B8D" w:rsidRDefault="00696B8D" w:rsidP="00696B8D">
            <w:pPr>
              <w:ind w:left="170" w:hanging="170"/>
              <w:jc w:val="left"/>
            </w:pPr>
            <w:r>
              <w:t>Intangible assets commitments payable</w:t>
            </w:r>
          </w:p>
        </w:tc>
        <w:tc>
          <w:tcPr>
            <w:tcW w:w="863" w:type="dxa"/>
          </w:tcPr>
          <w:p w14:paraId="516C23B6" w14:textId="77777777" w:rsidR="00696B8D" w:rsidRDefault="00696B8D" w:rsidP="00696B8D">
            <w:r>
              <w:t>15</w:t>
            </w:r>
          </w:p>
        </w:tc>
        <w:tc>
          <w:tcPr>
            <w:tcW w:w="863" w:type="dxa"/>
          </w:tcPr>
          <w:p w14:paraId="3CA2DBE7" w14:textId="77777777" w:rsidR="00696B8D" w:rsidRDefault="00696B8D" w:rsidP="00696B8D">
            <w:r>
              <w:t>5</w:t>
            </w:r>
          </w:p>
        </w:tc>
        <w:tc>
          <w:tcPr>
            <w:tcW w:w="863" w:type="dxa"/>
          </w:tcPr>
          <w:p w14:paraId="4EDAFE24" w14:textId="77777777" w:rsidR="00696B8D" w:rsidRDefault="00696B8D" w:rsidP="00696B8D">
            <w:r>
              <w:t>..</w:t>
            </w:r>
          </w:p>
        </w:tc>
        <w:tc>
          <w:tcPr>
            <w:tcW w:w="863" w:type="dxa"/>
          </w:tcPr>
          <w:p w14:paraId="42548105" w14:textId="77777777" w:rsidR="00696B8D" w:rsidRDefault="00696B8D" w:rsidP="00696B8D">
            <w:r>
              <w:t>20</w:t>
            </w:r>
          </w:p>
        </w:tc>
      </w:tr>
      <w:tr w:rsidR="00696B8D" w14:paraId="70C72A3F" w14:textId="3C89F5A2" w:rsidTr="005B452C">
        <w:tc>
          <w:tcPr>
            <w:tcW w:w="1701" w:type="dxa"/>
            <w:tcBorders>
              <w:bottom w:val="nil"/>
            </w:tcBorders>
          </w:tcPr>
          <w:p w14:paraId="31023AB4" w14:textId="7066A865" w:rsidR="00696B8D" w:rsidRPr="005B452C" w:rsidRDefault="00696B8D" w:rsidP="00696B8D">
            <w:pPr>
              <w:jc w:val="left"/>
              <w:rPr>
                <w:bCs/>
                <w:iCs/>
                <w:color w:val="4472C4"/>
                <w:sz w:val="13"/>
              </w:rPr>
            </w:pPr>
          </w:p>
        </w:tc>
        <w:tc>
          <w:tcPr>
            <w:tcW w:w="4486" w:type="dxa"/>
            <w:tcBorders>
              <w:bottom w:val="single" w:sz="12" w:space="0" w:color="auto"/>
            </w:tcBorders>
          </w:tcPr>
          <w:p w14:paraId="3D92CBE8" w14:textId="77777777" w:rsidR="00696B8D" w:rsidRDefault="00696B8D" w:rsidP="00696B8D">
            <w:pPr>
              <w:ind w:left="170" w:hanging="170"/>
              <w:jc w:val="left"/>
            </w:pPr>
            <w:r>
              <w:t>Other commitments payable</w:t>
            </w:r>
          </w:p>
        </w:tc>
        <w:tc>
          <w:tcPr>
            <w:tcW w:w="863" w:type="dxa"/>
            <w:tcBorders>
              <w:bottom w:val="single" w:sz="12" w:space="0" w:color="auto"/>
            </w:tcBorders>
          </w:tcPr>
          <w:p w14:paraId="43A545D1" w14:textId="77777777" w:rsidR="00696B8D" w:rsidRDefault="00696B8D" w:rsidP="00696B8D">
            <w:r>
              <w:t>..</w:t>
            </w:r>
          </w:p>
        </w:tc>
        <w:tc>
          <w:tcPr>
            <w:tcW w:w="863" w:type="dxa"/>
            <w:tcBorders>
              <w:bottom w:val="single" w:sz="12" w:space="0" w:color="auto"/>
            </w:tcBorders>
          </w:tcPr>
          <w:p w14:paraId="36744828" w14:textId="77777777" w:rsidR="00696B8D" w:rsidRDefault="00696B8D" w:rsidP="00696B8D">
            <w:r>
              <w:t>..</w:t>
            </w:r>
          </w:p>
        </w:tc>
        <w:tc>
          <w:tcPr>
            <w:tcW w:w="863" w:type="dxa"/>
            <w:tcBorders>
              <w:bottom w:val="single" w:sz="12" w:space="0" w:color="auto"/>
            </w:tcBorders>
          </w:tcPr>
          <w:p w14:paraId="2600E938" w14:textId="77777777" w:rsidR="00696B8D" w:rsidRDefault="00696B8D" w:rsidP="00696B8D">
            <w:r>
              <w:t>..</w:t>
            </w:r>
          </w:p>
        </w:tc>
        <w:tc>
          <w:tcPr>
            <w:tcW w:w="863" w:type="dxa"/>
            <w:tcBorders>
              <w:bottom w:val="single" w:sz="12" w:space="0" w:color="auto"/>
            </w:tcBorders>
          </w:tcPr>
          <w:p w14:paraId="0BFFD626" w14:textId="77777777" w:rsidR="00696B8D" w:rsidRDefault="00696B8D" w:rsidP="00696B8D">
            <w:r>
              <w:t>..</w:t>
            </w:r>
          </w:p>
        </w:tc>
      </w:tr>
      <w:tr w:rsidR="004260DB" w14:paraId="48F0F856" w14:textId="77777777" w:rsidTr="002A0038">
        <w:tc>
          <w:tcPr>
            <w:tcW w:w="0" w:type="dxa"/>
            <w:tcBorders>
              <w:top w:val="nil"/>
              <w:bottom w:val="nil"/>
            </w:tcBorders>
          </w:tcPr>
          <w:p w14:paraId="23ACA6CE" w14:textId="77777777" w:rsidR="004260DB" w:rsidRPr="005B452C" w:rsidRDefault="004260DB" w:rsidP="004260DB">
            <w:pPr>
              <w:jc w:val="left"/>
              <w:rPr>
                <w:bCs/>
                <w:iCs/>
                <w:color w:val="4472C4"/>
                <w:sz w:val="13"/>
              </w:rPr>
            </w:pPr>
          </w:p>
        </w:tc>
        <w:tc>
          <w:tcPr>
            <w:tcW w:w="0" w:type="dxa"/>
          </w:tcPr>
          <w:p w14:paraId="3187E050" w14:textId="77777777" w:rsidR="004260DB" w:rsidRDefault="004260DB" w:rsidP="004260DB">
            <w:pPr>
              <w:ind w:left="170" w:hanging="170"/>
              <w:jc w:val="left"/>
            </w:pPr>
            <w:r>
              <w:rPr>
                <w:b/>
              </w:rPr>
              <w:t>Total commitments (inclusive of GST)</w:t>
            </w:r>
          </w:p>
        </w:tc>
        <w:tc>
          <w:tcPr>
            <w:tcW w:w="0" w:type="dxa"/>
            <w:vAlign w:val="center"/>
          </w:tcPr>
          <w:p w14:paraId="44B52EBC" w14:textId="4FBAED49" w:rsidR="004260DB" w:rsidRDefault="004260DB" w:rsidP="004260DB">
            <w:r>
              <w:rPr>
                <w:rFonts w:ascii="Arial" w:hAnsi="Arial" w:cs="Arial"/>
                <w:b/>
                <w:bCs/>
                <w:color w:val="000000"/>
                <w:szCs w:val="16"/>
              </w:rPr>
              <w:t>5</w:t>
            </w:r>
            <w:r>
              <w:rPr>
                <w:rFonts w:ascii="Arial" w:hAnsi="Arial" w:cs="Arial" w:hint="eastAsia"/>
                <w:b/>
                <w:bCs/>
                <w:color w:val="000000"/>
                <w:szCs w:val="16"/>
                <w:lang w:eastAsia="zh-CN"/>
              </w:rPr>
              <w:t xml:space="preserve"> </w:t>
            </w:r>
            <w:r>
              <w:rPr>
                <w:rFonts w:ascii="Arial" w:hAnsi="Arial" w:cs="Arial"/>
                <w:b/>
                <w:bCs/>
                <w:color w:val="000000"/>
                <w:szCs w:val="16"/>
              </w:rPr>
              <w:t>827</w:t>
            </w:r>
          </w:p>
        </w:tc>
        <w:tc>
          <w:tcPr>
            <w:tcW w:w="0" w:type="dxa"/>
            <w:vAlign w:val="center"/>
          </w:tcPr>
          <w:p w14:paraId="75CEBBAF" w14:textId="512DF364" w:rsidR="004260DB" w:rsidRDefault="004260DB" w:rsidP="004260DB">
            <w:r>
              <w:rPr>
                <w:rFonts w:ascii="Arial" w:hAnsi="Arial" w:cs="Arial"/>
                <w:b/>
                <w:bCs/>
                <w:color w:val="000000"/>
                <w:szCs w:val="16"/>
              </w:rPr>
              <w:t>203</w:t>
            </w:r>
          </w:p>
        </w:tc>
        <w:tc>
          <w:tcPr>
            <w:tcW w:w="0" w:type="dxa"/>
            <w:vAlign w:val="center"/>
          </w:tcPr>
          <w:p w14:paraId="17031D2A" w14:textId="6ADF366A" w:rsidR="004260DB" w:rsidRDefault="004260DB" w:rsidP="004260DB">
            <w:r>
              <w:rPr>
                <w:rFonts w:ascii="Arial" w:hAnsi="Arial" w:cs="Arial"/>
                <w:b/>
                <w:bCs/>
                <w:color w:val="000000"/>
                <w:szCs w:val="16"/>
              </w:rPr>
              <w:t>0</w:t>
            </w:r>
          </w:p>
        </w:tc>
        <w:tc>
          <w:tcPr>
            <w:tcW w:w="0" w:type="dxa"/>
            <w:vAlign w:val="center"/>
          </w:tcPr>
          <w:p w14:paraId="6D82A002" w14:textId="103780B7" w:rsidR="004260DB" w:rsidRDefault="004260DB" w:rsidP="004260DB">
            <w:r>
              <w:rPr>
                <w:rFonts w:ascii="Arial" w:hAnsi="Arial" w:cs="Arial"/>
                <w:b/>
                <w:bCs/>
                <w:color w:val="000000"/>
                <w:szCs w:val="16"/>
              </w:rPr>
              <w:t>6</w:t>
            </w:r>
            <w:r>
              <w:rPr>
                <w:rFonts w:ascii="Arial" w:hAnsi="Arial" w:cs="Arial" w:hint="eastAsia"/>
                <w:b/>
                <w:bCs/>
                <w:color w:val="000000"/>
                <w:szCs w:val="16"/>
                <w:lang w:eastAsia="zh-CN"/>
              </w:rPr>
              <w:t xml:space="preserve"> </w:t>
            </w:r>
            <w:r>
              <w:rPr>
                <w:rFonts w:ascii="Arial" w:hAnsi="Arial" w:cs="Arial"/>
                <w:b/>
                <w:bCs/>
                <w:color w:val="000000"/>
                <w:szCs w:val="16"/>
              </w:rPr>
              <w:t>030</w:t>
            </w:r>
          </w:p>
        </w:tc>
      </w:tr>
      <w:tr w:rsidR="005B48B6" w14:paraId="77979142" w14:textId="77777777" w:rsidTr="002A0038">
        <w:tc>
          <w:tcPr>
            <w:tcW w:w="0" w:type="dxa"/>
            <w:tcBorders>
              <w:top w:val="nil"/>
              <w:bottom w:val="nil"/>
            </w:tcBorders>
          </w:tcPr>
          <w:p w14:paraId="31E8F036" w14:textId="77777777" w:rsidR="005B48B6" w:rsidRPr="005B452C" w:rsidRDefault="005B48B6" w:rsidP="005B48B6">
            <w:pPr>
              <w:jc w:val="left"/>
              <w:rPr>
                <w:bCs/>
                <w:iCs/>
                <w:color w:val="4472C4"/>
                <w:sz w:val="13"/>
              </w:rPr>
            </w:pPr>
          </w:p>
        </w:tc>
        <w:tc>
          <w:tcPr>
            <w:tcW w:w="0" w:type="dxa"/>
          </w:tcPr>
          <w:p w14:paraId="505403B6" w14:textId="77777777" w:rsidR="005B48B6" w:rsidRDefault="005B48B6" w:rsidP="005B48B6">
            <w:pPr>
              <w:ind w:left="170" w:hanging="170"/>
              <w:jc w:val="left"/>
            </w:pPr>
            <w:r>
              <w:t>Less GST recoverable from the Australian Tax Office</w:t>
            </w:r>
          </w:p>
        </w:tc>
        <w:tc>
          <w:tcPr>
            <w:tcW w:w="0" w:type="dxa"/>
          </w:tcPr>
          <w:p w14:paraId="421F2A85" w14:textId="77777777" w:rsidR="005B48B6" w:rsidRDefault="005B48B6" w:rsidP="005B48B6"/>
        </w:tc>
        <w:tc>
          <w:tcPr>
            <w:tcW w:w="0" w:type="dxa"/>
          </w:tcPr>
          <w:p w14:paraId="40AEFC25" w14:textId="77777777" w:rsidR="005B48B6" w:rsidRDefault="005B48B6" w:rsidP="005B48B6"/>
        </w:tc>
        <w:tc>
          <w:tcPr>
            <w:tcW w:w="0" w:type="dxa"/>
          </w:tcPr>
          <w:p w14:paraId="140BEA64" w14:textId="77777777" w:rsidR="005B48B6" w:rsidRDefault="005B48B6" w:rsidP="005B48B6"/>
        </w:tc>
        <w:tc>
          <w:tcPr>
            <w:tcW w:w="0" w:type="dxa"/>
            <w:vAlign w:val="center"/>
          </w:tcPr>
          <w:p w14:paraId="282BB4BA" w14:textId="3C5197DD" w:rsidR="005B48B6" w:rsidRDefault="005B48B6" w:rsidP="005B48B6">
            <w:r>
              <w:rPr>
                <w:rFonts w:ascii="Arial" w:hAnsi="Arial" w:cs="Arial"/>
                <w:color w:val="000000"/>
                <w:szCs w:val="16"/>
              </w:rPr>
              <w:t>(946)</w:t>
            </w:r>
          </w:p>
        </w:tc>
      </w:tr>
      <w:tr w:rsidR="005B48B6" w14:paraId="51AF55E0" w14:textId="77777777" w:rsidTr="002A0038">
        <w:tc>
          <w:tcPr>
            <w:tcW w:w="0" w:type="dxa"/>
            <w:tcBorders>
              <w:top w:val="nil"/>
              <w:bottom w:val="nil"/>
            </w:tcBorders>
          </w:tcPr>
          <w:p w14:paraId="1DD45F5B" w14:textId="77777777" w:rsidR="005B48B6" w:rsidRPr="005B452C" w:rsidRDefault="005B48B6" w:rsidP="005B48B6">
            <w:pPr>
              <w:jc w:val="left"/>
              <w:rPr>
                <w:bCs/>
                <w:iCs/>
                <w:color w:val="4472C4"/>
                <w:sz w:val="13"/>
              </w:rPr>
            </w:pPr>
          </w:p>
        </w:tc>
        <w:tc>
          <w:tcPr>
            <w:tcW w:w="0" w:type="dxa"/>
          </w:tcPr>
          <w:p w14:paraId="775ADC87" w14:textId="77777777" w:rsidR="005B48B6" w:rsidRDefault="005B48B6" w:rsidP="005B48B6">
            <w:pPr>
              <w:ind w:left="170" w:hanging="170"/>
              <w:jc w:val="left"/>
            </w:pPr>
            <w:r>
              <w:rPr>
                <w:b/>
              </w:rPr>
              <w:t>Total commitments (exclusive of GST)</w:t>
            </w:r>
          </w:p>
        </w:tc>
        <w:tc>
          <w:tcPr>
            <w:tcW w:w="0" w:type="dxa"/>
          </w:tcPr>
          <w:p w14:paraId="73CB2944" w14:textId="77777777" w:rsidR="005B48B6" w:rsidRDefault="005B48B6" w:rsidP="005B48B6"/>
        </w:tc>
        <w:tc>
          <w:tcPr>
            <w:tcW w:w="0" w:type="dxa"/>
          </w:tcPr>
          <w:p w14:paraId="53FB0A37" w14:textId="77777777" w:rsidR="005B48B6" w:rsidRDefault="005B48B6" w:rsidP="005B48B6"/>
        </w:tc>
        <w:tc>
          <w:tcPr>
            <w:tcW w:w="0" w:type="dxa"/>
          </w:tcPr>
          <w:p w14:paraId="60C3CB34" w14:textId="77777777" w:rsidR="005B48B6" w:rsidRDefault="005B48B6" w:rsidP="005B48B6"/>
        </w:tc>
        <w:tc>
          <w:tcPr>
            <w:tcW w:w="0" w:type="dxa"/>
            <w:vAlign w:val="center"/>
          </w:tcPr>
          <w:p w14:paraId="525760F5" w14:textId="213BD9A5" w:rsidR="005B48B6" w:rsidRDefault="005B48B6" w:rsidP="005B48B6">
            <w:r>
              <w:rPr>
                <w:rFonts w:ascii="Arial" w:hAnsi="Arial" w:cs="Arial"/>
                <w:b/>
                <w:bCs/>
                <w:color w:val="000000"/>
                <w:szCs w:val="16"/>
              </w:rPr>
              <w:t>5</w:t>
            </w:r>
            <w:r>
              <w:rPr>
                <w:rFonts w:ascii="Arial" w:hAnsi="Arial" w:cs="Arial" w:hint="eastAsia"/>
                <w:b/>
                <w:bCs/>
                <w:color w:val="000000"/>
                <w:szCs w:val="16"/>
                <w:lang w:eastAsia="zh-CN"/>
              </w:rPr>
              <w:t xml:space="preserve"> </w:t>
            </w:r>
            <w:r>
              <w:rPr>
                <w:rFonts w:ascii="Arial" w:hAnsi="Arial" w:cs="Arial"/>
                <w:b/>
                <w:bCs/>
                <w:color w:val="000000"/>
                <w:szCs w:val="16"/>
              </w:rPr>
              <w:t>084</w:t>
            </w:r>
          </w:p>
        </w:tc>
      </w:tr>
      <w:bookmarkEnd w:id="4388"/>
      <w:bookmarkEnd w:id="4394"/>
    </w:tbl>
    <w:p w14:paraId="03070E7E" w14:textId="77777777" w:rsidR="001931B3" w:rsidRDefault="001931B3" w:rsidP="001931B3"/>
    <w:p w14:paraId="5CFBAAF3" w14:textId="1284226B" w:rsidR="00CB18DA" w:rsidRDefault="00CB18DA" w:rsidP="00CB18DA">
      <w:pPr>
        <w:pStyle w:val="GuidanceBlockHeading"/>
      </w:pPr>
      <w:bookmarkStart w:id="4395" w:name="_Toc179813447"/>
      <w:bookmarkStart w:id="4396" w:name="_Toc179819147"/>
      <w:bookmarkStart w:id="4397" w:name="_Toc179824847"/>
      <w:r>
        <w:t>Guidance – Commitments</w:t>
      </w:r>
      <w:bookmarkEnd w:id="4395"/>
      <w:bookmarkEnd w:id="4396"/>
      <w:bookmarkEnd w:id="4397"/>
    </w:p>
    <w:p w14:paraId="3DDA19D3" w14:textId="77777777" w:rsidR="00CB18DA" w:rsidRDefault="00CB18DA" w:rsidP="00CB18DA">
      <w:pPr>
        <w:pStyle w:val="GuidanceHeading"/>
        <w:spacing w:before="120" w:after="0"/>
        <w:rPr>
          <w:rStyle w:val="Guidance"/>
        </w:rPr>
      </w:pPr>
      <w:r>
        <w:rPr>
          <w:rStyle w:val="Guidance"/>
        </w:rPr>
        <w:t>Components of cash and cash equivalents</w:t>
      </w:r>
    </w:p>
    <w:p w14:paraId="731D7C8E" w14:textId="4CE222BA" w:rsidR="00CB18DA" w:rsidRPr="005865C6" w:rsidRDefault="00CB18DA" w:rsidP="00CB18DA">
      <w:pPr>
        <w:spacing w:before="120" w:after="0"/>
        <w:rPr>
          <w:rStyle w:val="Guidance"/>
          <w:b/>
          <w:bCs/>
        </w:rPr>
      </w:pPr>
      <w:r w:rsidRPr="00073744">
        <w:rPr>
          <w:color w:val="4472C4" w:themeColor="accent1"/>
        </w:rPr>
        <w:t xml:space="preserve">An entity shall </w:t>
      </w:r>
      <w:r>
        <w:rPr>
          <w:color w:val="4472C4" w:themeColor="accent1"/>
        </w:rPr>
        <w:t xml:space="preserve">disclose </w:t>
      </w:r>
      <w:r w:rsidR="004A69AD" w:rsidRPr="004A69AD">
        <w:rPr>
          <w:color w:val="4472C4" w:themeColor="accent1"/>
        </w:rPr>
        <w:t xml:space="preserve">the </w:t>
      </w:r>
      <w:proofErr w:type="gramStart"/>
      <w:r w:rsidR="004A69AD" w:rsidRPr="004A69AD">
        <w:rPr>
          <w:color w:val="4472C4" w:themeColor="accent1"/>
        </w:rPr>
        <w:t>amount</w:t>
      </w:r>
      <w:proofErr w:type="gramEnd"/>
      <w:r w:rsidR="004A69AD" w:rsidRPr="004A69AD">
        <w:rPr>
          <w:color w:val="4472C4" w:themeColor="accent1"/>
        </w:rPr>
        <w:t xml:space="preserve"> of contractual commitments for the acquisition of property, plant and equipment </w:t>
      </w:r>
      <w:r w:rsidRPr="00833270">
        <w:rPr>
          <w:rStyle w:val="Reference"/>
        </w:rPr>
        <w:t>[</w:t>
      </w:r>
      <w:r w:rsidR="0007383E">
        <w:rPr>
          <w:rStyle w:val="Reference"/>
        </w:rPr>
        <w:t>AASB </w:t>
      </w:r>
      <w:r w:rsidRPr="00833270">
        <w:rPr>
          <w:rStyle w:val="Reference"/>
        </w:rPr>
        <w:t>10</w:t>
      </w:r>
      <w:r>
        <w:rPr>
          <w:rStyle w:val="Reference"/>
        </w:rPr>
        <w:t>60.</w:t>
      </w:r>
      <w:r w:rsidR="004A69AD">
        <w:rPr>
          <w:rStyle w:val="Reference"/>
        </w:rPr>
        <w:t>135 (b)</w:t>
      </w:r>
      <w:r w:rsidRPr="00833270">
        <w:rPr>
          <w:rStyle w:val="Reference"/>
        </w:rPr>
        <w:t>]</w:t>
      </w:r>
    </w:p>
    <w:p w14:paraId="4D4049AC" w14:textId="7054DFCD" w:rsidR="00CB18DA" w:rsidRDefault="00CB18DA" w:rsidP="00CB18DA">
      <w:pPr>
        <w:spacing w:before="120" w:after="0"/>
        <w:rPr>
          <w:rStyle w:val="Reference"/>
        </w:rPr>
      </w:pPr>
      <w:r w:rsidRPr="00A56C50">
        <w:rPr>
          <w:rStyle w:val="Guidance"/>
        </w:rPr>
        <w:t>An entity shall disclose</w:t>
      </w:r>
      <w:r w:rsidR="00321995" w:rsidRPr="00321995">
        <w:rPr>
          <w:rFonts w:ascii="TimesNewRomanPSMT" w:hAnsi="TimesNewRomanPSMT" w:cs="TimesNewRomanPSMT"/>
          <w:sz w:val="19"/>
          <w:szCs w:val="19"/>
        </w:rPr>
        <w:t xml:space="preserve"> </w:t>
      </w:r>
      <w:r w:rsidR="00321995" w:rsidRPr="00321995">
        <w:rPr>
          <w:color w:val="4472C4" w:themeColor="accent1"/>
        </w:rPr>
        <w:t xml:space="preserve">the </w:t>
      </w:r>
      <w:proofErr w:type="gramStart"/>
      <w:r w:rsidR="00321995" w:rsidRPr="00321995">
        <w:rPr>
          <w:color w:val="4472C4" w:themeColor="accent1"/>
        </w:rPr>
        <w:t>amount</w:t>
      </w:r>
      <w:proofErr w:type="gramEnd"/>
      <w:r w:rsidR="00321995" w:rsidRPr="00321995">
        <w:rPr>
          <w:color w:val="4472C4" w:themeColor="accent1"/>
        </w:rPr>
        <w:t xml:space="preserve"> of contractual commitments for the acquisition of intangible assets</w:t>
      </w:r>
      <w:r w:rsidRPr="00A56C50">
        <w:rPr>
          <w:rStyle w:val="Guidance"/>
        </w:rPr>
        <w:t xml:space="preserve">. </w:t>
      </w:r>
      <w:r w:rsidRPr="00833270">
        <w:rPr>
          <w:rStyle w:val="Reference"/>
        </w:rPr>
        <w:t>[</w:t>
      </w:r>
      <w:r w:rsidR="0007383E">
        <w:rPr>
          <w:rStyle w:val="Reference"/>
        </w:rPr>
        <w:t>AASB </w:t>
      </w:r>
      <w:r w:rsidRPr="00833270">
        <w:rPr>
          <w:rStyle w:val="Reference"/>
        </w:rPr>
        <w:t>10</w:t>
      </w:r>
      <w:r>
        <w:rPr>
          <w:rStyle w:val="Reference"/>
        </w:rPr>
        <w:t>60.</w:t>
      </w:r>
      <w:r w:rsidR="00321995">
        <w:rPr>
          <w:rStyle w:val="Reference"/>
        </w:rPr>
        <w:t>138</w:t>
      </w:r>
      <w:r w:rsidR="003068C0">
        <w:rPr>
          <w:rStyle w:val="Reference"/>
        </w:rPr>
        <w:t> </w:t>
      </w:r>
      <w:r w:rsidR="00321995">
        <w:rPr>
          <w:rStyle w:val="Reference"/>
        </w:rPr>
        <w:t>(d)</w:t>
      </w:r>
      <w:r w:rsidRPr="00833270">
        <w:rPr>
          <w:rStyle w:val="Reference"/>
        </w:rPr>
        <w:t>]</w:t>
      </w:r>
    </w:p>
    <w:bookmarkEnd w:id="3723"/>
    <w:p w14:paraId="49C6A13C" w14:textId="77777777" w:rsidR="00CB18DA" w:rsidRDefault="00CB18DA" w:rsidP="00CB18DA">
      <w:pPr>
        <w:pStyle w:val="GuidanceEnd"/>
      </w:pPr>
    </w:p>
    <w:p w14:paraId="5AAC4281" w14:textId="77777777" w:rsidR="00CB18DA" w:rsidRPr="00CB18DA" w:rsidRDefault="00CB18DA" w:rsidP="00CB18DA">
      <w:pPr>
        <w:sectPr w:rsidR="00CB18DA" w:rsidRPr="00CB18DA" w:rsidSect="000E2F05">
          <w:type w:val="continuous"/>
          <w:pgSz w:w="11906" w:h="16838" w:code="9"/>
          <w:pgMar w:top="1134" w:right="1134" w:bottom="1134" w:left="1134" w:header="624" w:footer="567" w:gutter="0"/>
          <w:cols w:space="708"/>
          <w:titlePg/>
          <w:docGrid w:linePitch="360"/>
        </w:sectPr>
      </w:pPr>
    </w:p>
    <w:p w14:paraId="0B9AFDEE" w14:textId="77777777" w:rsidR="003719CD" w:rsidRDefault="00CE38B7" w:rsidP="007762BE">
      <w:pPr>
        <w:pStyle w:val="Heading1numbered"/>
      </w:pPr>
      <w:bookmarkStart w:id="4398" w:name="_Toc179813448"/>
      <w:bookmarkStart w:id="4399" w:name="_Toc179819148"/>
      <w:bookmarkStart w:id="4400" w:name="_Toc179824848"/>
      <w:bookmarkStart w:id="4401" w:name="_Toc179830504"/>
      <w:bookmarkStart w:id="4402" w:name="_Toc179862034"/>
      <w:bookmarkStart w:id="4403" w:name="_Toc179869339"/>
      <w:bookmarkStart w:id="4404" w:name="_Toc179873732"/>
      <w:bookmarkStart w:id="4405" w:name="_Toc179878125"/>
      <w:bookmarkStart w:id="4406" w:name="_Toc179880279"/>
      <w:bookmarkStart w:id="4407" w:name="_Toc179880326"/>
      <w:bookmarkStart w:id="4408" w:name="Section_7"/>
      <w:r>
        <w:rPr>
          <w:rFonts w:eastAsia="SimHei" w:hint="eastAsia"/>
          <w:lang w:eastAsia="zh-CN"/>
        </w:rPr>
        <w:t>FINANCIAL INSTRUMENTS</w:t>
      </w:r>
      <w:r w:rsidR="003719CD">
        <w:t>, CONTINGENCIES AND VALUATION JUDGEMENTS</w:t>
      </w:r>
      <w:bookmarkEnd w:id="4398"/>
      <w:bookmarkEnd w:id="4399"/>
      <w:bookmarkEnd w:id="4400"/>
      <w:bookmarkEnd w:id="4401"/>
      <w:bookmarkEnd w:id="4402"/>
      <w:bookmarkEnd w:id="4403"/>
      <w:bookmarkEnd w:id="4404"/>
      <w:bookmarkEnd w:id="4405"/>
      <w:bookmarkEnd w:id="4406"/>
      <w:bookmarkEnd w:id="4407"/>
    </w:p>
    <w:p w14:paraId="31E02F0D" w14:textId="3B33A409" w:rsidR="007F12C4" w:rsidRPr="007F12C4" w:rsidRDefault="007F12C4" w:rsidP="007F12C4">
      <w:pPr>
        <w:sectPr w:rsidR="007F12C4" w:rsidRPr="007F12C4" w:rsidSect="00851B4D">
          <w:pgSz w:w="11906" w:h="16838" w:code="9"/>
          <w:pgMar w:top="1138" w:right="1138" w:bottom="1138" w:left="1138" w:header="619" w:footer="562" w:gutter="0"/>
          <w:cols w:space="708"/>
          <w:titlePg/>
          <w:docGrid w:linePitch="360"/>
        </w:sectPr>
      </w:pPr>
    </w:p>
    <w:p w14:paraId="0079D680" w14:textId="77777777" w:rsidR="003719CD" w:rsidRDefault="003719CD" w:rsidP="007D536F">
      <w:pPr>
        <w:pStyle w:val="Heading3"/>
      </w:pPr>
      <w:bookmarkStart w:id="4409" w:name="_Toc179813449"/>
      <w:bookmarkStart w:id="4410" w:name="_Toc179819149"/>
      <w:bookmarkStart w:id="4411" w:name="_Toc179824849"/>
      <w:bookmarkStart w:id="4412" w:name="_Toc179830505"/>
      <w:bookmarkStart w:id="4413" w:name="_Toc179862035"/>
      <w:r>
        <w:t>Introduction</w:t>
      </w:r>
      <w:bookmarkEnd w:id="4409"/>
      <w:bookmarkEnd w:id="4410"/>
      <w:bookmarkEnd w:id="4411"/>
      <w:bookmarkEnd w:id="4412"/>
      <w:bookmarkEnd w:id="4413"/>
    </w:p>
    <w:p w14:paraId="5D2698A2" w14:textId="46BD3808" w:rsidR="003719CD" w:rsidRDefault="007C0CDF" w:rsidP="00DC39DE">
      <w:r w:rsidRPr="002A0038">
        <w:rPr>
          <w:lang w:eastAsia="zh-CN"/>
        </w:rPr>
        <w:t>I</w:t>
      </w:r>
      <w:r w:rsidR="003719CD" w:rsidRPr="00D40AB7">
        <w:t>t is often</w:t>
      </w:r>
      <w:r w:rsidR="003719CD">
        <w:t xml:space="preserve"> necessary </w:t>
      </w:r>
      <w:r w:rsidR="00362E4C">
        <w:rPr>
          <w:rFonts w:hint="eastAsia"/>
          <w:lang w:eastAsia="zh-CN"/>
        </w:rPr>
        <w:t xml:space="preserve">for </w:t>
      </w:r>
      <w:r w:rsidR="00362E4C" w:rsidRPr="002A0038">
        <w:t>TV</w:t>
      </w:r>
      <w:r w:rsidR="00362E4C">
        <w:rPr>
          <w:rFonts w:hint="eastAsia"/>
          <w:lang w:eastAsia="zh-CN"/>
        </w:rPr>
        <w:t xml:space="preserve"> </w:t>
      </w:r>
      <w:r w:rsidR="003719CD">
        <w:t xml:space="preserve">to make judgements and estimates associated with recognition and measurement of items in the financial statements. This section sets out financial instrument specific information, as well as those items that are contingent in nature or require a higher level of judgement to be applied, which for </w:t>
      </w:r>
      <w:r w:rsidR="00C86D41">
        <w:t>TV</w:t>
      </w:r>
      <w:r w:rsidR="003719CD">
        <w:t xml:space="preserve"> related mainly to fair value determination.</w:t>
      </w:r>
    </w:p>
    <w:p w14:paraId="2CBA582B" w14:textId="77777777" w:rsidR="003719CD" w:rsidRDefault="003719CD" w:rsidP="007D536F">
      <w:pPr>
        <w:pStyle w:val="Heading3"/>
      </w:pPr>
      <w:r>
        <w:br w:type="column"/>
      </w:r>
      <w:bookmarkStart w:id="4414" w:name="_Toc179813450"/>
      <w:bookmarkStart w:id="4415" w:name="_Toc179819150"/>
      <w:bookmarkStart w:id="4416" w:name="_Toc179824850"/>
      <w:bookmarkStart w:id="4417" w:name="_Toc179830506"/>
      <w:bookmarkStart w:id="4418" w:name="_Toc179862036"/>
      <w:r>
        <w:t>Structure</w:t>
      </w:r>
      <w:bookmarkEnd w:id="4414"/>
      <w:bookmarkEnd w:id="4415"/>
      <w:bookmarkEnd w:id="4416"/>
      <w:bookmarkEnd w:id="4417"/>
      <w:bookmarkEnd w:id="4418"/>
    </w:p>
    <w:p w14:paraId="7FDB7FB4" w14:textId="136B7EC8" w:rsidR="00324A25" w:rsidRPr="00CE38B7" w:rsidRDefault="00324A25" w:rsidP="00324A25">
      <w:pPr>
        <w:pStyle w:val="TOC8"/>
        <w:rPr>
          <w:rStyle w:val="Hyperlink"/>
          <w:color w:val="auto"/>
          <w:u w:val="none"/>
        </w:rPr>
      </w:pPr>
      <w:hyperlink w:anchor="_Toc179862037" w:history="1">
        <w:r w:rsidRPr="00CE38B7">
          <w:rPr>
            <w:rStyle w:val="Hyperlink"/>
            <w:noProof/>
            <w:color w:val="auto"/>
            <w:u w:val="none"/>
          </w:rPr>
          <w:t>7.1</w:t>
        </w:r>
        <w:r w:rsidRPr="00CE38B7">
          <w:rPr>
            <w:rStyle w:val="Hyperlink"/>
            <w:color w:val="auto"/>
            <w:u w:val="none"/>
          </w:rPr>
          <w:tab/>
        </w:r>
        <w:r w:rsidRPr="00CE38B7">
          <w:rPr>
            <w:rStyle w:val="Hyperlink"/>
            <w:noProof/>
            <w:color w:val="auto"/>
            <w:u w:val="none"/>
          </w:rPr>
          <w:t>Financial instruments specific disclosures</w:t>
        </w:r>
        <w:r w:rsidRPr="00CE38B7">
          <w:rPr>
            <w:rStyle w:val="Hyperlink"/>
            <w:webHidden/>
            <w:color w:val="auto"/>
            <w:u w:val="none"/>
          </w:rPr>
          <w:tab/>
        </w:r>
        <w:r w:rsidRPr="00CE38B7">
          <w:rPr>
            <w:rStyle w:val="Hyperlink"/>
            <w:webHidden/>
            <w:color w:val="auto"/>
            <w:u w:val="none"/>
          </w:rPr>
          <w:fldChar w:fldCharType="begin"/>
        </w:r>
        <w:r w:rsidRPr="00CE38B7">
          <w:rPr>
            <w:rStyle w:val="Hyperlink"/>
            <w:webHidden/>
            <w:color w:val="auto"/>
            <w:u w:val="none"/>
          </w:rPr>
          <w:instrText xml:space="preserve"> PAGEREF _Toc179862037 \h </w:instrText>
        </w:r>
        <w:r w:rsidRPr="00CE38B7">
          <w:rPr>
            <w:rStyle w:val="Hyperlink"/>
            <w:webHidden/>
            <w:color w:val="auto"/>
            <w:u w:val="none"/>
          </w:rPr>
        </w:r>
        <w:r w:rsidRPr="00CE38B7">
          <w:rPr>
            <w:rStyle w:val="Hyperlink"/>
            <w:webHidden/>
            <w:color w:val="auto"/>
            <w:u w:val="none"/>
          </w:rPr>
          <w:fldChar w:fldCharType="separate"/>
        </w:r>
        <w:r w:rsidR="00CA17BE">
          <w:rPr>
            <w:rStyle w:val="Hyperlink"/>
            <w:noProof/>
            <w:webHidden/>
            <w:color w:val="auto"/>
            <w:u w:val="none"/>
          </w:rPr>
          <w:t>51</w:t>
        </w:r>
        <w:r w:rsidRPr="00CE38B7">
          <w:rPr>
            <w:rStyle w:val="Hyperlink"/>
            <w:webHidden/>
            <w:color w:val="auto"/>
            <w:u w:val="none"/>
          </w:rPr>
          <w:fldChar w:fldCharType="end"/>
        </w:r>
      </w:hyperlink>
    </w:p>
    <w:p w14:paraId="22BF29DB" w14:textId="44BAA4AF" w:rsidR="00324A25" w:rsidRPr="00CE38B7" w:rsidRDefault="00324A25" w:rsidP="00324A25">
      <w:pPr>
        <w:pStyle w:val="TOC8"/>
        <w:rPr>
          <w:rStyle w:val="Hyperlink"/>
          <w:color w:val="auto"/>
          <w:u w:val="none"/>
        </w:rPr>
      </w:pPr>
      <w:hyperlink w:anchor="_Toc179863735" w:history="1">
        <w:r w:rsidRPr="00CE38B7">
          <w:rPr>
            <w:rStyle w:val="Hyperlink"/>
            <w:noProof/>
            <w:color w:val="auto"/>
            <w:u w:val="none"/>
          </w:rPr>
          <w:t>7.2</w:t>
        </w:r>
        <w:r w:rsidRPr="00CE38B7">
          <w:rPr>
            <w:rStyle w:val="Hyperlink"/>
            <w:color w:val="auto"/>
            <w:u w:val="none"/>
          </w:rPr>
          <w:tab/>
        </w:r>
        <w:r w:rsidRPr="00CE38B7">
          <w:rPr>
            <w:rStyle w:val="Hyperlink"/>
            <w:noProof/>
            <w:color w:val="auto"/>
            <w:u w:val="none"/>
          </w:rPr>
          <w:t>Contingent assets and contingent liabilities</w:t>
        </w:r>
        <w:r w:rsidRPr="00CE38B7">
          <w:rPr>
            <w:rStyle w:val="Hyperlink"/>
            <w:webHidden/>
            <w:color w:val="auto"/>
            <w:u w:val="none"/>
          </w:rPr>
          <w:tab/>
        </w:r>
        <w:r w:rsidRPr="00CE38B7">
          <w:rPr>
            <w:rStyle w:val="Hyperlink"/>
            <w:webHidden/>
            <w:color w:val="auto"/>
            <w:u w:val="none"/>
          </w:rPr>
          <w:fldChar w:fldCharType="begin"/>
        </w:r>
        <w:r w:rsidRPr="00CE38B7">
          <w:rPr>
            <w:rStyle w:val="Hyperlink"/>
            <w:webHidden/>
            <w:color w:val="auto"/>
            <w:u w:val="none"/>
          </w:rPr>
          <w:instrText xml:space="preserve"> PAGEREF _Toc179863735 \h </w:instrText>
        </w:r>
        <w:r w:rsidRPr="00CE38B7">
          <w:rPr>
            <w:rStyle w:val="Hyperlink"/>
            <w:webHidden/>
            <w:color w:val="auto"/>
            <w:u w:val="none"/>
          </w:rPr>
        </w:r>
        <w:r w:rsidRPr="00CE38B7">
          <w:rPr>
            <w:rStyle w:val="Hyperlink"/>
            <w:webHidden/>
            <w:color w:val="auto"/>
            <w:u w:val="none"/>
          </w:rPr>
          <w:fldChar w:fldCharType="separate"/>
        </w:r>
        <w:r w:rsidR="00CA17BE">
          <w:rPr>
            <w:rStyle w:val="Hyperlink"/>
            <w:noProof/>
            <w:webHidden/>
            <w:color w:val="auto"/>
            <w:u w:val="none"/>
          </w:rPr>
          <w:t>55</w:t>
        </w:r>
        <w:r w:rsidRPr="00CE38B7">
          <w:rPr>
            <w:rStyle w:val="Hyperlink"/>
            <w:webHidden/>
            <w:color w:val="auto"/>
            <w:u w:val="none"/>
          </w:rPr>
          <w:fldChar w:fldCharType="end"/>
        </w:r>
      </w:hyperlink>
    </w:p>
    <w:p w14:paraId="1AB58E01" w14:textId="0DEBE6D8" w:rsidR="00324A25" w:rsidRPr="00CE38B7" w:rsidRDefault="00324A25" w:rsidP="00324A25">
      <w:pPr>
        <w:pStyle w:val="TOC8"/>
        <w:rPr>
          <w:rStyle w:val="Hyperlink"/>
          <w:color w:val="auto"/>
          <w:u w:val="none"/>
        </w:rPr>
      </w:pPr>
      <w:hyperlink w:anchor="_Toc179863738" w:history="1">
        <w:r w:rsidRPr="00CE38B7">
          <w:rPr>
            <w:rStyle w:val="Hyperlink"/>
            <w:noProof/>
            <w:color w:val="auto"/>
            <w:u w:val="none"/>
          </w:rPr>
          <w:t>7.3</w:t>
        </w:r>
        <w:r w:rsidRPr="00CE38B7">
          <w:rPr>
            <w:rStyle w:val="Hyperlink"/>
            <w:color w:val="auto"/>
            <w:u w:val="none"/>
          </w:rPr>
          <w:tab/>
        </w:r>
        <w:r w:rsidRPr="00CE38B7">
          <w:rPr>
            <w:rStyle w:val="Hyperlink"/>
            <w:noProof/>
            <w:color w:val="auto"/>
            <w:u w:val="none"/>
          </w:rPr>
          <w:t>Fair value determination</w:t>
        </w:r>
        <w:r w:rsidRPr="00CE38B7">
          <w:rPr>
            <w:rStyle w:val="Hyperlink"/>
            <w:webHidden/>
            <w:color w:val="auto"/>
            <w:u w:val="none"/>
          </w:rPr>
          <w:tab/>
        </w:r>
        <w:r w:rsidRPr="00CE38B7">
          <w:rPr>
            <w:rStyle w:val="Hyperlink"/>
            <w:webHidden/>
            <w:color w:val="auto"/>
            <w:u w:val="none"/>
          </w:rPr>
          <w:fldChar w:fldCharType="begin"/>
        </w:r>
        <w:r w:rsidRPr="00CE38B7">
          <w:rPr>
            <w:rStyle w:val="Hyperlink"/>
            <w:webHidden/>
            <w:color w:val="auto"/>
            <w:u w:val="none"/>
          </w:rPr>
          <w:instrText xml:space="preserve"> PAGEREF _Toc179863738 \h </w:instrText>
        </w:r>
        <w:r w:rsidRPr="00CE38B7">
          <w:rPr>
            <w:rStyle w:val="Hyperlink"/>
            <w:webHidden/>
            <w:color w:val="auto"/>
            <w:u w:val="none"/>
          </w:rPr>
        </w:r>
        <w:r w:rsidRPr="00CE38B7">
          <w:rPr>
            <w:rStyle w:val="Hyperlink"/>
            <w:webHidden/>
            <w:color w:val="auto"/>
            <w:u w:val="none"/>
          </w:rPr>
          <w:fldChar w:fldCharType="separate"/>
        </w:r>
        <w:r w:rsidR="00CA17BE">
          <w:rPr>
            <w:rStyle w:val="Hyperlink"/>
            <w:noProof/>
            <w:webHidden/>
            <w:color w:val="auto"/>
            <w:u w:val="none"/>
          </w:rPr>
          <w:t>56</w:t>
        </w:r>
        <w:r w:rsidRPr="00CE38B7">
          <w:rPr>
            <w:rStyle w:val="Hyperlink"/>
            <w:webHidden/>
            <w:color w:val="auto"/>
            <w:u w:val="none"/>
          </w:rPr>
          <w:fldChar w:fldCharType="end"/>
        </w:r>
      </w:hyperlink>
    </w:p>
    <w:p w14:paraId="53A4EFFB" w14:textId="77777777" w:rsidR="003719CD" w:rsidRDefault="003719CD" w:rsidP="00DC39DE">
      <w:pPr>
        <w:sectPr w:rsidR="003719CD" w:rsidSect="000E2F05">
          <w:type w:val="continuous"/>
          <w:pgSz w:w="11906" w:h="16838" w:code="9"/>
          <w:pgMar w:top="1134" w:right="1134" w:bottom="1134" w:left="1134" w:header="624" w:footer="567" w:gutter="0"/>
          <w:cols w:num="2" w:space="708"/>
          <w:titlePg/>
          <w:docGrid w:linePitch="360"/>
        </w:sectPr>
      </w:pPr>
    </w:p>
    <w:p w14:paraId="79975436" w14:textId="77777777" w:rsidR="003719CD" w:rsidRDefault="003719CD" w:rsidP="007762BE">
      <w:pPr>
        <w:pStyle w:val="Heading2numbered"/>
      </w:pPr>
      <w:bookmarkStart w:id="4419" w:name="INDEX_FinancialInstruments"/>
      <w:bookmarkStart w:id="4420" w:name="_Toc59210202"/>
      <w:bookmarkStart w:id="4421" w:name="_Toc130225996"/>
      <w:bookmarkStart w:id="4422" w:name="_Toc64983173"/>
      <w:bookmarkStart w:id="4423" w:name="_Toc179813451"/>
      <w:bookmarkStart w:id="4424" w:name="_Toc179819151"/>
      <w:bookmarkStart w:id="4425" w:name="_Toc179824851"/>
      <w:bookmarkStart w:id="4426" w:name="_Toc179830507"/>
      <w:bookmarkStart w:id="4427" w:name="_Toc179862037"/>
      <w:bookmarkStart w:id="4428" w:name="_Toc179869340"/>
      <w:bookmarkStart w:id="4429" w:name="_Toc179873733"/>
      <w:bookmarkStart w:id="4430" w:name="_Toc179878126"/>
      <w:bookmarkStart w:id="4431" w:name="_Toc179880327"/>
      <w:bookmarkStart w:id="4432" w:name="_Toc190333399"/>
      <w:bookmarkEnd w:id="4419"/>
      <w:r>
        <w:t>Financial instruments specific disclosures</w:t>
      </w:r>
      <w:bookmarkEnd w:id="4420"/>
      <w:bookmarkEnd w:id="4421"/>
      <w:bookmarkEnd w:id="4422"/>
      <w:bookmarkEnd w:id="4423"/>
      <w:bookmarkEnd w:id="4424"/>
      <w:bookmarkEnd w:id="4425"/>
      <w:bookmarkEnd w:id="4426"/>
      <w:bookmarkEnd w:id="4427"/>
      <w:bookmarkEnd w:id="4428"/>
      <w:bookmarkEnd w:id="4429"/>
      <w:bookmarkEnd w:id="4430"/>
      <w:bookmarkEnd w:id="4431"/>
      <w:bookmarkEnd w:id="4432"/>
    </w:p>
    <w:p w14:paraId="3D868844" w14:textId="77777777" w:rsidR="003719CD" w:rsidRDefault="003719CD" w:rsidP="007D536F">
      <w:pPr>
        <w:pStyle w:val="Heading3"/>
      </w:pPr>
      <w:bookmarkStart w:id="4433" w:name="_Toc179813452"/>
      <w:bookmarkStart w:id="4434" w:name="_Toc179819152"/>
      <w:bookmarkStart w:id="4435" w:name="_Toc179824852"/>
      <w:bookmarkStart w:id="4436" w:name="_Toc179830508"/>
      <w:bookmarkStart w:id="4437" w:name="_Toc179862038"/>
      <w:r>
        <w:t>Introduction</w:t>
      </w:r>
      <w:bookmarkEnd w:id="4433"/>
      <w:bookmarkEnd w:id="4434"/>
      <w:bookmarkEnd w:id="4435"/>
      <w:bookmarkEnd w:id="4436"/>
      <w:bookmarkEnd w:id="4437"/>
    </w:p>
    <w:p w14:paraId="6D265ADD" w14:textId="00DF6D5D" w:rsidR="003719CD" w:rsidRDefault="003719CD" w:rsidP="00DC39DE">
      <w:r>
        <w:t xml:space="preserve">Financial instruments arise out of contractual agreements that give rise to a financial asset of one entity and a financial liability or equity instrument of another entity. Due to the nature of </w:t>
      </w:r>
      <w:r w:rsidR="00090AB8">
        <w:t>TV’s</w:t>
      </w:r>
      <w:r>
        <w:t xml:space="preserve"> activities, certain financial assets and financial liabilities arise under statute rather than a contract (for example taxes, fines and penalties). Such assets and liabilities do not meet the definition of financial instruments in </w:t>
      </w:r>
      <w:r w:rsidR="0007383E">
        <w:t>AASB </w:t>
      </w:r>
      <w:r>
        <w:t xml:space="preserve">132 </w:t>
      </w:r>
      <w:r w:rsidRPr="00056098">
        <w:rPr>
          <w:i/>
          <w:iCs/>
        </w:rPr>
        <w:t>Financial Instruments: Presentation</w:t>
      </w:r>
      <w:r>
        <w:t>.</w:t>
      </w:r>
    </w:p>
    <w:p w14:paraId="795F65B5" w14:textId="2D8DABA0" w:rsidR="003719CD" w:rsidRPr="002A0038" w:rsidRDefault="003719CD" w:rsidP="00785F6D">
      <w:pPr>
        <w:pStyle w:val="Heading3"/>
        <w:rPr>
          <w:rStyle w:val="Reference"/>
          <w:rFonts w:asciiTheme="minorHAnsi" w:eastAsia="SimSun" w:hAnsiTheme="minorHAnsi" w:cstheme="minorBidi"/>
          <w:b w:val="0"/>
          <w:i/>
          <w:szCs w:val="18"/>
        </w:rPr>
      </w:pPr>
      <w:bookmarkStart w:id="4438" w:name="_Toc179813454"/>
      <w:bookmarkStart w:id="4439" w:name="_Toc179819154"/>
      <w:bookmarkStart w:id="4440" w:name="_Toc179824854"/>
      <w:bookmarkStart w:id="4441" w:name="_Toc179830510"/>
      <w:bookmarkStart w:id="4442" w:name="_Toc179862040"/>
      <w:r w:rsidRPr="00D37D2D">
        <w:t>Categories of financial assets</w:t>
      </w:r>
      <w:bookmarkEnd w:id="4438"/>
      <w:bookmarkEnd w:id="4439"/>
      <w:bookmarkEnd w:id="4440"/>
      <w:bookmarkEnd w:id="4441"/>
      <w:bookmarkEnd w:id="4442"/>
      <w:r>
        <w:t xml:space="preserve"> </w:t>
      </w:r>
    </w:p>
    <w:p w14:paraId="5BCDD00E" w14:textId="5F8AD49D" w:rsidR="003719CD" w:rsidRDefault="003719CD" w:rsidP="00785F6D">
      <w:pPr>
        <w:pStyle w:val="Heading4"/>
      </w:pPr>
      <w:bookmarkStart w:id="4443" w:name="_Toc179813455"/>
      <w:bookmarkStart w:id="4444" w:name="_Toc179819155"/>
      <w:bookmarkStart w:id="4445" w:name="_Toc179824855"/>
      <w:r>
        <w:t>Financial assets at amortised cost</w:t>
      </w:r>
      <w:r w:rsidR="00657019">
        <w:t xml:space="preserve"> </w:t>
      </w:r>
      <w:r w:rsidR="00657019" w:rsidRPr="009B37DA">
        <w:rPr>
          <w:rStyle w:val="Reference"/>
          <w:rFonts w:asciiTheme="minorHAnsi" w:eastAsia="SimSun" w:hAnsiTheme="minorHAnsi" w:cstheme="minorBidi"/>
          <w:szCs w:val="18"/>
        </w:rPr>
        <w:t>[</w:t>
      </w:r>
      <w:r w:rsidR="0007383E">
        <w:rPr>
          <w:rStyle w:val="Reference"/>
          <w:rFonts w:asciiTheme="minorHAnsi" w:eastAsia="SimSun" w:hAnsiTheme="minorHAnsi" w:cstheme="minorBidi"/>
          <w:szCs w:val="18"/>
        </w:rPr>
        <w:t>AASB </w:t>
      </w:r>
      <w:r w:rsidR="00657019" w:rsidRPr="009B37DA">
        <w:rPr>
          <w:rStyle w:val="Reference"/>
          <w:rFonts w:asciiTheme="minorHAnsi" w:eastAsia="SimSun" w:hAnsiTheme="minorHAnsi" w:cstheme="minorBidi"/>
          <w:szCs w:val="18"/>
        </w:rPr>
        <w:t>1060.112]</w:t>
      </w:r>
      <w:bookmarkEnd w:id="4443"/>
      <w:bookmarkEnd w:id="4444"/>
      <w:bookmarkEnd w:id="4445"/>
    </w:p>
    <w:p w14:paraId="01B39A4F" w14:textId="12C349DD" w:rsidR="003719CD" w:rsidRDefault="003719CD" w:rsidP="00816202">
      <w:r>
        <w:t xml:space="preserve">Financial assets are measured at amortised costs if both of the following criteria are met and the assets are not designated as fair value through </w:t>
      </w:r>
      <w:r w:rsidR="00F37AB0">
        <w:t>profit or loss</w:t>
      </w:r>
      <w:r>
        <w:t>:</w:t>
      </w:r>
    </w:p>
    <w:p w14:paraId="6233676B" w14:textId="68F56419" w:rsidR="003719CD" w:rsidRDefault="00844B42" w:rsidP="002A0038">
      <w:pPr>
        <w:pStyle w:val="ListBullet"/>
        <w:numPr>
          <w:ilvl w:val="0"/>
          <w:numId w:val="370"/>
        </w:numPr>
      </w:pPr>
      <w:r>
        <w:t>T</w:t>
      </w:r>
      <w:r w:rsidR="003719CD">
        <w:t xml:space="preserve">he assets are held by </w:t>
      </w:r>
      <w:r w:rsidR="00090AB8">
        <w:t>TV</w:t>
      </w:r>
      <w:r w:rsidR="003719CD">
        <w:t xml:space="preserve"> to collect the contractual cash flows</w:t>
      </w:r>
    </w:p>
    <w:p w14:paraId="69135FD8" w14:textId="290DF17E" w:rsidR="003719CD" w:rsidRDefault="00844B42" w:rsidP="002A0038">
      <w:pPr>
        <w:pStyle w:val="ListBullet"/>
        <w:numPr>
          <w:ilvl w:val="0"/>
          <w:numId w:val="370"/>
        </w:numPr>
      </w:pPr>
      <w:r>
        <w:t>T</w:t>
      </w:r>
      <w:r w:rsidR="003719CD">
        <w:t>he assets’ contractual terms give rise to cash flows that are solely payments of principal and interests.</w:t>
      </w:r>
    </w:p>
    <w:p w14:paraId="2750C87F" w14:textId="77777777" w:rsidR="003719CD" w:rsidRDefault="003719CD" w:rsidP="00816202">
      <w:r>
        <w:t xml:space="preserve">These assets are initially recognised at fair value plus any directly attributable transaction costs and subsequently measured at amortised cost using the effective interest method less any impairment. </w:t>
      </w:r>
    </w:p>
    <w:p w14:paraId="6128809C" w14:textId="582E4E20" w:rsidR="003719CD" w:rsidRDefault="00090AB8" w:rsidP="00816202">
      <w:r>
        <w:t>TV</w:t>
      </w:r>
      <w:r w:rsidR="003719CD">
        <w:t xml:space="preserve"> recognises the following assets in this category:</w:t>
      </w:r>
    </w:p>
    <w:p w14:paraId="69DABDA8" w14:textId="16F64385" w:rsidR="003719CD" w:rsidRDefault="00633A3B" w:rsidP="002A0038">
      <w:pPr>
        <w:pStyle w:val="ListBullet"/>
        <w:numPr>
          <w:ilvl w:val="0"/>
          <w:numId w:val="370"/>
        </w:numPr>
      </w:pPr>
      <w:r>
        <w:t>C</w:t>
      </w:r>
      <w:r w:rsidR="003719CD">
        <w:t>ash and deposits</w:t>
      </w:r>
    </w:p>
    <w:p w14:paraId="07AABFD5" w14:textId="00890981" w:rsidR="003719CD" w:rsidRDefault="00633A3B" w:rsidP="00CA5CF8">
      <w:pPr>
        <w:pStyle w:val="ListBullet"/>
        <w:numPr>
          <w:ilvl w:val="0"/>
          <w:numId w:val="370"/>
        </w:numPr>
      </w:pPr>
      <w:r>
        <w:t>R</w:t>
      </w:r>
      <w:r w:rsidR="003719CD">
        <w:t>eceivables (excluding statutory receivables)</w:t>
      </w:r>
    </w:p>
    <w:p w14:paraId="601913F6" w14:textId="0C938B2A" w:rsidR="00785F6D" w:rsidRDefault="00785F6D" w:rsidP="00785F6D">
      <w:pPr>
        <w:pStyle w:val="Heading4"/>
      </w:pPr>
      <w:bookmarkStart w:id="4446" w:name="_Toc179813456"/>
      <w:bookmarkStart w:id="4447" w:name="_Toc179819156"/>
      <w:bookmarkStart w:id="4448" w:name="_Toc179824856"/>
      <w:r w:rsidRPr="00056098">
        <w:t>Derecognition of financial assets</w:t>
      </w:r>
      <w:bookmarkEnd w:id="4446"/>
      <w:bookmarkEnd w:id="4447"/>
      <w:bookmarkEnd w:id="4448"/>
    </w:p>
    <w:p w14:paraId="5249F574" w14:textId="54371478" w:rsidR="00785F6D" w:rsidRDefault="00785F6D" w:rsidP="00785F6D">
      <w:r>
        <w:t xml:space="preserve">A financial asset (or, where applicable, a part of a financial asset or part of a group of similar financial assets) is derecognised when: </w:t>
      </w:r>
    </w:p>
    <w:p w14:paraId="7A5A5734" w14:textId="77777777" w:rsidR="00785F6D" w:rsidRDefault="00785F6D" w:rsidP="002A0038">
      <w:pPr>
        <w:pStyle w:val="ListBullet"/>
        <w:numPr>
          <w:ilvl w:val="0"/>
          <w:numId w:val="370"/>
        </w:numPr>
      </w:pPr>
      <w:r>
        <w:t>the rights to receive cash flows from the asset have expired</w:t>
      </w:r>
    </w:p>
    <w:p w14:paraId="76D04D97" w14:textId="03780176" w:rsidR="00785F6D" w:rsidRDefault="00785F6D" w:rsidP="002A0038">
      <w:pPr>
        <w:pStyle w:val="ListBullet"/>
        <w:numPr>
          <w:ilvl w:val="0"/>
          <w:numId w:val="370"/>
        </w:numPr>
      </w:pPr>
      <w:r>
        <w:t>TV retains the right to receive cash flows from the asset, but has assumed an obligation to pay them in full without material delay to a third party under a ‘pass through’ arrangement</w:t>
      </w:r>
    </w:p>
    <w:p w14:paraId="303D82AE" w14:textId="2DDCCB8F" w:rsidR="00785F6D" w:rsidRDefault="00785F6D" w:rsidP="002A0038">
      <w:pPr>
        <w:pStyle w:val="ListBullet"/>
        <w:keepNext/>
        <w:numPr>
          <w:ilvl w:val="0"/>
          <w:numId w:val="370"/>
        </w:numPr>
      </w:pPr>
      <w:r>
        <w:t>TV has transferred its rights to receive cash flows from the asset and either:</w:t>
      </w:r>
    </w:p>
    <w:p w14:paraId="42CB2B8C" w14:textId="77777777" w:rsidR="00785F6D" w:rsidRDefault="00785F6D" w:rsidP="00C8530A">
      <w:pPr>
        <w:pStyle w:val="ListBullet2"/>
      </w:pPr>
      <w:r>
        <w:t>has transferred substantially all the risks and rewards of the asset</w:t>
      </w:r>
    </w:p>
    <w:p w14:paraId="075267A4" w14:textId="77777777" w:rsidR="00785F6D" w:rsidRDefault="00785F6D" w:rsidP="00C8530A">
      <w:pPr>
        <w:pStyle w:val="ListBullet2"/>
      </w:pPr>
      <w:r>
        <w:t xml:space="preserve">has neither transferred nor retained substantially all the risks and rewards of the asset but has transferred control of the asset. </w:t>
      </w:r>
    </w:p>
    <w:p w14:paraId="1FD87364" w14:textId="02E82D26" w:rsidR="00785F6D" w:rsidRDefault="00785F6D" w:rsidP="00785F6D">
      <w:r>
        <w:t>Where TV has neither transferred nor retained substantially all the risks and rewards or transferred control, the asset is recognised to the extent of TV’s continuing involvement in the asset.</w:t>
      </w:r>
    </w:p>
    <w:p w14:paraId="2ED6FB23" w14:textId="0D2AFB83" w:rsidR="003719CD" w:rsidRDefault="003719CD" w:rsidP="002E6DC1">
      <w:pPr>
        <w:pStyle w:val="Heading3"/>
      </w:pPr>
      <w:bookmarkStart w:id="4449" w:name="_Toc179813457"/>
      <w:bookmarkStart w:id="4450" w:name="_Toc179819157"/>
      <w:bookmarkStart w:id="4451" w:name="_Toc179824857"/>
      <w:bookmarkStart w:id="4452" w:name="_Toc179830511"/>
      <w:bookmarkStart w:id="4453" w:name="_Toc179862041"/>
      <w:r>
        <w:t xml:space="preserve">Categories of financial liabilities </w:t>
      </w:r>
      <w:r w:rsidR="00A62CD0" w:rsidRPr="009B37DA">
        <w:rPr>
          <w:rStyle w:val="Reference"/>
          <w:rFonts w:asciiTheme="minorHAnsi" w:eastAsia="SimSun" w:hAnsiTheme="minorHAnsi" w:cstheme="minorBidi"/>
          <w:szCs w:val="18"/>
        </w:rPr>
        <w:t>[</w:t>
      </w:r>
      <w:r w:rsidR="0007383E">
        <w:rPr>
          <w:rStyle w:val="Reference"/>
          <w:rFonts w:asciiTheme="minorHAnsi" w:eastAsia="SimSun" w:hAnsiTheme="minorHAnsi" w:cstheme="minorBidi"/>
          <w:szCs w:val="18"/>
        </w:rPr>
        <w:t>AASB </w:t>
      </w:r>
      <w:r w:rsidR="00A62CD0" w:rsidRPr="009B37DA">
        <w:rPr>
          <w:rStyle w:val="Reference"/>
          <w:rFonts w:asciiTheme="minorHAnsi" w:eastAsia="SimSun" w:hAnsiTheme="minorHAnsi" w:cstheme="minorBidi"/>
          <w:szCs w:val="18"/>
        </w:rPr>
        <w:t>1060.112]</w:t>
      </w:r>
      <w:bookmarkEnd w:id="4449"/>
      <w:bookmarkEnd w:id="4450"/>
      <w:bookmarkEnd w:id="4451"/>
      <w:bookmarkEnd w:id="4452"/>
      <w:bookmarkEnd w:id="4453"/>
    </w:p>
    <w:p w14:paraId="523042FB" w14:textId="77777777" w:rsidR="00785F6D" w:rsidRDefault="003719CD" w:rsidP="003C5029">
      <w:pPr>
        <w:pStyle w:val="Heading4"/>
      </w:pPr>
      <w:bookmarkStart w:id="4454" w:name="_Toc179813458"/>
      <w:bookmarkStart w:id="4455" w:name="_Toc179819158"/>
      <w:bookmarkStart w:id="4456" w:name="_Toc179824858"/>
      <w:r w:rsidRPr="00056098">
        <w:rPr>
          <w:bCs/>
        </w:rPr>
        <w:t>Financial liabilities at amortised cost</w:t>
      </w:r>
      <w:bookmarkEnd w:id="4454"/>
      <w:bookmarkEnd w:id="4455"/>
      <w:bookmarkEnd w:id="4456"/>
      <w:r>
        <w:t xml:space="preserve"> </w:t>
      </w:r>
    </w:p>
    <w:p w14:paraId="6153BBCB" w14:textId="06D900E2" w:rsidR="003719CD" w:rsidRDefault="00785F6D" w:rsidP="00785F6D">
      <w:pPr>
        <w:keepLines w:val="0"/>
      </w:pPr>
      <w:r>
        <w:t xml:space="preserve">Financial liabilities measured at amortised cost </w:t>
      </w:r>
      <w:r w:rsidR="003719CD">
        <w:t xml:space="preserve">are initially recognised on the date they originated. They are initially measured at fair value plus any directly attributable transaction costs. </w:t>
      </w:r>
      <w:proofErr w:type="gramStart"/>
      <w:r w:rsidR="003719CD">
        <w:t>Subsequent to</w:t>
      </w:r>
      <w:proofErr w:type="gramEnd"/>
      <w:r w:rsidR="003719CD">
        <w:t xml:space="preserve"> initial recognition, these financial instruments are measured at amortised cost with any difference between the initial recognised amount and the redemption value being recognised in profit and loss over the period of the interest-bearing liability, using the effective interest rate method. </w:t>
      </w:r>
      <w:r w:rsidR="00E736CB">
        <w:t>TV</w:t>
      </w:r>
      <w:r w:rsidR="003719CD">
        <w:t xml:space="preserve"> recognises the following liabilities in this category:</w:t>
      </w:r>
    </w:p>
    <w:p w14:paraId="64584943" w14:textId="4E039848" w:rsidR="003719CD" w:rsidRDefault="00633A3B" w:rsidP="002A0038">
      <w:pPr>
        <w:pStyle w:val="ListBullet"/>
        <w:keepLines w:val="0"/>
        <w:numPr>
          <w:ilvl w:val="0"/>
          <w:numId w:val="370"/>
        </w:numPr>
      </w:pPr>
      <w:r>
        <w:t>P</w:t>
      </w:r>
      <w:r w:rsidR="003719CD">
        <w:t>ayables (excluding statutory payables)</w:t>
      </w:r>
    </w:p>
    <w:p w14:paraId="29FF8C79" w14:textId="7AF5F0DC" w:rsidR="003719CD" w:rsidRDefault="00633A3B" w:rsidP="002A0038">
      <w:pPr>
        <w:pStyle w:val="ListBullet"/>
        <w:keepLines w:val="0"/>
        <w:numPr>
          <w:ilvl w:val="0"/>
          <w:numId w:val="370"/>
        </w:numPr>
      </w:pPr>
      <w:r>
        <w:t>B</w:t>
      </w:r>
      <w:r w:rsidR="003719CD">
        <w:t>orrowings (including lease liabilities)</w:t>
      </w:r>
    </w:p>
    <w:p w14:paraId="004759AB" w14:textId="4003EBF7" w:rsidR="00785F6D" w:rsidRDefault="00785F6D" w:rsidP="00785F6D">
      <w:pPr>
        <w:pStyle w:val="Heading4"/>
      </w:pPr>
      <w:bookmarkStart w:id="4457" w:name="_Toc179813459"/>
      <w:bookmarkStart w:id="4458" w:name="_Toc179819159"/>
      <w:bookmarkStart w:id="4459" w:name="_Toc179824859"/>
      <w:r>
        <w:t>Derecognition of financial liabilities</w:t>
      </w:r>
      <w:bookmarkEnd w:id="4457"/>
      <w:bookmarkEnd w:id="4458"/>
      <w:bookmarkEnd w:id="4459"/>
    </w:p>
    <w:p w14:paraId="50ACB430" w14:textId="6A775D68" w:rsidR="00785F6D" w:rsidRPr="00785F6D" w:rsidRDefault="00785F6D" w:rsidP="00785F6D">
      <w:pPr>
        <w:pStyle w:val="Default"/>
        <w:rPr>
          <w:rFonts w:asciiTheme="minorHAnsi" w:hAnsiTheme="minorHAnsi" w:cstheme="minorBidi"/>
          <w:color w:val="auto"/>
          <w:sz w:val="18"/>
          <w:szCs w:val="18"/>
        </w:rPr>
      </w:pPr>
      <w:r w:rsidRPr="00785F6D">
        <w:rPr>
          <w:rFonts w:asciiTheme="minorHAnsi" w:hAnsiTheme="minorHAnsi" w:cstheme="minorBidi"/>
          <w:color w:val="auto"/>
          <w:sz w:val="18"/>
          <w:szCs w:val="18"/>
        </w:rPr>
        <w:t xml:space="preserve">A financial liability is derecognised when the obligation under the liability is discharged, cancelled or expires. </w:t>
      </w:r>
    </w:p>
    <w:p w14:paraId="4DDE2BA6" w14:textId="46135201" w:rsidR="00785F6D" w:rsidDel="00543BC2" w:rsidRDefault="00785F6D" w:rsidP="00785F6D">
      <w:r>
        <w:t>When an existing financial liability is replaced by another from the same lender on substantially different terms, or the terms of an existing liability are substantially modified, such an exchange or modification is treated as a derecognition of the original liability and the recognition of a new liability. The difference in the respective carrying amounts is recognised as an ‘other economic flow’ in the Comprehensive Operating Statement.</w:t>
      </w:r>
    </w:p>
    <w:p w14:paraId="2F24271F" w14:textId="0581B4D8" w:rsidR="003719CD" w:rsidRDefault="003719CD" w:rsidP="00785F6D">
      <w:pPr>
        <w:pStyle w:val="ListParagraph"/>
      </w:pPr>
    </w:p>
    <w:p w14:paraId="18FDA2D6" w14:textId="5C037E90" w:rsidR="003719CD" w:rsidRDefault="003719CD" w:rsidP="007D536F">
      <w:pPr>
        <w:pStyle w:val="GuidanceBlockHeading"/>
      </w:pPr>
      <w:bookmarkStart w:id="4460" w:name="_Toc179813460"/>
      <w:bookmarkStart w:id="4461" w:name="_Toc179819160"/>
      <w:bookmarkStart w:id="4462" w:name="_Toc179824860"/>
      <w:r>
        <w:t>Guidance – Financial instruments</w:t>
      </w:r>
      <w:bookmarkEnd w:id="4460"/>
      <w:bookmarkEnd w:id="4461"/>
      <w:bookmarkEnd w:id="4462"/>
    </w:p>
    <w:p w14:paraId="3536A46C" w14:textId="10C8BBE5" w:rsidR="007E76E7" w:rsidRPr="001B2F1F" w:rsidRDefault="007E76E7" w:rsidP="002A0038">
      <w:pPr>
        <w:pStyle w:val="GuidanceHeading"/>
        <w:rPr>
          <w:rStyle w:val="Guidance"/>
        </w:rPr>
      </w:pPr>
      <w:r w:rsidRPr="001B2F1F">
        <w:rPr>
          <w:rStyle w:val="Guidance"/>
        </w:rPr>
        <w:t>Accounting policy disclosure</w:t>
      </w:r>
    </w:p>
    <w:p w14:paraId="384348F0" w14:textId="1C2C32D0" w:rsidR="00E458F8" w:rsidRPr="00056098" w:rsidRDefault="00CF5EC2" w:rsidP="00F26C84">
      <w:pPr>
        <w:rPr>
          <w:rStyle w:val="Guidance"/>
        </w:rPr>
      </w:pPr>
      <w:r>
        <w:rPr>
          <w:color w:val="4472C4" w:themeColor="accent1"/>
        </w:rPr>
        <w:t>A</w:t>
      </w:r>
      <w:r w:rsidRPr="00CF5EC2">
        <w:rPr>
          <w:color w:val="4472C4" w:themeColor="accent1"/>
        </w:rPr>
        <w:t>n entity shall disclose material accounting policy information. Information</w:t>
      </w:r>
      <w:r>
        <w:rPr>
          <w:color w:val="4472C4" w:themeColor="accent1"/>
        </w:rPr>
        <w:t xml:space="preserve"> </w:t>
      </w:r>
      <w:r w:rsidRPr="00CF5EC2">
        <w:rPr>
          <w:color w:val="4472C4" w:themeColor="accent1"/>
        </w:rPr>
        <w:t>about the measurement basis (or bases) for financial instruments used in preparing the financial statements is</w:t>
      </w:r>
      <w:r>
        <w:rPr>
          <w:color w:val="4472C4" w:themeColor="accent1"/>
        </w:rPr>
        <w:t xml:space="preserve"> </w:t>
      </w:r>
      <w:r w:rsidRPr="00CF5EC2">
        <w:rPr>
          <w:color w:val="4472C4" w:themeColor="accent1"/>
        </w:rPr>
        <w:t>expected to be material accounting policy information.</w:t>
      </w:r>
      <w:r w:rsidR="00E458F8">
        <w:rPr>
          <w:rStyle w:val="Guidance"/>
        </w:rPr>
        <w:t xml:space="preserve"> </w:t>
      </w:r>
      <w:r w:rsidR="00E458F8" w:rsidRPr="00056098">
        <w:rPr>
          <w:rStyle w:val="Reference"/>
        </w:rPr>
        <w:t>[</w:t>
      </w:r>
      <w:r w:rsidR="0007383E">
        <w:rPr>
          <w:rStyle w:val="Reference"/>
        </w:rPr>
        <w:t>AASB </w:t>
      </w:r>
      <w:r w:rsidR="00E458F8">
        <w:rPr>
          <w:rStyle w:val="Reference"/>
        </w:rPr>
        <w:t>1060.112</w:t>
      </w:r>
      <w:r w:rsidR="00E458F8" w:rsidRPr="00056098">
        <w:rPr>
          <w:rStyle w:val="Reference"/>
        </w:rPr>
        <w:t>]</w:t>
      </w:r>
    </w:p>
    <w:p w14:paraId="3AEF9C63" w14:textId="57526E4A" w:rsidR="003719CD" w:rsidRPr="00056098" w:rsidRDefault="003719CD" w:rsidP="007D536F">
      <w:pPr>
        <w:pStyle w:val="GuidanceHeading"/>
        <w:rPr>
          <w:rStyle w:val="Guidance"/>
        </w:rPr>
      </w:pPr>
      <w:r w:rsidRPr="00056098">
        <w:rPr>
          <w:rStyle w:val="Guidance"/>
        </w:rPr>
        <w:t xml:space="preserve">Statutory receivables and payables </w:t>
      </w:r>
      <w:r w:rsidRPr="00056098">
        <w:rPr>
          <w:rStyle w:val="Reference"/>
        </w:rPr>
        <w:t>[</w:t>
      </w:r>
      <w:r w:rsidR="0007383E">
        <w:rPr>
          <w:rStyle w:val="Reference"/>
        </w:rPr>
        <w:t>AASB </w:t>
      </w:r>
      <w:proofErr w:type="gramStart"/>
      <w:r w:rsidRPr="00056098">
        <w:rPr>
          <w:rStyle w:val="Reference"/>
        </w:rPr>
        <w:t>9.Aus</w:t>
      </w:r>
      <w:proofErr w:type="gramEnd"/>
      <w:r w:rsidRPr="00056098">
        <w:rPr>
          <w:rStyle w:val="Reference"/>
        </w:rPr>
        <w:t xml:space="preserve">2.1.1 and </w:t>
      </w:r>
      <w:r w:rsidR="0007383E">
        <w:rPr>
          <w:rStyle w:val="Reference"/>
        </w:rPr>
        <w:t>AASB </w:t>
      </w:r>
      <w:r w:rsidRPr="00056098">
        <w:rPr>
          <w:rStyle w:val="Reference"/>
        </w:rPr>
        <w:t>2016/8.4 and BC10-12]</w:t>
      </w:r>
    </w:p>
    <w:p w14:paraId="75A60CBF" w14:textId="7CD95F57" w:rsidR="00BF1C90" w:rsidRPr="00056098" w:rsidRDefault="003719CD" w:rsidP="004D4B67">
      <w:pPr>
        <w:rPr>
          <w:rStyle w:val="Guidance"/>
        </w:rPr>
      </w:pPr>
      <w:r w:rsidRPr="00056098">
        <w:rPr>
          <w:rStyle w:val="Guidance"/>
        </w:rPr>
        <w:t>Financial assets or financial liabilities that are not contractual</w:t>
      </w:r>
      <w:r w:rsidR="00AD7365">
        <w:rPr>
          <w:rStyle w:val="Guidance"/>
        </w:rPr>
        <w:t xml:space="preserve">, </w:t>
      </w:r>
      <w:r w:rsidRPr="00056098">
        <w:rPr>
          <w:rStyle w:val="Guidance"/>
        </w:rPr>
        <w:t xml:space="preserve">such as receivables or payables that arise </w:t>
      </w:r>
      <w:proofErr w:type="gramStart"/>
      <w:r w:rsidRPr="00056098">
        <w:rPr>
          <w:rStyle w:val="Guidance"/>
        </w:rPr>
        <w:t>as a result of</w:t>
      </w:r>
      <w:proofErr w:type="gramEnd"/>
      <w:r w:rsidRPr="00056098">
        <w:rPr>
          <w:rStyle w:val="Guidance"/>
        </w:rPr>
        <w:t xml:space="preserve"> statutory requirements, are not financial instruments for disclosure purposes. Therefore, these financial assets or financial liabilities are not in the scope of </w:t>
      </w:r>
      <w:r w:rsidR="0007383E">
        <w:rPr>
          <w:rStyle w:val="Guidance"/>
        </w:rPr>
        <w:t>AASB </w:t>
      </w:r>
      <w:r w:rsidRPr="00056098">
        <w:rPr>
          <w:rStyle w:val="Guidance"/>
        </w:rPr>
        <w:t xml:space="preserve">7. </w:t>
      </w:r>
    </w:p>
    <w:p w14:paraId="0A3C4CED" w14:textId="203853DE" w:rsidR="00511D71" w:rsidRPr="00F26C84" w:rsidRDefault="00511D71" w:rsidP="002A0038">
      <w:pPr>
        <w:pStyle w:val="GuidanceEnd"/>
      </w:pPr>
    </w:p>
    <w:p w14:paraId="71EF7594" w14:textId="77777777" w:rsidR="00543BC2" w:rsidRDefault="00543BC2" w:rsidP="00543BC2"/>
    <w:p w14:paraId="4DD78DC1" w14:textId="77777777" w:rsidR="00543BC2" w:rsidRPr="00056098" w:rsidRDefault="00543BC2" w:rsidP="002A0038">
      <w:pPr>
        <w:rPr>
          <w:rStyle w:val="Guidance"/>
        </w:rPr>
      </w:pPr>
    </w:p>
    <w:p w14:paraId="63CF7B1D" w14:textId="2BF62F89" w:rsidR="003719CD" w:rsidRPr="00056098" w:rsidRDefault="003719CD" w:rsidP="002A0038">
      <w:pPr>
        <w:rPr>
          <w:rStyle w:val="Guidance"/>
        </w:rPr>
      </w:pPr>
    </w:p>
    <w:p w14:paraId="604ED426" w14:textId="77777777" w:rsidR="003719CD" w:rsidRDefault="003719CD" w:rsidP="00DC39DE">
      <w:pPr>
        <w:sectPr w:rsidR="003719CD" w:rsidSect="000E2F05">
          <w:type w:val="continuous"/>
          <w:pgSz w:w="11906" w:h="16838" w:code="9"/>
          <w:pgMar w:top="1134" w:right="1134" w:bottom="1134" w:left="1134" w:header="624" w:footer="567" w:gutter="0"/>
          <w:cols w:space="708"/>
          <w:titlePg/>
          <w:docGrid w:linePitch="360"/>
        </w:sectPr>
      </w:pPr>
    </w:p>
    <w:p w14:paraId="497D5313" w14:textId="3C7E4057" w:rsidR="003719CD" w:rsidRDefault="001A6BAB" w:rsidP="007762BE">
      <w:pPr>
        <w:pStyle w:val="Heading3numbered"/>
      </w:pPr>
      <w:bookmarkStart w:id="4463" w:name="_Toc179807783"/>
      <w:bookmarkStart w:id="4464" w:name="_Toc179813461"/>
      <w:bookmarkStart w:id="4465" w:name="_Toc179819161"/>
      <w:bookmarkStart w:id="4466" w:name="_Toc179824861"/>
      <w:bookmarkStart w:id="4467" w:name="_Toc179830512"/>
      <w:bookmarkStart w:id="4468" w:name="_Toc179862042"/>
      <w:bookmarkStart w:id="4469" w:name="_Toc179807784"/>
      <w:bookmarkStart w:id="4470" w:name="_Toc179813462"/>
      <w:bookmarkStart w:id="4471" w:name="_Toc179819162"/>
      <w:bookmarkStart w:id="4472" w:name="_Toc179824862"/>
      <w:bookmarkStart w:id="4473" w:name="_Toc179830513"/>
      <w:bookmarkStart w:id="4474" w:name="_Toc179862043"/>
      <w:bookmarkStart w:id="4475" w:name="_Toc179808046"/>
      <w:bookmarkStart w:id="4476" w:name="_Toc179813724"/>
      <w:bookmarkStart w:id="4477" w:name="_Toc179819424"/>
      <w:bookmarkStart w:id="4478" w:name="_Toc179825124"/>
      <w:bookmarkStart w:id="4479" w:name="_Toc179830775"/>
      <w:bookmarkStart w:id="4480" w:name="_Toc179862305"/>
      <w:bookmarkStart w:id="4481" w:name="_Toc179808047"/>
      <w:bookmarkStart w:id="4482" w:name="_Toc179813725"/>
      <w:bookmarkStart w:id="4483" w:name="_Toc179819425"/>
      <w:bookmarkStart w:id="4484" w:name="_Toc179825125"/>
      <w:bookmarkStart w:id="4485" w:name="_Toc179830776"/>
      <w:bookmarkStart w:id="4486" w:name="_Toc179862306"/>
      <w:bookmarkStart w:id="4487" w:name="_Toc179808048"/>
      <w:bookmarkStart w:id="4488" w:name="_Toc179813726"/>
      <w:bookmarkStart w:id="4489" w:name="_Toc179819426"/>
      <w:bookmarkStart w:id="4490" w:name="_Toc179825126"/>
      <w:bookmarkStart w:id="4491" w:name="_Toc179830777"/>
      <w:bookmarkStart w:id="4492" w:name="_Toc179862307"/>
      <w:bookmarkStart w:id="4493" w:name="_Toc179808049"/>
      <w:bookmarkStart w:id="4494" w:name="_Toc179813727"/>
      <w:bookmarkStart w:id="4495" w:name="_Toc179819427"/>
      <w:bookmarkStart w:id="4496" w:name="_Toc179825127"/>
      <w:bookmarkStart w:id="4497" w:name="_Toc179830778"/>
      <w:bookmarkStart w:id="4498" w:name="_Toc179862308"/>
      <w:bookmarkStart w:id="4499" w:name="_Toc179808311"/>
      <w:bookmarkStart w:id="4500" w:name="_Toc179813989"/>
      <w:bookmarkStart w:id="4501" w:name="_Toc179819689"/>
      <w:bookmarkStart w:id="4502" w:name="_Toc179825389"/>
      <w:bookmarkStart w:id="4503" w:name="_Toc179831040"/>
      <w:bookmarkStart w:id="4504" w:name="_Toc179862570"/>
      <w:bookmarkStart w:id="4505" w:name="_Toc179808312"/>
      <w:bookmarkStart w:id="4506" w:name="_Toc179813990"/>
      <w:bookmarkStart w:id="4507" w:name="_Toc179819690"/>
      <w:bookmarkStart w:id="4508" w:name="_Toc179825390"/>
      <w:bookmarkStart w:id="4509" w:name="_Toc179831041"/>
      <w:bookmarkStart w:id="4510" w:name="_Toc179862571"/>
      <w:bookmarkStart w:id="4511" w:name="_Toc179808313"/>
      <w:bookmarkStart w:id="4512" w:name="_Toc179813991"/>
      <w:bookmarkStart w:id="4513" w:name="_Toc179819691"/>
      <w:bookmarkStart w:id="4514" w:name="_Toc179825391"/>
      <w:bookmarkStart w:id="4515" w:name="_Toc179831042"/>
      <w:bookmarkStart w:id="4516" w:name="_Toc179862572"/>
      <w:bookmarkStart w:id="4517" w:name="_Toc179813992"/>
      <w:bookmarkStart w:id="4518" w:name="_Toc179819692"/>
      <w:bookmarkStart w:id="4519" w:name="_Toc179825392"/>
      <w:bookmarkStart w:id="4520" w:name="_Toc179831043"/>
      <w:bookmarkStart w:id="4521" w:name="_Toc179862573"/>
      <w:bookmarkEnd w:id="4463"/>
      <w:bookmarkEnd w:id="4464"/>
      <w:bookmarkEnd w:id="4465"/>
      <w:bookmarkEnd w:id="4466"/>
      <w:bookmarkEnd w:id="4467"/>
      <w:bookmarkEnd w:id="4468"/>
      <w:bookmarkEnd w:id="4469"/>
      <w:bookmarkEnd w:id="4470"/>
      <w:bookmarkEnd w:id="4471"/>
      <w:bookmarkEnd w:id="4472"/>
      <w:bookmarkEnd w:id="4473"/>
      <w:bookmarkEnd w:id="4474"/>
      <w:bookmarkEnd w:id="4475"/>
      <w:bookmarkEnd w:id="4476"/>
      <w:bookmarkEnd w:id="4477"/>
      <w:bookmarkEnd w:id="4478"/>
      <w:bookmarkEnd w:id="4479"/>
      <w:bookmarkEnd w:id="4480"/>
      <w:bookmarkEnd w:id="4481"/>
      <w:bookmarkEnd w:id="4482"/>
      <w:bookmarkEnd w:id="4483"/>
      <w:bookmarkEnd w:id="4484"/>
      <w:bookmarkEnd w:id="4485"/>
      <w:bookmarkEnd w:id="4486"/>
      <w:bookmarkEnd w:id="4487"/>
      <w:bookmarkEnd w:id="4488"/>
      <w:bookmarkEnd w:id="4489"/>
      <w:bookmarkEnd w:id="4490"/>
      <w:bookmarkEnd w:id="4491"/>
      <w:bookmarkEnd w:id="4492"/>
      <w:bookmarkEnd w:id="4493"/>
      <w:bookmarkEnd w:id="4494"/>
      <w:bookmarkEnd w:id="4495"/>
      <w:bookmarkEnd w:id="4496"/>
      <w:bookmarkEnd w:id="4497"/>
      <w:bookmarkEnd w:id="4498"/>
      <w:bookmarkEnd w:id="4499"/>
      <w:bookmarkEnd w:id="4500"/>
      <w:bookmarkEnd w:id="4501"/>
      <w:bookmarkEnd w:id="4502"/>
      <w:bookmarkEnd w:id="4503"/>
      <w:bookmarkEnd w:id="4504"/>
      <w:bookmarkEnd w:id="4505"/>
      <w:bookmarkEnd w:id="4506"/>
      <w:bookmarkEnd w:id="4507"/>
      <w:bookmarkEnd w:id="4508"/>
      <w:bookmarkEnd w:id="4509"/>
      <w:bookmarkEnd w:id="4510"/>
      <w:bookmarkEnd w:id="4511"/>
      <w:bookmarkEnd w:id="4512"/>
      <w:bookmarkEnd w:id="4513"/>
      <w:bookmarkEnd w:id="4514"/>
      <w:bookmarkEnd w:id="4515"/>
      <w:bookmarkEnd w:id="4516"/>
      <w:r>
        <w:t>F</w:t>
      </w:r>
      <w:r w:rsidR="003719CD">
        <w:t>inancial instruments – Net gain/(loss) on financial instruments by category</w:t>
      </w:r>
      <w:bookmarkEnd w:id="4517"/>
      <w:bookmarkEnd w:id="4518"/>
      <w:bookmarkEnd w:id="4519"/>
      <w:bookmarkEnd w:id="4520"/>
      <w:bookmarkEnd w:id="4521"/>
      <w:r w:rsidR="003719CD">
        <w:t xml:space="preserve"> </w:t>
      </w:r>
    </w:p>
    <w:p w14:paraId="67E8EC06" w14:textId="77777777" w:rsidR="003719CD" w:rsidRDefault="003719CD" w:rsidP="007D536F">
      <w:pPr>
        <w:pStyle w:val="TableUnits"/>
      </w:pPr>
      <w:r>
        <w:t>($ thousand)</w:t>
      </w:r>
    </w:p>
    <w:tbl>
      <w:tblPr>
        <w:tblStyle w:val="DTFTable"/>
        <w:tblW w:w="14601" w:type="dxa"/>
        <w:tblLayout w:type="fixed"/>
        <w:tblLook w:val="0620" w:firstRow="1" w:lastRow="0" w:firstColumn="0" w:lastColumn="0" w:noHBand="1" w:noVBand="1"/>
      </w:tblPr>
      <w:tblGrid>
        <w:gridCol w:w="1281"/>
        <w:gridCol w:w="3068"/>
        <w:gridCol w:w="2050"/>
        <w:gridCol w:w="1965"/>
        <w:gridCol w:w="2136"/>
        <w:gridCol w:w="2050"/>
        <w:gridCol w:w="2051"/>
      </w:tblGrid>
      <w:tr w:rsidR="002F269D" w14:paraId="6AF5C57B" w14:textId="77777777" w:rsidTr="00E51206">
        <w:trPr>
          <w:cnfStyle w:val="100000000000" w:firstRow="1" w:lastRow="0" w:firstColumn="0" w:lastColumn="0" w:oddVBand="0" w:evenVBand="0" w:oddHBand="0" w:evenHBand="0" w:firstRowFirstColumn="0" w:firstRowLastColumn="0" w:lastRowFirstColumn="0" w:lastRowLastColumn="0"/>
          <w:trHeight w:val="294"/>
        </w:trPr>
        <w:tc>
          <w:tcPr>
            <w:tcW w:w="0" w:type="dxa"/>
            <w:tcBorders>
              <w:right w:val="nil"/>
            </w:tcBorders>
            <w:shd w:val="clear" w:color="auto" w:fill="FFFFFF" w:themeFill="background1"/>
          </w:tcPr>
          <w:p w14:paraId="0319A57A" w14:textId="77777777" w:rsidR="007F2270" w:rsidRDefault="007F2270" w:rsidP="007F2270">
            <w:pPr>
              <w:rPr>
                <w:color w:val="4472C4"/>
                <w:sz w:val="13"/>
              </w:rPr>
            </w:pPr>
          </w:p>
        </w:tc>
        <w:tc>
          <w:tcPr>
            <w:tcW w:w="0" w:type="dxa"/>
            <w:tcBorders>
              <w:top w:val="nil"/>
              <w:left w:val="nil"/>
              <w:bottom w:val="nil"/>
              <w:right w:val="nil"/>
            </w:tcBorders>
          </w:tcPr>
          <w:p w14:paraId="09EDF93D" w14:textId="02FB183F" w:rsidR="007F2270" w:rsidRPr="002A0038" w:rsidRDefault="007F2270" w:rsidP="002A0038">
            <w:pPr>
              <w:keepLines w:val="0"/>
              <w:jc w:val="left"/>
              <w:rPr>
                <w:bCs w:val="0"/>
                <w:iCs/>
              </w:rPr>
            </w:pPr>
            <w:r w:rsidRPr="002A0038">
              <w:rPr>
                <w:iCs/>
              </w:rPr>
              <w:t>20X2</w:t>
            </w:r>
          </w:p>
        </w:tc>
        <w:tc>
          <w:tcPr>
            <w:tcW w:w="0" w:type="dxa"/>
            <w:tcBorders>
              <w:top w:val="nil"/>
              <w:left w:val="nil"/>
              <w:bottom w:val="nil"/>
              <w:right w:val="nil"/>
            </w:tcBorders>
          </w:tcPr>
          <w:p w14:paraId="7352D5E3" w14:textId="5DD41102" w:rsidR="007F2270" w:rsidRPr="002A0038" w:rsidRDefault="007F2270" w:rsidP="002A0038">
            <w:pPr>
              <w:keepLines w:val="0"/>
              <w:rPr>
                <w:iCs/>
              </w:rPr>
            </w:pPr>
            <w:r w:rsidRPr="002A0038">
              <w:rPr>
                <w:iCs/>
              </w:rPr>
              <w:t>Carrying amount</w:t>
            </w:r>
          </w:p>
        </w:tc>
        <w:tc>
          <w:tcPr>
            <w:tcW w:w="0" w:type="dxa"/>
            <w:tcBorders>
              <w:top w:val="nil"/>
              <w:left w:val="nil"/>
              <w:bottom w:val="nil"/>
              <w:right w:val="nil"/>
            </w:tcBorders>
          </w:tcPr>
          <w:p w14:paraId="4BE4598E" w14:textId="2B9D51EB" w:rsidR="007F2270" w:rsidRPr="002A0038" w:rsidRDefault="007F2270" w:rsidP="002A0038">
            <w:pPr>
              <w:keepLines w:val="0"/>
              <w:rPr>
                <w:iCs/>
              </w:rPr>
            </w:pPr>
            <w:r w:rsidRPr="002A0038">
              <w:rPr>
                <w:iCs/>
              </w:rPr>
              <w:t>Net gain/(loss)</w:t>
            </w:r>
          </w:p>
        </w:tc>
        <w:tc>
          <w:tcPr>
            <w:tcW w:w="0" w:type="dxa"/>
            <w:tcBorders>
              <w:top w:val="nil"/>
              <w:left w:val="nil"/>
              <w:bottom w:val="nil"/>
              <w:right w:val="nil"/>
            </w:tcBorders>
          </w:tcPr>
          <w:p w14:paraId="124C8BB5" w14:textId="4D5C7631" w:rsidR="007F2270" w:rsidRPr="002A0038" w:rsidRDefault="007F2270" w:rsidP="002A0038">
            <w:pPr>
              <w:keepLines w:val="0"/>
              <w:rPr>
                <w:iCs/>
              </w:rPr>
            </w:pPr>
            <w:r w:rsidRPr="002A0038">
              <w:rPr>
                <w:iCs/>
              </w:rPr>
              <w:t>Total interest income/ (expense)</w:t>
            </w:r>
          </w:p>
        </w:tc>
        <w:tc>
          <w:tcPr>
            <w:tcW w:w="0" w:type="dxa"/>
            <w:tcBorders>
              <w:top w:val="nil"/>
              <w:left w:val="nil"/>
              <w:bottom w:val="nil"/>
              <w:right w:val="nil"/>
            </w:tcBorders>
          </w:tcPr>
          <w:p w14:paraId="1D98608B" w14:textId="6F2F1D20" w:rsidR="007F2270" w:rsidRPr="002A0038" w:rsidRDefault="007F2270" w:rsidP="002A0038">
            <w:pPr>
              <w:keepLines w:val="0"/>
              <w:rPr>
                <w:iCs/>
              </w:rPr>
            </w:pPr>
            <w:r w:rsidRPr="002A0038">
              <w:rPr>
                <w:iCs/>
              </w:rPr>
              <w:t>Fee income/ (expense)</w:t>
            </w:r>
          </w:p>
        </w:tc>
        <w:tc>
          <w:tcPr>
            <w:tcW w:w="0" w:type="dxa"/>
            <w:tcBorders>
              <w:top w:val="nil"/>
              <w:left w:val="nil"/>
              <w:bottom w:val="nil"/>
              <w:right w:val="nil"/>
            </w:tcBorders>
          </w:tcPr>
          <w:p w14:paraId="79BC7A67" w14:textId="7D7D40F8" w:rsidR="007F2270" w:rsidRPr="002A0038" w:rsidRDefault="007F2270" w:rsidP="002A0038">
            <w:pPr>
              <w:keepLines w:val="0"/>
              <w:rPr>
                <w:iCs/>
              </w:rPr>
            </w:pPr>
            <w:r w:rsidRPr="002A0038">
              <w:rPr>
                <w:iCs/>
              </w:rPr>
              <w:t>Impairment loss</w:t>
            </w:r>
          </w:p>
        </w:tc>
      </w:tr>
      <w:tr w:rsidR="00D033F0" w14:paraId="48937455" w14:textId="77777777" w:rsidTr="002A0038">
        <w:trPr>
          <w:trHeight w:val="294"/>
        </w:trPr>
        <w:tc>
          <w:tcPr>
            <w:tcW w:w="1281" w:type="dxa"/>
            <w:tcBorders>
              <w:right w:val="nil"/>
            </w:tcBorders>
          </w:tcPr>
          <w:p w14:paraId="4D6593E2" w14:textId="35D69B27" w:rsidR="007F2270" w:rsidRDefault="0007383E" w:rsidP="007F2270">
            <w:pPr>
              <w:jc w:val="left"/>
            </w:pPr>
            <w:r>
              <w:rPr>
                <w:color w:val="4472C4"/>
                <w:sz w:val="13"/>
              </w:rPr>
              <w:t>AASB </w:t>
            </w:r>
            <w:r w:rsidR="007F2270">
              <w:rPr>
                <w:color w:val="4472C4"/>
                <w:sz w:val="13"/>
              </w:rPr>
              <w:t>1060.</w:t>
            </w:r>
            <w:r w:rsidR="007F2270">
              <w:rPr>
                <w:rFonts w:hint="eastAsia"/>
                <w:color w:val="4472C4"/>
                <w:sz w:val="13"/>
                <w:lang w:eastAsia="zh-CN"/>
              </w:rPr>
              <w:t>113</w:t>
            </w:r>
            <w:r w:rsidR="007F2270">
              <w:rPr>
                <w:color w:val="4472C4"/>
                <w:sz w:val="13"/>
                <w:lang w:eastAsia="zh-CN"/>
              </w:rPr>
              <w:t xml:space="preserve">(b); </w:t>
            </w:r>
            <w:r w:rsidR="007F2270">
              <w:rPr>
                <w:color w:val="4472C4"/>
                <w:sz w:val="13"/>
              </w:rPr>
              <w:t>119 (a)(iii</w:t>
            </w:r>
            <w:proofErr w:type="gramStart"/>
            <w:r w:rsidR="007F2270">
              <w:rPr>
                <w:color w:val="4472C4"/>
                <w:sz w:val="13"/>
              </w:rPr>
              <w:t>).(</w:t>
            </w:r>
            <w:proofErr w:type="gramEnd"/>
            <w:r w:rsidR="007F2270">
              <w:rPr>
                <w:color w:val="4472C4"/>
                <w:sz w:val="13"/>
              </w:rPr>
              <w:t>b</w:t>
            </w:r>
            <w:proofErr w:type="gramStart"/>
            <w:r w:rsidR="007F2270">
              <w:rPr>
                <w:color w:val="4472C4"/>
                <w:sz w:val="13"/>
              </w:rPr>
              <w:t>),(</w:t>
            </w:r>
            <w:proofErr w:type="gramEnd"/>
            <w:r w:rsidR="007F2270">
              <w:rPr>
                <w:color w:val="4472C4"/>
                <w:sz w:val="13"/>
              </w:rPr>
              <w:t>c)</w:t>
            </w:r>
          </w:p>
        </w:tc>
        <w:tc>
          <w:tcPr>
            <w:tcW w:w="3068" w:type="dxa"/>
            <w:tcBorders>
              <w:top w:val="nil"/>
              <w:left w:val="nil"/>
              <w:bottom w:val="nil"/>
              <w:right w:val="nil"/>
            </w:tcBorders>
          </w:tcPr>
          <w:p w14:paraId="4CE729E1" w14:textId="52772731" w:rsidR="007F2270" w:rsidRPr="002A0038" w:rsidRDefault="007F2270" w:rsidP="002A0038">
            <w:pPr>
              <w:ind w:left="170" w:hanging="170"/>
              <w:jc w:val="both"/>
              <w:rPr>
                <w:b/>
                <w:bCs/>
              </w:rPr>
            </w:pPr>
            <w:r w:rsidRPr="002A0038">
              <w:rPr>
                <w:b/>
                <w:bCs/>
              </w:rPr>
              <w:t>Financial assets at amortised cost</w:t>
            </w:r>
          </w:p>
        </w:tc>
        <w:tc>
          <w:tcPr>
            <w:tcW w:w="2050" w:type="dxa"/>
            <w:tcBorders>
              <w:top w:val="nil"/>
              <w:left w:val="nil"/>
              <w:bottom w:val="nil"/>
              <w:right w:val="nil"/>
            </w:tcBorders>
          </w:tcPr>
          <w:p w14:paraId="10976ED5" w14:textId="77777777" w:rsidR="007F2270" w:rsidRDefault="007F2270" w:rsidP="007F2270"/>
        </w:tc>
        <w:tc>
          <w:tcPr>
            <w:tcW w:w="1965" w:type="dxa"/>
            <w:tcBorders>
              <w:top w:val="nil"/>
              <w:left w:val="nil"/>
              <w:bottom w:val="nil"/>
              <w:right w:val="nil"/>
            </w:tcBorders>
            <w:vAlign w:val="center"/>
          </w:tcPr>
          <w:p w14:paraId="5B3E8257" w14:textId="545D0BB8" w:rsidR="007F2270" w:rsidRDefault="007F2270" w:rsidP="007F2270"/>
        </w:tc>
        <w:tc>
          <w:tcPr>
            <w:tcW w:w="2136" w:type="dxa"/>
            <w:tcBorders>
              <w:top w:val="nil"/>
              <w:left w:val="nil"/>
              <w:bottom w:val="nil"/>
              <w:right w:val="nil"/>
            </w:tcBorders>
            <w:vAlign w:val="center"/>
          </w:tcPr>
          <w:p w14:paraId="081B2923" w14:textId="77777777" w:rsidR="007F2270" w:rsidRDefault="007F2270" w:rsidP="007F2270"/>
        </w:tc>
        <w:tc>
          <w:tcPr>
            <w:tcW w:w="2050" w:type="dxa"/>
            <w:tcBorders>
              <w:top w:val="nil"/>
              <w:left w:val="nil"/>
              <w:bottom w:val="nil"/>
              <w:right w:val="nil"/>
            </w:tcBorders>
            <w:vAlign w:val="center"/>
          </w:tcPr>
          <w:p w14:paraId="1505DBEA" w14:textId="77777777" w:rsidR="007F2270" w:rsidRDefault="007F2270" w:rsidP="007F2270"/>
        </w:tc>
        <w:tc>
          <w:tcPr>
            <w:tcW w:w="2051" w:type="dxa"/>
            <w:tcBorders>
              <w:top w:val="nil"/>
              <w:left w:val="nil"/>
              <w:bottom w:val="nil"/>
              <w:right w:val="nil"/>
            </w:tcBorders>
            <w:vAlign w:val="center"/>
          </w:tcPr>
          <w:p w14:paraId="1CD25C54" w14:textId="77777777" w:rsidR="007F2270" w:rsidRDefault="007F2270" w:rsidP="007F2270"/>
        </w:tc>
      </w:tr>
      <w:tr w:rsidR="002A0038" w14:paraId="50C05DA4" w14:textId="77777777" w:rsidTr="002A0038">
        <w:tc>
          <w:tcPr>
            <w:tcW w:w="1281" w:type="dxa"/>
            <w:tcBorders>
              <w:right w:val="nil"/>
            </w:tcBorders>
          </w:tcPr>
          <w:p w14:paraId="35227DA5" w14:textId="77777777" w:rsidR="0039160F" w:rsidRDefault="0039160F" w:rsidP="0039160F">
            <w:pPr>
              <w:rPr>
                <w:color w:val="4472C4"/>
                <w:sz w:val="13"/>
              </w:rPr>
            </w:pPr>
          </w:p>
        </w:tc>
        <w:tc>
          <w:tcPr>
            <w:tcW w:w="3068" w:type="dxa"/>
            <w:tcBorders>
              <w:top w:val="nil"/>
              <w:left w:val="nil"/>
              <w:bottom w:val="nil"/>
              <w:right w:val="nil"/>
            </w:tcBorders>
          </w:tcPr>
          <w:p w14:paraId="073AE063" w14:textId="7CBA64C7" w:rsidR="0039160F" w:rsidRDefault="0039160F" w:rsidP="002A0038">
            <w:pPr>
              <w:ind w:left="170" w:hanging="170"/>
              <w:jc w:val="left"/>
              <w:rPr>
                <w:lang w:eastAsia="zh-CN"/>
              </w:rPr>
            </w:pPr>
            <w:r>
              <w:rPr>
                <w:rFonts w:hint="eastAsia"/>
                <w:lang w:eastAsia="zh-CN"/>
              </w:rPr>
              <w:t>Cash and deposits</w:t>
            </w:r>
          </w:p>
        </w:tc>
        <w:tc>
          <w:tcPr>
            <w:tcW w:w="2050" w:type="dxa"/>
            <w:tcBorders>
              <w:top w:val="nil"/>
              <w:left w:val="nil"/>
              <w:bottom w:val="nil"/>
              <w:right w:val="nil"/>
            </w:tcBorders>
            <w:vAlign w:val="center"/>
          </w:tcPr>
          <w:p w14:paraId="2D1F5EAE" w14:textId="61F43311" w:rsidR="0039160F" w:rsidRDefault="0039160F" w:rsidP="0039160F">
            <w:pPr>
              <w:rPr>
                <w:lang w:eastAsia="zh-CN"/>
              </w:rPr>
            </w:pPr>
            <w:r>
              <w:rPr>
                <w:rFonts w:ascii="Arial" w:hAnsi="Arial" w:cs="Arial"/>
                <w:color w:val="000000"/>
                <w:szCs w:val="16"/>
              </w:rPr>
              <w:t>71</w:t>
            </w:r>
            <w:r w:rsidR="0058673B">
              <w:rPr>
                <w:rFonts w:ascii="Arial" w:hAnsi="Arial" w:cs="Arial" w:hint="eastAsia"/>
                <w:color w:val="000000"/>
                <w:szCs w:val="16"/>
                <w:lang w:eastAsia="zh-CN"/>
              </w:rPr>
              <w:t xml:space="preserve"> </w:t>
            </w:r>
            <w:r>
              <w:rPr>
                <w:rFonts w:ascii="Arial" w:hAnsi="Arial" w:cs="Arial"/>
                <w:color w:val="000000"/>
                <w:szCs w:val="16"/>
              </w:rPr>
              <w:t>803</w:t>
            </w:r>
          </w:p>
        </w:tc>
        <w:tc>
          <w:tcPr>
            <w:tcW w:w="1965" w:type="dxa"/>
            <w:tcBorders>
              <w:top w:val="nil"/>
              <w:left w:val="nil"/>
              <w:bottom w:val="nil"/>
              <w:right w:val="nil"/>
            </w:tcBorders>
            <w:vAlign w:val="center"/>
          </w:tcPr>
          <w:p w14:paraId="78BEE757" w14:textId="21D03934" w:rsidR="0039160F" w:rsidRDefault="0039160F" w:rsidP="0039160F">
            <w:pPr>
              <w:rPr>
                <w:lang w:eastAsia="zh-CN"/>
              </w:rPr>
            </w:pPr>
            <w:r>
              <w:rPr>
                <w:rFonts w:ascii="Arial" w:hAnsi="Arial" w:cs="Arial"/>
                <w:color w:val="000000"/>
                <w:szCs w:val="16"/>
              </w:rPr>
              <w:t>..</w:t>
            </w:r>
          </w:p>
        </w:tc>
        <w:tc>
          <w:tcPr>
            <w:tcW w:w="2136" w:type="dxa"/>
            <w:tcBorders>
              <w:top w:val="nil"/>
              <w:left w:val="nil"/>
              <w:bottom w:val="nil"/>
              <w:right w:val="nil"/>
            </w:tcBorders>
            <w:vAlign w:val="center"/>
          </w:tcPr>
          <w:p w14:paraId="4EBDE958" w14:textId="767C4D4E" w:rsidR="0039160F" w:rsidRDefault="0039160F" w:rsidP="0039160F">
            <w:r>
              <w:rPr>
                <w:rFonts w:ascii="Arial" w:hAnsi="Arial" w:cs="Arial"/>
                <w:color w:val="000000"/>
                <w:szCs w:val="16"/>
              </w:rPr>
              <w:t>3</w:t>
            </w:r>
            <w:r w:rsidR="0058673B">
              <w:rPr>
                <w:rFonts w:ascii="Arial" w:hAnsi="Arial" w:cs="Arial" w:hint="eastAsia"/>
                <w:color w:val="000000"/>
                <w:szCs w:val="16"/>
                <w:lang w:eastAsia="zh-CN"/>
              </w:rPr>
              <w:t xml:space="preserve"> </w:t>
            </w:r>
            <w:r>
              <w:rPr>
                <w:rFonts w:ascii="Arial" w:hAnsi="Arial" w:cs="Arial"/>
                <w:color w:val="000000"/>
                <w:szCs w:val="16"/>
              </w:rPr>
              <w:t>8</w:t>
            </w:r>
            <w:r w:rsidR="00AB0B60">
              <w:rPr>
                <w:rFonts w:ascii="Arial" w:hAnsi="Arial" w:cs="Arial"/>
                <w:color w:val="000000"/>
                <w:szCs w:val="16"/>
              </w:rPr>
              <w:t>6</w:t>
            </w:r>
            <w:r>
              <w:rPr>
                <w:rFonts w:ascii="Arial" w:hAnsi="Arial" w:cs="Arial"/>
                <w:color w:val="000000"/>
                <w:szCs w:val="16"/>
              </w:rPr>
              <w:t>4</w:t>
            </w:r>
          </w:p>
        </w:tc>
        <w:tc>
          <w:tcPr>
            <w:tcW w:w="2050" w:type="dxa"/>
            <w:tcBorders>
              <w:top w:val="nil"/>
              <w:left w:val="nil"/>
              <w:bottom w:val="nil"/>
              <w:right w:val="nil"/>
            </w:tcBorders>
            <w:vAlign w:val="center"/>
          </w:tcPr>
          <w:p w14:paraId="66ADAECE" w14:textId="4D42073F" w:rsidR="0039160F" w:rsidRDefault="0039160F" w:rsidP="0039160F">
            <w:r>
              <w:rPr>
                <w:rFonts w:ascii="Arial" w:hAnsi="Arial" w:cs="Arial"/>
                <w:color w:val="000000"/>
                <w:szCs w:val="16"/>
              </w:rPr>
              <w:t>..</w:t>
            </w:r>
          </w:p>
        </w:tc>
        <w:tc>
          <w:tcPr>
            <w:tcW w:w="2051" w:type="dxa"/>
            <w:tcBorders>
              <w:top w:val="nil"/>
              <w:left w:val="nil"/>
              <w:bottom w:val="nil"/>
              <w:right w:val="nil"/>
            </w:tcBorders>
            <w:vAlign w:val="center"/>
          </w:tcPr>
          <w:p w14:paraId="30180CDF" w14:textId="791CDA38" w:rsidR="0039160F" w:rsidRDefault="0039160F" w:rsidP="0039160F">
            <w:r>
              <w:rPr>
                <w:rFonts w:ascii="Arial" w:hAnsi="Arial" w:cs="Arial"/>
                <w:color w:val="000000"/>
                <w:szCs w:val="16"/>
              </w:rPr>
              <w:t>..</w:t>
            </w:r>
          </w:p>
        </w:tc>
      </w:tr>
      <w:tr w:rsidR="00400570" w14:paraId="7E84CAE1" w14:textId="77777777" w:rsidTr="002A0038">
        <w:tc>
          <w:tcPr>
            <w:tcW w:w="1281" w:type="dxa"/>
            <w:tcBorders>
              <w:right w:val="nil"/>
            </w:tcBorders>
          </w:tcPr>
          <w:p w14:paraId="5E076721" w14:textId="61248EDD" w:rsidR="00400570" w:rsidRDefault="00400570" w:rsidP="00400570">
            <w:pPr>
              <w:jc w:val="left"/>
            </w:pPr>
          </w:p>
        </w:tc>
        <w:tc>
          <w:tcPr>
            <w:tcW w:w="3068" w:type="dxa"/>
            <w:tcBorders>
              <w:top w:val="nil"/>
              <w:left w:val="nil"/>
              <w:bottom w:val="nil"/>
              <w:right w:val="nil"/>
            </w:tcBorders>
            <w:vAlign w:val="center"/>
          </w:tcPr>
          <w:p w14:paraId="5D0C4BCF" w14:textId="5289A61A" w:rsidR="00400570" w:rsidRPr="000033D2" w:rsidRDefault="000033D2" w:rsidP="00400570">
            <w:pPr>
              <w:ind w:left="170" w:hanging="170"/>
              <w:jc w:val="left"/>
            </w:pPr>
            <w:r w:rsidRPr="002A0038">
              <w:rPr>
                <w:lang w:eastAsia="zh-CN"/>
              </w:rPr>
              <w:t>Trade receivables</w:t>
            </w:r>
            <w:r w:rsidRPr="002A0038">
              <w:rPr>
                <w:vertAlign w:val="superscript"/>
                <w:lang w:eastAsia="zh-CN"/>
              </w:rPr>
              <w:t>(a)</w:t>
            </w:r>
          </w:p>
        </w:tc>
        <w:tc>
          <w:tcPr>
            <w:tcW w:w="2050" w:type="dxa"/>
            <w:tcBorders>
              <w:top w:val="nil"/>
              <w:left w:val="nil"/>
              <w:bottom w:val="nil"/>
              <w:right w:val="nil"/>
            </w:tcBorders>
            <w:vAlign w:val="center"/>
          </w:tcPr>
          <w:p w14:paraId="6ABFDB26" w14:textId="78086EE0" w:rsidR="00400570" w:rsidRPr="000033D2" w:rsidRDefault="00400570" w:rsidP="00400570">
            <w:pPr>
              <w:rPr>
                <w:lang w:eastAsia="zh-CN"/>
              </w:rPr>
            </w:pPr>
            <w:r w:rsidRPr="000033D2">
              <w:rPr>
                <w:rFonts w:ascii="Arial" w:hAnsi="Arial" w:cs="Arial"/>
                <w:color w:val="000000"/>
                <w:szCs w:val="16"/>
              </w:rPr>
              <w:t>3</w:t>
            </w:r>
            <w:r w:rsidR="0029634B" w:rsidRPr="000033D2">
              <w:rPr>
                <w:rFonts w:ascii="Arial" w:hAnsi="Arial" w:cs="Arial"/>
                <w:color w:val="000000"/>
                <w:szCs w:val="16"/>
              </w:rPr>
              <w:t>6</w:t>
            </w:r>
            <w:r w:rsidR="0058673B" w:rsidRPr="000033D2">
              <w:rPr>
                <w:rFonts w:ascii="Arial" w:hAnsi="Arial" w:cs="Arial"/>
                <w:color w:val="000000"/>
                <w:szCs w:val="16"/>
                <w:lang w:eastAsia="zh-CN"/>
              </w:rPr>
              <w:t xml:space="preserve"> </w:t>
            </w:r>
            <w:r w:rsidR="0029634B" w:rsidRPr="000033D2">
              <w:rPr>
                <w:rFonts w:ascii="Arial" w:hAnsi="Arial" w:cs="Arial"/>
                <w:color w:val="000000"/>
                <w:szCs w:val="16"/>
              </w:rPr>
              <w:t>231</w:t>
            </w:r>
          </w:p>
        </w:tc>
        <w:tc>
          <w:tcPr>
            <w:tcW w:w="1965" w:type="dxa"/>
            <w:tcBorders>
              <w:top w:val="nil"/>
              <w:left w:val="nil"/>
              <w:bottom w:val="nil"/>
              <w:right w:val="nil"/>
            </w:tcBorders>
            <w:vAlign w:val="center"/>
          </w:tcPr>
          <w:p w14:paraId="3BC51BF1" w14:textId="05B609EB" w:rsidR="00400570" w:rsidRPr="000033D2" w:rsidRDefault="00400570" w:rsidP="00400570">
            <w:r w:rsidRPr="000033D2">
              <w:rPr>
                <w:rFonts w:ascii="Arial" w:hAnsi="Arial" w:cs="Arial"/>
                <w:color w:val="000000"/>
                <w:szCs w:val="16"/>
              </w:rPr>
              <w:t>..</w:t>
            </w:r>
          </w:p>
        </w:tc>
        <w:tc>
          <w:tcPr>
            <w:tcW w:w="2136" w:type="dxa"/>
            <w:tcBorders>
              <w:top w:val="nil"/>
              <w:left w:val="nil"/>
              <w:bottom w:val="nil"/>
              <w:right w:val="nil"/>
            </w:tcBorders>
            <w:vAlign w:val="center"/>
          </w:tcPr>
          <w:p w14:paraId="13CDBAEE" w14:textId="33A72103" w:rsidR="00400570" w:rsidRPr="000033D2" w:rsidRDefault="00400570" w:rsidP="00400570">
            <w:r w:rsidRPr="000033D2">
              <w:rPr>
                <w:rFonts w:ascii="Arial" w:hAnsi="Arial" w:cs="Arial"/>
                <w:color w:val="000000"/>
                <w:szCs w:val="16"/>
              </w:rPr>
              <w:t>..</w:t>
            </w:r>
          </w:p>
        </w:tc>
        <w:tc>
          <w:tcPr>
            <w:tcW w:w="2050" w:type="dxa"/>
            <w:tcBorders>
              <w:top w:val="nil"/>
              <w:left w:val="nil"/>
              <w:bottom w:val="nil"/>
              <w:right w:val="nil"/>
            </w:tcBorders>
            <w:vAlign w:val="center"/>
          </w:tcPr>
          <w:p w14:paraId="5688EFC9" w14:textId="2DAA431D" w:rsidR="00400570" w:rsidRPr="000033D2" w:rsidRDefault="00400570" w:rsidP="00400570">
            <w:r w:rsidRPr="000033D2">
              <w:rPr>
                <w:rFonts w:ascii="Arial" w:hAnsi="Arial" w:cs="Arial"/>
                <w:color w:val="000000"/>
                <w:szCs w:val="16"/>
              </w:rPr>
              <w:t>..</w:t>
            </w:r>
          </w:p>
        </w:tc>
        <w:tc>
          <w:tcPr>
            <w:tcW w:w="2051" w:type="dxa"/>
            <w:tcBorders>
              <w:top w:val="nil"/>
              <w:left w:val="nil"/>
              <w:bottom w:val="nil"/>
              <w:right w:val="nil"/>
            </w:tcBorders>
            <w:vAlign w:val="center"/>
          </w:tcPr>
          <w:p w14:paraId="5E63DC1E" w14:textId="77DD6CE6" w:rsidR="00400570" w:rsidRPr="000033D2" w:rsidRDefault="00400570" w:rsidP="00400570">
            <w:r w:rsidRPr="000033D2">
              <w:rPr>
                <w:rFonts w:ascii="Arial" w:hAnsi="Arial" w:cs="Arial"/>
                <w:color w:val="000000"/>
                <w:szCs w:val="16"/>
              </w:rPr>
              <w:t>(603)</w:t>
            </w:r>
          </w:p>
        </w:tc>
      </w:tr>
      <w:tr w:rsidR="002A0038" w14:paraId="6AAA2669" w14:textId="77777777" w:rsidTr="002A0038">
        <w:tc>
          <w:tcPr>
            <w:tcW w:w="1281" w:type="dxa"/>
            <w:tcBorders>
              <w:right w:val="nil"/>
            </w:tcBorders>
          </w:tcPr>
          <w:p w14:paraId="476812E6" w14:textId="77777777" w:rsidR="00400570" w:rsidRDefault="00400570" w:rsidP="00400570">
            <w:pPr>
              <w:jc w:val="left"/>
            </w:pPr>
          </w:p>
        </w:tc>
        <w:tc>
          <w:tcPr>
            <w:tcW w:w="3068" w:type="dxa"/>
            <w:tcBorders>
              <w:top w:val="nil"/>
              <w:left w:val="nil"/>
              <w:bottom w:val="single" w:sz="4" w:space="0" w:color="auto"/>
              <w:right w:val="nil"/>
            </w:tcBorders>
          </w:tcPr>
          <w:p w14:paraId="7EA9D073" w14:textId="04A7AAB2" w:rsidR="00400570" w:rsidRDefault="00400570" w:rsidP="002A0038">
            <w:pPr>
              <w:jc w:val="left"/>
              <w:rPr>
                <w:lang w:eastAsia="zh-CN"/>
              </w:rPr>
            </w:pPr>
            <w:r>
              <w:rPr>
                <w:b/>
                <w:lang w:eastAsia="zh-CN"/>
              </w:rPr>
              <w:t>Total financial assets</w:t>
            </w:r>
            <w:r>
              <w:rPr>
                <w:rFonts w:hint="eastAsia"/>
                <w:b/>
                <w:lang w:eastAsia="zh-CN"/>
              </w:rPr>
              <w:t xml:space="preserve"> </w:t>
            </w:r>
            <w:r w:rsidRPr="002A0038">
              <w:rPr>
                <w:b/>
                <w:lang w:eastAsia="zh-CN"/>
              </w:rPr>
              <w:t>at amortised cost</w:t>
            </w:r>
          </w:p>
        </w:tc>
        <w:tc>
          <w:tcPr>
            <w:tcW w:w="2050" w:type="dxa"/>
            <w:tcBorders>
              <w:top w:val="nil"/>
              <w:left w:val="nil"/>
              <w:bottom w:val="single" w:sz="4" w:space="0" w:color="auto"/>
              <w:right w:val="nil"/>
            </w:tcBorders>
            <w:vAlign w:val="center"/>
          </w:tcPr>
          <w:p w14:paraId="2CC7827F" w14:textId="75BDDC50" w:rsidR="00400570" w:rsidRDefault="00400570" w:rsidP="00400570">
            <w:pPr>
              <w:rPr>
                <w:b/>
              </w:rPr>
            </w:pPr>
            <w:r>
              <w:rPr>
                <w:rFonts w:ascii="Arial" w:hAnsi="Arial" w:cs="Arial"/>
                <w:b/>
                <w:bCs/>
                <w:color w:val="000000"/>
                <w:szCs w:val="16"/>
              </w:rPr>
              <w:t>108</w:t>
            </w:r>
            <w:r w:rsidR="0058673B">
              <w:rPr>
                <w:rFonts w:ascii="Arial" w:hAnsi="Arial" w:cs="Arial" w:hint="eastAsia"/>
                <w:b/>
                <w:bCs/>
                <w:color w:val="000000"/>
                <w:szCs w:val="16"/>
                <w:lang w:eastAsia="zh-CN"/>
              </w:rPr>
              <w:t xml:space="preserve"> </w:t>
            </w:r>
            <w:r>
              <w:rPr>
                <w:rFonts w:ascii="Arial" w:hAnsi="Arial" w:cs="Arial"/>
                <w:b/>
                <w:bCs/>
                <w:color w:val="000000"/>
                <w:szCs w:val="16"/>
              </w:rPr>
              <w:t>034</w:t>
            </w:r>
          </w:p>
        </w:tc>
        <w:tc>
          <w:tcPr>
            <w:tcW w:w="1965" w:type="dxa"/>
            <w:tcBorders>
              <w:top w:val="nil"/>
              <w:left w:val="nil"/>
              <w:bottom w:val="single" w:sz="4" w:space="0" w:color="auto"/>
              <w:right w:val="nil"/>
            </w:tcBorders>
            <w:vAlign w:val="center"/>
          </w:tcPr>
          <w:p w14:paraId="53AED63E" w14:textId="15B29D2B" w:rsidR="00400570" w:rsidRPr="002A0038" w:rsidRDefault="0058673B" w:rsidP="00400570">
            <w:pPr>
              <w:rPr>
                <w:b/>
                <w:bCs/>
              </w:rPr>
            </w:pPr>
            <w:r w:rsidRPr="002A0038">
              <w:rPr>
                <w:rFonts w:ascii="Arial" w:hAnsi="Arial" w:cs="Arial"/>
                <w:b/>
                <w:bCs/>
                <w:color w:val="000000"/>
                <w:szCs w:val="16"/>
              </w:rPr>
              <w:t>..</w:t>
            </w:r>
            <w:r w:rsidRPr="00706101" w:rsidDel="00267C7E">
              <w:rPr>
                <w:b/>
                <w:bCs/>
              </w:rPr>
              <w:t xml:space="preserve"> </w:t>
            </w:r>
          </w:p>
        </w:tc>
        <w:tc>
          <w:tcPr>
            <w:tcW w:w="2136" w:type="dxa"/>
            <w:tcBorders>
              <w:top w:val="nil"/>
              <w:left w:val="nil"/>
              <w:bottom w:val="single" w:sz="4" w:space="0" w:color="auto"/>
              <w:right w:val="nil"/>
            </w:tcBorders>
            <w:vAlign w:val="center"/>
          </w:tcPr>
          <w:p w14:paraId="755DFC23" w14:textId="004439A4" w:rsidR="00400570" w:rsidRDefault="00400570" w:rsidP="00400570">
            <w:r>
              <w:rPr>
                <w:rFonts w:ascii="Arial" w:hAnsi="Arial" w:cs="Arial"/>
                <w:b/>
                <w:bCs/>
                <w:color w:val="000000"/>
                <w:szCs w:val="16"/>
              </w:rPr>
              <w:t>3</w:t>
            </w:r>
            <w:r w:rsidR="0058673B">
              <w:rPr>
                <w:rFonts w:ascii="Arial" w:hAnsi="Arial" w:cs="Arial" w:hint="eastAsia"/>
                <w:b/>
                <w:bCs/>
                <w:color w:val="000000"/>
                <w:szCs w:val="16"/>
                <w:lang w:eastAsia="zh-CN"/>
              </w:rPr>
              <w:t xml:space="preserve"> </w:t>
            </w:r>
            <w:r>
              <w:rPr>
                <w:rFonts w:ascii="Arial" w:hAnsi="Arial" w:cs="Arial"/>
                <w:b/>
                <w:bCs/>
                <w:color w:val="000000"/>
                <w:szCs w:val="16"/>
              </w:rPr>
              <w:t>864</w:t>
            </w:r>
          </w:p>
        </w:tc>
        <w:tc>
          <w:tcPr>
            <w:tcW w:w="2050" w:type="dxa"/>
            <w:tcBorders>
              <w:top w:val="nil"/>
              <w:left w:val="nil"/>
              <w:bottom w:val="single" w:sz="4" w:space="0" w:color="auto"/>
              <w:right w:val="nil"/>
            </w:tcBorders>
            <w:vAlign w:val="center"/>
          </w:tcPr>
          <w:p w14:paraId="319EAEF8" w14:textId="5463F2D6" w:rsidR="00400570" w:rsidRPr="002A0038" w:rsidRDefault="0058673B" w:rsidP="00400570">
            <w:pPr>
              <w:rPr>
                <w:b/>
                <w:bCs/>
              </w:rPr>
            </w:pPr>
            <w:r w:rsidRPr="002A0038">
              <w:rPr>
                <w:rFonts w:ascii="Arial" w:hAnsi="Arial" w:cs="Arial"/>
                <w:b/>
                <w:bCs/>
                <w:color w:val="000000"/>
                <w:szCs w:val="16"/>
              </w:rPr>
              <w:t>..</w:t>
            </w:r>
          </w:p>
        </w:tc>
        <w:tc>
          <w:tcPr>
            <w:tcW w:w="2051" w:type="dxa"/>
            <w:tcBorders>
              <w:top w:val="nil"/>
              <w:left w:val="nil"/>
              <w:bottom w:val="single" w:sz="4" w:space="0" w:color="auto"/>
              <w:right w:val="nil"/>
            </w:tcBorders>
            <w:vAlign w:val="center"/>
          </w:tcPr>
          <w:p w14:paraId="2FAB3B6F" w14:textId="1967E6AB" w:rsidR="00400570" w:rsidRDefault="00400570" w:rsidP="00400570">
            <w:r>
              <w:rPr>
                <w:rFonts w:ascii="Arial" w:hAnsi="Arial" w:cs="Arial"/>
                <w:b/>
                <w:bCs/>
                <w:color w:val="000000"/>
                <w:szCs w:val="16"/>
              </w:rPr>
              <w:t>(603)</w:t>
            </w:r>
          </w:p>
        </w:tc>
      </w:tr>
      <w:tr w:rsidR="002A0038" w14:paraId="6D6948E9" w14:textId="77777777" w:rsidTr="002A0038">
        <w:tc>
          <w:tcPr>
            <w:tcW w:w="1281" w:type="dxa"/>
            <w:tcBorders>
              <w:right w:val="nil"/>
            </w:tcBorders>
          </w:tcPr>
          <w:p w14:paraId="3FBB5953" w14:textId="0EC5C2D9" w:rsidR="007F2270" w:rsidRDefault="0007383E" w:rsidP="007F2270">
            <w:pPr>
              <w:jc w:val="left"/>
            </w:pPr>
            <w:r>
              <w:rPr>
                <w:color w:val="4472C4"/>
                <w:sz w:val="13"/>
              </w:rPr>
              <w:t>AASB </w:t>
            </w:r>
            <w:r w:rsidR="007F2270">
              <w:rPr>
                <w:color w:val="4472C4"/>
                <w:sz w:val="13"/>
              </w:rPr>
              <w:t>1060.</w:t>
            </w:r>
            <w:r w:rsidR="007F2270">
              <w:rPr>
                <w:rFonts w:hint="eastAsia"/>
                <w:color w:val="4472C4"/>
                <w:sz w:val="13"/>
                <w:lang w:eastAsia="zh-CN"/>
              </w:rPr>
              <w:t>113</w:t>
            </w:r>
            <w:r w:rsidR="007F2270">
              <w:rPr>
                <w:color w:val="4472C4"/>
                <w:sz w:val="13"/>
                <w:lang w:eastAsia="zh-CN"/>
              </w:rPr>
              <w:t xml:space="preserve">(b); </w:t>
            </w:r>
            <w:r w:rsidR="007F2270">
              <w:rPr>
                <w:color w:val="4472C4"/>
                <w:sz w:val="13"/>
              </w:rPr>
              <w:t>119(a)(iii</w:t>
            </w:r>
            <w:proofErr w:type="gramStart"/>
            <w:r w:rsidR="007F2270">
              <w:rPr>
                <w:color w:val="4472C4"/>
                <w:sz w:val="13"/>
              </w:rPr>
              <w:t>),</w:t>
            </w:r>
            <w:r w:rsidR="007F2270" w:rsidRPr="00927BBA">
              <w:rPr>
                <w:color w:val="4472C4"/>
                <w:sz w:val="13"/>
              </w:rPr>
              <w:t>(</w:t>
            </w:r>
            <w:proofErr w:type="gramEnd"/>
            <w:r w:rsidR="007F2270" w:rsidRPr="00927BBA">
              <w:rPr>
                <w:color w:val="4472C4"/>
                <w:sz w:val="13"/>
              </w:rPr>
              <w:t>b</w:t>
            </w:r>
            <w:proofErr w:type="gramStart"/>
            <w:r w:rsidR="007F2270" w:rsidRPr="00927BBA">
              <w:rPr>
                <w:color w:val="4472C4"/>
                <w:sz w:val="13"/>
              </w:rPr>
              <w:t>),(</w:t>
            </w:r>
            <w:proofErr w:type="gramEnd"/>
            <w:r w:rsidR="007F2270" w:rsidRPr="00927BBA">
              <w:rPr>
                <w:color w:val="4472C4"/>
                <w:sz w:val="13"/>
              </w:rPr>
              <w:t>c)</w:t>
            </w:r>
          </w:p>
        </w:tc>
        <w:tc>
          <w:tcPr>
            <w:tcW w:w="3068" w:type="dxa"/>
            <w:tcBorders>
              <w:top w:val="single" w:sz="4" w:space="0" w:color="auto"/>
              <w:left w:val="nil"/>
              <w:bottom w:val="nil"/>
              <w:right w:val="nil"/>
            </w:tcBorders>
          </w:tcPr>
          <w:p w14:paraId="115E9734" w14:textId="4208F7B3" w:rsidR="007F2270" w:rsidRDefault="007F2270" w:rsidP="002A0038">
            <w:pPr>
              <w:jc w:val="left"/>
              <w:rPr>
                <w:lang w:eastAsia="zh-CN"/>
              </w:rPr>
            </w:pPr>
            <w:r>
              <w:rPr>
                <w:rFonts w:hint="eastAsia"/>
                <w:b/>
                <w:lang w:eastAsia="zh-CN"/>
              </w:rPr>
              <w:t>F</w:t>
            </w:r>
            <w:r>
              <w:rPr>
                <w:b/>
              </w:rPr>
              <w:t>inancial liabilities</w:t>
            </w:r>
            <w:r>
              <w:rPr>
                <w:rFonts w:hint="eastAsia"/>
                <w:b/>
                <w:lang w:eastAsia="zh-CN"/>
              </w:rPr>
              <w:t xml:space="preserve"> </w:t>
            </w:r>
            <w:r w:rsidRPr="002A0038">
              <w:rPr>
                <w:b/>
                <w:bCs/>
              </w:rPr>
              <w:t>at amortised cost</w:t>
            </w:r>
          </w:p>
        </w:tc>
        <w:tc>
          <w:tcPr>
            <w:tcW w:w="2050" w:type="dxa"/>
            <w:tcBorders>
              <w:top w:val="single" w:sz="4" w:space="0" w:color="auto"/>
              <w:left w:val="nil"/>
              <w:bottom w:val="nil"/>
              <w:right w:val="nil"/>
            </w:tcBorders>
          </w:tcPr>
          <w:p w14:paraId="38953DD3" w14:textId="77777777" w:rsidR="007F2270" w:rsidRDefault="007F2270" w:rsidP="007F2270"/>
        </w:tc>
        <w:tc>
          <w:tcPr>
            <w:tcW w:w="1965" w:type="dxa"/>
            <w:tcBorders>
              <w:top w:val="single" w:sz="4" w:space="0" w:color="auto"/>
              <w:left w:val="nil"/>
              <w:bottom w:val="nil"/>
              <w:right w:val="nil"/>
            </w:tcBorders>
            <w:vAlign w:val="center"/>
          </w:tcPr>
          <w:p w14:paraId="74DB5564" w14:textId="4BC0A560" w:rsidR="007F2270" w:rsidRDefault="007F2270" w:rsidP="007F2270"/>
        </w:tc>
        <w:tc>
          <w:tcPr>
            <w:tcW w:w="2136" w:type="dxa"/>
            <w:tcBorders>
              <w:top w:val="single" w:sz="4" w:space="0" w:color="auto"/>
              <w:left w:val="nil"/>
              <w:bottom w:val="nil"/>
              <w:right w:val="nil"/>
            </w:tcBorders>
            <w:vAlign w:val="center"/>
          </w:tcPr>
          <w:p w14:paraId="1D67E3AD" w14:textId="77777777" w:rsidR="007F2270" w:rsidRDefault="007F2270" w:rsidP="007F2270"/>
        </w:tc>
        <w:tc>
          <w:tcPr>
            <w:tcW w:w="2050" w:type="dxa"/>
            <w:tcBorders>
              <w:top w:val="single" w:sz="4" w:space="0" w:color="auto"/>
              <w:left w:val="nil"/>
              <w:bottom w:val="nil"/>
              <w:right w:val="nil"/>
            </w:tcBorders>
            <w:vAlign w:val="center"/>
          </w:tcPr>
          <w:p w14:paraId="3596318D" w14:textId="77777777" w:rsidR="007F2270" w:rsidRDefault="007F2270" w:rsidP="007F2270"/>
        </w:tc>
        <w:tc>
          <w:tcPr>
            <w:tcW w:w="2051" w:type="dxa"/>
            <w:tcBorders>
              <w:top w:val="single" w:sz="4" w:space="0" w:color="auto"/>
              <w:left w:val="nil"/>
              <w:bottom w:val="nil"/>
              <w:right w:val="nil"/>
            </w:tcBorders>
            <w:vAlign w:val="center"/>
          </w:tcPr>
          <w:p w14:paraId="5DF7AF8F" w14:textId="77777777" w:rsidR="007F2270" w:rsidRDefault="007F2270" w:rsidP="007F2270"/>
        </w:tc>
      </w:tr>
      <w:tr w:rsidR="002A0038" w14:paraId="43592A37" w14:textId="77777777" w:rsidTr="002A0038">
        <w:tc>
          <w:tcPr>
            <w:tcW w:w="1281" w:type="dxa"/>
            <w:tcBorders>
              <w:right w:val="nil"/>
            </w:tcBorders>
          </w:tcPr>
          <w:p w14:paraId="624CAEDE" w14:textId="77777777" w:rsidR="00864403" w:rsidRPr="000033D2" w:rsidRDefault="00864403" w:rsidP="00864403">
            <w:pPr>
              <w:rPr>
                <w:color w:val="4472C4"/>
                <w:sz w:val="13"/>
              </w:rPr>
            </w:pPr>
          </w:p>
        </w:tc>
        <w:tc>
          <w:tcPr>
            <w:tcW w:w="3068" w:type="dxa"/>
            <w:tcBorders>
              <w:top w:val="nil"/>
              <w:left w:val="nil"/>
              <w:bottom w:val="nil"/>
              <w:right w:val="nil"/>
            </w:tcBorders>
            <w:vAlign w:val="center"/>
          </w:tcPr>
          <w:p w14:paraId="32DD5D1B" w14:textId="2CDF28D9" w:rsidR="00864403" w:rsidRPr="000033D2" w:rsidRDefault="000033D2" w:rsidP="002A0038">
            <w:pPr>
              <w:ind w:left="170" w:hanging="170"/>
              <w:jc w:val="left"/>
            </w:pPr>
            <w:r w:rsidRPr="002A0038">
              <w:rPr>
                <w:sz w:val="17"/>
                <w:lang w:eastAsia="zh-CN"/>
              </w:rPr>
              <w:t>Trade payables</w:t>
            </w:r>
            <w:r w:rsidRPr="007B4AD1">
              <w:rPr>
                <w:rFonts w:hint="eastAsia"/>
                <w:vertAlign w:val="superscript"/>
                <w:lang w:eastAsia="zh-CN"/>
              </w:rPr>
              <w:t>(a)</w:t>
            </w:r>
          </w:p>
        </w:tc>
        <w:tc>
          <w:tcPr>
            <w:tcW w:w="2050" w:type="dxa"/>
            <w:tcBorders>
              <w:top w:val="nil"/>
              <w:left w:val="nil"/>
              <w:bottom w:val="nil"/>
              <w:right w:val="nil"/>
            </w:tcBorders>
            <w:vAlign w:val="center"/>
          </w:tcPr>
          <w:p w14:paraId="6612EB0C" w14:textId="136AB1DE" w:rsidR="00864403" w:rsidRPr="002A0038" w:rsidRDefault="000033D2" w:rsidP="00864403">
            <w:pPr>
              <w:rPr>
                <w:lang w:eastAsia="zh-CN"/>
              </w:rPr>
            </w:pPr>
            <w:r w:rsidRPr="002A0038">
              <w:rPr>
                <w:rFonts w:ascii="Arial" w:hAnsi="Arial" w:cs="Arial"/>
                <w:color w:val="000000"/>
                <w:szCs w:val="16"/>
                <w:lang w:eastAsia="zh-CN"/>
              </w:rPr>
              <w:t>34 366</w:t>
            </w:r>
          </w:p>
        </w:tc>
        <w:tc>
          <w:tcPr>
            <w:tcW w:w="1965" w:type="dxa"/>
            <w:tcBorders>
              <w:top w:val="nil"/>
              <w:left w:val="nil"/>
              <w:bottom w:val="nil"/>
              <w:right w:val="nil"/>
            </w:tcBorders>
            <w:vAlign w:val="center"/>
          </w:tcPr>
          <w:p w14:paraId="7149A235" w14:textId="6B400824" w:rsidR="00864403" w:rsidRPr="000033D2" w:rsidRDefault="00864403" w:rsidP="00864403">
            <w:r w:rsidRPr="000033D2">
              <w:rPr>
                <w:rFonts w:ascii="Arial" w:hAnsi="Arial" w:cs="Arial"/>
                <w:color w:val="000000"/>
                <w:szCs w:val="16"/>
              </w:rPr>
              <w:t>..</w:t>
            </w:r>
          </w:p>
        </w:tc>
        <w:tc>
          <w:tcPr>
            <w:tcW w:w="2136" w:type="dxa"/>
            <w:tcBorders>
              <w:top w:val="nil"/>
              <w:left w:val="nil"/>
              <w:bottom w:val="nil"/>
              <w:right w:val="nil"/>
            </w:tcBorders>
            <w:vAlign w:val="center"/>
          </w:tcPr>
          <w:p w14:paraId="30E0BD72" w14:textId="1285492A" w:rsidR="00864403" w:rsidRPr="000033D2" w:rsidRDefault="00864403" w:rsidP="00864403">
            <w:r w:rsidRPr="000033D2">
              <w:rPr>
                <w:rFonts w:ascii="Arial" w:hAnsi="Arial" w:cs="Arial"/>
                <w:color w:val="000000"/>
                <w:szCs w:val="16"/>
              </w:rPr>
              <w:t>..</w:t>
            </w:r>
          </w:p>
        </w:tc>
        <w:tc>
          <w:tcPr>
            <w:tcW w:w="2050" w:type="dxa"/>
            <w:tcBorders>
              <w:top w:val="nil"/>
              <w:left w:val="nil"/>
              <w:bottom w:val="nil"/>
              <w:right w:val="nil"/>
            </w:tcBorders>
            <w:vAlign w:val="center"/>
          </w:tcPr>
          <w:p w14:paraId="38D0915C" w14:textId="1E547BF2" w:rsidR="00864403" w:rsidRPr="000033D2" w:rsidRDefault="00864403" w:rsidP="00864403">
            <w:r w:rsidRPr="000033D2">
              <w:rPr>
                <w:rFonts w:ascii="Arial" w:hAnsi="Arial" w:cs="Arial"/>
                <w:color w:val="000000"/>
                <w:szCs w:val="16"/>
              </w:rPr>
              <w:t>..</w:t>
            </w:r>
          </w:p>
        </w:tc>
        <w:tc>
          <w:tcPr>
            <w:tcW w:w="2051" w:type="dxa"/>
            <w:tcBorders>
              <w:top w:val="nil"/>
              <w:left w:val="nil"/>
              <w:bottom w:val="nil"/>
              <w:right w:val="nil"/>
            </w:tcBorders>
            <w:vAlign w:val="center"/>
          </w:tcPr>
          <w:p w14:paraId="3465532F" w14:textId="2A23A26C" w:rsidR="00864403" w:rsidRPr="000033D2" w:rsidRDefault="00864403" w:rsidP="00864403">
            <w:r w:rsidRPr="000033D2">
              <w:rPr>
                <w:rFonts w:ascii="Arial" w:hAnsi="Arial" w:cs="Arial"/>
                <w:color w:val="000000"/>
                <w:szCs w:val="16"/>
              </w:rPr>
              <w:t>..</w:t>
            </w:r>
          </w:p>
        </w:tc>
      </w:tr>
      <w:tr w:rsidR="002A0038" w14:paraId="5A6B8B75" w14:textId="77777777" w:rsidTr="002A0038">
        <w:tc>
          <w:tcPr>
            <w:tcW w:w="1281" w:type="dxa"/>
            <w:tcBorders>
              <w:right w:val="nil"/>
            </w:tcBorders>
          </w:tcPr>
          <w:p w14:paraId="6E469A8D" w14:textId="77777777" w:rsidR="00864403" w:rsidRDefault="00864403" w:rsidP="00864403">
            <w:pPr>
              <w:rPr>
                <w:color w:val="4472C4"/>
                <w:sz w:val="13"/>
              </w:rPr>
            </w:pPr>
          </w:p>
        </w:tc>
        <w:tc>
          <w:tcPr>
            <w:tcW w:w="3068" w:type="dxa"/>
            <w:tcBorders>
              <w:top w:val="nil"/>
              <w:left w:val="nil"/>
              <w:bottom w:val="nil"/>
              <w:right w:val="nil"/>
            </w:tcBorders>
          </w:tcPr>
          <w:p w14:paraId="25A402DE" w14:textId="76977081" w:rsidR="00864403" w:rsidRDefault="00864403" w:rsidP="002A0038">
            <w:pPr>
              <w:ind w:left="170" w:hanging="170"/>
              <w:jc w:val="left"/>
            </w:pPr>
            <w:r>
              <w:rPr>
                <w:b/>
                <w:sz w:val="17"/>
              </w:rPr>
              <w:t>Borrowings</w:t>
            </w:r>
          </w:p>
        </w:tc>
        <w:tc>
          <w:tcPr>
            <w:tcW w:w="2050" w:type="dxa"/>
            <w:tcBorders>
              <w:top w:val="nil"/>
              <w:left w:val="nil"/>
              <w:bottom w:val="nil"/>
              <w:right w:val="nil"/>
            </w:tcBorders>
            <w:vAlign w:val="center"/>
          </w:tcPr>
          <w:p w14:paraId="0C69D171" w14:textId="77777777" w:rsidR="00864403" w:rsidRDefault="00864403" w:rsidP="00864403"/>
        </w:tc>
        <w:tc>
          <w:tcPr>
            <w:tcW w:w="1965" w:type="dxa"/>
            <w:tcBorders>
              <w:top w:val="nil"/>
              <w:left w:val="nil"/>
              <w:bottom w:val="nil"/>
              <w:right w:val="nil"/>
            </w:tcBorders>
            <w:vAlign w:val="center"/>
          </w:tcPr>
          <w:p w14:paraId="200ECB01" w14:textId="603C8291" w:rsidR="00864403" w:rsidRDefault="00864403" w:rsidP="00864403"/>
        </w:tc>
        <w:tc>
          <w:tcPr>
            <w:tcW w:w="2136" w:type="dxa"/>
            <w:tcBorders>
              <w:top w:val="nil"/>
              <w:left w:val="nil"/>
              <w:bottom w:val="nil"/>
              <w:right w:val="nil"/>
            </w:tcBorders>
            <w:vAlign w:val="center"/>
          </w:tcPr>
          <w:p w14:paraId="728E9C5C" w14:textId="77777777" w:rsidR="00864403" w:rsidRPr="00D974B6" w:rsidRDefault="00864403" w:rsidP="00864403"/>
        </w:tc>
        <w:tc>
          <w:tcPr>
            <w:tcW w:w="2050" w:type="dxa"/>
            <w:tcBorders>
              <w:top w:val="nil"/>
              <w:left w:val="nil"/>
              <w:bottom w:val="nil"/>
              <w:right w:val="nil"/>
            </w:tcBorders>
            <w:vAlign w:val="center"/>
          </w:tcPr>
          <w:p w14:paraId="64115BB2" w14:textId="77777777" w:rsidR="00864403" w:rsidRPr="00D974B6" w:rsidRDefault="00864403" w:rsidP="00864403"/>
        </w:tc>
        <w:tc>
          <w:tcPr>
            <w:tcW w:w="2051" w:type="dxa"/>
            <w:tcBorders>
              <w:top w:val="nil"/>
              <w:left w:val="nil"/>
              <w:bottom w:val="nil"/>
              <w:right w:val="nil"/>
            </w:tcBorders>
            <w:vAlign w:val="center"/>
          </w:tcPr>
          <w:p w14:paraId="08F7B99F" w14:textId="77777777" w:rsidR="00864403" w:rsidRDefault="00864403" w:rsidP="00864403"/>
        </w:tc>
      </w:tr>
      <w:tr w:rsidR="002A0038" w14:paraId="4981FC03" w14:textId="77777777" w:rsidTr="002A0038">
        <w:trPr>
          <w:trHeight w:val="183"/>
        </w:trPr>
        <w:tc>
          <w:tcPr>
            <w:tcW w:w="1281" w:type="dxa"/>
            <w:tcBorders>
              <w:right w:val="nil"/>
            </w:tcBorders>
          </w:tcPr>
          <w:p w14:paraId="674895D4" w14:textId="77777777" w:rsidR="00864403" w:rsidRDefault="00864403" w:rsidP="00864403">
            <w:pPr>
              <w:rPr>
                <w:color w:val="4472C4"/>
                <w:sz w:val="13"/>
              </w:rPr>
            </w:pPr>
          </w:p>
        </w:tc>
        <w:tc>
          <w:tcPr>
            <w:tcW w:w="3068" w:type="dxa"/>
            <w:tcBorders>
              <w:top w:val="nil"/>
              <w:left w:val="nil"/>
              <w:bottom w:val="nil"/>
              <w:right w:val="nil"/>
            </w:tcBorders>
          </w:tcPr>
          <w:p w14:paraId="66A8C64C" w14:textId="2AC40691" w:rsidR="00864403" w:rsidRDefault="00864403" w:rsidP="002A0038">
            <w:pPr>
              <w:ind w:left="170" w:hanging="170"/>
              <w:jc w:val="left"/>
            </w:pPr>
            <w:r>
              <w:rPr>
                <w:sz w:val="17"/>
              </w:rPr>
              <w:t>Bank overdrafts</w:t>
            </w:r>
          </w:p>
        </w:tc>
        <w:tc>
          <w:tcPr>
            <w:tcW w:w="2050" w:type="dxa"/>
            <w:tcBorders>
              <w:top w:val="nil"/>
              <w:left w:val="nil"/>
              <w:bottom w:val="nil"/>
              <w:right w:val="nil"/>
            </w:tcBorders>
            <w:vAlign w:val="center"/>
          </w:tcPr>
          <w:p w14:paraId="49CDD3DB" w14:textId="73FBE2B7" w:rsidR="00864403" w:rsidRDefault="0058673B" w:rsidP="00864403">
            <w:r>
              <w:rPr>
                <w:rFonts w:ascii="Arial" w:hAnsi="Arial" w:cs="Arial"/>
                <w:color w:val="000000"/>
                <w:szCs w:val="16"/>
              </w:rPr>
              <w:t>..</w:t>
            </w:r>
          </w:p>
        </w:tc>
        <w:tc>
          <w:tcPr>
            <w:tcW w:w="1965" w:type="dxa"/>
            <w:tcBorders>
              <w:top w:val="nil"/>
              <w:left w:val="nil"/>
              <w:bottom w:val="nil"/>
              <w:right w:val="nil"/>
            </w:tcBorders>
            <w:vAlign w:val="center"/>
          </w:tcPr>
          <w:p w14:paraId="73CC3B1B" w14:textId="3967DF1E" w:rsidR="00864403" w:rsidRDefault="00864403" w:rsidP="00864403">
            <w:r>
              <w:rPr>
                <w:rFonts w:ascii="Arial" w:hAnsi="Arial" w:cs="Arial"/>
                <w:color w:val="000000"/>
                <w:szCs w:val="16"/>
              </w:rPr>
              <w:t>..</w:t>
            </w:r>
          </w:p>
        </w:tc>
        <w:tc>
          <w:tcPr>
            <w:tcW w:w="2136" w:type="dxa"/>
            <w:tcBorders>
              <w:top w:val="nil"/>
              <w:left w:val="nil"/>
              <w:bottom w:val="nil"/>
              <w:right w:val="nil"/>
            </w:tcBorders>
            <w:vAlign w:val="center"/>
          </w:tcPr>
          <w:p w14:paraId="7D04716B" w14:textId="60E76447" w:rsidR="00864403" w:rsidRPr="00D974B6" w:rsidRDefault="00864403" w:rsidP="00864403">
            <w:r>
              <w:rPr>
                <w:rFonts w:ascii="Arial" w:hAnsi="Arial" w:cs="Arial"/>
                <w:color w:val="000000"/>
                <w:szCs w:val="16"/>
              </w:rPr>
              <w:t>..</w:t>
            </w:r>
          </w:p>
        </w:tc>
        <w:tc>
          <w:tcPr>
            <w:tcW w:w="2050" w:type="dxa"/>
            <w:tcBorders>
              <w:top w:val="nil"/>
              <w:left w:val="nil"/>
              <w:bottom w:val="nil"/>
              <w:right w:val="nil"/>
            </w:tcBorders>
            <w:vAlign w:val="center"/>
          </w:tcPr>
          <w:p w14:paraId="2E800464" w14:textId="27FEE497" w:rsidR="00864403" w:rsidRPr="00D974B6" w:rsidRDefault="00864403" w:rsidP="00864403">
            <w:r>
              <w:rPr>
                <w:rFonts w:ascii="Arial" w:hAnsi="Arial" w:cs="Arial"/>
                <w:color w:val="000000"/>
                <w:szCs w:val="16"/>
              </w:rPr>
              <w:t>..</w:t>
            </w:r>
          </w:p>
        </w:tc>
        <w:tc>
          <w:tcPr>
            <w:tcW w:w="2051" w:type="dxa"/>
            <w:tcBorders>
              <w:top w:val="nil"/>
              <w:left w:val="nil"/>
              <w:bottom w:val="nil"/>
              <w:right w:val="nil"/>
            </w:tcBorders>
            <w:vAlign w:val="center"/>
          </w:tcPr>
          <w:p w14:paraId="0035472D" w14:textId="789444CD" w:rsidR="00864403" w:rsidRDefault="00864403" w:rsidP="00864403">
            <w:r>
              <w:rPr>
                <w:rFonts w:ascii="Arial" w:hAnsi="Arial" w:cs="Arial"/>
                <w:color w:val="000000"/>
                <w:szCs w:val="16"/>
              </w:rPr>
              <w:t>..</w:t>
            </w:r>
          </w:p>
        </w:tc>
      </w:tr>
      <w:tr w:rsidR="002A0038" w14:paraId="6EFB9B98" w14:textId="77777777" w:rsidTr="002A0038">
        <w:tc>
          <w:tcPr>
            <w:tcW w:w="1281" w:type="dxa"/>
            <w:tcBorders>
              <w:right w:val="nil"/>
            </w:tcBorders>
          </w:tcPr>
          <w:p w14:paraId="6A6E3EAE" w14:textId="77777777" w:rsidR="00864403" w:rsidRDefault="00864403" w:rsidP="00864403">
            <w:pPr>
              <w:rPr>
                <w:color w:val="4472C4"/>
                <w:sz w:val="13"/>
              </w:rPr>
            </w:pPr>
          </w:p>
        </w:tc>
        <w:tc>
          <w:tcPr>
            <w:tcW w:w="3068" w:type="dxa"/>
            <w:tcBorders>
              <w:top w:val="nil"/>
              <w:left w:val="nil"/>
              <w:bottom w:val="nil"/>
              <w:right w:val="nil"/>
            </w:tcBorders>
          </w:tcPr>
          <w:p w14:paraId="22678F86" w14:textId="3D3CAC56" w:rsidR="00864403" w:rsidRDefault="00864403" w:rsidP="002A0038">
            <w:pPr>
              <w:ind w:left="170" w:hanging="170"/>
              <w:jc w:val="left"/>
            </w:pPr>
            <w:r>
              <w:rPr>
                <w:sz w:val="17"/>
              </w:rPr>
              <w:t>Lease liabilities</w:t>
            </w:r>
          </w:p>
        </w:tc>
        <w:tc>
          <w:tcPr>
            <w:tcW w:w="2050" w:type="dxa"/>
            <w:tcBorders>
              <w:top w:val="nil"/>
              <w:left w:val="nil"/>
              <w:bottom w:val="nil"/>
              <w:right w:val="nil"/>
            </w:tcBorders>
            <w:vAlign w:val="center"/>
          </w:tcPr>
          <w:p w14:paraId="00E0078F" w14:textId="082B0369" w:rsidR="00864403" w:rsidRDefault="00864403" w:rsidP="00864403">
            <w:pPr>
              <w:rPr>
                <w:lang w:eastAsia="zh-CN"/>
              </w:rPr>
            </w:pPr>
            <w:r>
              <w:rPr>
                <w:rFonts w:ascii="Arial" w:hAnsi="Arial" w:cs="Arial"/>
                <w:color w:val="000000"/>
                <w:szCs w:val="16"/>
              </w:rPr>
              <w:t>1</w:t>
            </w:r>
            <w:r w:rsidR="000033D2">
              <w:rPr>
                <w:rFonts w:ascii="Arial" w:hAnsi="Arial" w:cs="Arial" w:hint="eastAsia"/>
                <w:color w:val="000000"/>
                <w:szCs w:val="16"/>
                <w:lang w:eastAsia="zh-CN"/>
              </w:rPr>
              <w:t>8</w:t>
            </w:r>
            <w:r w:rsidR="0058673B">
              <w:rPr>
                <w:rFonts w:ascii="Arial" w:hAnsi="Arial" w:cs="Arial" w:hint="eastAsia"/>
                <w:color w:val="000000"/>
                <w:szCs w:val="16"/>
                <w:lang w:eastAsia="zh-CN"/>
              </w:rPr>
              <w:t xml:space="preserve"> </w:t>
            </w:r>
            <w:r w:rsidR="000033D2">
              <w:rPr>
                <w:rFonts w:ascii="Arial" w:hAnsi="Arial" w:cs="Arial" w:hint="eastAsia"/>
                <w:color w:val="000000"/>
                <w:szCs w:val="16"/>
                <w:lang w:eastAsia="zh-CN"/>
              </w:rPr>
              <w:t>319</w:t>
            </w:r>
          </w:p>
        </w:tc>
        <w:tc>
          <w:tcPr>
            <w:tcW w:w="1965" w:type="dxa"/>
            <w:tcBorders>
              <w:top w:val="nil"/>
              <w:left w:val="nil"/>
              <w:bottom w:val="nil"/>
              <w:right w:val="nil"/>
            </w:tcBorders>
            <w:vAlign w:val="center"/>
          </w:tcPr>
          <w:p w14:paraId="79F9DA3F" w14:textId="54DF2737" w:rsidR="00864403" w:rsidRDefault="00864403" w:rsidP="00864403">
            <w:r>
              <w:rPr>
                <w:rFonts w:ascii="Arial" w:hAnsi="Arial" w:cs="Arial"/>
                <w:color w:val="000000"/>
                <w:szCs w:val="16"/>
              </w:rPr>
              <w:t>..</w:t>
            </w:r>
          </w:p>
        </w:tc>
        <w:tc>
          <w:tcPr>
            <w:tcW w:w="2136" w:type="dxa"/>
            <w:tcBorders>
              <w:top w:val="nil"/>
              <w:left w:val="nil"/>
              <w:bottom w:val="nil"/>
              <w:right w:val="nil"/>
            </w:tcBorders>
            <w:vAlign w:val="center"/>
          </w:tcPr>
          <w:p w14:paraId="0136A989" w14:textId="0FF03A22" w:rsidR="00864403" w:rsidRPr="00D974B6" w:rsidRDefault="00864403" w:rsidP="00864403">
            <w:r>
              <w:rPr>
                <w:rFonts w:ascii="Arial" w:hAnsi="Arial" w:cs="Arial"/>
                <w:color w:val="000000"/>
                <w:szCs w:val="16"/>
              </w:rPr>
              <w:t>(430)</w:t>
            </w:r>
          </w:p>
        </w:tc>
        <w:tc>
          <w:tcPr>
            <w:tcW w:w="2050" w:type="dxa"/>
            <w:tcBorders>
              <w:top w:val="nil"/>
              <w:left w:val="nil"/>
              <w:bottom w:val="nil"/>
              <w:right w:val="nil"/>
            </w:tcBorders>
            <w:vAlign w:val="center"/>
          </w:tcPr>
          <w:p w14:paraId="2912AFFB" w14:textId="0DF2D2F7" w:rsidR="00864403" w:rsidRPr="00D974B6" w:rsidRDefault="00864403" w:rsidP="00864403">
            <w:r>
              <w:rPr>
                <w:rFonts w:ascii="Arial" w:hAnsi="Arial" w:cs="Arial"/>
                <w:color w:val="000000"/>
                <w:szCs w:val="16"/>
              </w:rPr>
              <w:t>..</w:t>
            </w:r>
          </w:p>
        </w:tc>
        <w:tc>
          <w:tcPr>
            <w:tcW w:w="2051" w:type="dxa"/>
            <w:tcBorders>
              <w:top w:val="nil"/>
              <w:left w:val="nil"/>
              <w:bottom w:val="nil"/>
              <w:right w:val="nil"/>
            </w:tcBorders>
            <w:vAlign w:val="center"/>
          </w:tcPr>
          <w:p w14:paraId="4CF60767" w14:textId="37941271" w:rsidR="00864403" w:rsidRDefault="00864403" w:rsidP="00864403">
            <w:r>
              <w:rPr>
                <w:rFonts w:ascii="Arial" w:hAnsi="Arial" w:cs="Arial"/>
                <w:color w:val="000000"/>
                <w:szCs w:val="16"/>
              </w:rPr>
              <w:t>..</w:t>
            </w:r>
          </w:p>
        </w:tc>
      </w:tr>
      <w:tr w:rsidR="002A0038" w14:paraId="6CE0F644" w14:textId="77777777" w:rsidTr="002A0038">
        <w:tc>
          <w:tcPr>
            <w:tcW w:w="1281" w:type="dxa"/>
            <w:tcBorders>
              <w:right w:val="nil"/>
            </w:tcBorders>
          </w:tcPr>
          <w:p w14:paraId="75699A2C" w14:textId="77777777" w:rsidR="00864403" w:rsidRDefault="00864403" w:rsidP="00864403">
            <w:pPr>
              <w:rPr>
                <w:color w:val="4472C4"/>
                <w:sz w:val="13"/>
              </w:rPr>
            </w:pPr>
          </w:p>
        </w:tc>
        <w:tc>
          <w:tcPr>
            <w:tcW w:w="3068" w:type="dxa"/>
            <w:tcBorders>
              <w:top w:val="nil"/>
              <w:left w:val="nil"/>
              <w:bottom w:val="nil"/>
              <w:right w:val="nil"/>
            </w:tcBorders>
          </w:tcPr>
          <w:p w14:paraId="6F4C84F0" w14:textId="79364AE0" w:rsidR="00864403" w:rsidRDefault="00864403" w:rsidP="002A0038">
            <w:pPr>
              <w:ind w:left="170" w:hanging="170"/>
              <w:jc w:val="left"/>
            </w:pPr>
            <w:r>
              <w:rPr>
                <w:sz w:val="17"/>
              </w:rPr>
              <w:t>Loans from TCV</w:t>
            </w:r>
          </w:p>
        </w:tc>
        <w:tc>
          <w:tcPr>
            <w:tcW w:w="2050" w:type="dxa"/>
            <w:tcBorders>
              <w:top w:val="nil"/>
              <w:left w:val="nil"/>
              <w:bottom w:val="nil"/>
              <w:right w:val="nil"/>
            </w:tcBorders>
            <w:vAlign w:val="center"/>
          </w:tcPr>
          <w:p w14:paraId="3C44C7DD" w14:textId="56B57F6B" w:rsidR="00864403" w:rsidRDefault="00864403" w:rsidP="00864403">
            <w:r>
              <w:rPr>
                <w:rFonts w:ascii="Arial" w:hAnsi="Arial" w:cs="Arial"/>
                <w:color w:val="000000"/>
                <w:szCs w:val="16"/>
              </w:rPr>
              <w:t>48</w:t>
            </w:r>
            <w:r w:rsidR="0058673B">
              <w:rPr>
                <w:rFonts w:ascii="Arial" w:hAnsi="Arial" w:cs="Arial" w:hint="eastAsia"/>
                <w:color w:val="000000"/>
                <w:szCs w:val="16"/>
                <w:lang w:eastAsia="zh-CN"/>
              </w:rPr>
              <w:t xml:space="preserve"> </w:t>
            </w:r>
            <w:r>
              <w:rPr>
                <w:rFonts w:ascii="Arial" w:hAnsi="Arial" w:cs="Arial"/>
                <w:color w:val="000000"/>
                <w:szCs w:val="16"/>
              </w:rPr>
              <w:t>696</w:t>
            </w:r>
          </w:p>
        </w:tc>
        <w:tc>
          <w:tcPr>
            <w:tcW w:w="1965" w:type="dxa"/>
            <w:tcBorders>
              <w:top w:val="nil"/>
              <w:left w:val="nil"/>
              <w:bottom w:val="nil"/>
              <w:right w:val="nil"/>
            </w:tcBorders>
            <w:vAlign w:val="center"/>
          </w:tcPr>
          <w:p w14:paraId="6594EE3C" w14:textId="0B4F67F6" w:rsidR="00864403" w:rsidRDefault="00864403" w:rsidP="00864403">
            <w:r>
              <w:rPr>
                <w:rFonts w:ascii="Arial" w:hAnsi="Arial" w:cs="Arial"/>
                <w:color w:val="000000"/>
                <w:szCs w:val="16"/>
              </w:rPr>
              <w:t>..</w:t>
            </w:r>
          </w:p>
        </w:tc>
        <w:tc>
          <w:tcPr>
            <w:tcW w:w="2136" w:type="dxa"/>
            <w:tcBorders>
              <w:top w:val="nil"/>
              <w:left w:val="nil"/>
              <w:bottom w:val="nil"/>
              <w:right w:val="nil"/>
            </w:tcBorders>
            <w:vAlign w:val="center"/>
          </w:tcPr>
          <w:p w14:paraId="1D84682A" w14:textId="6BC98A99" w:rsidR="00864403" w:rsidRPr="00D974B6" w:rsidRDefault="00864403" w:rsidP="00864403">
            <w:r>
              <w:rPr>
                <w:rFonts w:ascii="Arial" w:hAnsi="Arial" w:cs="Arial"/>
                <w:color w:val="000000"/>
                <w:szCs w:val="16"/>
              </w:rPr>
              <w:t>(1</w:t>
            </w:r>
            <w:r w:rsidR="0058673B">
              <w:rPr>
                <w:rFonts w:ascii="Arial" w:hAnsi="Arial" w:cs="Arial" w:hint="eastAsia"/>
                <w:color w:val="000000"/>
                <w:szCs w:val="16"/>
                <w:lang w:eastAsia="zh-CN"/>
              </w:rPr>
              <w:t xml:space="preserve"> </w:t>
            </w:r>
            <w:r>
              <w:rPr>
                <w:rFonts w:ascii="Arial" w:hAnsi="Arial" w:cs="Arial"/>
                <w:color w:val="000000"/>
                <w:szCs w:val="16"/>
              </w:rPr>
              <w:t>055)</w:t>
            </w:r>
          </w:p>
        </w:tc>
        <w:tc>
          <w:tcPr>
            <w:tcW w:w="2050" w:type="dxa"/>
            <w:tcBorders>
              <w:top w:val="nil"/>
              <w:left w:val="nil"/>
              <w:bottom w:val="nil"/>
              <w:right w:val="nil"/>
            </w:tcBorders>
            <w:vAlign w:val="center"/>
          </w:tcPr>
          <w:p w14:paraId="7B9CCA1A" w14:textId="323BF045" w:rsidR="00864403" w:rsidRPr="00D974B6" w:rsidRDefault="00864403" w:rsidP="00864403">
            <w:r>
              <w:rPr>
                <w:rFonts w:ascii="Arial" w:hAnsi="Arial" w:cs="Arial"/>
                <w:color w:val="000000"/>
                <w:szCs w:val="16"/>
              </w:rPr>
              <w:t>(307)</w:t>
            </w:r>
          </w:p>
        </w:tc>
        <w:tc>
          <w:tcPr>
            <w:tcW w:w="2051" w:type="dxa"/>
            <w:tcBorders>
              <w:top w:val="nil"/>
              <w:left w:val="nil"/>
              <w:bottom w:val="nil"/>
              <w:right w:val="nil"/>
            </w:tcBorders>
            <w:vAlign w:val="center"/>
          </w:tcPr>
          <w:p w14:paraId="49024626" w14:textId="407D52E5" w:rsidR="00864403" w:rsidRDefault="00864403" w:rsidP="00864403">
            <w:r>
              <w:rPr>
                <w:rFonts w:ascii="Arial" w:hAnsi="Arial" w:cs="Arial"/>
                <w:color w:val="000000"/>
                <w:szCs w:val="16"/>
              </w:rPr>
              <w:t>..</w:t>
            </w:r>
          </w:p>
        </w:tc>
      </w:tr>
      <w:tr w:rsidR="002A0038" w14:paraId="70319706" w14:textId="77777777" w:rsidTr="002A0038">
        <w:tc>
          <w:tcPr>
            <w:tcW w:w="1281" w:type="dxa"/>
            <w:tcBorders>
              <w:bottom w:val="nil"/>
              <w:right w:val="nil"/>
            </w:tcBorders>
          </w:tcPr>
          <w:p w14:paraId="50ADD500" w14:textId="77777777" w:rsidR="0058673B" w:rsidRDefault="0058673B" w:rsidP="002A0038"/>
        </w:tc>
        <w:tc>
          <w:tcPr>
            <w:tcW w:w="3068" w:type="dxa"/>
            <w:tcBorders>
              <w:top w:val="nil"/>
              <w:left w:val="nil"/>
              <w:bottom w:val="single" w:sz="4" w:space="0" w:color="auto"/>
              <w:right w:val="nil"/>
            </w:tcBorders>
          </w:tcPr>
          <w:p w14:paraId="37D152F7" w14:textId="77777777" w:rsidR="0058673B" w:rsidRDefault="0058673B" w:rsidP="002A0038">
            <w:pPr>
              <w:jc w:val="left"/>
            </w:pPr>
            <w:r>
              <w:rPr>
                <w:b/>
                <w:lang w:eastAsia="zh-CN"/>
              </w:rPr>
              <w:t>Total contractual financial liabilities</w:t>
            </w:r>
          </w:p>
        </w:tc>
        <w:tc>
          <w:tcPr>
            <w:tcW w:w="2050" w:type="dxa"/>
            <w:tcBorders>
              <w:top w:val="nil"/>
              <w:left w:val="nil"/>
              <w:bottom w:val="single" w:sz="4" w:space="0" w:color="auto"/>
              <w:right w:val="nil"/>
            </w:tcBorders>
            <w:vAlign w:val="center"/>
          </w:tcPr>
          <w:p w14:paraId="3C7D1769" w14:textId="4A93B4B8" w:rsidR="0058673B" w:rsidRDefault="0058673B" w:rsidP="0058673B">
            <w:pPr>
              <w:rPr>
                <w:b/>
              </w:rPr>
            </w:pPr>
            <w:r>
              <w:rPr>
                <w:rFonts w:ascii="Arial" w:hAnsi="Arial" w:cs="Arial"/>
                <w:b/>
                <w:bCs/>
                <w:color w:val="000000"/>
                <w:szCs w:val="16"/>
              </w:rPr>
              <w:t>101</w:t>
            </w:r>
            <w:r>
              <w:rPr>
                <w:rFonts w:ascii="Arial" w:hAnsi="Arial" w:cs="Arial" w:hint="eastAsia"/>
                <w:b/>
                <w:bCs/>
                <w:color w:val="000000"/>
                <w:szCs w:val="16"/>
                <w:lang w:eastAsia="zh-CN"/>
              </w:rPr>
              <w:t xml:space="preserve"> </w:t>
            </w:r>
            <w:r>
              <w:rPr>
                <w:rFonts w:ascii="Arial" w:hAnsi="Arial" w:cs="Arial"/>
                <w:b/>
                <w:bCs/>
                <w:color w:val="000000"/>
                <w:szCs w:val="16"/>
              </w:rPr>
              <w:t>381</w:t>
            </w:r>
          </w:p>
        </w:tc>
        <w:tc>
          <w:tcPr>
            <w:tcW w:w="1965" w:type="dxa"/>
            <w:tcBorders>
              <w:top w:val="nil"/>
              <w:left w:val="nil"/>
              <w:bottom w:val="single" w:sz="4" w:space="0" w:color="auto"/>
              <w:right w:val="nil"/>
            </w:tcBorders>
            <w:vAlign w:val="center"/>
          </w:tcPr>
          <w:p w14:paraId="7468B222" w14:textId="6D13761A" w:rsidR="0058673B" w:rsidRPr="002A0038" w:rsidRDefault="0058673B" w:rsidP="0058673B">
            <w:pPr>
              <w:rPr>
                <w:b/>
                <w:bCs/>
              </w:rPr>
            </w:pPr>
            <w:r w:rsidRPr="002A0038">
              <w:rPr>
                <w:rFonts w:ascii="Arial" w:hAnsi="Arial" w:cs="Arial"/>
                <w:b/>
                <w:bCs/>
                <w:color w:val="000000"/>
                <w:szCs w:val="16"/>
              </w:rPr>
              <w:t>..</w:t>
            </w:r>
          </w:p>
        </w:tc>
        <w:tc>
          <w:tcPr>
            <w:tcW w:w="2136" w:type="dxa"/>
            <w:tcBorders>
              <w:top w:val="nil"/>
              <w:left w:val="nil"/>
              <w:bottom w:val="single" w:sz="4" w:space="0" w:color="auto"/>
              <w:right w:val="nil"/>
            </w:tcBorders>
            <w:vAlign w:val="center"/>
          </w:tcPr>
          <w:p w14:paraId="6F86AB79" w14:textId="1EA6A8C0" w:rsidR="0058673B" w:rsidRDefault="0058673B" w:rsidP="0058673B">
            <w:r>
              <w:rPr>
                <w:rFonts w:ascii="Arial" w:hAnsi="Arial" w:cs="Arial"/>
                <w:b/>
                <w:bCs/>
                <w:color w:val="000000"/>
                <w:szCs w:val="16"/>
              </w:rPr>
              <w:t>(1</w:t>
            </w:r>
            <w:r>
              <w:rPr>
                <w:rFonts w:ascii="Arial" w:hAnsi="Arial" w:cs="Arial" w:hint="eastAsia"/>
                <w:b/>
                <w:bCs/>
                <w:color w:val="000000"/>
                <w:szCs w:val="16"/>
                <w:lang w:eastAsia="zh-CN"/>
              </w:rPr>
              <w:t xml:space="preserve"> </w:t>
            </w:r>
            <w:r>
              <w:rPr>
                <w:rFonts w:ascii="Arial" w:hAnsi="Arial" w:cs="Arial"/>
                <w:b/>
                <w:bCs/>
                <w:color w:val="000000"/>
                <w:szCs w:val="16"/>
              </w:rPr>
              <w:t>485)</w:t>
            </w:r>
          </w:p>
        </w:tc>
        <w:tc>
          <w:tcPr>
            <w:tcW w:w="2050" w:type="dxa"/>
            <w:tcBorders>
              <w:top w:val="nil"/>
              <w:left w:val="nil"/>
              <w:bottom w:val="single" w:sz="4" w:space="0" w:color="auto"/>
              <w:right w:val="nil"/>
            </w:tcBorders>
            <w:vAlign w:val="center"/>
          </w:tcPr>
          <w:p w14:paraId="1C6D3B2B" w14:textId="7AA49767" w:rsidR="0058673B" w:rsidRDefault="0058673B" w:rsidP="0058673B">
            <w:r>
              <w:rPr>
                <w:rFonts w:ascii="Arial" w:hAnsi="Arial" w:cs="Arial"/>
                <w:b/>
                <w:bCs/>
                <w:color w:val="000000"/>
                <w:szCs w:val="16"/>
              </w:rPr>
              <w:t>(307)</w:t>
            </w:r>
          </w:p>
        </w:tc>
        <w:tc>
          <w:tcPr>
            <w:tcW w:w="2051" w:type="dxa"/>
            <w:tcBorders>
              <w:top w:val="nil"/>
              <w:left w:val="nil"/>
              <w:bottom w:val="single" w:sz="4" w:space="0" w:color="auto"/>
              <w:right w:val="nil"/>
            </w:tcBorders>
            <w:vAlign w:val="center"/>
          </w:tcPr>
          <w:p w14:paraId="25839DFD" w14:textId="17513977" w:rsidR="0058673B" w:rsidRPr="002A0038" w:rsidRDefault="0058673B" w:rsidP="0058673B">
            <w:pPr>
              <w:rPr>
                <w:b/>
                <w:bCs/>
              </w:rPr>
            </w:pPr>
            <w:r w:rsidRPr="002A0038">
              <w:rPr>
                <w:rFonts w:ascii="Arial" w:hAnsi="Arial" w:cs="Arial"/>
                <w:b/>
                <w:bCs/>
                <w:color w:val="000000"/>
                <w:szCs w:val="16"/>
              </w:rPr>
              <w:t>..</w:t>
            </w:r>
          </w:p>
        </w:tc>
      </w:tr>
    </w:tbl>
    <w:p w14:paraId="62AA1CA7" w14:textId="751B0C6D" w:rsidR="00E548DC" w:rsidRDefault="00E548DC" w:rsidP="00E548DC">
      <w:pPr>
        <w:pStyle w:val="Note"/>
      </w:pPr>
      <w:r>
        <w:t>Note:</w:t>
      </w:r>
    </w:p>
    <w:p w14:paraId="331A11AE" w14:textId="06E842CD" w:rsidR="00E548DC" w:rsidRDefault="00E548DC" w:rsidP="00E548DC">
      <w:pPr>
        <w:pStyle w:val="Note"/>
      </w:pPr>
      <w:r w:rsidRPr="008D30FE">
        <w:t>(a)</w:t>
      </w:r>
      <w:r w:rsidRPr="008D30FE">
        <w:tab/>
        <w:t xml:space="preserve">The total amounts disclosed here exclude statutory amounts (e.g. amounts owing from Victorian Government and GST input tax credit recoverable and taxes payable). </w:t>
      </w:r>
      <w:r w:rsidRPr="008D30FE">
        <w:rPr>
          <w:rStyle w:val="Reference"/>
          <w:sz w:val="14"/>
          <w:szCs w:val="16"/>
        </w:rPr>
        <w:t>[</w:t>
      </w:r>
      <w:r w:rsidR="0007383E">
        <w:rPr>
          <w:rStyle w:val="Reference"/>
          <w:sz w:val="14"/>
          <w:szCs w:val="16"/>
        </w:rPr>
        <w:t>AASB </w:t>
      </w:r>
      <w:r w:rsidRPr="008D30FE">
        <w:rPr>
          <w:rStyle w:val="Reference"/>
          <w:sz w:val="14"/>
          <w:szCs w:val="16"/>
        </w:rPr>
        <w:t>132.AG12]</w:t>
      </w:r>
    </w:p>
    <w:p w14:paraId="117AC1B9" w14:textId="77777777" w:rsidR="00773D88" w:rsidRDefault="00773D88" w:rsidP="0074748E">
      <w:pPr>
        <w:pStyle w:val="Note"/>
      </w:pPr>
    </w:p>
    <w:tbl>
      <w:tblPr>
        <w:tblStyle w:val="DTFTable"/>
        <w:tblW w:w="14601" w:type="dxa"/>
        <w:tblLayout w:type="fixed"/>
        <w:tblLook w:val="0620" w:firstRow="1" w:lastRow="0" w:firstColumn="0" w:lastColumn="0" w:noHBand="1" w:noVBand="1"/>
      </w:tblPr>
      <w:tblGrid>
        <w:gridCol w:w="1276"/>
        <w:gridCol w:w="3056"/>
        <w:gridCol w:w="2042"/>
        <w:gridCol w:w="1957"/>
        <w:gridCol w:w="2128"/>
        <w:gridCol w:w="2042"/>
        <w:gridCol w:w="2100"/>
      </w:tblGrid>
      <w:tr w:rsidR="002A0038" w:rsidRPr="004A1DDA" w14:paraId="58E5E610" w14:textId="77777777" w:rsidTr="002A0038">
        <w:trPr>
          <w:cnfStyle w:val="100000000000" w:firstRow="1" w:lastRow="0" w:firstColumn="0" w:lastColumn="0" w:oddVBand="0" w:evenVBand="0" w:oddHBand="0" w:evenHBand="0" w:firstRowFirstColumn="0" w:firstRowLastColumn="0" w:lastRowFirstColumn="0" w:lastRowLastColumn="0"/>
          <w:trHeight w:val="294"/>
        </w:trPr>
        <w:tc>
          <w:tcPr>
            <w:tcW w:w="1276" w:type="dxa"/>
            <w:tcBorders>
              <w:right w:val="nil"/>
            </w:tcBorders>
          </w:tcPr>
          <w:p w14:paraId="42127EA6" w14:textId="77777777" w:rsidR="00BA4876" w:rsidRPr="00785F6D" w:rsidRDefault="00BA4876">
            <w:pPr>
              <w:rPr>
                <w:color w:val="4472C4"/>
                <w:sz w:val="13"/>
              </w:rPr>
            </w:pPr>
          </w:p>
        </w:tc>
        <w:tc>
          <w:tcPr>
            <w:tcW w:w="3056" w:type="dxa"/>
            <w:tcBorders>
              <w:top w:val="nil"/>
              <w:left w:val="nil"/>
              <w:bottom w:val="nil"/>
              <w:right w:val="nil"/>
            </w:tcBorders>
          </w:tcPr>
          <w:p w14:paraId="5A917B7F" w14:textId="092502B6" w:rsidR="00BA4876" w:rsidRPr="00785F6D" w:rsidRDefault="00BA4876">
            <w:pPr>
              <w:keepLines w:val="0"/>
              <w:jc w:val="left"/>
              <w:rPr>
                <w:iCs/>
              </w:rPr>
            </w:pPr>
            <w:r w:rsidRPr="00785F6D">
              <w:rPr>
                <w:iCs/>
              </w:rPr>
              <w:t>20X</w:t>
            </w:r>
            <w:r w:rsidR="004B3ED9" w:rsidRPr="00785F6D">
              <w:rPr>
                <w:iCs/>
              </w:rPr>
              <w:t>1</w:t>
            </w:r>
          </w:p>
        </w:tc>
        <w:tc>
          <w:tcPr>
            <w:tcW w:w="2042" w:type="dxa"/>
            <w:tcBorders>
              <w:top w:val="nil"/>
              <w:left w:val="nil"/>
              <w:bottom w:val="nil"/>
              <w:right w:val="nil"/>
            </w:tcBorders>
          </w:tcPr>
          <w:p w14:paraId="1A3BA522" w14:textId="77777777" w:rsidR="00BA4876" w:rsidRPr="004A1DDA" w:rsidRDefault="00BA4876">
            <w:pPr>
              <w:keepLines w:val="0"/>
              <w:rPr>
                <w:iCs/>
              </w:rPr>
            </w:pPr>
            <w:r w:rsidRPr="004A1DDA">
              <w:rPr>
                <w:iCs/>
              </w:rPr>
              <w:t>Carrying amount</w:t>
            </w:r>
          </w:p>
        </w:tc>
        <w:tc>
          <w:tcPr>
            <w:tcW w:w="1957" w:type="dxa"/>
            <w:tcBorders>
              <w:top w:val="nil"/>
              <w:left w:val="nil"/>
              <w:bottom w:val="nil"/>
              <w:right w:val="nil"/>
            </w:tcBorders>
          </w:tcPr>
          <w:p w14:paraId="7D3AD5B3" w14:textId="77777777" w:rsidR="00BA4876" w:rsidRPr="004A1DDA" w:rsidRDefault="00BA4876">
            <w:pPr>
              <w:keepLines w:val="0"/>
              <w:rPr>
                <w:iCs/>
              </w:rPr>
            </w:pPr>
            <w:r w:rsidRPr="004A1DDA">
              <w:rPr>
                <w:iCs/>
              </w:rPr>
              <w:t>Net gain/(loss)</w:t>
            </w:r>
          </w:p>
        </w:tc>
        <w:tc>
          <w:tcPr>
            <w:tcW w:w="2128" w:type="dxa"/>
            <w:tcBorders>
              <w:top w:val="nil"/>
              <w:left w:val="nil"/>
              <w:bottom w:val="nil"/>
              <w:right w:val="nil"/>
            </w:tcBorders>
          </w:tcPr>
          <w:p w14:paraId="552537C0" w14:textId="77777777" w:rsidR="00BA4876" w:rsidRPr="004A1DDA" w:rsidRDefault="00BA4876">
            <w:pPr>
              <w:keepLines w:val="0"/>
              <w:rPr>
                <w:iCs/>
              </w:rPr>
            </w:pPr>
            <w:r w:rsidRPr="004A1DDA">
              <w:rPr>
                <w:iCs/>
              </w:rPr>
              <w:t>Total interest income/ (expense)</w:t>
            </w:r>
          </w:p>
        </w:tc>
        <w:tc>
          <w:tcPr>
            <w:tcW w:w="2042" w:type="dxa"/>
            <w:tcBorders>
              <w:top w:val="nil"/>
              <w:left w:val="nil"/>
              <w:bottom w:val="nil"/>
              <w:right w:val="nil"/>
            </w:tcBorders>
          </w:tcPr>
          <w:p w14:paraId="0FD8A72E" w14:textId="77777777" w:rsidR="00BA4876" w:rsidRPr="004A1DDA" w:rsidRDefault="00BA4876">
            <w:pPr>
              <w:keepLines w:val="0"/>
              <w:rPr>
                <w:iCs/>
              </w:rPr>
            </w:pPr>
            <w:r w:rsidRPr="004A1DDA">
              <w:rPr>
                <w:iCs/>
              </w:rPr>
              <w:t>Fee income/ (expense)</w:t>
            </w:r>
          </w:p>
        </w:tc>
        <w:tc>
          <w:tcPr>
            <w:tcW w:w="2100" w:type="dxa"/>
            <w:tcBorders>
              <w:top w:val="nil"/>
              <w:left w:val="nil"/>
              <w:bottom w:val="nil"/>
              <w:right w:val="nil"/>
            </w:tcBorders>
          </w:tcPr>
          <w:p w14:paraId="05924ECE" w14:textId="77777777" w:rsidR="00BA4876" w:rsidRPr="004A1DDA" w:rsidRDefault="00BA4876">
            <w:pPr>
              <w:keepLines w:val="0"/>
              <w:rPr>
                <w:iCs/>
              </w:rPr>
            </w:pPr>
            <w:r w:rsidRPr="004A1DDA">
              <w:rPr>
                <w:iCs/>
              </w:rPr>
              <w:t>Impairment loss</w:t>
            </w:r>
          </w:p>
        </w:tc>
      </w:tr>
      <w:tr w:rsidR="00BA4876" w14:paraId="6B9270CD" w14:textId="77777777" w:rsidTr="002A0038">
        <w:trPr>
          <w:trHeight w:val="294"/>
        </w:trPr>
        <w:tc>
          <w:tcPr>
            <w:tcW w:w="1276" w:type="dxa"/>
            <w:tcBorders>
              <w:right w:val="nil"/>
            </w:tcBorders>
          </w:tcPr>
          <w:p w14:paraId="06B7DA9E" w14:textId="0CCFA565" w:rsidR="00BA4876" w:rsidRPr="00785F6D" w:rsidRDefault="0007383E">
            <w:pPr>
              <w:jc w:val="left"/>
            </w:pPr>
            <w:r>
              <w:rPr>
                <w:color w:val="4472C4"/>
                <w:sz w:val="13"/>
              </w:rPr>
              <w:t>AASB </w:t>
            </w:r>
            <w:r w:rsidR="00BA4876" w:rsidRPr="00785F6D">
              <w:rPr>
                <w:color w:val="4472C4"/>
                <w:sz w:val="13"/>
              </w:rPr>
              <w:t>1060.</w:t>
            </w:r>
            <w:r w:rsidR="00BA4876" w:rsidRPr="00785F6D">
              <w:rPr>
                <w:rFonts w:hint="eastAsia"/>
                <w:color w:val="4472C4"/>
                <w:sz w:val="13"/>
                <w:lang w:eastAsia="zh-CN"/>
              </w:rPr>
              <w:t>113</w:t>
            </w:r>
            <w:r w:rsidR="00BA4876" w:rsidRPr="00785F6D">
              <w:rPr>
                <w:color w:val="4472C4"/>
                <w:sz w:val="13"/>
                <w:lang w:eastAsia="zh-CN"/>
              </w:rPr>
              <w:t xml:space="preserve">(b); </w:t>
            </w:r>
            <w:r w:rsidR="00BA4876" w:rsidRPr="00785F6D">
              <w:rPr>
                <w:color w:val="4472C4"/>
                <w:sz w:val="13"/>
              </w:rPr>
              <w:t>119 (a)(iii</w:t>
            </w:r>
            <w:proofErr w:type="gramStart"/>
            <w:r w:rsidR="00BA4876" w:rsidRPr="00785F6D">
              <w:rPr>
                <w:color w:val="4472C4"/>
                <w:sz w:val="13"/>
              </w:rPr>
              <w:t>).(</w:t>
            </w:r>
            <w:proofErr w:type="gramEnd"/>
            <w:r w:rsidR="00BA4876" w:rsidRPr="00785F6D">
              <w:rPr>
                <w:color w:val="4472C4"/>
                <w:sz w:val="13"/>
              </w:rPr>
              <w:t>b</w:t>
            </w:r>
            <w:proofErr w:type="gramStart"/>
            <w:r w:rsidR="00BA4876" w:rsidRPr="00785F6D">
              <w:rPr>
                <w:color w:val="4472C4"/>
                <w:sz w:val="13"/>
              </w:rPr>
              <w:t>),(</w:t>
            </w:r>
            <w:proofErr w:type="gramEnd"/>
            <w:r w:rsidR="00BA4876" w:rsidRPr="00785F6D">
              <w:rPr>
                <w:color w:val="4472C4"/>
                <w:sz w:val="13"/>
              </w:rPr>
              <w:t>c)</w:t>
            </w:r>
          </w:p>
        </w:tc>
        <w:tc>
          <w:tcPr>
            <w:tcW w:w="3056" w:type="dxa"/>
            <w:tcBorders>
              <w:top w:val="nil"/>
              <w:left w:val="nil"/>
              <w:bottom w:val="nil"/>
              <w:right w:val="nil"/>
            </w:tcBorders>
          </w:tcPr>
          <w:p w14:paraId="564A9AF7" w14:textId="77777777" w:rsidR="00BA4876" w:rsidRPr="00785F6D" w:rsidRDefault="00BA4876">
            <w:pPr>
              <w:ind w:left="170" w:hanging="170"/>
              <w:jc w:val="both"/>
              <w:rPr>
                <w:b/>
                <w:bCs/>
              </w:rPr>
            </w:pPr>
            <w:r w:rsidRPr="00785F6D">
              <w:rPr>
                <w:b/>
                <w:bCs/>
              </w:rPr>
              <w:t>Financial assets at amortised cost</w:t>
            </w:r>
          </w:p>
        </w:tc>
        <w:tc>
          <w:tcPr>
            <w:tcW w:w="2042" w:type="dxa"/>
            <w:tcBorders>
              <w:top w:val="nil"/>
              <w:left w:val="nil"/>
              <w:bottom w:val="nil"/>
              <w:right w:val="nil"/>
            </w:tcBorders>
          </w:tcPr>
          <w:p w14:paraId="0727DF15" w14:textId="77777777" w:rsidR="00BA4876" w:rsidRDefault="00BA4876"/>
        </w:tc>
        <w:tc>
          <w:tcPr>
            <w:tcW w:w="1957" w:type="dxa"/>
            <w:tcBorders>
              <w:top w:val="nil"/>
              <w:left w:val="nil"/>
              <w:bottom w:val="nil"/>
              <w:right w:val="nil"/>
            </w:tcBorders>
            <w:vAlign w:val="center"/>
          </w:tcPr>
          <w:p w14:paraId="1FA5EAF1" w14:textId="77777777" w:rsidR="00BA4876" w:rsidRDefault="00BA4876"/>
        </w:tc>
        <w:tc>
          <w:tcPr>
            <w:tcW w:w="2128" w:type="dxa"/>
            <w:tcBorders>
              <w:top w:val="nil"/>
              <w:left w:val="nil"/>
              <w:bottom w:val="nil"/>
              <w:right w:val="nil"/>
            </w:tcBorders>
            <w:vAlign w:val="center"/>
          </w:tcPr>
          <w:p w14:paraId="3B32EFE0" w14:textId="77777777" w:rsidR="00BA4876" w:rsidRDefault="00BA4876"/>
        </w:tc>
        <w:tc>
          <w:tcPr>
            <w:tcW w:w="2042" w:type="dxa"/>
            <w:tcBorders>
              <w:top w:val="nil"/>
              <w:left w:val="nil"/>
              <w:bottom w:val="nil"/>
              <w:right w:val="nil"/>
            </w:tcBorders>
            <w:vAlign w:val="center"/>
          </w:tcPr>
          <w:p w14:paraId="2C29336D" w14:textId="77777777" w:rsidR="00BA4876" w:rsidRDefault="00BA4876"/>
        </w:tc>
        <w:tc>
          <w:tcPr>
            <w:tcW w:w="2100" w:type="dxa"/>
            <w:tcBorders>
              <w:top w:val="nil"/>
              <w:left w:val="nil"/>
              <w:bottom w:val="nil"/>
              <w:right w:val="nil"/>
            </w:tcBorders>
            <w:vAlign w:val="center"/>
          </w:tcPr>
          <w:p w14:paraId="43A6A846" w14:textId="77777777" w:rsidR="00BA4876" w:rsidRDefault="00BA4876"/>
        </w:tc>
      </w:tr>
      <w:tr w:rsidR="0037554A" w14:paraId="78AA5B2C" w14:textId="77777777" w:rsidTr="002A0038">
        <w:tc>
          <w:tcPr>
            <w:tcW w:w="1276" w:type="dxa"/>
            <w:tcBorders>
              <w:right w:val="nil"/>
            </w:tcBorders>
          </w:tcPr>
          <w:p w14:paraId="2ACD3071" w14:textId="77777777" w:rsidR="0037554A" w:rsidRDefault="0037554A" w:rsidP="0037554A">
            <w:pPr>
              <w:rPr>
                <w:color w:val="4472C4"/>
                <w:sz w:val="13"/>
              </w:rPr>
            </w:pPr>
          </w:p>
        </w:tc>
        <w:tc>
          <w:tcPr>
            <w:tcW w:w="3056" w:type="dxa"/>
            <w:tcBorders>
              <w:top w:val="nil"/>
              <w:left w:val="nil"/>
              <w:bottom w:val="nil"/>
              <w:right w:val="nil"/>
            </w:tcBorders>
          </w:tcPr>
          <w:p w14:paraId="1CC8366B" w14:textId="77777777" w:rsidR="0037554A" w:rsidRDefault="0037554A" w:rsidP="0037554A">
            <w:pPr>
              <w:ind w:left="170" w:hanging="170"/>
              <w:jc w:val="left"/>
              <w:rPr>
                <w:lang w:eastAsia="zh-CN"/>
              </w:rPr>
            </w:pPr>
            <w:r>
              <w:rPr>
                <w:rFonts w:hint="eastAsia"/>
                <w:lang w:eastAsia="zh-CN"/>
              </w:rPr>
              <w:t>Cash and deposits</w:t>
            </w:r>
          </w:p>
        </w:tc>
        <w:tc>
          <w:tcPr>
            <w:tcW w:w="2042" w:type="dxa"/>
            <w:tcBorders>
              <w:top w:val="nil"/>
              <w:left w:val="nil"/>
              <w:bottom w:val="nil"/>
              <w:right w:val="nil"/>
            </w:tcBorders>
            <w:vAlign w:val="center"/>
          </w:tcPr>
          <w:p w14:paraId="47DC78C4" w14:textId="47B793BE" w:rsidR="0037554A" w:rsidRDefault="0037554A" w:rsidP="0037554A">
            <w:pPr>
              <w:rPr>
                <w:lang w:eastAsia="zh-CN"/>
              </w:rPr>
            </w:pPr>
            <w:r>
              <w:rPr>
                <w:rFonts w:ascii="Arial" w:hAnsi="Arial" w:cs="Arial"/>
                <w:color w:val="000000"/>
                <w:szCs w:val="16"/>
              </w:rPr>
              <w:t>66</w:t>
            </w:r>
            <w:r w:rsidR="004B3ED9">
              <w:rPr>
                <w:rFonts w:ascii="Arial" w:hAnsi="Arial" w:cs="Arial"/>
                <w:color w:val="000000"/>
                <w:szCs w:val="16"/>
              </w:rPr>
              <w:t xml:space="preserve"> </w:t>
            </w:r>
            <w:r>
              <w:rPr>
                <w:rFonts w:ascii="Arial" w:hAnsi="Arial" w:cs="Arial"/>
                <w:color w:val="000000"/>
                <w:szCs w:val="16"/>
              </w:rPr>
              <w:t>443</w:t>
            </w:r>
          </w:p>
        </w:tc>
        <w:tc>
          <w:tcPr>
            <w:tcW w:w="1957" w:type="dxa"/>
            <w:tcBorders>
              <w:top w:val="nil"/>
              <w:left w:val="nil"/>
              <w:bottom w:val="nil"/>
              <w:right w:val="nil"/>
            </w:tcBorders>
            <w:vAlign w:val="center"/>
          </w:tcPr>
          <w:p w14:paraId="7011E57F" w14:textId="03DC3116" w:rsidR="0037554A" w:rsidRDefault="0037554A" w:rsidP="0037554A">
            <w:pPr>
              <w:rPr>
                <w:lang w:eastAsia="zh-CN"/>
              </w:rPr>
            </w:pPr>
            <w:r>
              <w:rPr>
                <w:rFonts w:ascii="Arial" w:hAnsi="Arial" w:cs="Arial"/>
                <w:color w:val="000000"/>
                <w:szCs w:val="16"/>
              </w:rPr>
              <w:t>..</w:t>
            </w:r>
          </w:p>
        </w:tc>
        <w:tc>
          <w:tcPr>
            <w:tcW w:w="2128" w:type="dxa"/>
            <w:tcBorders>
              <w:top w:val="nil"/>
              <w:left w:val="nil"/>
              <w:bottom w:val="nil"/>
              <w:right w:val="nil"/>
            </w:tcBorders>
            <w:vAlign w:val="center"/>
          </w:tcPr>
          <w:p w14:paraId="799E215C" w14:textId="5B98A0E9" w:rsidR="0037554A" w:rsidRDefault="0037554A" w:rsidP="0037554A">
            <w:r>
              <w:rPr>
                <w:rFonts w:ascii="Arial" w:hAnsi="Arial" w:cs="Arial"/>
                <w:color w:val="000000"/>
                <w:szCs w:val="16"/>
              </w:rPr>
              <w:t>2,897</w:t>
            </w:r>
          </w:p>
        </w:tc>
        <w:tc>
          <w:tcPr>
            <w:tcW w:w="2042" w:type="dxa"/>
            <w:tcBorders>
              <w:top w:val="nil"/>
              <w:left w:val="nil"/>
              <w:bottom w:val="nil"/>
              <w:right w:val="nil"/>
            </w:tcBorders>
            <w:vAlign w:val="center"/>
          </w:tcPr>
          <w:p w14:paraId="4272B9BD" w14:textId="0F868CAF" w:rsidR="0037554A" w:rsidRDefault="0037554A" w:rsidP="0037554A">
            <w:r>
              <w:rPr>
                <w:rFonts w:ascii="Arial" w:hAnsi="Arial" w:cs="Arial"/>
                <w:color w:val="000000"/>
                <w:szCs w:val="16"/>
              </w:rPr>
              <w:t>..</w:t>
            </w:r>
          </w:p>
        </w:tc>
        <w:tc>
          <w:tcPr>
            <w:tcW w:w="2100" w:type="dxa"/>
            <w:tcBorders>
              <w:top w:val="nil"/>
              <w:left w:val="nil"/>
              <w:bottom w:val="nil"/>
              <w:right w:val="nil"/>
            </w:tcBorders>
            <w:vAlign w:val="center"/>
          </w:tcPr>
          <w:p w14:paraId="464C501E" w14:textId="37EB1A35" w:rsidR="0037554A" w:rsidRDefault="0037554A" w:rsidP="0037554A">
            <w:r>
              <w:rPr>
                <w:rFonts w:ascii="Arial" w:hAnsi="Arial" w:cs="Arial"/>
                <w:color w:val="000000"/>
                <w:szCs w:val="16"/>
              </w:rPr>
              <w:t>..</w:t>
            </w:r>
          </w:p>
        </w:tc>
      </w:tr>
      <w:tr w:rsidR="0037554A" w14:paraId="35142903" w14:textId="77777777" w:rsidTr="002A0038">
        <w:tc>
          <w:tcPr>
            <w:tcW w:w="1276" w:type="dxa"/>
            <w:tcBorders>
              <w:right w:val="nil"/>
            </w:tcBorders>
          </w:tcPr>
          <w:p w14:paraId="5B0ACBD5" w14:textId="77777777" w:rsidR="0037554A" w:rsidRDefault="0037554A" w:rsidP="0037554A">
            <w:pPr>
              <w:jc w:val="left"/>
            </w:pPr>
          </w:p>
        </w:tc>
        <w:tc>
          <w:tcPr>
            <w:tcW w:w="3056" w:type="dxa"/>
            <w:tcBorders>
              <w:top w:val="nil"/>
              <w:left w:val="nil"/>
              <w:bottom w:val="nil"/>
              <w:right w:val="nil"/>
            </w:tcBorders>
            <w:vAlign w:val="center"/>
          </w:tcPr>
          <w:p w14:paraId="483A9F0B" w14:textId="7273A7B2" w:rsidR="0037554A" w:rsidRDefault="000033D2" w:rsidP="0037554A">
            <w:pPr>
              <w:ind w:left="170" w:hanging="170"/>
              <w:jc w:val="left"/>
              <w:rPr>
                <w:lang w:eastAsia="zh-CN"/>
              </w:rPr>
            </w:pPr>
            <w:r>
              <w:rPr>
                <w:rFonts w:hint="eastAsia"/>
                <w:lang w:eastAsia="zh-CN"/>
              </w:rPr>
              <w:t>Trade receivables</w:t>
            </w:r>
            <w:r w:rsidRPr="007B4AD1">
              <w:rPr>
                <w:rFonts w:hint="eastAsia"/>
                <w:vertAlign w:val="superscript"/>
                <w:lang w:eastAsia="zh-CN"/>
              </w:rPr>
              <w:t>(a)</w:t>
            </w:r>
          </w:p>
        </w:tc>
        <w:tc>
          <w:tcPr>
            <w:tcW w:w="2042" w:type="dxa"/>
            <w:tcBorders>
              <w:top w:val="nil"/>
              <w:left w:val="nil"/>
              <w:bottom w:val="nil"/>
              <w:right w:val="nil"/>
            </w:tcBorders>
            <w:vAlign w:val="center"/>
          </w:tcPr>
          <w:p w14:paraId="0BF43BB8" w14:textId="0581054C" w:rsidR="0037554A" w:rsidRDefault="0037554A" w:rsidP="0037554A">
            <w:pPr>
              <w:rPr>
                <w:lang w:eastAsia="zh-CN"/>
              </w:rPr>
            </w:pPr>
            <w:r>
              <w:rPr>
                <w:rFonts w:ascii="Arial" w:hAnsi="Arial" w:cs="Arial"/>
                <w:color w:val="000000"/>
                <w:szCs w:val="16"/>
              </w:rPr>
              <w:t>20</w:t>
            </w:r>
            <w:r w:rsidR="004B3ED9">
              <w:rPr>
                <w:rFonts w:ascii="Arial" w:hAnsi="Arial" w:cs="Arial"/>
                <w:color w:val="000000"/>
                <w:szCs w:val="16"/>
              </w:rPr>
              <w:t xml:space="preserve"> </w:t>
            </w:r>
            <w:r>
              <w:rPr>
                <w:rFonts w:ascii="Arial" w:hAnsi="Arial" w:cs="Arial"/>
                <w:color w:val="000000"/>
                <w:szCs w:val="16"/>
              </w:rPr>
              <w:t>387</w:t>
            </w:r>
          </w:p>
        </w:tc>
        <w:tc>
          <w:tcPr>
            <w:tcW w:w="1957" w:type="dxa"/>
            <w:tcBorders>
              <w:top w:val="nil"/>
              <w:left w:val="nil"/>
              <w:bottom w:val="nil"/>
              <w:right w:val="nil"/>
            </w:tcBorders>
            <w:vAlign w:val="center"/>
          </w:tcPr>
          <w:p w14:paraId="33A3C9B3" w14:textId="3F58E55F" w:rsidR="0037554A" w:rsidRDefault="0037554A" w:rsidP="0037554A">
            <w:r>
              <w:rPr>
                <w:rFonts w:ascii="Arial" w:hAnsi="Arial" w:cs="Arial"/>
                <w:color w:val="000000"/>
                <w:szCs w:val="16"/>
              </w:rPr>
              <w:t>..</w:t>
            </w:r>
          </w:p>
        </w:tc>
        <w:tc>
          <w:tcPr>
            <w:tcW w:w="2128" w:type="dxa"/>
            <w:tcBorders>
              <w:top w:val="nil"/>
              <w:left w:val="nil"/>
              <w:bottom w:val="nil"/>
              <w:right w:val="nil"/>
            </w:tcBorders>
            <w:vAlign w:val="center"/>
          </w:tcPr>
          <w:p w14:paraId="2D7DB949" w14:textId="50643DFC" w:rsidR="0037554A" w:rsidRDefault="0037554A" w:rsidP="0037554A"/>
        </w:tc>
        <w:tc>
          <w:tcPr>
            <w:tcW w:w="2042" w:type="dxa"/>
            <w:tcBorders>
              <w:top w:val="nil"/>
              <w:left w:val="nil"/>
              <w:bottom w:val="nil"/>
              <w:right w:val="nil"/>
            </w:tcBorders>
            <w:vAlign w:val="center"/>
          </w:tcPr>
          <w:p w14:paraId="4B39F684" w14:textId="23025035" w:rsidR="0037554A" w:rsidRDefault="0037554A" w:rsidP="0037554A">
            <w:r>
              <w:rPr>
                <w:rFonts w:ascii="Arial" w:hAnsi="Arial" w:cs="Arial"/>
                <w:color w:val="000000"/>
                <w:szCs w:val="16"/>
              </w:rPr>
              <w:t>..</w:t>
            </w:r>
          </w:p>
        </w:tc>
        <w:tc>
          <w:tcPr>
            <w:tcW w:w="2100" w:type="dxa"/>
            <w:tcBorders>
              <w:top w:val="nil"/>
              <w:left w:val="nil"/>
              <w:bottom w:val="nil"/>
              <w:right w:val="nil"/>
            </w:tcBorders>
            <w:vAlign w:val="center"/>
          </w:tcPr>
          <w:p w14:paraId="09B30D5C" w14:textId="669E9C0C" w:rsidR="0037554A" w:rsidRDefault="0037554A" w:rsidP="0037554A">
            <w:r>
              <w:rPr>
                <w:rFonts w:ascii="Arial" w:hAnsi="Arial" w:cs="Arial"/>
                <w:color w:val="000000"/>
                <w:szCs w:val="16"/>
              </w:rPr>
              <w:t>(327)</w:t>
            </w:r>
          </w:p>
        </w:tc>
      </w:tr>
      <w:tr w:rsidR="002A0038" w14:paraId="15C654D9" w14:textId="77777777" w:rsidTr="002A0038">
        <w:tc>
          <w:tcPr>
            <w:tcW w:w="1276" w:type="dxa"/>
            <w:tcBorders>
              <w:right w:val="nil"/>
            </w:tcBorders>
          </w:tcPr>
          <w:p w14:paraId="61762078" w14:textId="77777777" w:rsidR="004B3ED9" w:rsidRDefault="004B3ED9" w:rsidP="004B3ED9">
            <w:pPr>
              <w:jc w:val="left"/>
            </w:pPr>
          </w:p>
        </w:tc>
        <w:tc>
          <w:tcPr>
            <w:tcW w:w="3056" w:type="dxa"/>
            <w:tcBorders>
              <w:top w:val="nil"/>
              <w:left w:val="nil"/>
              <w:bottom w:val="single" w:sz="4" w:space="0" w:color="auto"/>
              <w:right w:val="nil"/>
            </w:tcBorders>
          </w:tcPr>
          <w:p w14:paraId="0BC88745" w14:textId="77777777" w:rsidR="004B3ED9" w:rsidRDefault="004B3ED9" w:rsidP="004B3ED9">
            <w:pPr>
              <w:jc w:val="left"/>
              <w:rPr>
                <w:lang w:eastAsia="zh-CN"/>
              </w:rPr>
            </w:pPr>
            <w:r>
              <w:rPr>
                <w:b/>
                <w:lang w:eastAsia="zh-CN"/>
              </w:rPr>
              <w:t>Total financial assets</w:t>
            </w:r>
            <w:r>
              <w:rPr>
                <w:rFonts w:hint="eastAsia"/>
                <w:b/>
                <w:lang w:eastAsia="zh-CN"/>
              </w:rPr>
              <w:t xml:space="preserve"> </w:t>
            </w:r>
            <w:r w:rsidRPr="004A1DDA">
              <w:rPr>
                <w:b/>
                <w:lang w:eastAsia="zh-CN"/>
              </w:rPr>
              <w:t>at amortised cost</w:t>
            </w:r>
          </w:p>
        </w:tc>
        <w:tc>
          <w:tcPr>
            <w:tcW w:w="2042" w:type="dxa"/>
            <w:tcBorders>
              <w:top w:val="nil"/>
              <w:left w:val="nil"/>
              <w:bottom w:val="single" w:sz="4" w:space="0" w:color="auto"/>
              <w:right w:val="nil"/>
            </w:tcBorders>
            <w:vAlign w:val="center"/>
          </w:tcPr>
          <w:p w14:paraId="26FA1638" w14:textId="1E3B9E63" w:rsidR="004B3ED9" w:rsidRDefault="004B3ED9" w:rsidP="004B3ED9">
            <w:pPr>
              <w:rPr>
                <w:b/>
              </w:rPr>
            </w:pPr>
            <w:r>
              <w:rPr>
                <w:rFonts w:ascii="Arial" w:hAnsi="Arial" w:cs="Arial"/>
                <w:b/>
                <w:bCs/>
                <w:color w:val="000000"/>
                <w:szCs w:val="16"/>
              </w:rPr>
              <w:t>86 830</w:t>
            </w:r>
          </w:p>
        </w:tc>
        <w:tc>
          <w:tcPr>
            <w:tcW w:w="1957" w:type="dxa"/>
            <w:tcBorders>
              <w:top w:val="nil"/>
              <w:left w:val="nil"/>
              <w:bottom w:val="single" w:sz="4" w:space="0" w:color="auto"/>
              <w:right w:val="nil"/>
            </w:tcBorders>
            <w:vAlign w:val="center"/>
          </w:tcPr>
          <w:p w14:paraId="63332601" w14:textId="3F6E0941" w:rsidR="004B3ED9" w:rsidRPr="004B3ED9" w:rsidRDefault="004B3ED9" w:rsidP="004B3ED9">
            <w:pPr>
              <w:rPr>
                <w:b/>
                <w:bCs/>
              </w:rPr>
            </w:pPr>
            <w:r w:rsidRPr="002A0038">
              <w:rPr>
                <w:rFonts w:ascii="Arial" w:hAnsi="Arial" w:cs="Arial"/>
                <w:b/>
                <w:bCs/>
                <w:color w:val="000000"/>
                <w:szCs w:val="16"/>
              </w:rPr>
              <w:t>..</w:t>
            </w:r>
          </w:p>
        </w:tc>
        <w:tc>
          <w:tcPr>
            <w:tcW w:w="2128" w:type="dxa"/>
            <w:tcBorders>
              <w:top w:val="nil"/>
              <w:left w:val="nil"/>
              <w:bottom w:val="single" w:sz="4" w:space="0" w:color="auto"/>
              <w:right w:val="nil"/>
            </w:tcBorders>
            <w:vAlign w:val="center"/>
          </w:tcPr>
          <w:p w14:paraId="3C45CF07" w14:textId="77D19EFA" w:rsidR="004B3ED9" w:rsidRDefault="004B3ED9" w:rsidP="004B3ED9">
            <w:r>
              <w:rPr>
                <w:rFonts w:ascii="Arial" w:hAnsi="Arial" w:cs="Arial"/>
                <w:b/>
                <w:bCs/>
                <w:color w:val="000000"/>
                <w:szCs w:val="16"/>
              </w:rPr>
              <w:t>2,897</w:t>
            </w:r>
          </w:p>
        </w:tc>
        <w:tc>
          <w:tcPr>
            <w:tcW w:w="2042" w:type="dxa"/>
            <w:tcBorders>
              <w:top w:val="nil"/>
              <w:left w:val="nil"/>
              <w:bottom w:val="single" w:sz="4" w:space="0" w:color="auto"/>
              <w:right w:val="nil"/>
            </w:tcBorders>
            <w:vAlign w:val="center"/>
          </w:tcPr>
          <w:p w14:paraId="5D241123" w14:textId="25FB39D8" w:rsidR="004B3ED9" w:rsidRPr="004A1DDA" w:rsidRDefault="004B3ED9" w:rsidP="004B3ED9">
            <w:pPr>
              <w:rPr>
                <w:b/>
                <w:bCs/>
              </w:rPr>
            </w:pPr>
            <w:r w:rsidRPr="004A1DDA">
              <w:rPr>
                <w:rFonts w:ascii="Arial" w:hAnsi="Arial" w:cs="Arial"/>
                <w:b/>
                <w:bCs/>
                <w:color w:val="000000"/>
                <w:szCs w:val="16"/>
              </w:rPr>
              <w:t>..</w:t>
            </w:r>
          </w:p>
        </w:tc>
        <w:tc>
          <w:tcPr>
            <w:tcW w:w="2100" w:type="dxa"/>
            <w:tcBorders>
              <w:top w:val="nil"/>
              <w:left w:val="nil"/>
              <w:bottom w:val="single" w:sz="4" w:space="0" w:color="auto"/>
              <w:right w:val="nil"/>
            </w:tcBorders>
            <w:vAlign w:val="center"/>
          </w:tcPr>
          <w:p w14:paraId="4BB26480" w14:textId="225D459F" w:rsidR="004B3ED9" w:rsidRDefault="004B3ED9" w:rsidP="004B3ED9">
            <w:r>
              <w:rPr>
                <w:rFonts w:ascii="Arial" w:hAnsi="Arial" w:cs="Arial"/>
                <w:b/>
                <w:bCs/>
                <w:color w:val="000000"/>
                <w:szCs w:val="16"/>
              </w:rPr>
              <w:t>(327)</w:t>
            </w:r>
          </w:p>
        </w:tc>
      </w:tr>
      <w:tr w:rsidR="002A0038" w14:paraId="53562827" w14:textId="77777777" w:rsidTr="002A0038">
        <w:tc>
          <w:tcPr>
            <w:tcW w:w="1276" w:type="dxa"/>
            <w:tcBorders>
              <w:right w:val="nil"/>
            </w:tcBorders>
          </w:tcPr>
          <w:p w14:paraId="74B1D435" w14:textId="0E79DB07" w:rsidR="004B3ED9" w:rsidRDefault="0007383E" w:rsidP="004B3ED9">
            <w:pPr>
              <w:jc w:val="left"/>
            </w:pPr>
            <w:r>
              <w:rPr>
                <w:color w:val="4472C4"/>
                <w:sz w:val="13"/>
              </w:rPr>
              <w:t>AASB </w:t>
            </w:r>
            <w:r w:rsidR="004B3ED9">
              <w:rPr>
                <w:color w:val="4472C4"/>
                <w:sz w:val="13"/>
              </w:rPr>
              <w:t>1060.</w:t>
            </w:r>
            <w:r w:rsidR="004B3ED9">
              <w:rPr>
                <w:rFonts w:hint="eastAsia"/>
                <w:color w:val="4472C4"/>
                <w:sz w:val="13"/>
                <w:lang w:eastAsia="zh-CN"/>
              </w:rPr>
              <w:t>113</w:t>
            </w:r>
            <w:r w:rsidR="004B3ED9">
              <w:rPr>
                <w:color w:val="4472C4"/>
                <w:sz w:val="13"/>
                <w:lang w:eastAsia="zh-CN"/>
              </w:rPr>
              <w:t xml:space="preserve">(b); </w:t>
            </w:r>
            <w:r w:rsidR="004B3ED9">
              <w:rPr>
                <w:color w:val="4472C4"/>
                <w:sz w:val="13"/>
              </w:rPr>
              <w:t>119(a)(iii</w:t>
            </w:r>
            <w:proofErr w:type="gramStart"/>
            <w:r w:rsidR="004B3ED9">
              <w:rPr>
                <w:color w:val="4472C4"/>
                <w:sz w:val="13"/>
              </w:rPr>
              <w:t>),</w:t>
            </w:r>
            <w:r w:rsidR="004B3ED9" w:rsidRPr="00927BBA">
              <w:rPr>
                <w:color w:val="4472C4"/>
                <w:sz w:val="13"/>
              </w:rPr>
              <w:t>(</w:t>
            </w:r>
            <w:proofErr w:type="gramEnd"/>
            <w:r w:rsidR="004B3ED9" w:rsidRPr="00927BBA">
              <w:rPr>
                <w:color w:val="4472C4"/>
                <w:sz w:val="13"/>
              </w:rPr>
              <w:t>b</w:t>
            </w:r>
            <w:proofErr w:type="gramStart"/>
            <w:r w:rsidR="004B3ED9" w:rsidRPr="00927BBA">
              <w:rPr>
                <w:color w:val="4472C4"/>
                <w:sz w:val="13"/>
              </w:rPr>
              <w:t>),(</w:t>
            </w:r>
            <w:proofErr w:type="gramEnd"/>
            <w:r w:rsidR="004B3ED9" w:rsidRPr="00927BBA">
              <w:rPr>
                <w:color w:val="4472C4"/>
                <w:sz w:val="13"/>
              </w:rPr>
              <w:t>c)</w:t>
            </w:r>
          </w:p>
        </w:tc>
        <w:tc>
          <w:tcPr>
            <w:tcW w:w="3056" w:type="dxa"/>
            <w:tcBorders>
              <w:top w:val="single" w:sz="4" w:space="0" w:color="auto"/>
              <w:left w:val="nil"/>
              <w:bottom w:val="nil"/>
              <w:right w:val="nil"/>
            </w:tcBorders>
          </w:tcPr>
          <w:p w14:paraId="6526EB1D" w14:textId="77777777" w:rsidR="004B3ED9" w:rsidRDefault="004B3ED9" w:rsidP="004B3ED9">
            <w:pPr>
              <w:jc w:val="left"/>
              <w:rPr>
                <w:lang w:eastAsia="zh-CN"/>
              </w:rPr>
            </w:pPr>
            <w:r>
              <w:rPr>
                <w:rFonts w:hint="eastAsia"/>
                <w:b/>
                <w:lang w:eastAsia="zh-CN"/>
              </w:rPr>
              <w:t>F</w:t>
            </w:r>
            <w:r>
              <w:rPr>
                <w:b/>
              </w:rPr>
              <w:t>inancial liabilities</w:t>
            </w:r>
            <w:r>
              <w:rPr>
                <w:rFonts w:hint="eastAsia"/>
                <w:b/>
                <w:lang w:eastAsia="zh-CN"/>
              </w:rPr>
              <w:t xml:space="preserve"> </w:t>
            </w:r>
            <w:r w:rsidRPr="004A1DDA">
              <w:rPr>
                <w:b/>
                <w:bCs/>
              </w:rPr>
              <w:t>at amortised cost</w:t>
            </w:r>
          </w:p>
        </w:tc>
        <w:tc>
          <w:tcPr>
            <w:tcW w:w="2042" w:type="dxa"/>
            <w:tcBorders>
              <w:top w:val="single" w:sz="4" w:space="0" w:color="auto"/>
              <w:left w:val="nil"/>
              <w:bottom w:val="nil"/>
              <w:right w:val="nil"/>
            </w:tcBorders>
          </w:tcPr>
          <w:p w14:paraId="2116AD1A" w14:textId="77777777" w:rsidR="004B3ED9" w:rsidRDefault="004B3ED9" w:rsidP="004B3ED9"/>
        </w:tc>
        <w:tc>
          <w:tcPr>
            <w:tcW w:w="1957" w:type="dxa"/>
            <w:tcBorders>
              <w:top w:val="single" w:sz="4" w:space="0" w:color="auto"/>
              <w:left w:val="nil"/>
              <w:bottom w:val="nil"/>
              <w:right w:val="nil"/>
            </w:tcBorders>
            <w:vAlign w:val="center"/>
          </w:tcPr>
          <w:p w14:paraId="7DFB71B1" w14:textId="77777777" w:rsidR="004B3ED9" w:rsidRDefault="004B3ED9" w:rsidP="004B3ED9"/>
        </w:tc>
        <w:tc>
          <w:tcPr>
            <w:tcW w:w="2128" w:type="dxa"/>
            <w:tcBorders>
              <w:top w:val="single" w:sz="4" w:space="0" w:color="auto"/>
              <w:left w:val="nil"/>
              <w:bottom w:val="nil"/>
              <w:right w:val="nil"/>
            </w:tcBorders>
            <w:vAlign w:val="center"/>
          </w:tcPr>
          <w:p w14:paraId="32459CCC" w14:textId="77777777" w:rsidR="004B3ED9" w:rsidRDefault="004B3ED9" w:rsidP="004B3ED9"/>
        </w:tc>
        <w:tc>
          <w:tcPr>
            <w:tcW w:w="2042" w:type="dxa"/>
            <w:tcBorders>
              <w:top w:val="single" w:sz="4" w:space="0" w:color="auto"/>
              <w:left w:val="nil"/>
              <w:bottom w:val="nil"/>
              <w:right w:val="nil"/>
            </w:tcBorders>
            <w:vAlign w:val="center"/>
          </w:tcPr>
          <w:p w14:paraId="339CFD93" w14:textId="77777777" w:rsidR="004B3ED9" w:rsidRDefault="004B3ED9" w:rsidP="004B3ED9"/>
        </w:tc>
        <w:tc>
          <w:tcPr>
            <w:tcW w:w="2100" w:type="dxa"/>
            <w:tcBorders>
              <w:top w:val="single" w:sz="4" w:space="0" w:color="auto"/>
              <w:left w:val="nil"/>
              <w:bottom w:val="nil"/>
              <w:right w:val="nil"/>
            </w:tcBorders>
            <w:vAlign w:val="center"/>
          </w:tcPr>
          <w:p w14:paraId="28B8C479" w14:textId="77777777" w:rsidR="004B3ED9" w:rsidRDefault="004B3ED9" w:rsidP="004B3ED9"/>
        </w:tc>
      </w:tr>
      <w:tr w:rsidR="004B3ED9" w14:paraId="47710615" w14:textId="77777777" w:rsidTr="002A0038">
        <w:tc>
          <w:tcPr>
            <w:tcW w:w="1276" w:type="dxa"/>
            <w:tcBorders>
              <w:right w:val="nil"/>
            </w:tcBorders>
          </w:tcPr>
          <w:p w14:paraId="1B662A2A" w14:textId="77777777" w:rsidR="004B3ED9" w:rsidRDefault="004B3ED9" w:rsidP="004B3ED9">
            <w:pPr>
              <w:rPr>
                <w:color w:val="4472C4"/>
                <w:sz w:val="13"/>
              </w:rPr>
            </w:pPr>
          </w:p>
        </w:tc>
        <w:tc>
          <w:tcPr>
            <w:tcW w:w="3056" w:type="dxa"/>
            <w:tcBorders>
              <w:top w:val="nil"/>
              <w:left w:val="nil"/>
              <w:bottom w:val="nil"/>
              <w:right w:val="nil"/>
            </w:tcBorders>
            <w:vAlign w:val="center"/>
          </w:tcPr>
          <w:p w14:paraId="396C55CA" w14:textId="7B65333E" w:rsidR="004B3ED9" w:rsidRDefault="000033D2" w:rsidP="004B3ED9">
            <w:pPr>
              <w:ind w:left="170" w:hanging="170"/>
              <w:jc w:val="left"/>
              <w:rPr>
                <w:lang w:eastAsia="zh-CN"/>
              </w:rPr>
            </w:pPr>
            <w:r>
              <w:rPr>
                <w:rFonts w:hint="eastAsia"/>
                <w:sz w:val="17"/>
                <w:lang w:eastAsia="zh-CN"/>
              </w:rPr>
              <w:t>Trade payables</w:t>
            </w:r>
            <w:r w:rsidRPr="007B4AD1">
              <w:rPr>
                <w:rFonts w:hint="eastAsia"/>
                <w:vertAlign w:val="superscript"/>
                <w:lang w:eastAsia="zh-CN"/>
              </w:rPr>
              <w:t>(a)</w:t>
            </w:r>
          </w:p>
        </w:tc>
        <w:tc>
          <w:tcPr>
            <w:tcW w:w="2042" w:type="dxa"/>
            <w:tcBorders>
              <w:top w:val="nil"/>
              <w:left w:val="nil"/>
              <w:bottom w:val="nil"/>
              <w:right w:val="nil"/>
            </w:tcBorders>
            <w:vAlign w:val="center"/>
          </w:tcPr>
          <w:p w14:paraId="0C23F9A2" w14:textId="30D01131" w:rsidR="004B3ED9" w:rsidRDefault="004B3ED9" w:rsidP="004B3ED9">
            <w:pPr>
              <w:rPr>
                <w:lang w:eastAsia="zh-CN"/>
              </w:rPr>
            </w:pPr>
            <w:r>
              <w:rPr>
                <w:rFonts w:ascii="Arial" w:hAnsi="Arial" w:cs="Arial"/>
                <w:color w:val="000000"/>
                <w:szCs w:val="16"/>
              </w:rPr>
              <w:t>3</w:t>
            </w:r>
            <w:r w:rsidR="000033D2">
              <w:rPr>
                <w:rFonts w:ascii="Arial" w:hAnsi="Arial" w:cs="Arial" w:hint="eastAsia"/>
                <w:color w:val="000000"/>
                <w:szCs w:val="16"/>
                <w:lang w:eastAsia="zh-CN"/>
              </w:rPr>
              <w:t>3</w:t>
            </w:r>
            <w:r>
              <w:rPr>
                <w:rFonts w:ascii="Arial" w:hAnsi="Arial" w:cs="Arial"/>
                <w:color w:val="000000"/>
                <w:szCs w:val="16"/>
              </w:rPr>
              <w:t xml:space="preserve"> </w:t>
            </w:r>
            <w:r w:rsidR="000033D2">
              <w:rPr>
                <w:rFonts w:ascii="Arial" w:hAnsi="Arial" w:cs="Arial" w:hint="eastAsia"/>
                <w:color w:val="000000"/>
                <w:szCs w:val="16"/>
                <w:lang w:eastAsia="zh-CN"/>
              </w:rPr>
              <w:t>258</w:t>
            </w:r>
          </w:p>
        </w:tc>
        <w:tc>
          <w:tcPr>
            <w:tcW w:w="1957" w:type="dxa"/>
            <w:tcBorders>
              <w:top w:val="nil"/>
              <w:left w:val="nil"/>
              <w:bottom w:val="nil"/>
              <w:right w:val="nil"/>
            </w:tcBorders>
            <w:vAlign w:val="center"/>
          </w:tcPr>
          <w:p w14:paraId="5B2C67C2" w14:textId="214D29B8" w:rsidR="004B3ED9" w:rsidRDefault="004B3ED9" w:rsidP="004B3ED9">
            <w:r>
              <w:rPr>
                <w:rFonts w:ascii="Arial" w:hAnsi="Arial" w:cs="Arial"/>
                <w:color w:val="000000"/>
                <w:szCs w:val="16"/>
              </w:rPr>
              <w:t>..</w:t>
            </w:r>
          </w:p>
        </w:tc>
        <w:tc>
          <w:tcPr>
            <w:tcW w:w="2128" w:type="dxa"/>
            <w:tcBorders>
              <w:top w:val="nil"/>
              <w:left w:val="nil"/>
              <w:bottom w:val="nil"/>
              <w:right w:val="nil"/>
            </w:tcBorders>
            <w:vAlign w:val="center"/>
          </w:tcPr>
          <w:p w14:paraId="51956840" w14:textId="2C53DCC6" w:rsidR="004B3ED9" w:rsidRPr="00D974B6" w:rsidRDefault="004B3ED9" w:rsidP="004B3ED9">
            <w:r>
              <w:rPr>
                <w:rFonts w:ascii="Arial" w:hAnsi="Arial" w:cs="Arial"/>
                <w:color w:val="000000"/>
                <w:szCs w:val="16"/>
              </w:rPr>
              <w:t>..</w:t>
            </w:r>
          </w:p>
        </w:tc>
        <w:tc>
          <w:tcPr>
            <w:tcW w:w="2042" w:type="dxa"/>
            <w:tcBorders>
              <w:top w:val="nil"/>
              <w:left w:val="nil"/>
              <w:bottom w:val="nil"/>
              <w:right w:val="nil"/>
            </w:tcBorders>
            <w:vAlign w:val="center"/>
          </w:tcPr>
          <w:p w14:paraId="6BCD32DE" w14:textId="232B94EC" w:rsidR="004B3ED9" w:rsidRPr="00D974B6" w:rsidRDefault="004B3ED9" w:rsidP="004B3ED9">
            <w:r>
              <w:rPr>
                <w:rFonts w:ascii="Arial" w:hAnsi="Arial" w:cs="Arial"/>
                <w:color w:val="000000"/>
                <w:szCs w:val="16"/>
              </w:rPr>
              <w:t>..</w:t>
            </w:r>
          </w:p>
        </w:tc>
        <w:tc>
          <w:tcPr>
            <w:tcW w:w="2100" w:type="dxa"/>
            <w:tcBorders>
              <w:top w:val="nil"/>
              <w:left w:val="nil"/>
              <w:bottom w:val="nil"/>
              <w:right w:val="nil"/>
            </w:tcBorders>
            <w:vAlign w:val="center"/>
          </w:tcPr>
          <w:p w14:paraId="3A2563C3" w14:textId="5868F24A" w:rsidR="004B3ED9" w:rsidRDefault="004B3ED9" w:rsidP="004B3ED9">
            <w:r>
              <w:rPr>
                <w:rFonts w:ascii="Arial" w:hAnsi="Arial" w:cs="Arial"/>
                <w:color w:val="000000"/>
                <w:szCs w:val="16"/>
              </w:rPr>
              <w:t>..</w:t>
            </w:r>
          </w:p>
        </w:tc>
      </w:tr>
      <w:tr w:rsidR="004B3ED9" w14:paraId="0BA4AE0E" w14:textId="77777777" w:rsidTr="002A0038">
        <w:tc>
          <w:tcPr>
            <w:tcW w:w="1276" w:type="dxa"/>
            <w:tcBorders>
              <w:right w:val="nil"/>
            </w:tcBorders>
          </w:tcPr>
          <w:p w14:paraId="5FD307D1" w14:textId="77777777" w:rsidR="004B3ED9" w:rsidRDefault="004B3ED9" w:rsidP="004B3ED9">
            <w:pPr>
              <w:rPr>
                <w:color w:val="4472C4"/>
                <w:sz w:val="13"/>
              </w:rPr>
            </w:pPr>
          </w:p>
        </w:tc>
        <w:tc>
          <w:tcPr>
            <w:tcW w:w="3056" w:type="dxa"/>
            <w:tcBorders>
              <w:top w:val="nil"/>
              <w:left w:val="nil"/>
              <w:bottom w:val="nil"/>
              <w:right w:val="nil"/>
            </w:tcBorders>
          </w:tcPr>
          <w:p w14:paraId="3DDFBCE9" w14:textId="77777777" w:rsidR="004B3ED9" w:rsidRDefault="004B3ED9" w:rsidP="004B3ED9">
            <w:pPr>
              <w:ind w:left="170" w:hanging="170"/>
              <w:jc w:val="left"/>
            </w:pPr>
            <w:r>
              <w:rPr>
                <w:b/>
                <w:sz w:val="17"/>
              </w:rPr>
              <w:t>Borrowings</w:t>
            </w:r>
          </w:p>
        </w:tc>
        <w:tc>
          <w:tcPr>
            <w:tcW w:w="2042" w:type="dxa"/>
            <w:tcBorders>
              <w:top w:val="nil"/>
              <w:left w:val="nil"/>
              <w:bottom w:val="nil"/>
              <w:right w:val="nil"/>
            </w:tcBorders>
            <w:vAlign w:val="center"/>
          </w:tcPr>
          <w:p w14:paraId="4B5F0445" w14:textId="77777777" w:rsidR="004B3ED9" w:rsidRDefault="004B3ED9" w:rsidP="004B3ED9"/>
        </w:tc>
        <w:tc>
          <w:tcPr>
            <w:tcW w:w="1957" w:type="dxa"/>
            <w:tcBorders>
              <w:top w:val="nil"/>
              <w:left w:val="nil"/>
              <w:bottom w:val="nil"/>
              <w:right w:val="nil"/>
            </w:tcBorders>
            <w:vAlign w:val="center"/>
          </w:tcPr>
          <w:p w14:paraId="1733ABCD" w14:textId="77777777" w:rsidR="004B3ED9" w:rsidRDefault="004B3ED9" w:rsidP="004B3ED9"/>
        </w:tc>
        <w:tc>
          <w:tcPr>
            <w:tcW w:w="2128" w:type="dxa"/>
            <w:tcBorders>
              <w:top w:val="nil"/>
              <w:left w:val="nil"/>
              <w:bottom w:val="nil"/>
              <w:right w:val="nil"/>
            </w:tcBorders>
            <w:vAlign w:val="center"/>
          </w:tcPr>
          <w:p w14:paraId="34529E0E" w14:textId="77777777" w:rsidR="004B3ED9" w:rsidRPr="00D974B6" w:rsidRDefault="004B3ED9" w:rsidP="004B3ED9"/>
        </w:tc>
        <w:tc>
          <w:tcPr>
            <w:tcW w:w="2042" w:type="dxa"/>
            <w:tcBorders>
              <w:top w:val="nil"/>
              <w:left w:val="nil"/>
              <w:bottom w:val="nil"/>
              <w:right w:val="nil"/>
            </w:tcBorders>
            <w:vAlign w:val="center"/>
          </w:tcPr>
          <w:p w14:paraId="60865CF8" w14:textId="77777777" w:rsidR="004B3ED9" w:rsidRPr="00D974B6" w:rsidRDefault="004B3ED9" w:rsidP="004B3ED9"/>
        </w:tc>
        <w:tc>
          <w:tcPr>
            <w:tcW w:w="2100" w:type="dxa"/>
            <w:tcBorders>
              <w:top w:val="nil"/>
              <w:left w:val="nil"/>
              <w:bottom w:val="nil"/>
              <w:right w:val="nil"/>
            </w:tcBorders>
            <w:vAlign w:val="center"/>
          </w:tcPr>
          <w:p w14:paraId="1DA986CA" w14:textId="77777777" w:rsidR="004B3ED9" w:rsidRDefault="004B3ED9" w:rsidP="004B3ED9"/>
        </w:tc>
      </w:tr>
      <w:tr w:rsidR="004B3ED9" w14:paraId="76B6613E" w14:textId="77777777" w:rsidTr="002A0038">
        <w:trPr>
          <w:trHeight w:val="183"/>
        </w:trPr>
        <w:tc>
          <w:tcPr>
            <w:tcW w:w="1276" w:type="dxa"/>
            <w:tcBorders>
              <w:right w:val="nil"/>
            </w:tcBorders>
          </w:tcPr>
          <w:p w14:paraId="47B60B2E" w14:textId="77777777" w:rsidR="004B3ED9" w:rsidRDefault="004B3ED9" w:rsidP="004B3ED9">
            <w:pPr>
              <w:rPr>
                <w:color w:val="4472C4"/>
                <w:sz w:val="13"/>
              </w:rPr>
            </w:pPr>
          </w:p>
        </w:tc>
        <w:tc>
          <w:tcPr>
            <w:tcW w:w="3056" w:type="dxa"/>
            <w:tcBorders>
              <w:top w:val="nil"/>
              <w:left w:val="nil"/>
              <w:bottom w:val="nil"/>
              <w:right w:val="nil"/>
            </w:tcBorders>
          </w:tcPr>
          <w:p w14:paraId="2DD7B11D" w14:textId="77777777" w:rsidR="004B3ED9" w:rsidRDefault="004B3ED9" w:rsidP="004B3ED9">
            <w:pPr>
              <w:ind w:left="170" w:hanging="170"/>
              <w:jc w:val="left"/>
            </w:pPr>
            <w:r>
              <w:rPr>
                <w:sz w:val="17"/>
              </w:rPr>
              <w:t>Bank overdrafts</w:t>
            </w:r>
          </w:p>
        </w:tc>
        <w:tc>
          <w:tcPr>
            <w:tcW w:w="2042" w:type="dxa"/>
            <w:tcBorders>
              <w:top w:val="nil"/>
              <w:left w:val="nil"/>
              <w:bottom w:val="nil"/>
              <w:right w:val="nil"/>
            </w:tcBorders>
            <w:vAlign w:val="center"/>
          </w:tcPr>
          <w:p w14:paraId="46B2715D" w14:textId="691BBD01" w:rsidR="004B3ED9" w:rsidRDefault="004B3ED9" w:rsidP="004B3ED9">
            <w:r>
              <w:rPr>
                <w:rFonts w:ascii="Arial" w:hAnsi="Arial" w:cs="Arial"/>
                <w:color w:val="000000"/>
                <w:szCs w:val="16"/>
              </w:rPr>
              <w:t>5 437</w:t>
            </w:r>
          </w:p>
        </w:tc>
        <w:tc>
          <w:tcPr>
            <w:tcW w:w="1957" w:type="dxa"/>
            <w:tcBorders>
              <w:top w:val="nil"/>
              <w:left w:val="nil"/>
              <w:bottom w:val="nil"/>
              <w:right w:val="nil"/>
            </w:tcBorders>
            <w:vAlign w:val="center"/>
          </w:tcPr>
          <w:p w14:paraId="46B3CFBB" w14:textId="4CB1A6F4" w:rsidR="004B3ED9" w:rsidRDefault="004B3ED9" w:rsidP="004B3ED9">
            <w:r>
              <w:rPr>
                <w:rFonts w:ascii="Arial" w:hAnsi="Arial" w:cs="Arial"/>
                <w:color w:val="000000"/>
                <w:szCs w:val="16"/>
              </w:rPr>
              <w:t>..</w:t>
            </w:r>
          </w:p>
        </w:tc>
        <w:tc>
          <w:tcPr>
            <w:tcW w:w="2128" w:type="dxa"/>
            <w:tcBorders>
              <w:top w:val="nil"/>
              <w:left w:val="nil"/>
              <w:bottom w:val="nil"/>
              <w:right w:val="nil"/>
            </w:tcBorders>
            <w:vAlign w:val="center"/>
          </w:tcPr>
          <w:p w14:paraId="7B3515B1" w14:textId="0BD50CFA" w:rsidR="004B3ED9" w:rsidRPr="00D974B6" w:rsidRDefault="004B3ED9" w:rsidP="004B3ED9">
            <w:r>
              <w:rPr>
                <w:rFonts w:ascii="Arial" w:hAnsi="Arial" w:cs="Arial"/>
                <w:color w:val="000000"/>
                <w:szCs w:val="16"/>
              </w:rPr>
              <w:t>..</w:t>
            </w:r>
          </w:p>
        </w:tc>
        <w:tc>
          <w:tcPr>
            <w:tcW w:w="2042" w:type="dxa"/>
            <w:tcBorders>
              <w:top w:val="nil"/>
              <w:left w:val="nil"/>
              <w:bottom w:val="nil"/>
              <w:right w:val="nil"/>
            </w:tcBorders>
            <w:vAlign w:val="center"/>
          </w:tcPr>
          <w:p w14:paraId="3E8E228F" w14:textId="79C37FD8" w:rsidR="004B3ED9" w:rsidRPr="00D974B6" w:rsidRDefault="004B3ED9" w:rsidP="004B3ED9">
            <w:r>
              <w:rPr>
                <w:rFonts w:ascii="Arial" w:hAnsi="Arial" w:cs="Arial"/>
                <w:color w:val="000000"/>
                <w:szCs w:val="16"/>
              </w:rPr>
              <w:t>..</w:t>
            </w:r>
          </w:p>
        </w:tc>
        <w:tc>
          <w:tcPr>
            <w:tcW w:w="2100" w:type="dxa"/>
            <w:tcBorders>
              <w:top w:val="nil"/>
              <w:left w:val="nil"/>
              <w:bottom w:val="nil"/>
              <w:right w:val="nil"/>
            </w:tcBorders>
            <w:vAlign w:val="center"/>
          </w:tcPr>
          <w:p w14:paraId="6DD09A25" w14:textId="644812B7" w:rsidR="004B3ED9" w:rsidRDefault="004B3ED9" w:rsidP="004B3ED9">
            <w:r>
              <w:rPr>
                <w:rFonts w:ascii="Arial" w:hAnsi="Arial" w:cs="Arial"/>
                <w:color w:val="000000"/>
                <w:szCs w:val="16"/>
              </w:rPr>
              <w:t>..</w:t>
            </w:r>
          </w:p>
        </w:tc>
      </w:tr>
      <w:tr w:rsidR="004B3ED9" w14:paraId="30FE3AB6" w14:textId="77777777" w:rsidTr="002A0038">
        <w:tc>
          <w:tcPr>
            <w:tcW w:w="1276" w:type="dxa"/>
            <w:tcBorders>
              <w:right w:val="nil"/>
            </w:tcBorders>
          </w:tcPr>
          <w:p w14:paraId="4DBD85A1" w14:textId="77777777" w:rsidR="004B3ED9" w:rsidRDefault="004B3ED9" w:rsidP="004B3ED9">
            <w:pPr>
              <w:rPr>
                <w:color w:val="4472C4"/>
                <w:sz w:val="13"/>
              </w:rPr>
            </w:pPr>
          </w:p>
        </w:tc>
        <w:tc>
          <w:tcPr>
            <w:tcW w:w="3056" w:type="dxa"/>
            <w:tcBorders>
              <w:top w:val="nil"/>
              <w:left w:val="nil"/>
              <w:bottom w:val="nil"/>
              <w:right w:val="nil"/>
            </w:tcBorders>
          </w:tcPr>
          <w:p w14:paraId="7ABC3FEF" w14:textId="77777777" w:rsidR="004B3ED9" w:rsidRDefault="004B3ED9" w:rsidP="004B3ED9">
            <w:pPr>
              <w:ind w:left="170" w:hanging="170"/>
              <w:jc w:val="left"/>
            </w:pPr>
            <w:r>
              <w:rPr>
                <w:sz w:val="17"/>
              </w:rPr>
              <w:t>Lease liabilities</w:t>
            </w:r>
          </w:p>
        </w:tc>
        <w:tc>
          <w:tcPr>
            <w:tcW w:w="2042" w:type="dxa"/>
            <w:tcBorders>
              <w:top w:val="nil"/>
              <w:left w:val="nil"/>
              <w:bottom w:val="nil"/>
              <w:right w:val="nil"/>
            </w:tcBorders>
            <w:vAlign w:val="center"/>
          </w:tcPr>
          <w:p w14:paraId="22EDBAD9" w14:textId="43F318BE" w:rsidR="004B3ED9" w:rsidRDefault="000033D2" w:rsidP="004B3ED9">
            <w:r>
              <w:rPr>
                <w:rFonts w:ascii="Arial" w:hAnsi="Arial" w:cs="Arial" w:hint="eastAsia"/>
                <w:color w:val="000000"/>
                <w:szCs w:val="16"/>
                <w:lang w:eastAsia="zh-CN"/>
              </w:rPr>
              <w:t>26 736</w:t>
            </w:r>
          </w:p>
        </w:tc>
        <w:tc>
          <w:tcPr>
            <w:tcW w:w="1957" w:type="dxa"/>
            <w:tcBorders>
              <w:top w:val="nil"/>
              <w:left w:val="nil"/>
              <w:bottom w:val="nil"/>
              <w:right w:val="nil"/>
            </w:tcBorders>
            <w:vAlign w:val="center"/>
          </w:tcPr>
          <w:p w14:paraId="1525D699" w14:textId="4619A234" w:rsidR="004B3ED9" w:rsidRDefault="004B3ED9" w:rsidP="004B3ED9">
            <w:r>
              <w:rPr>
                <w:rFonts w:ascii="Arial" w:hAnsi="Arial" w:cs="Arial"/>
                <w:color w:val="000000"/>
                <w:szCs w:val="16"/>
              </w:rPr>
              <w:t>..</w:t>
            </w:r>
          </w:p>
        </w:tc>
        <w:tc>
          <w:tcPr>
            <w:tcW w:w="2128" w:type="dxa"/>
            <w:tcBorders>
              <w:top w:val="nil"/>
              <w:left w:val="nil"/>
              <w:bottom w:val="nil"/>
              <w:right w:val="nil"/>
            </w:tcBorders>
            <w:vAlign w:val="center"/>
          </w:tcPr>
          <w:p w14:paraId="67A67529" w14:textId="55368F10" w:rsidR="004B3ED9" w:rsidRPr="00D974B6" w:rsidRDefault="004B3ED9" w:rsidP="004B3ED9">
            <w:r>
              <w:rPr>
                <w:rFonts w:ascii="Arial" w:hAnsi="Arial" w:cs="Arial"/>
                <w:color w:val="000000"/>
                <w:szCs w:val="16"/>
              </w:rPr>
              <w:t>(560)</w:t>
            </w:r>
          </w:p>
        </w:tc>
        <w:tc>
          <w:tcPr>
            <w:tcW w:w="2042" w:type="dxa"/>
            <w:tcBorders>
              <w:top w:val="nil"/>
              <w:left w:val="nil"/>
              <w:bottom w:val="nil"/>
              <w:right w:val="nil"/>
            </w:tcBorders>
            <w:vAlign w:val="center"/>
          </w:tcPr>
          <w:p w14:paraId="77E98DF8" w14:textId="164481E2" w:rsidR="004B3ED9" w:rsidRPr="00D974B6" w:rsidRDefault="004B3ED9" w:rsidP="004B3ED9">
            <w:r>
              <w:rPr>
                <w:rFonts w:ascii="Arial" w:hAnsi="Arial" w:cs="Arial"/>
                <w:color w:val="000000"/>
                <w:szCs w:val="16"/>
              </w:rPr>
              <w:t>..</w:t>
            </w:r>
          </w:p>
        </w:tc>
        <w:tc>
          <w:tcPr>
            <w:tcW w:w="2100" w:type="dxa"/>
            <w:tcBorders>
              <w:top w:val="nil"/>
              <w:left w:val="nil"/>
              <w:bottom w:val="nil"/>
              <w:right w:val="nil"/>
            </w:tcBorders>
            <w:vAlign w:val="center"/>
          </w:tcPr>
          <w:p w14:paraId="55F84865" w14:textId="32BF53C2" w:rsidR="004B3ED9" w:rsidRDefault="004B3ED9" w:rsidP="004B3ED9">
            <w:r>
              <w:rPr>
                <w:rFonts w:ascii="Arial" w:hAnsi="Arial" w:cs="Arial"/>
                <w:color w:val="000000"/>
                <w:szCs w:val="16"/>
              </w:rPr>
              <w:t>..</w:t>
            </w:r>
          </w:p>
        </w:tc>
      </w:tr>
      <w:tr w:rsidR="004B3ED9" w14:paraId="46D8D0D1" w14:textId="77777777" w:rsidTr="002A0038">
        <w:tc>
          <w:tcPr>
            <w:tcW w:w="1276" w:type="dxa"/>
            <w:tcBorders>
              <w:right w:val="nil"/>
            </w:tcBorders>
          </w:tcPr>
          <w:p w14:paraId="2429C1B2" w14:textId="77777777" w:rsidR="004B3ED9" w:rsidRDefault="004B3ED9" w:rsidP="004B3ED9">
            <w:pPr>
              <w:rPr>
                <w:color w:val="4472C4"/>
                <w:sz w:val="13"/>
              </w:rPr>
            </w:pPr>
          </w:p>
        </w:tc>
        <w:tc>
          <w:tcPr>
            <w:tcW w:w="3056" w:type="dxa"/>
            <w:tcBorders>
              <w:top w:val="nil"/>
              <w:left w:val="nil"/>
              <w:bottom w:val="nil"/>
              <w:right w:val="nil"/>
            </w:tcBorders>
          </w:tcPr>
          <w:p w14:paraId="70F898A3" w14:textId="77777777" w:rsidR="004B3ED9" w:rsidRDefault="004B3ED9" w:rsidP="004B3ED9">
            <w:pPr>
              <w:ind w:left="170" w:hanging="170"/>
              <w:jc w:val="left"/>
            </w:pPr>
            <w:r>
              <w:rPr>
                <w:sz w:val="17"/>
              </w:rPr>
              <w:t>Loans from TCV</w:t>
            </w:r>
          </w:p>
        </w:tc>
        <w:tc>
          <w:tcPr>
            <w:tcW w:w="2042" w:type="dxa"/>
            <w:tcBorders>
              <w:top w:val="nil"/>
              <w:left w:val="nil"/>
              <w:bottom w:val="nil"/>
              <w:right w:val="nil"/>
            </w:tcBorders>
            <w:vAlign w:val="center"/>
          </w:tcPr>
          <w:p w14:paraId="0C04904A" w14:textId="66270B97" w:rsidR="004B3ED9" w:rsidRDefault="004B3ED9" w:rsidP="004B3ED9">
            <w:r>
              <w:rPr>
                <w:rFonts w:ascii="Arial" w:hAnsi="Arial" w:cs="Arial"/>
                <w:color w:val="000000"/>
                <w:szCs w:val="16"/>
              </w:rPr>
              <w:t>27 705</w:t>
            </w:r>
          </w:p>
        </w:tc>
        <w:tc>
          <w:tcPr>
            <w:tcW w:w="1957" w:type="dxa"/>
            <w:tcBorders>
              <w:top w:val="nil"/>
              <w:left w:val="nil"/>
              <w:bottom w:val="nil"/>
              <w:right w:val="nil"/>
            </w:tcBorders>
            <w:vAlign w:val="center"/>
          </w:tcPr>
          <w:p w14:paraId="26203017" w14:textId="259340DF" w:rsidR="004B3ED9" w:rsidRDefault="004B3ED9" w:rsidP="004B3ED9">
            <w:r>
              <w:rPr>
                <w:rFonts w:ascii="Arial" w:hAnsi="Arial" w:cs="Arial"/>
                <w:color w:val="000000"/>
                <w:szCs w:val="16"/>
              </w:rPr>
              <w:t>..</w:t>
            </w:r>
          </w:p>
        </w:tc>
        <w:tc>
          <w:tcPr>
            <w:tcW w:w="2128" w:type="dxa"/>
            <w:tcBorders>
              <w:top w:val="nil"/>
              <w:left w:val="nil"/>
              <w:bottom w:val="nil"/>
              <w:right w:val="nil"/>
            </w:tcBorders>
            <w:vAlign w:val="center"/>
          </w:tcPr>
          <w:p w14:paraId="3BE1A797" w14:textId="79989603" w:rsidR="004B3ED9" w:rsidRPr="00D974B6" w:rsidRDefault="004B3ED9" w:rsidP="004B3ED9">
            <w:r>
              <w:rPr>
                <w:rFonts w:ascii="Arial" w:hAnsi="Arial" w:cs="Arial"/>
                <w:color w:val="000000"/>
                <w:szCs w:val="16"/>
              </w:rPr>
              <w:t>(750)</w:t>
            </w:r>
          </w:p>
        </w:tc>
        <w:tc>
          <w:tcPr>
            <w:tcW w:w="2042" w:type="dxa"/>
            <w:tcBorders>
              <w:top w:val="nil"/>
              <w:left w:val="nil"/>
              <w:bottom w:val="nil"/>
              <w:right w:val="nil"/>
            </w:tcBorders>
            <w:vAlign w:val="center"/>
          </w:tcPr>
          <w:p w14:paraId="5AE71F66" w14:textId="75795482" w:rsidR="004B3ED9" w:rsidRPr="00D974B6" w:rsidRDefault="004B3ED9" w:rsidP="004B3ED9">
            <w:r>
              <w:rPr>
                <w:rFonts w:ascii="Arial" w:hAnsi="Arial" w:cs="Arial"/>
                <w:color w:val="000000"/>
                <w:szCs w:val="16"/>
              </w:rPr>
              <w:t>(144)</w:t>
            </w:r>
          </w:p>
        </w:tc>
        <w:tc>
          <w:tcPr>
            <w:tcW w:w="2100" w:type="dxa"/>
            <w:tcBorders>
              <w:top w:val="nil"/>
              <w:left w:val="nil"/>
              <w:bottom w:val="nil"/>
              <w:right w:val="nil"/>
            </w:tcBorders>
            <w:vAlign w:val="center"/>
          </w:tcPr>
          <w:p w14:paraId="6FAC7A32" w14:textId="41790778" w:rsidR="004B3ED9" w:rsidRDefault="004B3ED9" w:rsidP="004B3ED9">
            <w:r>
              <w:rPr>
                <w:rFonts w:ascii="Arial" w:hAnsi="Arial" w:cs="Arial"/>
                <w:color w:val="000000"/>
                <w:szCs w:val="16"/>
              </w:rPr>
              <w:t>..</w:t>
            </w:r>
          </w:p>
        </w:tc>
      </w:tr>
      <w:tr w:rsidR="002A0038" w:rsidRPr="004A1DDA" w14:paraId="3239DDE8" w14:textId="77777777" w:rsidTr="002A0038">
        <w:tc>
          <w:tcPr>
            <w:tcW w:w="1276" w:type="dxa"/>
            <w:tcBorders>
              <w:bottom w:val="nil"/>
              <w:right w:val="nil"/>
            </w:tcBorders>
          </w:tcPr>
          <w:p w14:paraId="42BD088B" w14:textId="77777777" w:rsidR="004B3ED9" w:rsidRDefault="004B3ED9" w:rsidP="004B3ED9"/>
        </w:tc>
        <w:tc>
          <w:tcPr>
            <w:tcW w:w="3056" w:type="dxa"/>
            <w:tcBorders>
              <w:top w:val="nil"/>
              <w:left w:val="nil"/>
              <w:bottom w:val="single" w:sz="4" w:space="0" w:color="auto"/>
              <w:right w:val="nil"/>
            </w:tcBorders>
          </w:tcPr>
          <w:p w14:paraId="68FD99DB" w14:textId="77777777" w:rsidR="004B3ED9" w:rsidRDefault="004B3ED9" w:rsidP="004B3ED9">
            <w:pPr>
              <w:jc w:val="left"/>
            </w:pPr>
            <w:r>
              <w:rPr>
                <w:b/>
                <w:lang w:eastAsia="zh-CN"/>
              </w:rPr>
              <w:t>Total contractual financial liabilities</w:t>
            </w:r>
          </w:p>
        </w:tc>
        <w:tc>
          <w:tcPr>
            <w:tcW w:w="2042" w:type="dxa"/>
            <w:tcBorders>
              <w:top w:val="nil"/>
              <w:left w:val="nil"/>
              <w:bottom w:val="single" w:sz="4" w:space="0" w:color="auto"/>
              <w:right w:val="nil"/>
            </w:tcBorders>
            <w:vAlign w:val="center"/>
          </w:tcPr>
          <w:p w14:paraId="64044CD5" w14:textId="245829DF" w:rsidR="004B3ED9" w:rsidRDefault="004B3ED9" w:rsidP="004B3ED9">
            <w:pPr>
              <w:rPr>
                <w:b/>
              </w:rPr>
            </w:pPr>
            <w:r>
              <w:rPr>
                <w:rFonts w:ascii="Arial" w:hAnsi="Arial" w:cs="Arial"/>
                <w:b/>
                <w:bCs/>
                <w:color w:val="000000"/>
                <w:szCs w:val="16"/>
              </w:rPr>
              <w:t>93 136</w:t>
            </w:r>
          </w:p>
        </w:tc>
        <w:tc>
          <w:tcPr>
            <w:tcW w:w="1957" w:type="dxa"/>
            <w:tcBorders>
              <w:top w:val="nil"/>
              <w:left w:val="nil"/>
              <w:bottom w:val="single" w:sz="4" w:space="0" w:color="auto"/>
              <w:right w:val="nil"/>
            </w:tcBorders>
            <w:vAlign w:val="center"/>
          </w:tcPr>
          <w:p w14:paraId="14048543" w14:textId="0DB4BF13" w:rsidR="004B3ED9" w:rsidRPr="004A1DDA" w:rsidRDefault="004B3ED9" w:rsidP="004B3ED9">
            <w:pPr>
              <w:rPr>
                <w:b/>
                <w:bCs/>
              </w:rPr>
            </w:pPr>
            <w:r w:rsidRPr="004A1DDA">
              <w:rPr>
                <w:rFonts w:ascii="Arial" w:hAnsi="Arial" w:cs="Arial"/>
                <w:b/>
                <w:bCs/>
                <w:color w:val="000000"/>
                <w:szCs w:val="16"/>
              </w:rPr>
              <w:t>..</w:t>
            </w:r>
          </w:p>
        </w:tc>
        <w:tc>
          <w:tcPr>
            <w:tcW w:w="2128" w:type="dxa"/>
            <w:tcBorders>
              <w:top w:val="nil"/>
              <w:left w:val="nil"/>
              <w:bottom w:val="single" w:sz="4" w:space="0" w:color="auto"/>
              <w:right w:val="nil"/>
            </w:tcBorders>
            <w:vAlign w:val="center"/>
          </w:tcPr>
          <w:p w14:paraId="0C7914D0" w14:textId="7C1D7B30" w:rsidR="004B3ED9" w:rsidRDefault="004B3ED9" w:rsidP="004B3ED9">
            <w:r>
              <w:rPr>
                <w:rFonts w:ascii="Arial" w:hAnsi="Arial" w:cs="Arial"/>
                <w:b/>
                <w:bCs/>
                <w:color w:val="000000"/>
                <w:szCs w:val="16"/>
              </w:rPr>
              <w:t>(1 310)</w:t>
            </w:r>
          </w:p>
        </w:tc>
        <w:tc>
          <w:tcPr>
            <w:tcW w:w="2042" w:type="dxa"/>
            <w:tcBorders>
              <w:top w:val="nil"/>
              <w:left w:val="nil"/>
              <w:bottom w:val="single" w:sz="4" w:space="0" w:color="auto"/>
              <w:right w:val="nil"/>
            </w:tcBorders>
            <w:vAlign w:val="center"/>
          </w:tcPr>
          <w:p w14:paraId="1C202F41" w14:textId="4812B1A7" w:rsidR="004B3ED9" w:rsidRDefault="004B3ED9" w:rsidP="004B3ED9">
            <w:r>
              <w:rPr>
                <w:rFonts w:ascii="Arial" w:hAnsi="Arial" w:cs="Arial"/>
                <w:b/>
                <w:bCs/>
                <w:color w:val="000000"/>
                <w:szCs w:val="16"/>
              </w:rPr>
              <w:t>(144)</w:t>
            </w:r>
          </w:p>
        </w:tc>
        <w:tc>
          <w:tcPr>
            <w:tcW w:w="2100" w:type="dxa"/>
            <w:tcBorders>
              <w:top w:val="nil"/>
              <w:left w:val="nil"/>
              <w:bottom w:val="single" w:sz="4" w:space="0" w:color="auto"/>
              <w:right w:val="nil"/>
            </w:tcBorders>
            <w:vAlign w:val="center"/>
          </w:tcPr>
          <w:p w14:paraId="19C1933A" w14:textId="6174D6DB" w:rsidR="004B3ED9" w:rsidRPr="004A1DDA" w:rsidRDefault="004B3ED9" w:rsidP="004B3ED9">
            <w:pPr>
              <w:rPr>
                <w:b/>
                <w:bCs/>
              </w:rPr>
            </w:pPr>
            <w:r w:rsidRPr="004A1DDA">
              <w:rPr>
                <w:rFonts w:ascii="Arial" w:hAnsi="Arial" w:cs="Arial"/>
                <w:b/>
                <w:bCs/>
                <w:color w:val="000000"/>
                <w:szCs w:val="16"/>
              </w:rPr>
              <w:t>..</w:t>
            </w:r>
          </w:p>
        </w:tc>
      </w:tr>
    </w:tbl>
    <w:p w14:paraId="1F3E5966" w14:textId="77777777" w:rsidR="00BA4876" w:rsidRDefault="00BA4876" w:rsidP="002A0038">
      <w:pPr>
        <w:pStyle w:val="Note"/>
        <w:ind w:left="0" w:firstLine="0"/>
      </w:pPr>
    </w:p>
    <w:p w14:paraId="4A9A55ED" w14:textId="77777777" w:rsidR="00BA4876" w:rsidRDefault="00BA4876" w:rsidP="0074748E">
      <w:pPr>
        <w:pStyle w:val="Note"/>
      </w:pPr>
    </w:p>
    <w:p w14:paraId="2A33487A" w14:textId="687E2690" w:rsidR="0074748E" w:rsidRDefault="0074748E" w:rsidP="002A0038">
      <w:pPr>
        <w:pStyle w:val="Note"/>
        <w:ind w:left="0" w:firstLine="0"/>
      </w:pPr>
      <w:r>
        <w:t>Note:</w:t>
      </w:r>
    </w:p>
    <w:p w14:paraId="77C24353" w14:textId="32CE65A7" w:rsidR="00F33FAE" w:rsidRDefault="0074748E">
      <w:pPr>
        <w:pStyle w:val="Note"/>
        <w:rPr>
          <w:rStyle w:val="Reference"/>
          <w:sz w:val="14"/>
          <w:szCs w:val="16"/>
        </w:rPr>
      </w:pPr>
      <w:r w:rsidRPr="008D30FE">
        <w:t>(a)</w:t>
      </w:r>
      <w:r w:rsidRPr="008D30FE">
        <w:tab/>
        <w:t xml:space="preserve">The total amounts disclosed here exclude statutory amounts (e.g. amounts owing from Victorian Government and GST input tax credit recoverable and taxes payable). </w:t>
      </w:r>
      <w:r w:rsidRPr="008D30FE">
        <w:rPr>
          <w:rStyle w:val="Reference"/>
          <w:sz w:val="14"/>
          <w:szCs w:val="16"/>
        </w:rPr>
        <w:t>[</w:t>
      </w:r>
      <w:r w:rsidR="0007383E">
        <w:rPr>
          <w:rStyle w:val="Reference"/>
          <w:sz w:val="14"/>
          <w:szCs w:val="16"/>
        </w:rPr>
        <w:t>AASB </w:t>
      </w:r>
      <w:r w:rsidRPr="008D30FE">
        <w:rPr>
          <w:rStyle w:val="Reference"/>
          <w:sz w:val="14"/>
          <w:szCs w:val="16"/>
        </w:rPr>
        <w:t>132.AG12]</w:t>
      </w:r>
    </w:p>
    <w:p w14:paraId="100DBB2A" w14:textId="1C1757C5" w:rsidR="00270A0A" w:rsidRPr="00270A0A" w:rsidRDefault="00270A0A">
      <w:pPr>
        <w:keepLines w:val="0"/>
        <w:rPr>
          <w:i/>
          <w:szCs w:val="22"/>
        </w:rPr>
      </w:pPr>
    </w:p>
    <w:p w14:paraId="5D81A3C4" w14:textId="4FC1681D" w:rsidR="00270A0A" w:rsidRDefault="00270A0A">
      <w:pPr>
        <w:keepLines w:val="0"/>
        <w:sectPr w:rsidR="00270A0A" w:rsidSect="009C4A7A">
          <w:headerReference w:type="even" r:id="rId107"/>
          <w:headerReference w:type="default" r:id="rId108"/>
          <w:footerReference w:type="even" r:id="rId109"/>
          <w:footerReference w:type="default" r:id="rId110"/>
          <w:headerReference w:type="first" r:id="rId111"/>
          <w:footerReference w:type="first" r:id="rId112"/>
          <w:pgSz w:w="16838" w:h="11906" w:orient="landscape" w:code="9"/>
          <w:pgMar w:top="1134" w:right="1134" w:bottom="1134" w:left="1134" w:header="624" w:footer="567" w:gutter="0"/>
          <w:cols w:space="708"/>
          <w:docGrid w:linePitch="360"/>
        </w:sectPr>
      </w:pPr>
    </w:p>
    <w:p w14:paraId="323FA266" w14:textId="77777777" w:rsidR="00270A0A" w:rsidRDefault="00270A0A" w:rsidP="00270A0A">
      <w:pPr>
        <w:pStyle w:val="GuidanceBlockHeading"/>
      </w:pPr>
      <w:bookmarkStart w:id="4522" w:name="_Toc179808315"/>
      <w:bookmarkStart w:id="4523" w:name="_Toc179813994"/>
      <w:bookmarkStart w:id="4524" w:name="_Toc179819694"/>
      <w:bookmarkStart w:id="4525" w:name="_Toc179825394"/>
      <w:bookmarkStart w:id="4526" w:name="_Toc179831044"/>
      <w:bookmarkStart w:id="4527" w:name="_Toc179862574"/>
      <w:bookmarkStart w:id="4528" w:name="_Toc179869341"/>
      <w:bookmarkStart w:id="4529" w:name="_Toc179873734"/>
      <w:bookmarkStart w:id="4530" w:name="_Toc179878127"/>
      <w:bookmarkStart w:id="4531" w:name="_Toc179808316"/>
      <w:bookmarkStart w:id="4532" w:name="_Toc179813995"/>
      <w:bookmarkStart w:id="4533" w:name="_Toc179819695"/>
      <w:bookmarkStart w:id="4534" w:name="_Toc179825395"/>
      <w:bookmarkStart w:id="4535" w:name="_Toc179831045"/>
      <w:bookmarkStart w:id="4536" w:name="_Toc179862575"/>
      <w:bookmarkStart w:id="4537" w:name="_Toc179869342"/>
      <w:bookmarkStart w:id="4538" w:name="_Toc179873735"/>
      <w:bookmarkStart w:id="4539" w:name="_Toc179878128"/>
      <w:bookmarkStart w:id="4540" w:name="_Toc179808317"/>
      <w:bookmarkStart w:id="4541" w:name="_Toc179813996"/>
      <w:bookmarkStart w:id="4542" w:name="_Toc179819696"/>
      <w:bookmarkStart w:id="4543" w:name="_Toc179825396"/>
      <w:bookmarkStart w:id="4544" w:name="_Toc179831046"/>
      <w:bookmarkStart w:id="4545" w:name="_Toc179862576"/>
      <w:bookmarkStart w:id="4546" w:name="_Toc179869343"/>
      <w:bookmarkStart w:id="4547" w:name="_Toc179873736"/>
      <w:bookmarkStart w:id="4548" w:name="_Toc179878129"/>
      <w:bookmarkStart w:id="4549" w:name="_Toc179808318"/>
      <w:bookmarkStart w:id="4550" w:name="_Toc179813997"/>
      <w:bookmarkStart w:id="4551" w:name="_Toc179819697"/>
      <w:bookmarkStart w:id="4552" w:name="_Toc179825397"/>
      <w:bookmarkStart w:id="4553" w:name="_Toc179831047"/>
      <w:bookmarkStart w:id="4554" w:name="_Toc179862577"/>
      <w:bookmarkStart w:id="4555" w:name="_Toc179869344"/>
      <w:bookmarkStart w:id="4556" w:name="_Toc179873737"/>
      <w:bookmarkStart w:id="4557" w:name="_Toc179878130"/>
      <w:bookmarkStart w:id="4558" w:name="_Toc179808319"/>
      <w:bookmarkStart w:id="4559" w:name="_Toc179813998"/>
      <w:bookmarkStart w:id="4560" w:name="_Toc179819698"/>
      <w:bookmarkStart w:id="4561" w:name="_Toc179825398"/>
      <w:bookmarkStart w:id="4562" w:name="_Toc179831048"/>
      <w:bookmarkStart w:id="4563" w:name="_Toc179862578"/>
      <w:bookmarkStart w:id="4564" w:name="_Toc179869345"/>
      <w:bookmarkStart w:id="4565" w:name="_Toc179873738"/>
      <w:bookmarkStart w:id="4566" w:name="_Toc179878131"/>
      <w:bookmarkStart w:id="4567" w:name="_Toc179808320"/>
      <w:bookmarkStart w:id="4568" w:name="_Toc179813999"/>
      <w:bookmarkStart w:id="4569" w:name="_Toc179819699"/>
      <w:bookmarkStart w:id="4570" w:name="_Toc179825399"/>
      <w:bookmarkStart w:id="4571" w:name="_Toc179831049"/>
      <w:bookmarkStart w:id="4572" w:name="_Toc179862579"/>
      <w:bookmarkStart w:id="4573" w:name="_Toc179869346"/>
      <w:bookmarkStart w:id="4574" w:name="_Toc179873739"/>
      <w:bookmarkStart w:id="4575" w:name="_Toc179878132"/>
      <w:bookmarkStart w:id="4576" w:name="_Toc179808321"/>
      <w:bookmarkStart w:id="4577" w:name="_Toc179814000"/>
      <w:bookmarkStart w:id="4578" w:name="_Toc179819700"/>
      <w:bookmarkStart w:id="4579" w:name="_Toc179825400"/>
      <w:bookmarkStart w:id="4580" w:name="_Toc179831050"/>
      <w:bookmarkStart w:id="4581" w:name="_Toc179862580"/>
      <w:bookmarkStart w:id="4582" w:name="_Toc179869347"/>
      <w:bookmarkStart w:id="4583" w:name="_Toc179873740"/>
      <w:bookmarkStart w:id="4584" w:name="_Toc179878133"/>
      <w:bookmarkStart w:id="4585" w:name="_Toc179808322"/>
      <w:bookmarkStart w:id="4586" w:name="_Toc179814001"/>
      <w:bookmarkStart w:id="4587" w:name="_Toc179819701"/>
      <w:bookmarkStart w:id="4588" w:name="_Toc179825401"/>
      <w:bookmarkStart w:id="4589" w:name="_Toc179831051"/>
      <w:bookmarkStart w:id="4590" w:name="_Toc179862581"/>
      <w:bookmarkStart w:id="4591" w:name="_Toc179869348"/>
      <w:bookmarkStart w:id="4592" w:name="_Toc179873741"/>
      <w:bookmarkStart w:id="4593" w:name="_Toc179878134"/>
      <w:bookmarkStart w:id="4594" w:name="_Toc179808323"/>
      <w:bookmarkStart w:id="4595" w:name="_Toc179814002"/>
      <w:bookmarkStart w:id="4596" w:name="_Toc179819702"/>
      <w:bookmarkStart w:id="4597" w:name="_Toc179825402"/>
      <w:bookmarkStart w:id="4598" w:name="_Toc179831052"/>
      <w:bookmarkStart w:id="4599" w:name="_Toc179862582"/>
      <w:bookmarkStart w:id="4600" w:name="_Toc179869349"/>
      <w:bookmarkStart w:id="4601" w:name="_Toc179873742"/>
      <w:bookmarkStart w:id="4602" w:name="_Toc179878135"/>
      <w:bookmarkStart w:id="4603" w:name="_Toc179808324"/>
      <w:bookmarkStart w:id="4604" w:name="_Toc179814003"/>
      <w:bookmarkStart w:id="4605" w:name="_Toc179819703"/>
      <w:bookmarkStart w:id="4606" w:name="_Toc179825403"/>
      <w:bookmarkStart w:id="4607" w:name="_Toc179831053"/>
      <w:bookmarkStart w:id="4608" w:name="_Toc179862583"/>
      <w:bookmarkStart w:id="4609" w:name="_Toc179869350"/>
      <w:bookmarkStart w:id="4610" w:name="_Toc179873743"/>
      <w:bookmarkStart w:id="4611" w:name="_Toc179878136"/>
      <w:bookmarkStart w:id="4612" w:name="_Toc179808325"/>
      <w:bookmarkStart w:id="4613" w:name="_Toc179814004"/>
      <w:bookmarkStart w:id="4614" w:name="_Toc179819704"/>
      <w:bookmarkStart w:id="4615" w:name="_Toc179825404"/>
      <w:bookmarkStart w:id="4616" w:name="_Toc179831054"/>
      <w:bookmarkStart w:id="4617" w:name="_Toc179862584"/>
      <w:bookmarkStart w:id="4618" w:name="_Toc179869351"/>
      <w:bookmarkStart w:id="4619" w:name="_Toc179873744"/>
      <w:bookmarkStart w:id="4620" w:name="_Toc179878137"/>
      <w:bookmarkStart w:id="4621" w:name="_Toc179808326"/>
      <w:bookmarkStart w:id="4622" w:name="_Toc179814005"/>
      <w:bookmarkStart w:id="4623" w:name="_Toc179819705"/>
      <w:bookmarkStart w:id="4624" w:name="_Toc179825405"/>
      <w:bookmarkStart w:id="4625" w:name="_Toc179831055"/>
      <w:bookmarkStart w:id="4626" w:name="_Toc179862585"/>
      <w:bookmarkStart w:id="4627" w:name="_Toc179869352"/>
      <w:bookmarkStart w:id="4628" w:name="_Toc179873745"/>
      <w:bookmarkStart w:id="4629" w:name="_Toc179878138"/>
      <w:bookmarkStart w:id="4630" w:name="_Toc179808327"/>
      <w:bookmarkStart w:id="4631" w:name="_Toc179814006"/>
      <w:bookmarkStart w:id="4632" w:name="_Toc179819706"/>
      <w:bookmarkStart w:id="4633" w:name="_Toc179825406"/>
      <w:bookmarkStart w:id="4634" w:name="_Toc179831056"/>
      <w:bookmarkStart w:id="4635" w:name="_Toc179862586"/>
      <w:bookmarkStart w:id="4636" w:name="_Toc179869353"/>
      <w:bookmarkStart w:id="4637" w:name="_Toc179873746"/>
      <w:bookmarkStart w:id="4638" w:name="_Toc179878139"/>
      <w:bookmarkStart w:id="4639" w:name="_Toc179808328"/>
      <w:bookmarkStart w:id="4640" w:name="_Toc179814007"/>
      <w:bookmarkStart w:id="4641" w:name="_Toc179819707"/>
      <w:bookmarkStart w:id="4642" w:name="_Toc179825407"/>
      <w:bookmarkStart w:id="4643" w:name="_Toc179831057"/>
      <w:bookmarkStart w:id="4644" w:name="_Toc179862587"/>
      <w:bookmarkStart w:id="4645" w:name="_Toc179869354"/>
      <w:bookmarkStart w:id="4646" w:name="_Toc179873747"/>
      <w:bookmarkStart w:id="4647" w:name="_Toc179878140"/>
      <w:bookmarkStart w:id="4648" w:name="_Toc179808329"/>
      <w:bookmarkStart w:id="4649" w:name="_Toc179814008"/>
      <w:bookmarkStart w:id="4650" w:name="_Toc179819708"/>
      <w:bookmarkStart w:id="4651" w:name="_Toc179825408"/>
      <w:bookmarkStart w:id="4652" w:name="_Toc179831058"/>
      <w:bookmarkStart w:id="4653" w:name="_Toc179862588"/>
      <w:bookmarkStart w:id="4654" w:name="_Toc179869355"/>
      <w:bookmarkStart w:id="4655" w:name="_Toc179873748"/>
      <w:bookmarkStart w:id="4656" w:name="_Toc179878141"/>
      <w:bookmarkStart w:id="4657" w:name="_Toc179808330"/>
      <w:bookmarkStart w:id="4658" w:name="_Toc179814009"/>
      <w:bookmarkStart w:id="4659" w:name="_Toc179819709"/>
      <w:bookmarkStart w:id="4660" w:name="_Toc179825409"/>
      <w:bookmarkStart w:id="4661" w:name="_Toc179831059"/>
      <w:bookmarkStart w:id="4662" w:name="_Toc179862589"/>
      <w:bookmarkStart w:id="4663" w:name="_Toc179869356"/>
      <w:bookmarkStart w:id="4664" w:name="_Toc179873749"/>
      <w:bookmarkStart w:id="4665" w:name="_Toc179878142"/>
      <w:bookmarkStart w:id="4666" w:name="_Toc179808331"/>
      <w:bookmarkStart w:id="4667" w:name="_Toc179814010"/>
      <w:bookmarkStart w:id="4668" w:name="_Toc179819710"/>
      <w:bookmarkStart w:id="4669" w:name="_Toc179825410"/>
      <w:bookmarkStart w:id="4670" w:name="_Toc179831060"/>
      <w:bookmarkStart w:id="4671" w:name="_Toc179862590"/>
      <w:bookmarkStart w:id="4672" w:name="_Toc179869357"/>
      <w:bookmarkStart w:id="4673" w:name="_Toc179873750"/>
      <w:bookmarkStart w:id="4674" w:name="_Toc179878143"/>
      <w:bookmarkStart w:id="4675" w:name="_Toc179808332"/>
      <w:bookmarkStart w:id="4676" w:name="_Toc179814011"/>
      <w:bookmarkStart w:id="4677" w:name="_Toc179819711"/>
      <w:bookmarkStart w:id="4678" w:name="_Toc179825411"/>
      <w:bookmarkStart w:id="4679" w:name="_Toc179831061"/>
      <w:bookmarkStart w:id="4680" w:name="_Toc179862591"/>
      <w:bookmarkStart w:id="4681" w:name="_Toc179869358"/>
      <w:bookmarkStart w:id="4682" w:name="_Toc179873751"/>
      <w:bookmarkStart w:id="4683" w:name="_Toc179878144"/>
      <w:bookmarkStart w:id="4684" w:name="_Toc179808333"/>
      <w:bookmarkStart w:id="4685" w:name="_Toc179814012"/>
      <w:bookmarkStart w:id="4686" w:name="_Toc179819712"/>
      <w:bookmarkStart w:id="4687" w:name="_Toc179825412"/>
      <w:bookmarkStart w:id="4688" w:name="_Toc179831062"/>
      <w:bookmarkStart w:id="4689" w:name="_Toc179862592"/>
      <w:bookmarkStart w:id="4690" w:name="_Toc179869359"/>
      <w:bookmarkStart w:id="4691" w:name="_Toc179873752"/>
      <w:bookmarkStart w:id="4692" w:name="_Toc179878145"/>
      <w:bookmarkStart w:id="4693" w:name="_Toc179808334"/>
      <w:bookmarkStart w:id="4694" w:name="_Toc179814013"/>
      <w:bookmarkStart w:id="4695" w:name="_Toc179819713"/>
      <w:bookmarkStart w:id="4696" w:name="_Toc179825413"/>
      <w:bookmarkStart w:id="4697" w:name="_Toc179831063"/>
      <w:bookmarkStart w:id="4698" w:name="_Toc179862593"/>
      <w:bookmarkStart w:id="4699" w:name="_Toc179869360"/>
      <w:bookmarkStart w:id="4700" w:name="_Toc179873753"/>
      <w:bookmarkStart w:id="4701" w:name="_Toc179878146"/>
      <w:bookmarkStart w:id="4702" w:name="_Toc179808335"/>
      <w:bookmarkStart w:id="4703" w:name="_Toc179814014"/>
      <w:bookmarkStart w:id="4704" w:name="_Toc179819714"/>
      <w:bookmarkStart w:id="4705" w:name="_Toc179825414"/>
      <w:bookmarkStart w:id="4706" w:name="_Toc179831064"/>
      <w:bookmarkStart w:id="4707" w:name="_Toc179862594"/>
      <w:bookmarkStart w:id="4708" w:name="_Toc179869361"/>
      <w:bookmarkStart w:id="4709" w:name="_Toc179873754"/>
      <w:bookmarkStart w:id="4710" w:name="_Toc179878147"/>
      <w:bookmarkStart w:id="4711" w:name="_Toc179808336"/>
      <w:bookmarkStart w:id="4712" w:name="_Toc179814015"/>
      <w:bookmarkStart w:id="4713" w:name="_Toc179819715"/>
      <w:bookmarkStart w:id="4714" w:name="_Toc179825415"/>
      <w:bookmarkStart w:id="4715" w:name="_Toc179831065"/>
      <w:bookmarkStart w:id="4716" w:name="_Toc179862595"/>
      <w:bookmarkStart w:id="4717" w:name="_Toc179869362"/>
      <w:bookmarkStart w:id="4718" w:name="_Toc179873755"/>
      <w:bookmarkStart w:id="4719" w:name="_Toc179878148"/>
      <w:bookmarkStart w:id="4720" w:name="_Toc179808337"/>
      <w:bookmarkStart w:id="4721" w:name="_Toc179814016"/>
      <w:bookmarkStart w:id="4722" w:name="_Toc179819716"/>
      <w:bookmarkStart w:id="4723" w:name="_Toc179825416"/>
      <w:bookmarkStart w:id="4724" w:name="_Toc179831066"/>
      <w:bookmarkStart w:id="4725" w:name="_Toc179862596"/>
      <w:bookmarkStart w:id="4726" w:name="_Toc179869363"/>
      <w:bookmarkStart w:id="4727" w:name="_Toc179873756"/>
      <w:bookmarkStart w:id="4728" w:name="_Toc179878149"/>
      <w:bookmarkStart w:id="4729" w:name="_Toc179808338"/>
      <w:bookmarkStart w:id="4730" w:name="_Toc179814017"/>
      <w:bookmarkStart w:id="4731" w:name="_Toc179819717"/>
      <w:bookmarkStart w:id="4732" w:name="_Toc179825417"/>
      <w:bookmarkStart w:id="4733" w:name="_Toc179831067"/>
      <w:bookmarkStart w:id="4734" w:name="_Toc179862597"/>
      <w:bookmarkStart w:id="4735" w:name="_Toc179869364"/>
      <w:bookmarkStart w:id="4736" w:name="_Toc179873757"/>
      <w:bookmarkStart w:id="4737" w:name="_Toc179878150"/>
      <w:bookmarkStart w:id="4738" w:name="_Toc179808339"/>
      <w:bookmarkStart w:id="4739" w:name="_Toc179814018"/>
      <w:bookmarkStart w:id="4740" w:name="_Toc179819718"/>
      <w:bookmarkStart w:id="4741" w:name="_Toc179825418"/>
      <w:bookmarkStart w:id="4742" w:name="_Toc179831068"/>
      <w:bookmarkStart w:id="4743" w:name="_Toc179862598"/>
      <w:bookmarkStart w:id="4744" w:name="_Toc179869365"/>
      <w:bookmarkStart w:id="4745" w:name="_Toc179873758"/>
      <w:bookmarkStart w:id="4746" w:name="_Toc179878151"/>
      <w:bookmarkStart w:id="4747" w:name="_Toc179808340"/>
      <w:bookmarkStart w:id="4748" w:name="_Toc179814019"/>
      <w:bookmarkStart w:id="4749" w:name="_Toc179819719"/>
      <w:bookmarkStart w:id="4750" w:name="_Toc179825419"/>
      <w:bookmarkStart w:id="4751" w:name="_Toc179831069"/>
      <w:bookmarkStart w:id="4752" w:name="_Toc179862599"/>
      <w:bookmarkStart w:id="4753" w:name="_Toc179869366"/>
      <w:bookmarkStart w:id="4754" w:name="_Toc179873759"/>
      <w:bookmarkStart w:id="4755" w:name="_Toc179878152"/>
      <w:bookmarkStart w:id="4756" w:name="_Toc179808341"/>
      <w:bookmarkStart w:id="4757" w:name="_Toc179814020"/>
      <w:bookmarkStart w:id="4758" w:name="_Toc179819720"/>
      <w:bookmarkStart w:id="4759" w:name="_Toc179825420"/>
      <w:bookmarkStart w:id="4760" w:name="_Toc179831070"/>
      <w:bookmarkStart w:id="4761" w:name="_Toc179862600"/>
      <w:bookmarkStart w:id="4762" w:name="_Toc179869367"/>
      <w:bookmarkStart w:id="4763" w:name="_Toc179873760"/>
      <w:bookmarkStart w:id="4764" w:name="_Toc179878153"/>
      <w:bookmarkStart w:id="4765" w:name="_Toc179808342"/>
      <w:bookmarkStart w:id="4766" w:name="_Toc179814021"/>
      <w:bookmarkStart w:id="4767" w:name="_Toc179819721"/>
      <w:bookmarkStart w:id="4768" w:name="_Toc179825421"/>
      <w:bookmarkStart w:id="4769" w:name="_Toc179831071"/>
      <w:bookmarkStart w:id="4770" w:name="_Toc179862601"/>
      <w:bookmarkStart w:id="4771" w:name="_Toc179869368"/>
      <w:bookmarkStart w:id="4772" w:name="_Toc179873761"/>
      <w:bookmarkStart w:id="4773" w:name="_Toc179878154"/>
      <w:bookmarkStart w:id="4774" w:name="_Toc179808343"/>
      <w:bookmarkStart w:id="4775" w:name="_Toc179814022"/>
      <w:bookmarkStart w:id="4776" w:name="_Toc179819722"/>
      <w:bookmarkStart w:id="4777" w:name="_Toc179825422"/>
      <w:bookmarkStart w:id="4778" w:name="_Toc179831072"/>
      <w:bookmarkStart w:id="4779" w:name="_Toc179862602"/>
      <w:bookmarkStart w:id="4780" w:name="_Toc179869369"/>
      <w:bookmarkStart w:id="4781" w:name="_Toc179873762"/>
      <w:bookmarkStart w:id="4782" w:name="_Toc179878155"/>
      <w:bookmarkStart w:id="4783" w:name="_Toc179808344"/>
      <w:bookmarkStart w:id="4784" w:name="_Toc179814023"/>
      <w:bookmarkStart w:id="4785" w:name="_Toc179819723"/>
      <w:bookmarkStart w:id="4786" w:name="_Toc179825423"/>
      <w:bookmarkStart w:id="4787" w:name="_Toc179831073"/>
      <w:bookmarkStart w:id="4788" w:name="_Toc179862603"/>
      <w:bookmarkStart w:id="4789" w:name="_Toc179869370"/>
      <w:bookmarkStart w:id="4790" w:name="_Toc179873763"/>
      <w:bookmarkStart w:id="4791" w:name="_Toc179878156"/>
      <w:bookmarkStart w:id="4792" w:name="_Toc179808345"/>
      <w:bookmarkStart w:id="4793" w:name="_Toc179814024"/>
      <w:bookmarkStart w:id="4794" w:name="_Toc179819724"/>
      <w:bookmarkStart w:id="4795" w:name="_Toc179825424"/>
      <w:bookmarkStart w:id="4796" w:name="_Toc179831074"/>
      <w:bookmarkStart w:id="4797" w:name="_Toc179862604"/>
      <w:bookmarkStart w:id="4798" w:name="_Toc179869371"/>
      <w:bookmarkStart w:id="4799" w:name="_Toc179873764"/>
      <w:bookmarkStart w:id="4800" w:name="_Toc179878157"/>
      <w:bookmarkStart w:id="4801" w:name="_Toc179808346"/>
      <w:bookmarkStart w:id="4802" w:name="_Toc179814025"/>
      <w:bookmarkStart w:id="4803" w:name="_Toc179819725"/>
      <w:bookmarkStart w:id="4804" w:name="_Toc179825425"/>
      <w:bookmarkStart w:id="4805" w:name="_Toc179831075"/>
      <w:bookmarkStart w:id="4806" w:name="_Toc179862605"/>
      <w:bookmarkStart w:id="4807" w:name="_Toc179869372"/>
      <w:bookmarkStart w:id="4808" w:name="_Toc179873765"/>
      <w:bookmarkStart w:id="4809" w:name="_Toc179878158"/>
      <w:bookmarkStart w:id="4810" w:name="_Toc179808347"/>
      <w:bookmarkStart w:id="4811" w:name="_Toc179814026"/>
      <w:bookmarkStart w:id="4812" w:name="_Toc179819726"/>
      <w:bookmarkStart w:id="4813" w:name="_Toc179825426"/>
      <w:bookmarkStart w:id="4814" w:name="_Toc179831076"/>
      <w:bookmarkStart w:id="4815" w:name="_Toc179862606"/>
      <w:bookmarkStart w:id="4816" w:name="_Toc179869373"/>
      <w:bookmarkStart w:id="4817" w:name="_Toc179873766"/>
      <w:bookmarkStart w:id="4818" w:name="_Toc179878159"/>
      <w:bookmarkStart w:id="4819" w:name="_Toc179808348"/>
      <w:bookmarkStart w:id="4820" w:name="_Toc179814027"/>
      <w:bookmarkStart w:id="4821" w:name="_Toc179819727"/>
      <w:bookmarkStart w:id="4822" w:name="_Toc179825427"/>
      <w:bookmarkStart w:id="4823" w:name="_Toc179831077"/>
      <w:bookmarkStart w:id="4824" w:name="_Toc179862607"/>
      <w:bookmarkStart w:id="4825" w:name="_Toc179869374"/>
      <w:bookmarkStart w:id="4826" w:name="_Toc179873767"/>
      <w:bookmarkStart w:id="4827" w:name="_Toc179878160"/>
      <w:bookmarkStart w:id="4828" w:name="_Toc179808349"/>
      <w:bookmarkStart w:id="4829" w:name="_Toc179814028"/>
      <w:bookmarkStart w:id="4830" w:name="_Toc179819728"/>
      <w:bookmarkStart w:id="4831" w:name="_Toc179825428"/>
      <w:bookmarkStart w:id="4832" w:name="_Toc179831078"/>
      <w:bookmarkStart w:id="4833" w:name="_Toc179862608"/>
      <w:bookmarkStart w:id="4834" w:name="_Toc179869375"/>
      <w:bookmarkStart w:id="4835" w:name="_Toc179873768"/>
      <w:bookmarkStart w:id="4836" w:name="_Toc179878161"/>
      <w:bookmarkStart w:id="4837" w:name="_Toc179808350"/>
      <w:bookmarkStart w:id="4838" w:name="_Toc179814029"/>
      <w:bookmarkStart w:id="4839" w:name="_Toc179819729"/>
      <w:bookmarkStart w:id="4840" w:name="_Toc179825429"/>
      <w:bookmarkStart w:id="4841" w:name="_Toc179831079"/>
      <w:bookmarkStart w:id="4842" w:name="_Toc179862609"/>
      <w:bookmarkStart w:id="4843" w:name="_Toc179869376"/>
      <w:bookmarkStart w:id="4844" w:name="_Toc179873769"/>
      <w:bookmarkStart w:id="4845" w:name="_Toc179878162"/>
      <w:bookmarkStart w:id="4846" w:name="_Toc179808351"/>
      <w:bookmarkStart w:id="4847" w:name="_Toc179814030"/>
      <w:bookmarkStart w:id="4848" w:name="_Toc179819730"/>
      <w:bookmarkStart w:id="4849" w:name="_Toc179825430"/>
      <w:bookmarkStart w:id="4850" w:name="_Toc179831080"/>
      <w:bookmarkStart w:id="4851" w:name="_Toc179862610"/>
      <w:bookmarkStart w:id="4852" w:name="_Toc179869377"/>
      <w:bookmarkStart w:id="4853" w:name="_Toc179873770"/>
      <w:bookmarkStart w:id="4854" w:name="_Toc179878163"/>
      <w:bookmarkStart w:id="4855" w:name="_Toc179808352"/>
      <w:bookmarkStart w:id="4856" w:name="_Toc179814031"/>
      <w:bookmarkStart w:id="4857" w:name="_Toc179819731"/>
      <w:bookmarkStart w:id="4858" w:name="_Toc179825431"/>
      <w:bookmarkStart w:id="4859" w:name="_Toc179831081"/>
      <w:bookmarkStart w:id="4860" w:name="_Toc179862611"/>
      <w:bookmarkStart w:id="4861" w:name="_Toc179869378"/>
      <w:bookmarkStart w:id="4862" w:name="_Toc179873771"/>
      <w:bookmarkStart w:id="4863" w:name="_Toc179878164"/>
      <w:bookmarkStart w:id="4864" w:name="_Toc179808407"/>
      <w:bookmarkStart w:id="4865" w:name="_Toc179814086"/>
      <w:bookmarkStart w:id="4866" w:name="_Toc179819786"/>
      <w:bookmarkStart w:id="4867" w:name="_Toc179825486"/>
      <w:bookmarkStart w:id="4868" w:name="_Toc179831136"/>
      <w:bookmarkStart w:id="4869" w:name="_Toc179862666"/>
      <w:bookmarkStart w:id="4870" w:name="_Toc179869433"/>
      <w:bookmarkStart w:id="4871" w:name="_Toc179873826"/>
      <w:bookmarkStart w:id="4872" w:name="_Toc179878219"/>
      <w:bookmarkStart w:id="4873" w:name="_Toc179808408"/>
      <w:bookmarkStart w:id="4874" w:name="_Toc179814087"/>
      <w:bookmarkStart w:id="4875" w:name="_Toc179819787"/>
      <w:bookmarkStart w:id="4876" w:name="_Toc179825487"/>
      <w:bookmarkStart w:id="4877" w:name="_Toc179831137"/>
      <w:bookmarkStart w:id="4878" w:name="_Toc179862667"/>
      <w:bookmarkStart w:id="4879" w:name="_Toc179869434"/>
      <w:bookmarkStart w:id="4880" w:name="_Toc179873827"/>
      <w:bookmarkStart w:id="4881" w:name="_Toc179878220"/>
      <w:bookmarkStart w:id="4882" w:name="_Toc179808409"/>
      <w:bookmarkStart w:id="4883" w:name="_Toc179814088"/>
      <w:bookmarkStart w:id="4884" w:name="_Toc179819788"/>
      <w:bookmarkStart w:id="4885" w:name="_Toc179825488"/>
      <w:bookmarkStart w:id="4886" w:name="_Toc179831138"/>
      <w:bookmarkStart w:id="4887" w:name="_Toc179862668"/>
      <w:bookmarkStart w:id="4888" w:name="_Toc179869435"/>
      <w:bookmarkStart w:id="4889" w:name="_Toc179873828"/>
      <w:bookmarkStart w:id="4890" w:name="_Toc179878221"/>
      <w:bookmarkStart w:id="4891" w:name="_Toc179808410"/>
      <w:bookmarkStart w:id="4892" w:name="_Toc179814089"/>
      <w:bookmarkStart w:id="4893" w:name="_Toc179819789"/>
      <w:bookmarkStart w:id="4894" w:name="_Toc179825489"/>
      <w:bookmarkStart w:id="4895" w:name="_Toc179831139"/>
      <w:bookmarkStart w:id="4896" w:name="_Toc179862669"/>
      <w:bookmarkStart w:id="4897" w:name="_Toc179869436"/>
      <w:bookmarkStart w:id="4898" w:name="_Toc179873829"/>
      <w:bookmarkStart w:id="4899" w:name="_Toc179878222"/>
      <w:bookmarkStart w:id="4900" w:name="_Toc179808411"/>
      <w:bookmarkStart w:id="4901" w:name="_Toc179814090"/>
      <w:bookmarkStart w:id="4902" w:name="_Toc179819790"/>
      <w:bookmarkStart w:id="4903" w:name="_Toc179825490"/>
      <w:bookmarkStart w:id="4904" w:name="_Toc179831140"/>
      <w:bookmarkStart w:id="4905" w:name="_Toc179862670"/>
      <w:bookmarkStart w:id="4906" w:name="_Toc179869437"/>
      <w:bookmarkStart w:id="4907" w:name="_Toc179873830"/>
      <w:bookmarkStart w:id="4908" w:name="_Toc179878223"/>
      <w:bookmarkStart w:id="4909" w:name="_Toc179808412"/>
      <w:bookmarkStart w:id="4910" w:name="_Toc179814091"/>
      <w:bookmarkStart w:id="4911" w:name="_Toc179819791"/>
      <w:bookmarkStart w:id="4912" w:name="_Toc179825491"/>
      <w:bookmarkStart w:id="4913" w:name="_Toc179831141"/>
      <w:bookmarkStart w:id="4914" w:name="_Toc179862671"/>
      <w:bookmarkStart w:id="4915" w:name="_Toc179869438"/>
      <w:bookmarkStart w:id="4916" w:name="_Toc179873831"/>
      <w:bookmarkStart w:id="4917" w:name="_Toc179878224"/>
      <w:bookmarkStart w:id="4918" w:name="_Toc179808476"/>
      <w:bookmarkStart w:id="4919" w:name="_Toc179814155"/>
      <w:bookmarkStart w:id="4920" w:name="_Toc179819855"/>
      <w:bookmarkStart w:id="4921" w:name="_Toc179825555"/>
      <w:bookmarkStart w:id="4922" w:name="_Toc179831205"/>
      <w:bookmarkStart w:id="4923" w:name="_Toc179862735"/>
      <w:bookmarkStart w:id="4924" w:name="_Toc179869502"/>
      <w:bookmarkStart w:id="4925" w:name="_Toc179873895"/>
      <w:bookmarkStart w:id="4926" w:name="_Toc179878288"/>
      <w:bookmarkStart w:id="4927" w:name="_Toc179808477"/>
      <w:bookmarkStart w:id="4928" w:name="_Toc179814156"/>
      <w:bookmarkStart w:id="4929" w:name="_Toc179819856"/>
      <w:bookmarkStart w:id="4930" w:name="_Toc179825556"/>
      <w:bookmarkStart w:id="4931" w:name="_Toc179831206"/>
      <w:bookmarkStart w:id="4932" w:name="_Toc179862736"/>
      <w:bookmarkStart w:id="4933" w:name="_Toc179869503"/>
      <w:bookmarkStart w:id="4934" w:name="_Toc179873896"/>
      <w:bookmarkStart w:id="4935" w:name="_Toc179878289"/>
      <w:bookmarkStart w:id="4936" w:name="_Toc179808478"/>
      <w:bookmarkStart w:id="4937" w:name="_Toc179814157"/>
      <w:bookmarkStart w:id="4938" w:name="_Toc179819857"/>
      <w:bookmarkStart w:id="4939" w:name="_Toc179825557"/>
      <w:bookmarkStart w:id="4940" w:name="_Toc179831207"/>
      <w:bookmarkStart w:id="4941" w:name="_Toc179862737"/>
      <w:bookmarkStart w:id="4942" w:name="_Toc179869504"/>
      <w:bookmarkStart w:id="4943" w:name="_Toc179873897"/>
      <w:bookmarkStart w:id="4944" w:name="_Toc179878290"/>
      <w:bookmarkStart w:id="4945" w:name="_Toc179808479"/>
      <w:bookmarkStart w:id="4946" w:name="_Toc179814158"/>
      <w:bookmarkStart w:id="4947" w:name="_Toc179819858"/>
      <w:bookmarkStart w:id="4948" w:name="_Toc179825558"/>
      <w:bookmarkStart w:id="4949" w:name="_Toc179831208"/>
      <w:bookmarkStart w:id="4950" w:name="_Toc179862738"/>
      <w:bookmarkStart w:id="4951" w:name="_Toc179869505"/>
      <w:bookmarkStart w:id="4952" w:name="_Toc179873898"/>
      <w:bookmarkStart w:id="4953" w:name="_Toc179878291"/>
      <w:bookmarkStart w:id="4954" w:name="_Toc179808480"/>
      <w:bookmarkStart w:id="4955" w:name="_Toc179814159"/>
      <w:bookmarkStart w:id="4956" w:name="_Toc179819859"/>
      <w:bookmarkStart w:id="4957" w:name="_Toc179825559"/>
      <w:bookmarkStart w:id="4958" w:name="_Toc179831209"/>
      <w:bookmarkStart w:id="4959" w:name="_Toc179862739"/>
      <w:bookmarkStart w:id="4960" w:name="_Toc179869506"/>
      <w:bookmarkStart w:id="4961" w:name="_Toc179873899"/>
      <w:bookmarkStart w:id="4962" w:name="_Toc179878292"/>
      <w:bookmarkStart w:id="4963" w:name="_Toc179808481"/>
      <w:bookmarkStart w:id="4964" w:name="_Toc179814160"/>
      <w:bookmarkStart w:id="4965" w:name="_Toc179819860"/>
      <w:bookmarkStart w:id="4966" w:name="_Toc179825560"/>
      <w:bookmarkStart w:id="4967" w:name="_Toc179831210"/>
      <w:bookmarkStart w:id="4968" w:name="_Toc179862740"/>
      <w:bookmarkStart w:id="4969" w:name="_Toc179869507"/>
      <w:bookmarkStart w:id="4970" w:name="_Toc179873900"/>
      <w:bookmarkStart w:id="4971" w:name="_Toc179878293"/>
      <w:bookmarkStart w:id="4972" w:name="_Toc179808482"/>
      <w:bookmarkStart w:id="4973" w:name="_Toc179814161"/>
      <w:bookmarkStart w:id="4974" w:name="_Toc179819861"/>
      <w:bookmarkStart w:id="4975" w:name="_Toc179825561"/>
      <w:bookmarkStart w:id="4976" w:name="_Toc179831211"/>
      <w:bookmarkStart w:id="4977" w:name="_Toc179862741"/>
      <w:bookmarkStart w:id="4978" w:name="_Toc179869508"/>
      <w:bookmarkStart w:id="4979" w:name="_Toc179873901"/>
      <w:bookmarkStart w:id="4980" w:name="_Toc179878294"/>
      <w:bookmarkStart w:id="4981" w:name="_Toc179808483"/>
      <w:bookmarkStart w:id="4982" w:name="_Toc179814162"/>
      <w:bookmarkStart w:id="4983" w:name="_Toc179819862"/>
      <w:bookmarkStart w:id="4984" w:name="_Toc179825562"/>
      <w:bookmarkStart w:id="4985" w:name="_Toc179831212"/>
      <w:bookmarkStart w:id="4986" w:name="_Toc179862742"/>
      <w:bookmarkStart w:id="4987" w:name="_Toc179869509"/>
      <w:bookmarkStart w:id="4988" w:name="_Toc179873902"/>
      <w:bookmarkStart w:id="4989" w:name="_Toc179878295"/>
      <w:bookmarkStart w:id="4990" w:name="_Toc179808484"/>
      <w:bookmarkStart w:id="4991" w:name="_Toc179814163"/>
      <w:bookmarkStart w:id="4992" w:name="_Toc179819863"/>
      <w:bookmarkStart w:id="4993" w:name="_Toc179825563"/>
      <w:bookmarkStart w:id="4994" w:name="_Toc179831213"/>
      <w:bookmarkStart w:id="4995" w:name="_Toc179862743"/>
      <w:bookmarkStart w:id="4996" w:name="_Toc179869510"/>
      <w:bookmarkStart w:id="4997" w:name="_Toc179873903"/>
      <w:bookmarkStart w:id="4998" w:name="_Toc179878296"/>
      <w:bookmarkStart w:id="4999" w:name="_Toc179808485"/>
      <w:bookmarkStart w:id="5000" w:name="_Toc179814164"/>
      <w:bookmarkStart w:id="5001" w:name="_Toc179819864"/>
      <w:bookmarkStart w:id="5002" w:name="_Toc179825564"/>
      <w:bookmarkStart w:id="5003" w:name="_Toc179831214"/>
      <w:bookmarkStart w:id="5004" w:name="_Toc179862744"/>
      <w:bookmarkStart w:id="5005" w:name="_Toc179869511"/>
      <w:bookmarkStart w:id="5006" w:name="_Toc179873904"/>
      <w:bookmarkStart w:id="5007" w:name="_Toc179878297"/>
      <w:bookmarkStart w:id="5008" w:name="_Toc179808486"/>
      <w:bookmarkStart w:id="5009" w:name="_Toc179814165"/>
      <w:bookmarkStart w:id="5010" w:name="_Toc179819865"/>
      <w:bookmarkStart w:id="5011" w:name="_Toc179825565"/>
      <w:bookmarkStart w:id="5012" w:name="_Toc179831215"/>
      <w:bookmarkStart w:id="5013" w:name="_Toc179862745"/>
      <w:bookmarkStart w:id="5014" w:name="_Toc179869512"/>
      <w:bookmarkStart w:id="5015" w:name="_Toc179873905"/>
      <w:bookmarkStart w:id="5016" w:name="_Toc179878298"/>
      <w:bookmarkStart w:id="5017" w:name="_Toc179808487"/>
      <w:bookmarkStart w:id="5018" w:name="_Toc179814166"/>
      <w:bookmarkStart w:id="5019" w:name="_Toc179819866"/>
      <w:bookmarkStart w:id="5020" w:name="_Toc179825566"/>
      <w:bookmarkStart w:id="5021" w:name="_Toc179831216"/>
      <w:bookmarkStart w:id="5022" w:name="_Toc179862746"/>
      <w:bookmarkStart w:id="5023" w:name="_Toc179869513"/>
      <w:bookmarkStart w:id="5024" w:name="_Toc179873906"/>
      <w:bookmarkStart w:id="5025" w:name="_Toc179878299"/>
      <w:bookmarkStart w:id="5026" w:name="_Toc179808506"/>
      <w:bookmarkStart w:id="5027" w:name="_Toc179814185"/>
      <w:bookmarkStart w:id="5028" w:name="_Toc179819885"/>
      <w:bookmarkStart w:id="5029" w:name="_Toc179825585"/>
      <w:bookmarkStart w:id="5030" w:name="_Toc179831235"/>
      <w:bookmarkStart w:id="5031" w:name="_Toc179862765"/>
      <w:bookmarkStart w:id="5032" w:name="_Toc179869532"/>
      <w:bookmarkStart w:id="5033" w:name="_Toc179873925"/>
      <w:bookmarkStart w:id="5034" w:name="_Toc179878318"/>
      <w:bookmarkStart w:id="5035" w:name="_Toc179808515"/>
      <w:bookmarkStart w:id="5036" w:name="_Toc179814194"/>
      <w:bookmarkStart w:id="5037" w:name="_Toc179819894"/>
      <w:bookmarkStart w:id="5038" w:name="_Toc179825594"/>
      <w:bookmarkStart w:id="5039" w:name="_Toc179831244"/>
      <w:bookmarkStart w:id="5040" w:name="_Toc179862774"/>
      <w:bookmarkStart w:id="5041" w:name="_Toc179869541"/>
      <w:bookmarkStart w:id="5042" w:name="_Toc179873934"/>
      <w:bookmarkStart w:id="5043" w:name="_Toc179878327"/>
      <w:bookmarkStart w:id="5044" w:name="_Toc179808524"/>
      <w:bookmarkStart w:id="5045" w:name="_Toc179814203"/>
      <w:bookmarkStart w:id="5046" w:name="_Toc179819903"/>
      <w:bookmarkStart w:id="5047" w:name="_Toc179825603"/>
      <w:bookmarkStart w:id="5048" w:name="_Toc179831253"/>
      <w:bookmarkStart w:id="5049" w:name="_Toc179862783"/>
      <w:bookmarkStart w:id="5050" w:name="_Toc179869550"/>
      <w:bookmarkStart w:id="5051" w:name="_Toc179873943"/>
      <w:bookmarkStart w:id="5052" w:name="_Toc179878336"/>
      <w:bookmarkStart w:id="5053" w:name="_Toc179808543"/>
      <w:bookmarkStart w:id="5054" w:name="_Toc179814222"/>
      <w:bookmarkStart w:id="5055" w:name="_Toc179819922"/>
      <w:bookmarkStart w:id="5056" w:name="_Toc179825622"/>
      <w:bookmarkStart w:id="5057" w:name="_Toc179831272"/>
      <w:bookmarkStart w:id="5058" w:name="_Toc179862802"/>
      <w:bookmarkStart w:id="5059" w:name="_Toc179869569"/>
      <w:bookmarkStart w:id="5060" w:name="_Toc179873962"/>
      <w:bookmarkStart w:id="5061" w:name="_Toc179878355"/>
      <w:bookmarkStart w:id="5062" w:name="_Toc179808552"/>
      <w:bookmarkStart w:id="5063" w:name="_Toc179814231"/>
      <w:bookmarkStart w:id="5064" w:name="_Toc179819931"/>
      <w:bookmarkStart w:id="5065" w:name="_Toc179825631"/>
      <w:bookmarkStart w:id="5066" w:name="_Toc179831281"/>
      <w:bookmarkStart w:id="5067" w:name="_Toc179862811"/>
      <w:bookmarkStart w:id="5068" w:name="_Toc179869578"/>
      <w:bookmarkStart w:id="5069" w:name="_Toc179873971"/>
      <w:bookmarkStart w:id="5070" w:name="_Toc179878364"/>
      <w:bookmarkStart w:id="5071" w:name="_Toc179808561"/>
      <w:bookmarkStart w:id="5072" w:name="_Toc179814240"/>
      <w:bookmarkStart w:id="5073" w:name="_Toc179819940"/>
      <w:bookmarkStart w:id="5074" w:name="_Toc179825640"/>
      <w:bookmarkStart w:id="5075" w:name="_Toc179831290"/>
      <w:bookmarkStart w:id="5076" w:name="_Toc179862820"/>
      <w:bookmarkStart w:id="5077" w:name="_Toc179869587"/>
      <w:bookmarkStart w:id="5078" w:name="_Toc179873980"/>
      <w:bookmarkStart w:id="5079" w:name="_Toc179878373"/>
      <w:bookmarkStart w:id="5080" w:name="_Toc179808562"/>
      <w:bookmarkStart w:id="5081" w:name="_Toc179814241"/>
      <w:bookmarkStart w:id="5082" w:name="_Toc179819941"/>
      <w:bookmarkStart w:id="5083" w:name="_Toc179825641"/>
      <w:bookmarkStart w:id="5084" w:name="_Toc179831291"/>
      <w:bookmarkStart w:id="5085" w:name="_Toc179862821"/>
      <w:bookmarkStart w:id="5086" w:name="_Toc179869588"/>
      <w:bookmarkStart w:id="5087" w:name="_Toc179873981"/>
      <w:bookmarkStart w:id="5088" w:name="_Toc179878374"/>
      <w:bookmarkStart w:id="5089" w:name="_Toc179808563"/>
      <w:bookmarkStart w:id="5090" w:name="_Toc179814242"/>
      <w:bookmarkStart w:id="5091" w:name="_Toc179819942"/>
      <w:bookmarkStart w:id="5092" w:name="_Toc179825642"/>
      <w:bookmarkStart w:id="5093" w:name="_Toc179831292"/>
      <w:bookmarkStart w:id="5094" w:name="_Toc179862822"/>
      <w:bookmarkStart w:id="5095" w:name="_Toc179869589"/>
      <w:bookmarkStart w:id="5096" w:name="_Toc179873982"/>
      <w:bookmarkStart w:id="5097" w:name="_Toc179878375"/>
      <w:bookmarkStart w:id="5098" w:name="_Toc179808569"/>
      <w:bookmarkStart w:id="5099" w:name="_Toc179814248"/>
      <w:bookmarkStart w:id="5100" w:name="_Toc179819948"/>
      <w:bookmarkStart w:id="5101" w:name="_Toc179825648"/>
      <w:bookmarkStart w:id="5102" w:name="_Toc179831298"/>
      <w:bookmarkStart w:id="5103" w:name="_Toc179862828"/>
      <w:bookmarkStart w:id="5104" w:name="_Toc179869595"/>
      <w:bookmarkStart w:id="5105" w:name="_Toc179873988"/>
      <w:bookmarkStart w:id="5106" w:name="_Toc179878381"/>
      <w:bookmarkStart w:id="5107" w:name="_Toc179808609"/>
      <w:bookmarkStart w:id="5108" w:name="_Toc179814288"/>
      <w:bookmarkStart w:id="5109" w:name="_Toc179819988"/>
      <w:bookmarkStart w:id="5110" w:name="_Toc179825688"/>
      <w:bookmarkStart w:id="5111" w:name="_Toc179831338"/>
      <w:bookmarkStart w:id="5112" w:name="_Toc179862868"/>
      <w:bookmarkStart w:id="5113" w:name="_Toc179869635"/>
      <w:bookmarkStart w:id="5114" w:name="_Toc179874028"/>
      <w:bookmarkStart w:id="5115" w:name="_Toc179878421"/>
      <w:bookmarkStart w:id="5116" w:name="_Toc179808614"/>
      <w:bookmarkStart w:id="5117" w:name="_Toc179814293"/>
      <w:bookmarkStart w:id="5118" w:name="_Toc179819993"/>
      <w:bookmarkStart w:id="5119" w:name="_Toc179825693"/>
      <w:bookmarkStart w:id="5120" w:name="_Toc179831343"/>
      <w:bookmarkStart w:id="5121" w:name="_Toc179862873"/>
      <w:bookmarkStart w:id="5122" w:name="_Toc179869640"/>
      <w:bookmarkStart w:id="5123" w:name="_Toc179874033"/>
      <w:bookmarkStart w:id="5124" w:name="_Toc179878426"/>
      <w:bookmarkStart w:id="5125" w:name="_Toc179808615"/>
      <w:bookmarkStart w:id="5126" w:name="_Toc179814294"/>
      <w:bookmarkStart w:id="5127" w:name="_Toc179819994"/>
      <w:bookmarkStart w:id="5128" w:name="_Toc179825694"/>
      <w:bookmarkStart w:id="5129" w:name="_Toc179831344"/>
      <w:bookmarkStart w:id="5130" w:name="_Toc179862874"/>
      <w:bookmarkStart w:id="5131" w:name="_Toc179869641"/>
      <w:bookmarkStart w:id="5132" w:name="_Toc179874034"/>
      <w:bookmarkStart w:id="5133" w:name="_Toc179878427"/>
      <w:bookmarkStart w:id="5134" w:name="_Toc179808616"/>
      <w:bookmarkStart w:id="5135" w:name="_Toc179814295"/>
      <w:bookmarkStart w:id="5136" w:name="_Toc179819995"/>
      <w:bookmarkStart w:id="5137" w:name="_Toc179825695"/>
      <w:bookmarkStart w:id="5138" w:name="_Toc179831345"/>
      <w:bookmarkStart w:id="5139" w:name="_Toc179862875"/>
      <w:bookmarkStart w:id="5140" w:name="_Toc179869642"/>
      <w:bookmarkStart w:id="5141" w:name="_Toc179874035"/>
      <w:bookmarkStart w:id="5142" w:name="_Toc179878428"/>
      <w:bookmarkStart w:id="5143" w:name="_Toc179808617"/>
      <w:bookmarkStart w:id="5144" w:name="_Toc179814296"/>
      <w:bookmarkStart w:id="5145" w:name="_Toc179819996"/>
      <w:bookmarkStart w:id="5146" w:name="_Toc179825696"/>
      <w:bookmarkStart w:id="5147" w:name="_Toc179831346"/>
      <w:bookmarkStart w:id="5148" w:name="_Toc179862876"/>
      <w:bookmarkStart w:id="5149" w:name="_Toc179869643"/>
      <w:bookmarkStart w:id="5150" w:name="_Toc179874036"/>
      <w:bookmarkStart w:id="5151" w:name="_Toc179878429"/>
      <w:bookmarkStart w:id="5152" w:name="_Toc179808618"/>
      <w:bookmarkStart w:id="5153" w:name="_Toc179814297"/>
      <w:bookmarkStart w:id="5154" w:name="_Toc179819997"/>
      <w:bookmarkStart w:id="5155" w:name="_Toc179825697"/>
      <w:bookmarkStart w:id="5156" w:name="_Toc179831347"/>
      <w:bookmarkStart w:id="5157" w:name="_Toc179862877"/>
      <w:bookmarkStart w:id="5158" w:name="_Toc179869644"/>
      <w:bookmarkStart w:id="5159" w:name="_Toc179874037"/>
      <w:bookmarkStart w:id="5160" w:name="_Toc179878430"/>
      <w:bookmarkStart w:id="5161" w:name="_Toc179808619"/>
      <w:bookmarkStart w:id="5162" w:name="_Toc179814298"/>
      <w:bookmarkStart w:id="5163" w:name="_Toc179819998"/>
      <w:bookmarkStart w:id="5164" w:name="_Toc179825698"/>
      <w:bookmarkStart w:id="5165" w:name="_Toc179831348"/>
      <w:bookmarkStart w:id="5166" w:name="_Toc179862878"/>
      <w:bookmarkStart w:id="5167" w:name="_Toc179869645"/>
      <w:bookmarkStart w:id="5168" w:name="_Toc179874038"/>
      <w:bookmarkStart w:id="5169" w:name="_Toc179878431"/>
      <w:bookmarkStart w:id="5170" w:name="_Toc179808620"/>
      <w:bookmarkStart w:id="5171" w:name="_Toc179814299"/>
      <w:bookmarkStart w:id="5172" w:name="_Toc179819999"/>
      <w:bookmarkStart w:id="5173" w:name="_Toc179825699"/>
      <w:bookmarkStart w:id="5174" w:name="_Toc179831349"/>
      <w:bookmarkStart w:id="5175" w:name="_Toc179862879"/>
      <w:bookmarkStart w:id="5176" w:name="_Toc179869646"/>
      <w:bookmarkStart w:id="5177" w:name="_Toc179874039"/>
      <w:bookmarkStart w:id="5178" w:name="_Toc179878432"/>
      <w:bookmarkStart w:id="5179" w:name="_Toc179808621"/>
      <w:bookmarkStart w:id="5180" w:name="_Toc179814300"/>
      <w:bookmarkStart w:id="5181" w:name="_Toc179820000"/>
      <w:bookmarkStart w:id="5182" w:name="_Toc179825700"/>
      <w:bookmarkStart w:id="5183" w:name="_Toc179831350"/>
      <w:bookmarkStart w:id="5184" w:name="_Toc179862880"/>
      <w:bookmarkStart w:id="5185" w:name="_Toc179869647"/>
      <w:bookmarkStart w:id="5186" w:name="_Toc179874040"/>
      <w:bookmarkStart w:id="5187" w:name="_Toc179878433"/>
      <w:bookmarkStart w:id="5188" w:name="_Toc179808622"/>
      <w:bookmarkStart w:id="5189" w:name="_Toc179814301"/>
      <w:bookmarkStart w:id="5190" w:name="_Toc179820001"/>
      <w:bookmarkStart w:id="5191" w:name="_Toc179825701"/>
      <w:bookmarkStart w:id="5192" w:name="_Toc179831351"/>
      <w:bookmarkStart w:id="5193" w:name="_Toc179862881"/>
      <w:bookmarkStart w:id="5194" w:name="_Toc179869648"/>
      <w:bookmarkStart w:id="5195" w:name="_Toc179874041"/>
      <w:bookmarkStart w:id="5196" w:name="_Toc179878434"/>
      <w:bookmarkStart w:id="5197" w:name="_Toc179808623"/>
      <w:bookmarkStart w:id="5198" w:name="_Toc179814302"/>
      <w:bookmarkStart w:id="5199" w:name="_Toc179820002"/>
      <w:bookmarkStart w:id="5200" w:name="_Toc179825702"/>
      <w:bookmarkStart w:id="5201" w:name="_Toc179831352"/>
      <w:bookmarkStart w:id="5202" w:name="_Toc179862882"/>
      <w:bookmarkStart w:id="5203" w:name="_Toc179869649"/>
      <w:bookmarkStart w:id="5204" w:name="_Toc179874042"/>
      <w:bookmarkStart w:id="5205" w:name="_Toc179878435"/>
      <w:bookmarkStart w:id="5206" w:name="_Toc179808624"/>
      <w:bookmarkStart w:id="5207" w:name="_Toc179814303"/>
      <w:bookmarkStart w:id="5208" w:name="_Toc179820003"/>
      <w:bookmarkStart w:id="5209" w:name="_Toc179825703"/>
      <w:bookmarkStart w:id="5210" w:name="_Toc179831353"/>
      <w:bookmarkStart w:id="5211" w:name="_Toc179862883"/>
      <w:bookmarkStart w:id="5212" w:name="_Toc179869650"/>
      <w:bookmarkStart w:id="5213" w:name="_Toc179874043"/>
      <w:bookmarkStart w:id="5214" w:name="_Toc179878436"/>
      <w:bookmarkStart w:id="5215" w:name="_Toc179808625"/>
      <w:bookmarkStart w:id="5216" w:name="_Toc179814304"/>
      <w:bookmarkStart w:id="5217" w:name="_Toc179820004"/>
      <w:bookmarkStart w:id="5218" w:name="_Toc179825704"/>
      <w:bookmarkStart w:id="5219" w:name="_Toc179831354"/>
      <w:bookmarkStart w:id="5220" w:name="_Toc179862884"/>
      <w:bookmarkStart w:id="5221" w:name="_Toc179869651"/>
      <w:bookmarkStart w:id="5222" w:name="_Toc179874044"/>
      <w:bookmarkStart w:id="5223" w:name="_Toc179878437"/>
      <w:bookmarkStart w:id="5224" w:name="_Toc179808626"/>
      <w:bookmarkStart w:id="5225" w:name="_Toc179814305"/>
      <w:bookmarkStart w:id="5226" w:name="_Toc179820005"/>
      <w:bookmarkStart w:id="5227" w:name="_Toc179825705"/>
      <w:bookmarkStart w:id="5228" w:name="_Toc179831355"/>
      <w:bookmarkStart w:id="5229" w:name="_Toc179862885"/>
      <w:bookmarkStart w:id="5230" w:name="_Toc179869652"/>
      <w:bookmarkStart w:id="5231" w:name="_Toc179874045"/>
      <w:bookmarkStart w:id="5232" w:name="_Toc179878438"/>
      <w:bookmarkStart w:id="5233" w:name="_Toc179808627"/>
      <w:bookmarkStart w:id="5234" w:name="_Toc179814306"/>
      <w:bookmarkStart w:id="5235" w:name="_Toc179820006"/>
      <w:bookmarkStart w:id="5236" w:name="_Toc179825706"/>
      <w:bookmarkStart w:id="5237" w:name="_Toc179831356"/>
      <w:bookmarkStart w:id="5238" w:name="_Toc179862886"/>
      <w:bookmarkStart w:id="5239" w:name="_Toc179869653"/>
      <w:bookmarkStart w:id="5240" w:name="_Toc179874046"/>
      <w:bookmarkStart w:id="5241" w:name="_Toc179878439"/>
      <w:bookmarkStart w:id="5242" w:name="_Toc179808628"/>
      <w:bookmarkStart w:id="5243" w:name="_Toc179814307"/>
      <w:bookmarkStart w:id="5244" w:name="_Toc179820007"/>
      <w:bookmarkStart w:id="5245" w:name="_Toc179825707"/>
      <w:bookmarkStart w:id="5246" w:name="_Toc179831357"/>
      <w:bookmarkStart w:id="5247" w:name="_Toc179862887"/>
      <w:bookmarkStart w:id="5248" w:name="_Toc179869654"/>
      <w:bookmarkStart w:id="5249" w:name="_Toc179874047"/>
      <w:bookmarkStart w:id="5250" w:name="_Toc179878440"/>
      <w:bookmarkStart w:id="5251" w:name="_Toc179808629"/>
      <w:bookmarkStart w:id="5252" w:name="_Toc179814308"/>
      <w:bookmarkStart w:id="5253" w:name="_Toc179820008"/>
      <w:bookmarkStart w:id="5254" w:name="_Toc179825708"/>
      <w:bookmarkStart w:id="5255" w:name="_Toc179831358"/>
      <w:bookmarkStart w:id="5256" w:name="_Toc179862888"/>
      <w:bookmarkStart w:id="5257" w:name="_Toc179869655"/>
      <w:bookmarkStart w:id="5258" w:name="_Toc179874048"/>
      <w:bookmarkStart w:id="5259" w:name="_Toc179878441"/>
      <w:bookmarkStart w:id="5260" w:name="_Toc179808630"/>
      <w:bookmarkStart w:id="5261" w:name="_Toc179814309"/>
      <w:bookmarkStart w:id="5262" w:name="_Toc179820009"/>
      <w:bookmarkStart w:id="5263" w:name="_Toc179825709"/>
      <w:bookmarkStart w:id="5264" w:name="_Toc179831359"/>
      <w:bookmarkStart w:id="5265" w:name="_Toc179862889"/>
      <w:bookmarkStart w:id="5266" w:name="_Toc179869656"/>
      <w:bookmarkStart w:id="5267" w:name="_Toc179874049"/>
      <w:bookmarkStart w:id="5268" w:name="_Toc179878442"/>
      <w:bookmarkStart w:id="5269" w:name="_Toc179808631"/>
      <w:bookmarkStart w:id="5270" w:name="_Toc179814310"/>
      <w:bookmarkStart w:id="5271" w:name="_Toc179820010"/>
      <w:bookmarkStart w:id="5272" w:name="_Toc179825710"/>
      <w:bookmarkStart w:id="5273" w:name="_Toc179831360"/>
      <w:bookmarkStart w:id="5274" w:name="_Toc179862890"/>
      <w:bookmarkStart w:id="5275" w:name="_Toc179869657"/>
      <w:bookmarkStart w:id="5276" w:name="_Toc179874050"/>
      <w:bookmarkStart w:id="5277" w:name="_Toc179878443"/>
      <w:bookmarkStart w:id="5278" w:name="_Toc179808632"/>
      <w:bookmarkStart w:id="5279" w:name="_Toc179814311"/>
      <w:bookmarkStart w:id="5280" w:name="_Toc179820011"/>
      <w:bookmarkStart w:id="5281" w:name="_Toc179825711"/>
      <w:bookmarkStart w:id="5282" w:name="_Toc179831361"/>
      <w:bookmarkStart w:id="5283" w:name="_Toc179862891"/>
      <w:bookmarkStart w:id="5284" w:name="_Toc179869658"/>
      <w:bookmarkStart w:id="5285" w:name="_Toc179874051"/>
      <w:bookmarkStart w:id="5286" w:name="_Toc179878444"/>
      <w:bookmarkStart w:id="5287" w:name="_Toc179808633"/>
      <w:bookmarkStart w:id="5288" w:name="_Toc179814312"/>
      <w:bookmarkStart w:id="5289" w:name="_Toc179820012"/>
      <w:bookmarkStart w:id="5290" w:name="_Toc179825712"/>
      <w:bookmarkStart w:id="5291" w:name="_Toc179831362"/>
      <w:bookmarkStart w:id="5292" w:name="_Toc179862892"/>
      <w:bookmarkStart w:id="5293" w:name="_Toc179869659"/>
      <w:bookmarkStart w:id="5294" w:name="_Toc179874052"/>
      <w:bookmarkStart w:id="5295" w:name="_Toc179878445"/>
      <w:bookmarkStart w:id="5296" w:name="_Toc179808634"/>
      <w:bookmarkStart w:id="5297" w:name="_Toc179814313"/>
      <w:bookmarkStart w:id="5298" w:name="_Toc179820013"/>
      <w:bookmarkStart w:id="5299" w:name="_Toc179825713"/>
      <w:bookmarkStart w:id="5300" w:name="_Toc179831363"/>
      <w:bookmarkStart w:id="5301" w:name="_Toc179862893"/>
      <w:bookmarkStart w:id="5302" w:name="_Toc179869660"/>
      <w:bookmarkStart w:id="5303" w:name="_Toc179874053"/>
      <w:bookmarkStart w:id="5304" w:name="_Toc179878446"/>
      <w:bookmarkStart w:id="5305" w:name="_Toc179808635"/>
      <w:bookmarkStart w:id="5306" w:name="_Toc179814314"/>
      <w:bookmarkStart w:id="5307" w:name="_Toc179820014"/>
      <w:bookmarkStart w:id="5308" w:name="_Toc179825714"/>
      <w:bookmarkStart w:id="5309" w:name="_Toc179831364"/>
      <w:bookmarkStart w:id="5310" w:name="_Toc179862894"/>
      <w:bookmarkStart w:id="5311" w:name="_Toc179869661"/>
      <w:bookmarkStart w:id="5312" w:name="_Toc179874054"/>
      <w:bookmarkStart w:id="5313" w:name="_Toc179878447"/>
      <w:bookmarkStart w:id="5314" w:name="_Toc179808636"/>
      <w:bookmarkStart w:id="5315" w:name="_Toc179814315"/>
      <w:bookmarkStart w:id="5316" w:name="_Toc179820015"/>
      <w:bookmarkStart w:id="5317" w:name="_Toc179825715"/>
      <w:bookmarkStart w:id="5318" w:name="_Toc179831365"/>
      <w:bookmarkStart w:id="5319" w:name="_Toc179862895"/>
      <w:bookmarkStart w:id="5320" w:name="_Toc179869662"/>
      <w:bookmarkStart w:id="5321" w:name="_Toc179874055"/>
      <w:bookmarkStart w:id="5322" w:name="_Toc179878448"/>
      <w:bookmarkStart w:id="5323" w:name="_Toc179808637"/>
      <w:bookmarkStart w:id="5324" w:name="_Toc179814316"/>
      <w:bookmarkStart w:id="5325" w:name="_Toc179820016"/>
      <w:bookmarkStart w:id="5326" w:name="_Toc179825716"/>
      <w:bookmarkStart w:id="5327" w:name="_Toc179831366"/>
      <w:bookmarkStart w:id="5328" w:name="_Toc179862896"/>
      <w:bookmarkStart w:id="5329" w:name="_Toc179869663"/>
      <w:bookmarkStart w:id="5330" w:name="_Toc179874056"/>
      <w:bookmarkStart w:id="5331" w:name="_Toc179878449"/>
      <w:bookmarkStart w:id="5332" w:name="_Toc179808638"/>
      <w:bookmarkStart w:id="5333" w:name="_Toc179814317"/>
      <w:bookmarkStart w:id="5334" w:name="_Toc179820017"/>
      <w:bookmarkStart w:id="5335" w:name="_Toc179825717"/>
      <w:bookmarkStart w:id="5336" w:name="_Toc179831367"/>
      <w:bookmarkStart w:id="5337" w:name="_Toc179862897"/>
      <w:bookmarkStart w:id="5338" w:name="_Toc179869664"/>
      <w:bookmarkStart w:id="5339" w:name="_Toc179874057"/>
      <w:bookmarkStart w:id="5340" w:name="_Toc179878450"/>
      <w:bookmarkStart w:id="5341" w:name="_Toc179808639"/>
      <w:bookmarkStart w:id="5342" w:name="_Toc179814318"/>
      <w:bookmarkStart w:id="5343" w:name="_Toc179820018"/>
      <w:bookmarkStart w:id="5344" w:name="_Toc179825718"/>
      <w:bookmarkStart w:id="5345" w:name="_Toc179831368"/>
      <w:bookmarkStart w:id="5346" w:name="_Toc179862898"/>
      <w:bookmarkStart w:id="5347" w:name="_Toc179869665"/>
      <w:bookmarkStart w:id="5348" w:name="_Toc179874058"/>
      <w:bookmarkStart w:id="5349" w:name="_Toc179878451"/>
      <w:bookmarkStart w:id="5350" w:name="_Toc179808640"/>
      <w:bookmarkStart w:id="5351" w:name="_Toc179814319"/>
      <w:bookmarkStart w:id="5352" w:name="_Toc179820019"/>
      <w:bookmarkStart w:id="5353" w:name="_Toc179825719"/>
      <w:bookmarkStart w:id="5354" w:name="_Toc179831369"/>
      <w:bookmarkStart w:id="5355" w:name="_Toc179862899"/>
      <w:bookmarkStart w:id="5356" w:name="_Toc179869666"/>
      <w:bookmarkStart w:id="5357" w:name="_Toc179874059"/>
      <w:bookmarkStart w:id="5358" w:name="_Toc179878452"/>
      <w:bookmarkStart w:id="5359" w:name="_Toc179808641"/>
      <w:bookmarkStart w:id="5360" w:name="_Toc179814320"/>
      <w:bookmarkStart w:id="5361" w:name="_Toc179820020"/>
      <w:bookmarkStart w:id="5362" w:name="_Toc179825720"/>
      <w:bookmarkStart w:id="5363" w:name="_Toc179831370"/>
      <w:bookmarkStart w:id="5364" w:name="_Toc179862900"/>
      <w:bookmarkStart w:id="5365" w:name="_Toc179869667"/>
      <w:bookmarkStart w:id="5366" w:name="_Toc179874060"/>
      <w:bookmarkStart w:id="5367" w:name="_Toc179878453"/>
      <w:bookmarkStart w:id="5368" w:name="_Toc179808642"/>
      <w:bookmarkStart w:id="5369" w:name="_Toc179814321"/>
      <w:bookmarkStart w:id="5370" w:name="_Toc179820021"/>
      <w:bookmarkStart w:id="5371" w:name="_Toc179825721"/>
      <w:bookmarkStart w:id="5372" w:name="_Toc179831371"/>
      <w:bookmarkStart w:id="5373" w:name="_Toc179862901"/>
      <w:bookmarkStart w:id="5374" w:name="_Toc179869668"/>
      <w:bookmarkStart w:id="5375" w:name="_Toc179874061"/>
      <w:bookmarkStart w:id="5376" w:name="_Toc179878454"/>
      <w:bookmarkStart w:id="5377" w:name="_Toc179808643"/>
      <w:bookmarkStart w:id="5378" w:name="_Toc179814322"/>
      <w:bookmarkStart w:id="5379" w:name="_Toc179820022"/>
      <w:bookmarkStart w:id="5380" w:name="_Toc179825722"/>
      <w:bookmarkStart w:id="5381" w:name="_Toc179831372"/>
      <w:bookmarkStart w:id="5382" w:name="_Toc179862902"/>
      <w:bookmarkStart w:id="5383" w:name="_Toc179869669"/>
      <w:bookmarkStart w:id="5384" w:name="_Toc179874062"/>
      <w:bookmarkStart w:id="5385" w:name="_Toc179878455"/>
      <w:bookmarkStart w:id="5386" w:name="_Toc179808644"/>
      <w:bookmarkStart w:id="5387" w:name="_Toc179814323"/>
      <w:bookmarkStart w:id="5388" w:name="_Toc179820023"/>
      <w:bookmarkStart w:id="5389" w:name="_Toc179825723"/>
      <w:bookmarkStart w:id="5390" w:name="_Toc179831373"/>
      <w:bookmarkStart w:id="5391" w:name="_Toc179862903"/>
      <w:bookmarkStart w:id="5392" w:name="_Toc179869670"/>
      <w:bookmarkStart w:id="5393" w:name="_Toc179874063"/>
      <w:bookmarkStart w:id="5394" w:name="_Toc179878456"/>
      <w:bookmarkStart w:id="5395" w:name="_Toc179808645"/>
      <w:bookmarkStart w:id="5396" w:name="_Toc179814324"/>
      <w:bookmarkStart w:id="5397" w:name="_Toc179820024"/>
      <w:bookmarkStart w:id="5398" w:name="_Toc179825724"/>
      <w:bookmarkStart w:id="5399" w:name="_Toc179831374"/>
      <w:bookmarkStart w:id="5400" w:name="_Toc179862904"/>
      <w:bookmarkStart w:id="5401" w:name="_Toc179869671"/>
      <w:bookmarkStart w:id="5402" w:name="_Toc179874064"/>
      <w:bookmarkStart w:id="5403" w:name="_Toc179878457"/>
      <w:bookmarkStart w:id="5404" w:name="_Toc179808646"/>
      <w:bookmarkStart w:id="5405" w:name="_Toc179814325"/>
      <w:bookmarkStart w:id="5406" w:name="_Toc179820025"/>
      <w:bookmarkStart w:id="5407" w:name="_Toc179825725"/>
      <w:bookmarkStart w:id="5408" w:name="_Toc179831375"/>
      <w:bookmarkStart w:id="5409" w:name="_Toc179862905"/>
      <w:bookmarkStart w:id="5410" w:name="_Toc179869672"/>
      <w:bookmarkStart w:id="5411" w:name="_Toc179874065"/>
      <w:bookmarkStart w:id="5412" w:name="_Toc179878458"/>
      <w:bookmarkStart w:id="5413" w:name="_Toc179808647"/>
      <w:bookmarkStart w:id="5414" w:name="_Toc179814326"/>
      <w:bookmarkStart w:id="5415" w:name="_Toc179820026"/>
      <w:bookmarkStart w:id="5416" w:name="_Toc179825726"/>
      <w:bookmarkStart w:id="5417" w:name="_Toc179831376"/>
      <w:bookmarkStart w:id="5418" w:name="_Toc179862906"/>
      <w:bookmarkStart w:id="5419" w:name="_Toc179869673"/>
      <w:bookmarkStart w:id="5420" w:name="_Toc179874066"/>
      <w:bookmarkStart w:id="5421" w:name="_Toc179878459"/>
      <w:bookmarkStart w:id="5422" w:name="_Toc179808648"/>
      <w:bookmarkStart w:id="5423" w:name="_Toc179814327"/>
      <w:bookmarkStart w:id="5424" w:name="_Toc179820027"/>
      <w:bookmarkStart w:id="5425" w:name="_Toc179825727"/>
      <w:bookmarkStart w:id="5426" w:name="_Toc179831377"/>
      <w:bookmarkStart w:id="5427" w:name="_Toc179862907"/>
      <w:bookmarkStart w:id="5428" w:name="_Toc179869674"/>
      <w:bookmarkStart w:id="5429" w:name="_Toc179874067"/>
      <w:bookmarkStart w:id="5430" w:name="_Toc179878460"/>
      <w:bookmarkStart w:id="5431" w:name="_Toc179808649"/>
      <w:bookmarkStart w:id="5432" w:name="_Toc179814328"/>
      <w:bookmarkStart w:id="5433" w:name="_Toc179820028"/>
      <w:bookmarkStart w:id="5434" w:name="_Toc179825728"/>
      <w:bookmarkStart w:id="5435" w:name="_Toc179831378"/>
      <w:bookmarkStart w:id="5436" w:name="_Toc179862908"/>
      <w:bookmarkStart w:id="5437" w:name="_Toc179869675"/>
      <w:bookmarkStart w:id="5438" w:name="_Toc179874068"/>
      <w:bookmarkStart w:id="5439" w:name="_Toc179878461"/>
      <w:bookmarkStart w:id="5440" w:name="_Toc179808650"/>
      <w:bookmarkStart w:id="5441" w:name="_Toc179814329"/>
      <w:bookmarkStart w:id="5442" w:name="_Toc179820029"/>
      <w:bookmarkStart w:id="5443" w:name="_Toc179825729"/>
      <w:bookmarkStart w:id="5444" w:name="_Toc179831379"/>
      <w:bookmarkStart w:id="5445" w:name="_Toc179862909"/>
      <w:bookmarkStart w:id="5446" w:name="_Toc179869676"/>
      <w:bookmarkStart w:id="5447" w:name="_Toc179874069"/>
      <w:bookmarkStart w:id="5448" w:name="_Toc179878462"/>
      <w:bookmarkStart w:id="5449" w:name="_Toc179808651"/>
      <w:bookmarkStart w:id="5450" w:name="_Toc179814330"/>
      <w:bookmarkStart w:id="5451" w:name="_Toc179820030"/>
      <w:bookmarkStart w:id="5452" w:name="_Toc179825730"/>
      <w:bookmarkStart w:id="5453" w:name="_Toc179831380"/>
      <w:bookmarkStart w:id="5454" w:name="_Toc179862910"/>
      <w:bookmarkStart w:id="5455" w:name="_Toc179869677"/>
      <w:bookmarkStart w:id="5456" w:name="_Toc179874070"/>
      <w:bookmarkStart w:id="5457" w:name="_Toc179878463"/>
      <w:bookmarkStart w:id="5458" w:name="_Toc179808652"/>
      <w:bookmarkStart w:id="5459" w:name="_Toc179814331"/>
      <w:bookmarkStart w:id="5460" w:name="_Toc179820031"/>
      <w:bookmarkStart w:id="5461" w:name="_Toc179825731"/>
      <w:bookmarkStart w:id="5462" w:name="_Toc179831381"/>
      <w:bookmarkStart w:id="5463" w:name="_Toc179862911"/>
      <w:bookmarkStart w:id="5464" w:name="_Toc179869678"/>
      <w:bookmarkStart w:id="5465" w:name="_Toc179874071"/>
      <w:bookmarkStart w:id="5466" w:name="_Toc179878464"/>
      <w:bookmarkStart w:id="5467" w:name="_Toc179808653"/>
      <w:bookmarkStart w:id="5468" w:name="_Toc179814332"/>
      <w:bookmarkStart w:id="5469" w:name="_Toc179820032"/>
      <w:bookmarkStart w:id="5470" w:name="_Toc179825732"/>
      <w:bookmarkStart w:id="5471" w:name="_Toc179831382"/>
      <w:bookmarkStart w:id="5472" w:name="_Toc179862912"/>
      <w:bookmarkStart w:id="5473" w:name="_Toc179869679"/>
      <w:bookmarkStart w:id="5474" w:name="_Toc179874072"/>
      <w:bookmarkStart w:id="5475" w:name="_Toc179878465"/>
      <w:bookmarkStart w:id="5476" w:name="_Toc179808654"/>
      <w:bookmarkStart w:id="5477" w:name="_Toc179814333"/>
      <w:bookmarkStart w:id="5478" w:name="_Toc179820033"/>
      <w:bookmarkStart w:id="5479" w:name="_Toc179825733"/>
      <w:bookmarkStart w:id="5480" w:name="_Toc179831383"/>
      <w:bookmarkStart w:id="5481" w:name="_Toc179862913"/>
      <w:bookmarkStart w:id="5482" w:name="_Toc179869680"/>
      <w:bookmarkStart w:id="5483" w:name="_Toc179874073"/>
      <w:bookmarkStart w:id="5484" w:name="_Toc179878466"/>
      <w:bookmarkStart w:id="5485" w:name="_Toc179808655"/>
      <w:bookmarkStart w:id="5486" w:name="_Toc179814334"/>
      <w:bookmarkStart w:id="5487" w:name="_Toc179820034"/>
      <w:bookmarkStart w:id="5488" w:name="_Toc179825734"/>
      <w:bookmarkStart w:id="5489" w:name="_Toc179831384"/>
      <w:bookmarkStart w:id="5490" w:name="_Toc179862914"/>
      <w:bookmarkStart w:id="5491" w:name="_Toc179869681"/>
      <w:bookmarkStart w:id="5492" w:name="_Toc179874074"/>
      <w:bookmarkStart w:id="5493" w:name="_Toc179878467"/>
      <w:bookmarkStart w:id="5494" w:name="_Toc179808656"/>
      <w:bookmarkStart w:id="5495" w:name="_Toc179814335"/>
      <w:bookmarkStart w:id="5496" w:name="_Toc179820035"/>
      <w:bookmarkStart w:id="5497" w:name="_Toc179825735"/>
      <w:bookmarkStart w:id="5498" w:name="_Toc179831385"/>
      <w:bookmarkStart w:id="5499" w:name="_Toc179862915"/>
      <w:bookmarkStart w:id="5500" w:name="_Toc179869682"/>
      <w:bookmarkStart w:id="5501" w:name="_Toc179874075"/>
      <w:bookmarkStart w:id="5502" w:name="_Toc179878468"/>
      <w:bookmarkStart w:id="5503" w:name="_Toc179808657"/>
      <w:bookmarkStart w:id="5504" w:name="_Toc179814336"/>
      <w:bookmarkStart w:id="5505" w:name="_Toc179820036"/>
      <w:bookmarkStart w:id="5506" w:name="_Toc179825736"/>
      <w:bookmarkStart w:id="5507" w:name="_Toc179831386"/>
      <w:bookmarkStart w:id="5508" w:name="_Toc179862916"/>
      <w:bookmarkStart w:id="5509" w:name="_Toc179869683"/>
      <w:bookmarkStart w:id="5510" w:name="_Toc179874076"/>
      <w:bookmarkStart w:id="5511" w:name="_Toc179878469"/>
      <w:bookmarkStart w:id="5512" w:name="_Toc179808658"/>
      <w:bookmarkStart w:id="5513" w:name="_Toc179814337"/>
      <w:bookmarkStart w:id="5514" w:name="_Toc179820037"/>
      <w:bookmarkStart w:id="5515" w:name="_Toc179825737"/>
      <w:bookmarkStart w:id="5516" w:name="_Toc179831387"/>
      <w:bookmarkStart w:id="5517" w:name="_Toc179862917"/>
      <w:bookmarkStart w:id="5518" w:name="_Toc179869684"/>
      <w:bookmarkStart w:id="5519" w:name="_Toc179874077"/>
      <w:bookmarkStart w:id="5520" w:name="_Toc179878470"/>
      <w:bookmarkStart w:id="5521" w:name="_Toc179808659"/>
      <w:bookmarkStart w:id="5522" w:name="_Toc179814338"/>
      <w:bookmarkStart w:id="5523" w:name="_Toc179820038"/>
      <w:bookmarkStart w:id="5524" w:name="_Toc179825738"/>
      <w:bookmarkStart w:id="5525" w:name="_Toc179831388"/>
      <w:bookmarkStart w:id="5526" w:name="_Toc179862918"/>
      <w:bookmarkStart w:id="5527" w:name="_Toc179869685"/>
      <w:bookmarkStart w:id="5528" w:name="_Toc179874078"/>
      <w:bookmarkStart w:id="5529" w:name="_Toc179878471"/>
      <w:bookmarkStart w:id="5530" w:name="_Toc179808660"/>
      <w:bookmarkStart w:id="5531" w:name="_Toc179814339"/>
      <w:bookmarkStart w:id="5532" w:name="_Toc179820039"/>
      <w:bookmarkStart w:id="5533" w:name="_Toc179825739"/>
      <w:bookmarkStart w:id="5534" w:name="_Toc179831389"/>
      <w:bookmarkStart w:id="5535" w:name="_Toc179862919"/>
      <w:bookmarkStart w:id="5536" w:name="_Toc179869686"/>
      <w:bookmarkStart w:id="5537" w:name="_Toc179874079"/>
      <w:bookmarkStart w:id="5538" w:name="_Toc179878472"/>
      <w:bookmarkStart w:id="5539" w:name="_Toc179808661"/>
      <w:bookmarkStart w:id="5540" w:name="_Toc179814340"/>
      <w:bookmarkStart w:id="5541" w:name="_Toc179820040"/>
      <w:bookmarkStart w:id="5542" w:name="_Toc179825740"/>
      <w:bookmarkStart w:id="5543" w:name="_Toc179831390"/>
      <w:bookmarkStart w:id="5544" w:name="_Toc179862920"/>
      <w:bookmarkStart w:id="5545" w:name="_Toc179869687"/>
      <w:bookmarkStart w:id="5546" w:name="_Toc179874080"/>
      <w:bookmarkStart w:id="5547" w:name="_Toc179878473"/>
      <w:bookmarkStart w:id="5548" w:name="_Toc179808662"/>
      <w:bookmarkStart w:id="5549" w:name="_Toc179814341"/>
      <w:bookmarkStart w:id="5550" w:name="_Toc179820041"/>
      <w:bookmarkStart w:id="5551" w:name="_Toc179825741"/>
      <w:bookmarkStart w:id="5552" w:name="_Toc179831391"/>
      <w:bookmarkStart w:id="5553" w:name="_Toc179862921"/>
      <w:bookmarkStart w:id="5554" w:name="_Toc179869688"/>
      <w:bookmarkStart w:id="5555" w:name="_Toc179874081"/>
      <w:bookmarkStart w:id="5556" w:name="_Toc179878474"/>
      <w:bookmarkStart w:id="5557" w:name="_Toc179808663"/>
      <w:bookmarkStart w:id="5558" w:name="_Toc179814342"/>
      <w:bookmarkStart w:id="5559" w:name="_Toc179820042"/>
      <w:bookmarkStart w:id="5560" w:name="_Toc179825742"/>
      <w:bookmarkStart w:id="5561" w:name="_Toc179831392"/>
      <w:bookmarkStart w:id="5562" w:name="_Toc179862922"/>
      <w:bookmarkStart w:id="5563" w:name="_Toc179869689"/>
      <w:bookmarkStart w:id="5564" w:name="_Toc179874082"/>
      <w:bookmarkStart w:id="5565" w:name="_Toc179878475"/>
      <w:bookmarkStart w:id="5566" w:name="_Toc179808664"/>
      <w:bookmarkStart w:id="5567" w:name="_Toc179814343"/>
      <w:bookmarkStart w:id="5568" w:name="_Toc179820043"/>
      <w:bookmarkStart w:id="5569" w:name="_Toc179825743"/>
      <w:bookmarkStart w:id="5570" w:name="_Toc179831393"/>
      <w:bookmarkStart w:id="5571" w:name="_Toc179862923"/>
      <w:bookmarkStart w:id="5572" w:name="_Toc179869690"/>
      <w:bookmarkStart w:id="5573" w:name="_Toc179874083"/>
      <w:bookmarkStart w:id="5574" w:name="_Toc179878476"/>
      <w:bookmarkStart w:id="5575" w:name="_Toc179808665"/>
      <w:bookmarkStart w:id="5576" w:name="_Toc179814344"/>
      <w:bookmarkStart w:id="5577" w:name="_Toc179820044"/>
      <w:bookmarkStart w:id="5578" w:name="_Toc179825744"/>
      <w:bookmarkStart w:id="5579" w:name="_Toc179831394"/>
      <w:bookmarkStart w:id="5580" w:name="_Toc179862924"/>
      <w:bookmarkStart w:id="5581" w:name="_Toc179869691"/>
      <w:bookmarkStart w:id="5582" w:name="_Toc179874084"/>
      <w:bookmarkStart w:id="5583" w:name="_Toc179878477"/>
      <w:bookmarkStart w:id="5584" w:name="_Toc179808666"/>
      <w:bookmarkStart w:id="5585" w:name="_Toc179814345"/>
      <w:bookmarkStart w:id="5586" w:name="_Toc179820045"/>
      <w:bookmarkStart w:id="5587" w:name="_Toc179825745"/>
      <w:bookmarkStart w:id="5588" w:name="_Toc179831395"/>
      <w:bookmarkStart w:id="5589" w:name="_Toc179862925"/>
      <w:bookmarkStart w:id="5590" w:name="_Toc179869692"/>
      <w:bookmarkStart w:id="5591" w:name="_Toc179874085"/>
      <w:bookmarkStart w:id="5592" w:name="_Toc179878478"/>
      <w:bookmarkStart w:id="5593" w:name="_Toc179808667"/>
      <w:bookmarkStart w:id="5594" w:name="_Toc179814346"/>
      <w:bookmarkStart w:id="5595" w:name="_Toc179820046"/>
      <w:bookmarkStart w:id="5596" w:name="_Toc179825746"/>
      <w:bookmarkStart w:id="5597" w:name="_Toc179831396"/>
      <w:bookmarkStart w:id="5598" w:name="_Toc179862926"/>
      <w:bookmarkStart w:id="5599" w:name="_Toc179869693"/>
      <w:bookmarkStart w:id="5600" w:name="_Toc179874086"/>
      <w:bookmarkStart w:id="5601" w:name="_Toc179878479"/>
      <w:bookmarkStart w:id="5602" w:name="_Toc179808668"/>
      <w:bookmarkStart w:id="5603" w:name="_Toc179814347"/>
      <w:bookmarkStart w:id="5604" w:name="_Toc179820047"/>
      <w:bookmarkStart w:id="5605" w:name="_Toc179825747"/>
      <w:bookmarkStart w:id="5606" w:name="_Toc179831397"/>
      <w:bookmarkStart w:id="5607" w:name="_Toc179862927"/>
      <w:bookmarkStart w:id="5608" w:name="_Toc179869694"/>
      <w:bookmarkStart w:id="5609" w:name="_Toc179874087"/>
      <w:bookmarkStart w:id="5610" w:name="_Toc179878480"/>
      <w:bookmarkStart w:id="5611" w:name="_Toc179808669"/>
      <w:bookmarkStart w:id="5612" w:name="_Toc179814348"/>
      <w:bookmarkStart w:id="5613" w:name="_Toc179820048"/>
      <w:bookmarkStart w:id="5614" w:name="_Toc179825748"/>
      <w:bookmarkStart w:id="5615" w:name="_Toc179831398"/>
      <w:bookmarkStart w:id="5616" w:name="_Toc179862928"/>
      <w:bookmarkStart w:id="5617" w:name="_Toc179869695"/>
      <w:bookmarkStart w:id="5618" w:name="_Toc179874088"/>
      <w:bookmarkStart w:id="5619" w:name="_Toc179878481"/>
      <w:bookmarkStart w:id="5620" w:name="_Toc179808670"/>
      <w:bookmarkStart w:id="5621" w:name="_Toc179814349"/>
      <w:bookmarkStart w:id="5622" w:name="_Toc179820049"/>
      <w:bookmarkStart w:id="5623" w:name="_Toc179825749"/>
      <w:bookmarkStart w:id="5624" w:name="_Toc179831399"/>
      <w:bookmarkStart w:id="5625" w:name="_Toc179862929"/>
      <w:bookmarkStart w:id="5626" w:name="_Toc179869696"/>
      <w:bookmarkStart w:id="5627" w:name="_Toc179874089"/>
      <w:bookmarkStart w:id="5628" w:name="_Toc179878482"/>
      <w:bookmarkStart w:id="5629" w:name="_Toc179808671"/>
      <w:bookmarkStart w:id="5630" w:name="_Toc179814350"/>
      <w:bookmarkStart w:id="5631" w:name="_Toc179820050"/>
      <w:bookmarkStart w:id="5632" w:name="_Toc179825750"/>
      <w:bookmarkStart w:id="5633" w:name="_Toc179831400"/>
      <w:bookmarkStart w:id="5634" w:name="_Toc179862930"/>
      <w:bookmarkStart w:id="5635" w:name="_Toc179869697"/>
      <w:bookmarkStart w:id="5636" w:name="_Toc179874090"/>
      <w:bookmarkStart w:id="5637" w:name="_Toc179878483"/>
      <w:bookmarkStart w:id="5638" w:name="_Toc179808672"/>
      <w:bookmarkStart w:id="5639" w:name="_Toc179814351"/>
      <w:bookmarkStart w:id="5640" w:name="_Toc179820051"/>
      <w:bookmarkStart w:id="5641" w:name="_Toc179825751"/>
      <w:bookmarkStart w:id="5642" w:name="_Toc179831401"/>
      <w:bookmarkStart w:id="5643" w:name="_Toc179862931"/>
      <w:bookmarkStart w:id="5644" w:name="_Toc179869698"/>
      <w:bookmarkStart w:id="5645" w:name="_Toc179874091"/>
      <w:bookmarkStart w:id="5646" w:name="_Toc179878484"/>
      <w:bookmarkStart w:id="5647" w:name="_Toc179808673"/>
      <w:bookmarkStart w:id="5648" w:name="_Toc179814352"/>
      <w:bookmarkStart w:id="5649" w:name="_Toc179820052"/>
      <w:bookmarkStart w:id="5650" w:name="_Toc179825752"/>
      <w:bookmarkStart w:id="5651" w:name="_Toc179831402"/>
      <w:bookmarkStart w:id="5652" w:name="_Toc179862932"/>
      <w:bookmarkStart w:id="5653" w:name="_Toc179869699"/>
      <w:bookmarkStart w:id="5654" w:name="_Toc179874092"/>
      <w:bookmarkStart w:id="5655" w:name="_Toc179878485"/>
      <w:bookmarkStart w:id="5656" w:name="_Toc179808674"/>
      <w:bookmarkStart w:id="5657" w:name="_Toc179814353"/>
      <w:bookmarkStart w:id="5658" w:name="_Toc179820053"/>
      <w:bookmarkStart w:id="5659" w:name="_Toc179825753"/>
      <w:bookmarkStart w:id="5660" w:name="_Toc179831403"/>
      <w:bookmarkStart w:id="5661" w:name="_Toc179862933"/>
      <w:bookmarkStart w:id="5662" w:name="_Toc179869700"/>
      <w:bookmarkStart w:id="5663" w:name="_Toc179874093"/>
      <w:bookmarkStart w:id="5664" w:name="_Toc179878486"/>
      <w:bookmarkStart w:id="5665" w:name="_Toc179808675"/>
      <w:bookmarkStart w:id="5666" w:name="_Toc179814354"/>
      <w:bookmarkStart w:id="5667" w:name="_Toc179820054"/>
      <w:bookmarkStart w:id="5668" w:name="_Toc179825754"/>
      <w:bookmarkStart w:id="5669" w:name="_Toc179831404"/>
      <w:bookmarkStart w:id="5670" w:name="_Toc179862934"/>
      <w:bookmarkStart w:id="5671" w:name="_Toc179869701"/>
      <w:bookmarkStart w:id="5672" w:name="_Toc179874094"/>
      <w:bookmarkStart w:id="5673" w:name="_Toc179878487"/>
      <w:bookmarkStart w:id="5674" w:name="_Toc179808676"/>
      <w:bookmarkStart w:id="5675" w:name="_Toc179814355"/>
      <w:bookmarkStart w:id="5676" w:name="_Toc179820055"/>
      <w:bookmarkStart w:id="5677" w:name="_Toc179825755"/>
      <w:bookmarkStart w:id="5678" w:name="_Toc179831405"/>
      <w:bookmarkStart w:id="5679" w:name="_Toc179862935"/>
      <w:bookmarkStart w:id="5680" w:name="_Toc179869702"/>
      <w:bookmarkStart w:id="5681" w:name="_Toc179874095"/>
      <w:bookmarkStart w:id="5682" w:name="_Toc179878488"/>
      <w:bookmarkStart w:id="5683" w:name="_Toc179808677"/>
      <w:bookmarkStart w:id="5684" w:name="_Toc179814356"/>
      <w:bookmarkStart w:id="5685" w:name="_Toc179820056"/>
      <w:bookmarkStart w:id="5686" w:name="_Toc179825756"/>
      <w:bookmarkStart w:id="5687" w:name="_Toc179831406"/>
      <w:bookmarkStart w:id="5688" w:name="_Toc179862936"/>
      <w:bookmarkStart w:id="5689" w:name="_Toc179869703"/>
      <w:bookmarkStart w:id="5690" w:name="_Toc179874096"/>
      <w:bookmarkStart w:id="5691" w:name="_Toc179878489"/>
      <w:bookmarkStart w:id="5692" w:name="_Toc179808678"/>
      <w:bookmarkStart w:id="5693" w:name="_Toc179814357"/>
      <w:bookmarkStart w:id="5694" w:name="_Toc179820057"/>
      <w:bookmarkStart w:id="5695" w:name="_Toc179825757"/>
      <w:bookmarkStart w:id="5696" w:name="_Toc179831407"/>
      <w:bookmarkStart w:id="5697" w:name="_Toc179862937"/>
      <w:bookmarkStart w:id="5698" w:name="_Toc179869704"/>
      <w:bookmarkStart w:id="5699" w:name="_Toc179874097"/>
      <w:bookmarkStart w:id="5700" w:name="_Toc179878490"/>
      <w:bookmarkStart w:id="5701" w:name="_Toc179808679"/>
      <w:bookmarkStart w:id="5702" w:name="_Toc179814358"/>
      <w:bookmarkStart w:id="5703" w:name="_Toc179820058"/>
      <w:bookmarkStart w:id="5704" w:name="_Toc179825758"/>
      <w:bookmarkStart w:id="5705" w:name="_Toc179831408"/>
      <w:bookmarkStart w:id="5706" w:name="_Toc179862938"/>
      <w:bookmarkStart w:id="5707" w:name="_Toc179869705"/>
      <w:bookmarkStart w:id="5708" w:name="_Toc179874098"/>
      <w:bookmarkStart w:id="5709" w:name="_Toc179878491"/>
      <w:bookmarkStart w:id="5710" w:name="_Toc179808680"/>
      <w:bookmarkStart w:id="5711" w:name="_Toc179814359"/>
      <w:bookmarkStart w:id="5712" w:name="_Toc179820059"/>
      <w:bookmarkStart w:id="5713" w:name="_Toc179825759"/>
      <w:bookmarkStart w:id="5714" w:name="_Toc179831409"/>
      <w:bookmarkStart w:id="5715" w:name="_Toc179862939"/>
      <w:bookmarkStart w:id="5716" w:name="_Toc179869706"/>
      <w:bookmarkStart w:id="5717" w:name="_Toc179874099"/>
      <w:bookmarkStart w:id="5718" w:name="_Toc179878492"/>
      <w:bookmarkStart w:id="5719" w:name="_Toc179808681"/>
      <w:bookmarkStart w:id="5720" w:name="_Toc179814360"/>
      <w:bookmarkStart w:id="5721" w:name="_Toc179820060"/>
      <w:bookmarkStart w:id="5722" w:name="_Toc179825760"/>
      <w:bookmarkStart w:id="5723" w:name="_Toc179831410"/>
      <w:bookmarkStart w:id="5724" w:name="_Toc179862940"/>
      <w:bookmarkStart w:id="5725" w:name="_Toc179869707"/>
      <w:bookmarkStart w:id="5726" w:name="_Toc179874100"/>
      <w:bookmarkStart w:id="5727" w:name="_Toc179878493"/>
      <w:bookmarkStart w:id="5728" w:name="_Toc179808682"/>
      <w:bookmarkStart w:id="5729" w:name="_Toc179814361"/>
      <w:bookmarkStart w:id="5730" w:name="_Toc179820061"/>
      <w:bookmarkStart w:id="5731" w:name="_Toc179825761"/>
      <w:bookmarkStart w:id="5732" w:name="_Toc179831411"/>
      <w:bookmarkStart w:id="5733" w:name="_Toc179862941"/>
      <w:bookmarkStart w:id="5734" w:name="_Toc179869708"/>
      <w:bookmarkStart w:id="5735" w:name="_Toc179874101"/>
      <w:bookmarkStart w:id="5736" w:name="_Toc179878494"/>
      <w:bookmarkStart w:id="5737" w:name="_Toc179808683"/>
      <w:bookmarkStart w:id="5738" w:name="_Toc179814362"/>
      <w:bookmarkStart w:id="5739" w:name="_Toc179820062"/>
      <w:bookmarkStart w:id="5740" w:name="_Toc179825762"/>
      <w:bookmarkStart w:id="5741" w:name="_Toc179831412"/>
      <w:bookmarkStart w:id="5742" w:name="_Toc179862942"/>
      <w:bookmarkStart w:id="5743" w:name="_Toc179869709"/>
      <w:bookmarkStart w:id="5744" w:name="_Toc179874102"/>
      <w:bookmarkStart w:id="5745" w:name="_Toc179878495"/>
      <w:bookmarkStart w:id="5746" w:name="_Toc179808684"/>
      <w:bookmarkStart w:id="5747" w:name="_Toc179814363"/>
      <w:bookmarkStart w:id="5748" w:name="_Toc179820063"/>
      <w:bookmarkStart w:id="5749" w:name="_Toc179825763"/>
      <w:bookmarkStart w:id="5750" w:name="_Toc179831413"/>
      <w:bookmarkStart w:id="5751" w:name="_Toc179862943"/>
      <w:bookmarkStart w:id="5752" w:name="_Toc179869710"/>
      <w:bookmarkStart w:id="5753" w:name="_Toc179874103"/>
      <w:bookmarkStart w:id="5754" w:name="_Toc179878496"/>
      <w:bookmarkStart w:id="5755" w:name="_Toc179808685"/>
      <w:bookmarkStart w:id="5756" w:name="_Toc179814364"/>
      <w:bookmarkStart w:id="5757" w:name="_Toc179820064"/>
      <w:bookmarkStart w:id="5758" w:name="_Toc179825764"/>
      <w:bookmarkStart w:id="5759" w:name="_Toc179831414"/>
      <w:bookmarkStart w:id="5760" w:name="_Toc179862944"/>
      <w:bookmarkStart w:id="5761" w:name="_Toc179869711"/>
      <w:bookmarkStart w:id="5762" w:name="_Toc179874104"/>
      <w:bookmarkStart w:id="5763" w:name="_Toc179878497"/>
      <w:bookmarkStart w:id="5764" w:name="_Toc179808686"/>
      <w:bookmarkStart w:id="5765" w:name="_Toc179814365"/>
      <w:bookmarkStart w:id="5766" w:name="_Toc179820065"/>
      <w:bookmarkStart w:id="5767" w:name="_Toc179825765"/>
      <w:bookmarkStart w:id="5768" w:name="_Toc179831415"/>
      <w:bookmarkStart w:id="5769" w:name="_Toc179862945"/>
      <w:bookmarkStart w:id="5770" w:name="_Toc179869712"/>
      <w:bookmarkStart w:id="5771" w:name="_Toc179874105"/>
      <w:bookmarkStart w:id="5772" w:name="_Toc179878498"/>
      <w:bookmarkStart w:id="5773" w:name="_Toc179808687"/>
      <w:bookmarkStart w:id="5774" w:name="_Toc179814366"/>
      <w:bookmarkStart w:id="5775" w:name="_Toc179820066"/>
      <w:bookmarkStart w:id="5776" w:name="_Toc179825766"/>
      <w:bookmarkStart w:id="5777" w:name="_Toc179831416"/>
      <w:bookmarkStart w:id="5778" w:name="_Toc179862946"/>
      <w:bookmarkStart w:id="5779" w:name="_Toc179869713"/>
      <w:bookmarkStart w:id="5780" w:name="_Toc179874106"/>
      <w:bookmarkStart w:id="5781" w:name="_Toc179878499"/>
      <w:bookmarkStart w:id="5782" w:name="_Toc179808688"/>
      <w:bookmarkStart w:id="5783" w:name="_Toc179814367"/>
      <w:bookmarkStart w:id="5784" w:name="_Toc179820067"/>
      <w:bookmarkStart w:id="5785" w:name="_Toc179825767"/>
      <w:bookmarkStart w:id="5786" w:name="_Toc179831417"/>
      <w:bookmarkStart w:id="5787" w:name="_Toc179862947"/>
      <w:bookmarkStart w:id="5788" w:name="_Toc179869714"/>
      <w:bookmarkStart w:id="5789" w:name="_Toc179874107"/>
      <w:bookmarkStart w:id="5790" w:name="_Toc179878500"/>
      <w:bookmarkStart w:id="5791" w:name="_Toc179808689"/>
      <w:bookmarkStart w:id="5792" w:name="_Toc179814368"/>
      <w:bookmarkStart w:id="5793" w:name="_Toc179820068"/>
      <w:bookmarkStart w:id="5794" w:name="_Toc179825768"/>
      <w:bookmarkStart w:id="5795" w:name="_Toc179831418"/>
      <w:bookmarkStart w:id="5796" w:name="_Toc179862948"/>
      <w:bookmarkStart w:id="5797" w:name="_Toc179869715"/>
      <w:bookmarkStart w:id="5798" w:name="_Toc179874108"/>
      <w:bookmarkStart w:id="5799" w:name="_Toc179878501"/>
      <w:bookmarkStart w:id="5800" w:name="_Toc179808690"/>
      <w:bookmarkStart w:id="5801" w:name="_Toc179814369"/>
      <w:bookmarkStart w:id="5802" w:name="_Toc179820069"/>
      <w:bookmarkStart w:id="5803" w:name="_Toc179825769"/>
      <w:bookmarkStart w:id="5804" w:name="_Toc179831419"/>
      <w:bookmarkStart w:id="5805" w:name="_Toc179862949"/>
      <w:bookmarkStart w:id="5806" w:name="_Toc179869716"/>
      <w:bookmarkStart w:id="5807" w:name="_Toc179874109"/>
      <w:bookmarkStart w:id="5808" w:name="_Toc179878502"/>
      <w:bookmarkStart w:id="5809" w:name="_Toc179808691"/>
      <w:bookmarkStart w:id="5810" w:name="_Toc179814370"/>
      <w:bookmarkStart w:id="5811" w:name="_Toc179820070"/>
      <w:bookmarkStart w:id="5812" w:name="_Toc179825770"/>
      <w:bookmarkStart w:id="5813" w:name="_Toc179831420"/>
      <w:bookmarkStart w:id="5814" w:name="_Toc179862950"/>
      <w:bookmarkStart w:id="5815" w:name="_Toc179869717"/>
      <w:bookmarkStart w:id="5816" w:name="_Toc179874110"/>
      <w:bookmarkStart w:id="5817" w:name="_Toc179878503"/>
      <w:bookmarkStart w:id="5818" w:name="_Toc179808692"/>
      <w:bookmarkStart w:id="5819" w:name="_Toc179814371"/>
      <w:bookmarkStart w:id="5820" w:name="_Toc179820071"/>
      <w:bookmarkStart w:id="5821" w:name="_Toc179825771"/>
      <w:bookmarkStart w:id="5822" w:name="_Toc179831421"/>
      <w:bookmarkStart w:id="5823" w:name="_Toc179862951"/>
      <w:bookmarkStart w:id="5824" w:name="_Toc179869718"/>
      <w:bookmarkStart w:id="5825" w:name="_Toc179874111"/>
      <w:bookmarkStart w:id="5826" w:name="_Toc179878504"/>
      <w:bookmarkStart w:id="5827" w:name="_Toc179808693"/>
      <w:bookmarkStart w:id="5828" w:name="_Toc179814372"/>
      <w:bookmarkStart w:id="5829" w:name="_Toc179820072"/>
      <w:bookmarkStart w:id="5830" w:name="_Toc179825772"/>
      <w:bookmarkStart w:id="5831" w:name="_Toc179831422"/>
      <w:bookmarkStart w:id="5832" w:name="_Toc179862952"/>
      <w:bookmarkStart w:id="5833" w:name="_Toc179869719"/>
      <w:bookmarkStart w:id="5834" w:name="_Toc179874112"/>
      <w:bookmarkStart w:id="5835" w:name="_Toc179878505"/>
      <w:bookmarkStart w:id="5836" w:name="_Toc179808694"/>
      <w:bookmarkStart w:id="5837" w:name="_Toc179814373"/>
      <w:bookmarkStart w:id="5838" w:name="_Toc179820073"/>
      <w:bookmarkStart w:id="5839" w:name="_Toc179825773"/>
      <w:bookmarkStart w:id="5840" w:name="_Toc179831423"/>
      <w:bookmarkStart w:id="5841" w:name="_Toc179862953"/>
      <w:bookmarkStart w:id="5842" w:name="_Toc179869720"/>
      <w:bookmarkStart w:id="5843" w:name="_Toc179874113"/>
      <w:bookmarkStart w:id="5844" w:name="_Toc179878506"/>
      <w:bookmarkStart w:id="5845" w:name="_Toc179808695"/>
      <w:bookmarkStart w:id="5846" w:name="_Toc179814374"/>
      <w:bookmarkStart w:id="5847" w:name="_Toc179820074"/>
      <w:bookmarkStart w:id="5848" w:name="_Toc179825774"/>
      <w:bookmarkStart w:id="5849" w:name="_Toc179831424"/>
      <w:bookmarkStart w:id="5850" w:name="_Toc179862954"/>
      <w:bookmarkStart w:id="5851" w:name="_Toc179869721"/>
      <w:bookmarkStart w:id="5852" w:name="_Toc179874114"/>
      <w:bookmarkStart w:id="5853" w:name="_Toc179878507"/>
      <w:bookmarkStart w:id="5854" w:name="_Toc179808696"/>
      <w:bookmarkStart w:id="5855" w:name="_Toc179814375"/>
      <w:bookmarkStart w:id="5856" w:name="_Toc179820075"/>
      <w:bookmarkStart w:id="5857" w:name="_Toc179825775"/>
      <w:bookmarkStart w:id="5858" w:name="_Toc179831425"/>
      <w:bookmarkStart w:id="5859" w:name="_Toc179862955"/>
      <w:bookmarkStart w:id="5860" w:name="_Toc179869722"/>
      <w:bookmarkStart w:id="5861" w:name="_Toc179874115"/>
      <w:bookmarkStart w:id="5862" w:name="_Toc179878508"/>
      <w:bookmarkStart w:id="5863" w:name="_Toc179808697"/>
      <w:bookmarkStart w:id="5864" w:name="_Toc179814376"/>
      <w:bookmarkStart w:id="5865" w:name="_Toc179820076"/>
      <w:bookmarkStart w:id="5866" w:name="_Toc179825776"/>
      <w:bookmarkStart w:id="5867" w:name="_Toc179831426"/>
      <w:bookmarkStart w:id="5868" w:name="_Toc179862956"/>
      <w:bookmarkStart w:id="5869" w:name="_Toc179869723"/>
      <w:bookmarkStart w:id="5870" w:name="_Toc179874116"/>
      <w:bookmarkStart w:id="5871" w:name="_Toc179878509"/>
      <w:bookmarkStart w:id="5872" w:name="_Toc179808698"/>
      <w:bookmarkStart w:id="5873" w:name="_Toc179814377"/>
      <w:bookmarkStart w:id="5874" w:name="_Toc179820077"/>
      <w:bookmarkStart w:id="5875" w:name="_Toc179825777"/>
      <w:bookmarkStart w:id="5876" w:name="_Toc179831427"/>
      <w:bookmarkStart w:id="5877" w:name="_Toc179862957"/>
      <w:bookmarkStart w:id="5878" w:name="_Toc179869724"/>
      <w:bookmarkStart w:id="5879" w:name="_Toc179874117"/>
      <w:bookmarkStart w:id="5880" w:name="_Toc179878510"/>
      <w:bookmarkStart w:id="5881" w:name="_Toc179808699"/>
      <w:bookmarkStart w:id="5882" w:name="_Toc179814378"/>
      <w:bookmarkStart w:id="5883" w:name="_Toc179820078"/>
      <w:bookmarkStart w:id="5884" w:name="_Toc179825778"/>
      <w:bookmarkStart w:id="5885" w:name="_Toc179831428"/>
      <w:bookmarkStart w:id="5886" w:name="_Toc179862958"/>
      <w:bookmarkStart w:id="5887" w:name="_Toc179869725"/>
      <w:bookmarkStart w:id="5888" w:name="_Toc179874118"/>
      <w:bookmarkStart w:id="5889" w:name="_Toc179878511"/>
      <w:bookmarkStart w:id="5890" w:name="_Toc179808700"/>
      <w:bookmarkStart w:id="5891" w:name="_Toc179814379"/>
      <w:bookmarkStart w:id="5892" w:name="_Toc179820079"/>
      <w:bookmarkStart w:id="5893" w:name="_Toc179825779"/>
      <w:bookmarkStart w:id="5894" w:name="_Toc179831429"/>
      <w:bookmarkStart w:id="5895" w:name="_Toc179862959"/>
      <w:bookmarkStart w:id="5896" w:name="_Toc179869726"/>
      <w:bookmarkStart w:id="5897" w:name="_Toc179874119"/>
      <w:bookmarkStart w:id="5898" w:name="_Toc179878512"/>
      <w:bookmarkStart w:id="5899" w:name="_Toc179808701"/>
      <w:bookmarkStart w:id="5900" w:name="_Toc179814380"/>
      <w:bookmarkStart w:id="5901" w:name="_Toc179820080"/>
      <w:bookmarkStart w:id="5902" w:name="_Toc179825780"/>
      <w:bookmarkStart w:id="5903" w:name="_Toc179831430"/>
      <w:bookmarkStart w:id="5904" w:name="_Toc179862960"/>
      <w:bookmarkStart w:id="5905" w:name="_Toc179869727"/>
      <w:bookmarkStart w:id="5906" w:name="_Toc179874120"/>
      <w:bookmarkStart w:id="5907" w:name="_Toc179878513"/>
      <w:bookmarkStart w:id="5908" w:name="_Toc179808702"/>
      <w:bookmarkStart w:id="5909" w:name="_Toc179814381"/>
      <w:bookmarkStart w:id="5910" w:name="_Toc179820081"/>
      <w:bookmarkStart w:id="5911" w:name="_Toc179825781"/>
      <w:bookmarkStart w:id="5912" w:name="_Toc179831431"/>
      <w:bookmarkStart w:id="5913" w:name="_Toc179862961"/>
      <w:bookmarkStart w:id="5914" w:name="_Toc179869728"/>
      <w:bookmarkStart w:id="5915" w:name="_Toc179874121"/>
      <w:bookmarkStart w:id="5916" w:name="_Toc179878514"/>
      <w:bookmarkStart w:id="5917" w:name="_Toc179808703"/>
      <w:bookmarkStart w:id="5918" w:name="_Toc179814382"/>
      <w:bookmarkStart w:id="5919" w:name="_Toc179820082"/>
      <w:bookmarkStart w:id="5920" w:name="_Toc179825782"/>
      <w:bookmarkStart w:id="5921" w:name="_Toc179831432"/>
      <w:bookmarkStart w:id="5922" w:name="_Toc179862962"/>
      <w:bookmarkStart w:id="5923" w:name="_Toc179869729"/>
      <w:bookmarkStart w:id="5924" w:name="_Toc179874122"/>
      <w:bookmarkStart w:id="5925" w:name="_Toc179878515"/>
      <w:bookmarkStart w:id="5926" w:name="_Toc179808704"/>
      <w:bookmarkStart w:id="5927" w:name="_Toc179814383"/>
      <w:bookmarkStart w:id="5928" w:name="_Toc179820083"/>
      <w:bookmarkStart w:id="5929" w:name="_Toc179825783"/>
      <w:bookmarkStart w:id="5930" w:name="_Toc179831433"/>
      <w:bookmarkStart w:id="5931" w:name="_Toc179862963"/>
      <w:bookmarkStart w:id="5932" w:name="_Toc179869730"/>
      <w:bookmarkStart w:id="5933" w:name="_Toc179874123"/>
      <w:bookmarkStart w:id="5934" w:name="_Toc179878516"/>
      <w:bookmarkStart w:id="5935" w:name="_Toc179808705"/>
      <w:bookmarkStart w:id="5936" w:name="_Toc179814384"/>
      <w:bookmarkStart w:id="5937" w:name="_Toc179820084"/>
      <w:bookmarkStart w:id="5938" w:name="_Toc179825784"/>
      <w:bookmarkStart w:id="5939" w:name="_Toc179831434"/>
      <w:bookmarkStart w:id="5940" w:name="_Toc179862964"/>
      <w:bookmarkStart w:id="5941" w:name="_Toc179869731"/>
      <w:bookmarkStart w:id="5942" w:name="_Toc179874124"/>
      <w:bookmarkStart w:id="5943" w:name="_Toc179878517"/>
      <w:bookmarkStart w:id="5944" w:name="_Toc179808706"/>
      <w:bookmarkStart w:id="5945" w:name="_Toc179814385"/>
      <w:bookmarkStart w:id="5946" w:name="_Toc179820085"/>
      <w:bookmarkStart w:id="5947" w:name="_Toc179825785"/>
      <w:bookmarkStart w:id="5948" w:name="_Toc179831435"/>
      <w:bookmarkStart w:id="5949" w:name="_Toc179862965"/>
      <w:bookmarkStart w:id="5950" w:name="_Toc179869732"/>
      <w:bookmarkStart w:id="5951" w:name="_Toc179874125"/>
      <w:bookmarkStart w:id="5952" w:name="_Toc179878518"/>
      <w:bookmarkStart w:id="5953" w:name="_Toc179808707"/>
      <w:bookmarkStart w:id="5954" w:name="_Toc179814386"/>
      <w:bookmarkStart w:id="5955" w:name="_Toc179820086"/>
      <w:bookmarkStart w:id="5956" w:name="_Toc179825786"/>
      <w:bookmarkStart w:id="5957" w:name="_Toc179831436"/>
      <w:bookmarkStart w:id="5958" w:name="_Toc179862966"/>
      <w:bookmarkStart w:id="5959" w:name="_Toc179869733"/>
      <w:bookmarkStart w:id="5960" w:name="_Toc179874126"/>
      <w:bookmarkStart w:id="5961" w:name="_Toc179878519"/>
      <w:bookmarkStart w:id="5962" w:name="_Toc179808708"/>
      <w:bookmarkStart w:id="5963" w:name="_Toc179814387"/>
      <w:bookmarkStart w:id="5964" w:name="_Toc179820087"/>
      <w:bookmarkStart w:id="5965" w:name="_Toc179825787"/>
      <w:bookmarkStart w:id="5966" w:name="_Toc179831437"/>
      <w:bookmarkStart w:id="5967" w:name="_Toc179862967"/>
      <w:bookmarkStart w:id="5968" w:name="_Toc179869734"/>
      <w:bookmarkStart w:id="5969" w:name="_Toc179874127"/>
      <w:bookmarkStart w:id="5970" w:name="_Toc179878520"/>
      <w:bookmarkStart w:id="5971" w:name="_Toc179808709"/>
      <w:bookmarkStart w:id="5972" w:name="_Toc179814388"/>
      <w:bookmarkStart w:id="5973" w:name="_Toc179820088"/>
      <w:bookmarkStart w:id="5974" w:name="_Toc179825788"/>
      <w:bookmarkStart w:id="5975" w:name="_Toc179831438"/>
      <w:bookmarkStart w:id="5976" w:name="_Toc179862968"/>
      <w:bookmarkStart w:id="5977" w:name="_Toc179869735"/>
      <w:bookmarkStart w:id="5978" w:name="_Toc179874128"/>
      <w:bookmarkStart w:id="5979" w:name="_Toc179878521"/>
      <w:bookmarkStart w:id="5980" w:name="_Toc179808710"/>
      <w:bookmarkStart w:id="5981" w:name="_Toc179814389"/>
      <w:bookmarkStart w:id="5982" w:name="_Toc179820089"/>
      <w:bookmarkStart w:id="5983" w:name="_Toc179825789"/>
      <w:bookmarkStart w:id="5984" w:name="_Toc179831439"/>
      <w:bookmarkStart w:id="5985" w:name="_Toc179862969"/>
      <w:bookmarkStart w:id="5986" w:name="_Toc179869736"/>
      <w:bookmarkStart w:id="5987" w:name="_Toc179874129"/>
      <w:bookmarkStart w:id="5988" w:name="_Toc179878522"/>
      <w:bookmarkStart w:id="5989" w:name="_Toc179808711"/>
      <w:bookmarkStart w:id="5990" w:name="_Toc179814390"/>
      <w:bookmarkStart w:id="5991" w:name="_Toc179820090"/>
      <w:bookmarkStart w:id="5992" w:name="_Toc179825790"/>
      <w:bookmarkStart w:id="5993" w:name="_Toc179831440"/>
      <w:bookmarkStart w:id="5994" w:name="_Toc179862970"/>
      <w:bookmarkStart w:id="5995" w:name="_Toc179869737"/>
      <w:bookmarkStart w:id="5996" w:name="_Toc179874130"/>
      <w:bookmarkStart w:id="5997" w:name="_Toc179878523"/>
      <w:bookmarkStart w:id="5998" w:name="_Toc179808712"/>
      <w:bookmarkStart w:id="5999" w:name="_Toc179814391"/>
      <w:bookmarkStart w:id="6000" w:name="_Toc179820091"/>
      <w:bookmarkStart w:id="6001" w:name="_Toc179825791"/>
      <w:bookmarkStart w:id="6002" w:name="_Toc179831441"/>
      <w:bookmarkStart w:id="6003" w:name="_Toc179862971"/>
      <w:bookmarkStart w:id="6004" w:name="_Toc179869738"/>
      <w:bookmarkStart w:id="6005" w:name="_Toc179874131"/>
      <w:bookmarkStart w:id="6006" w:name="_Toc179878524"/>
      <w:bookmarkStart w:id="6007" w:name="_Toc179808713"/>
      <w:bookmarkStart w:id="6008" w:name="_Toc179814392"/>
      <w:bookmarkStart w:id="6009" w:name="_Toc179820092"/>
      <w:bookmarkStart w:id="6010" w:name="_Toc179825792"/>
      <w:bookmarkStart w:id="6011" w:name="_Toc179831442"/>
      <w:bookmarkStart w:id="6012" w:name="_Toc179862972"/>
      <w:bookmarkStart w:id="6013" w:name="_Toc179869739"/>
      <w:bookmarkStart w:id="6014" w:name="_Toc179874132"/>
      <w:bookmarkStart w:id="6015" w:name="_Toc179878525"/>
      <w:bookmarkStart w:id="6016" w:name="_Toc179808714"/>
      <w:bookmarkStart w:id="6017" w:name="_Toc179814393"/>
      <w:bookmarkStart w:id="6018" w:name="_Toc179820093"/>
      <w:bookmarkStart w:id="6019" w:name="_Toc179825793"/>
      <w:bookmarkStart w:id="6020" w:name="_Toc179831443"/>
      <w:bookmarkStart w:id="6021" w:name="_Toc179862973"/>
      <w:bookmarkStart w:id="6022" w:name="_Toc179869740"/>
      <w:bookmarkStart w:id="6023" w:name="_Toc179874133"/>
      <w:bookmarkStart w:id="6024" w:name="_Toc179878526"/>
      <w:bookmarkStart w:id="6025" w:name="_Toc179808715"/>
      <w:bookmarkStart w:id="6026" w:name="_Toc179814394"/>
      <w:bookmarkStart w:id="6027" w:name="_Toc179820094"/>
      <w:bookmarkStart w:id="6028" w:name="_Toc179825794"/>
      <w:bookmarkStart w:id="6029" w:name="_Toc179831444"/>
      <w:bookmarkStart w:id="6030" w:name="_Toc179862974"/>
      <w:bookmarkStart w:id="6031" w:name="_Toc179869741"/>
      <w:bookmarkStart w:id="6032" w:name="_Toc179874134"/>
      <w:bookmarkStart w:id="6033" w:name="_Toc179878527"/>
      <w:bookmarkStart w:id="6034" w:name="_Toc179808716"/>
      <w:bookmarkStart w:id="6035" w:name="_Toc179814395"/>
      <w:bookmarkStart w:id="6036" w:name="_Toc179820095"/>
      <w:bookmarkStart w:id="6037" w:name="_Toc179825795"/>
      <w:bookmarkStart w:id="6038" w:name="_Toc179831445"/>
      <w:bookmarkStart w:id="6039" w:name="_Toc179862975"/>
      <w:bookmarkStart w:id="6040" w:name="_Toc179869742"/>
      <w:bookmarkStart w:id="6041" w:name="_Toc179874135"/>
      <w:bookmarkStart w:id="6042" w:name="_Toc179878528"/>
      <w:bookmarkStart w:id="6043" w:name="_Toc179808717"/>
      <w:bookmarkStart w:id="6044" w:name="_Toc179814396"/>
      <w:bookmarkStart w:id="6045" w:name="_Toc179820096"/>
      <w:bookmarkStart w:id="6046" w:name="_Toc179825796"/>
      <w:bookmarkStart w:id="6047" w:name="_Toc179831446"/>
      <w:bookmarkStart w:id="6048" w:name="_Toc179862976"/>
      <w:bookmarkStart w:id="6049" w:name="_Toc179869743"/>
      <w:bookmarkStart w:id="6050" w:name="_Toc179874136"/>
      <w:bookmarkStart w:id="6051" w:name="_Toc179878529"/>
      <w:bookmarkStart w:id="6052" w:name="_Toc179808718"/>
      <w:bookmarkStart w:id="6053" w:name="_Toc179814397"/>
      <w:bookmarkStart w:id="6054" w:name="_Toc179820097"/>
      <w:bookmarkStart w:id="6055" w:name="_Toc179825797"/>
      <w:bookmarkStart w:id="6056" w:name="_Toc179831447"/>
      <w:bookmarkStart w:id="6057" w:name="_Toc179862977"/>
      <w:bookmarkStart w:id="6058" w:name="_Toc179869744"/>
      <w:bookmarkStart w:id="6059" w:name="_Toc179874137"/>
      <w:bookmarkStart w:id="6060" w:name="_Toc179878530"/>
      <w:bookmarkStart w:id="6061" w:name="_Toc179808719"/>
      <w:bookmarkStart w:id="6062" w:name="_Toc179814398"/>
      <w:bookmarkStart w:id="6063" w:name="_Toc179820098"/>
      <w:bookmarkStart w:id="6064" w:name="_Toc179825798"/>
      <w:bookmarkStart w:id="6065" w:name="_Toc179831448"/>
      <w:bookmarkStart w:id="6066" w:name="_Toc179862978"/>
      <w:bookmarkStart w:id="6067" w:name="_Toc179869745"/>
      <w:bookmarkStart w:id="6068" w:name="_Toc179874138"/>
      <w:bookmarkStart w:id="6069" w:name="_Toc179878531"/>
      <w:bookmarkStart w:id="6070" w:name="_Toc179808720"/>
      <w:bookmarkStart w:id="6071" w:name="_Toc179814399"/>
      <w:bookmarkStart w:id="6072" w:name="_Toc179820099"/>
      <w:bookmarkStart w:id="6073" w:name="_Toc179825799"/>
      <w:bookmarkStart w:id="6074" w:name="_Toc179831449"/>
      <w:bookmarkStart w:id="6075" w:name="_Toc179862979"/>
      <w:bookmarkStart w:id="6076" w:name="_Toc179869746"/>
      <w:bookmarkStart w:id="6077" w:name="_Toc179874139"/>
      <w:bookmarkStart w:id="6078" w:name="_Toc179878532"/>
      <w:bookmarkStart w:id="6079" w:name="_Toc179808721"/>
      <w:bookmarkStart w:id="6080" w:name="_Toc179814400"/>
      <w:bookmarkStart w:id="6081" w:name="_Toc179820100"/>
      <w:bookmarkStart w:id="6082" w:name="_Toc179825800"/>
      <w:bookmarkStart w:id="6083" w:name="_Toc179831450"/>
      <w:bookmarkStart w:id="6084" w:name="_Toc179862980"/>
      <w:bookmarkStart w:id="6085" w:name="_Toc179869747"/>
      <w:bookmarkStart w:id="6086" w:name="_Toc179874140"/>
      <w:bookmarkStart w:id="6087" w:name="_Toc179878533"/>
      <w:bookmarkStart w:id="6088" w:name="_Toc179808722"/>
      <w:bookmarkStart w:id="6089" w:name="_Toc179814401"/>
      <w:bookmarkStart w:id="6090" w:name="_Toc179820101"/>
      <w:bookmarkStart w:id="6091" w:name="_Toc179825801"/>
      <w:bookmarkStart w:id="6092" w:name="_Toc179831451"/>
      <w:bookmarkStart w:id="6093" w:name="_Toc179862981"/>
      <w:bookmarkStart w:id="6094" w:name="_Toc179869748"/>
      <w:bookmarkStart w:id="6095" w:name="_Toc179874141"/>
      <w:bookmarkStart w:id="6096" w:name="_Toc179878534"/>
      <w:bookmarkStart w:id="6097" w:name="_Toc179808723"/>
      <w:bookmarkStart w:id="6098" w:name="_Toc179814402"/>
      <w:bookmarkStart w:id="6099" w:name="_Toc179820102"/>
      <w:bookmarkStart w:id="6100" w:name="_Toc179825802"/>
      <w:bookmarkStart w:id="6101" w:name="_Toc179831452"/>
      <w:bookmarkStart w:id="6102" w:name="_Toc179862982"/>
      <w:bookmarkStart w:id="6103" w:name="_Toc179869749"/>
      <w:bookmarkStart w:id="6104" w:name="_Toc179874142"/>
      <w:bookmarkStart w:id="6105" w:name="_Toc179878535"/>
      <w:bookmarkStart w:id="6106" w:name="_Toc179808724"/>
      <w:bookmarkStart w:id="6107" w:name="_Toc179814403"/>
      <w:bookmarkStart w:id="6108" w:name="_Toc179820103"/>
      <w:bookmarkStart w:id="6109" w:name="_Toc179825803"/>
      <w:bookmarkStart w:id="6110" w:name="_Toc179831453"/>
      <w:bookmarkStart w:id="6111" w:name="_Toc179862983"/>
      <w:bookmarkStart w:id="6112" w:name="_Toc179869750"/>
      <w:bookmarkStart w:id="6113" w:name="_Toc179874143"/>
      <w:bookmarkStart w:id="6114" w:name="_Toc179878536"/>
      <w:bookmarkStart w:id="6115" w:name="_Toc179808725"/>
      <w:bookmarkStart w:id="6116" w:name="_Toc179814404"/>
      <w:bookmarkStart w:id="6117" w:name="_Toc179820104"/>
      <w:bookmarkStart w:id="6118" w:name="_Toc179825804"/>
      <w:bookmarkStart w:id="6119" w:name="_Toc179831454"/>
      <w:bookmarkStart w:id="6120" w:name="_Toc179862984"/>
      <w:bookmarkStart w:id="6121" w:name="_Toc179869751"/>
      <w:bookmarkStart w:id="6122" w:name="_Toc179874144"/>
      <w:bookmarkStart w:id="6123" w:name="_Toc179878537"/>
      <w:bookmarkStart w:id="6124" w:name="_Toc179808726"/>
      <w:bookmarkStart w:id="6125" w:name="_Toc179814405"/>
      <w:bookmarkStart w:id="6126" w:name="_Toc179820105"/>
      <w:bookmarkStart w:id="6127" w:name="_Toc179825805"/>
      <w:bookmarkStart w:id="6128" w:name="_Toc179831455"/>
      <w:bookmarkStart w:id="6129" w:name="_Toc179862985"/>
      <w:bookmarkStart w:id="6130" w:name="_Toc179869752"/>
      <w:bookmarkStart w:id="6131" w:name="_Toc179874145"/>
      <w:bookmarkStart w:id="6132" w:name="_Toc179878538"/>
      <w:bookmarkStart w:id="6133" w:name="_Toc179808727"/>
      <w:bookmarkStart w:id="6134" w:name="_Toc179814406"/>
      <w:bookmarkStart w:id="6135" w:name="_Toc179820106"/>
      <w:bookmarkStart w:id="6136" w:name="_Toc179825806"/>
      <w:bookmarkStart w:id="6137" w:name="_Toc179831456"/>
      <w:bookmarkStart w:id="6138" w:name="_Toc179862986"/>
      <w:bookmarkStart w:id="6139" w:name="_Toc179869753"/>
      <w:bookmarkStart w:id="6140" w:name="_Toc179874146"/>
      <w:bookmarkStart w:id="6141" w:name="_Toc179878539"/>
      <w:bookmarkStart w:id="6142" w:name="_Toc179808728"/>
      <w:bookmarkStart w:id="6143" w:name="_Toc179814407"/>
      <w:bookmarkStart w:id="6144" w:name="_Toc179820107"/>
      <w:bookmarkStart w:id="6145" w:name="_Toc179825807"/>
      <w:bookmarkStart w:id="6146" w:name="_Toc179831457"/>
      <w:bookmarkStart w:id="6147" w:name="_Toc179862987"/>
      <w:bookmarkStart w:id="6148" w:name="_Toc179869754"/>
      <w:bookmarkStart w:id="6149" w:name="_Toc179874147"/>
      <w:bookmarkStart w:id="6150" w:name="_Toc179878540"/>
      <w:bookmarkStart w:id="6151" w:name="_Toc179808729"/>
      <w:bookmarkStart w:id="6152" w:name="_Toc179814408"/>
      <w:bookmarkStart w:id="6153" w:name="_Toc179820108"/>
      <w:bookmarkStart w:id="6154" w:name="_Toc179825808"/>
      <w:bookmarkStart w:id="6155" w:name="_Toc179831458"/>
      <w:bookmarkStart w:id="6156" w:name="_Toc179862988"/>
      <w:bookmarkStart w:id="6157" w:name="_Toc179869755"/>
      <w:bookmarkStart w:id="6158" w:name="_Toc179874148"/>
      <w:bookmarkStart w:id="6159" w:name="_Toc179878541"/>
      <w:bookmarkStart w:id="6160" w:name="_Toc179808730"/>
      <w:bookmarkStart w:id="6161" w:name="_Toc179814409"/>
      <w:bookmarkStart w:id="6162" w:name="_Toc179820109"/>
      <w:bookmarkStart w:id="6163" w:name="_Toc179825809"/>
      <w:bookmarkStart w:id="6164" w:name="_Toc179831459"/>
      <w:bookmarkStart w:id="6165" w:name="_Toc179862989"/>
      <w:bookmarkStart w:id="6166" w:name="_Toc179869756"/>
      <w:bookmarkStart w:id="6167" w:name="_Toc179874149"/>
      <w:bookmarkStart w:id="6168" w:name="_Toc179878542"/>
      <w:bookmarkStart w:id="6169" w:name="_Toc179808731"/>
      <w:bookmarkStart w:id="6170" w:name="_Toc179814410"/>
      <w:bookmarkStart w:id="6171" w:name="_Toc179820110"/>
      <w:bookmarkStart w:id="6172" w:name="_Toc179825810"/>
      <w:bookmarkStart w:id="6173" w:name="_Toc179831460"/>
      <w:bookmarkStart w:id="6174" w:name="_Toc179862990"/>
      <w:bookmarkStart w:id="6175" w:name="_Toc179869757"/>
      <w:bookmarkStart w:id="6176" w:name="_Toc179874150"/>
      <w:bookmarkStart w:id="6177" w:name="_Toc179878543"/>
      <w:bookmarkStart w:id="6178" w:name="_Toc179808732"/>
      <w:bookmarkStart w:id="6179" w:name="_Toc179814411"/>
      <w:bookmarkStart w:id="6180" w:name="_Toc179820111"/>
      <w:bookmarkStart w:id="6181" w:name="_Toc179825811"/>
      <w:bookmarkStart w:id="6182" w:name="_Toc179831461"/>
      <w:bookmarkStart w:id="6183" w:name="_Toc179862991"/>
      <w:bookmarkStart w:id="6184" w:name="_Toc179869758"/>
      <w:bookmarkStart w:id="6185" w:name="_Toc179874151"/>
      <w:bookmarkStart w:id="6186" w:name="_Toc179878544"/>
      <w:bookmarkStart w:id="6187" w:name="_Toc179808733"/>
      <w:bookmarkStart w:id="6188" w:name="_Toc179814412"/>
      <w:bookmarkStart w:id="6189" w:name="_Toc179820112"/>
      <w:bookmarkStart w:id="6190" w:name="_Toc179825812"/>
      <w:bookmarkStart w:id="6191" w:name="_Toc179831462"/>
      <w:bookmarkStart w:id="6192" w:name="_Toc179862992"/>
      <w:bookmarkStart w:id="6193" w:name="_Toc179869759"/>
      <w:bookmarkStart w:id="6194" w:name="_Toc179874152"/>
      <w:bookmarkStart w:id="6195" w:name="_Toc179878545"/>
      <w:bookmarkStart w:id="6196" w:name="_Toc179808734"/>
      <w:bookmarkStart w:id="6197" w:name="_Toc179814413"/>
      <w:bookmarkStart w:id="6198" w:name="_Toc179820113"/>
      <w:bookmarkStart w:id="6199" w:name="_Toc179825813"/>
      <w:bookmarkStart w:id="6200" w:name="_Toc179831463"/>
      <w:bookmarkStart w:id="6201" w:name="_Toc179862993"/>
      <w:bookmarkStart w:id="6202" w:name="_Toc179869760"/>
      <w:bookmarkStart w:id="6203" w:name="_Toc179874153"/>
      <w:bookmarkStart w:id="6204" w:name="_Toc179878546"/>
      <w:bookmarkStart w:id="6205" w:name="_Toc179808735"/>
      <w:bookmarkStart w:id="6206" w:name="_Toc179814414"/>
      <w:bookmarkStart w:id="6207" w:name="_Toc179820114"/>
      <w:bookmarkStart w:id="6208" w:name="_Toc179825814"/>
      <w:bookmarkStart w:id="6209" w:name="_Toc179831464"/>
      <w:bookmarkStart w:id="6210" w:name="_Toc179862994"/>
      <w:bookmarkStart w:id="6211" w:name="_Toc179869761"/>
      <w:bookmarkStart w:id="6212" w:name="_Toc179874154"/>
      <w:bookmarkStart w:id="6213" w:name="_Toc179878547"/>
      <w:bookmarkStart w:id="6214" w:name="_Toc179808736"/>
      <w:bookmarkStart w:id="6215" w:name="_Toc179814415"/>
      <w:bookmarkStart w:id="6216" w:name="_Toc179820115"/>
      <w:bookmarkStart w:id="6217" w:name="_Toc179825815"/>
      <w:bookmarkStart w:id="6218" w:name="_Toc179831465"/>
      <w:bookmarkStart w:id="6219" w:name="_Toc179862995"/>
      <w:bookmarkStart w:id="6220" w:name="_Toc179869762"/>
      <w:bookmarkStart w:id="6221" w:name="_Toc179874155"/>
      <w:bookmarkStart w:id="6222" w:name="_Toc179878548"/>
      <w:bookmarkStart w:id="6223" w:name="_Toc179808737"/>
      <w:bookmarkStart w:id="6224" w:name="_Toc179814416"/>
      <w:bookmarkStart w:id="6225" w:name="_Toc179820116"/>
      <w:bookmarkStart w:id="6226" w:name="_Toc179825816"/>
      <w:bookmarkStart w:id="6227" w:name="_Toc179831466"/>
      <w:bookmarkStart w:id="6228" w:name="_Toc179862996"/>
      <w:bookmarkStart w:id="6229" w:name="_Toc179869763"/>
      <w:bookmarkStart w:id="6230" w:name="_Toc179874156"/>
      <w:bookmarkStart w:id="6231" w:name="_Toc179878549"/>
      <w:bookmarkStart w:id="6232" w:name="_Toc179808738"/>
      <w:bookmarkStart w:id="6233" w:name="_Toc179814417"/>
      <w:bookmarkStart w:id="6234" w:name="_Toc179820117"/>
      <w:bookmarkStart w:id="6235" w:name="_Toc179825817"/>
      <w:bookmarkStart w:id="6236" w:name="_Toc179831467"/>
      <w:bookmarkStart w:id="6237" w:name="_Toc179862997"/>
      <w:bookmarkStart w:id="6238" w:name="_Toc179869764"/>
      <w:bookmarkStart w:id="6239" w:name="_Toc179874157"/>
      <w:bookmarkStart w:id="6240" w:name="_Toc179878550"/>
      <w:bookmarkStart w:id="6241" w:name="_Toc179808739"/>
      <w:bookmarkStart w:id="6242" w:name="_Toc179814418"/>
      <w:bookmarkStart w:id="6243" w:name="_Toc179820118"/>
      <w:bookmarkStart w:id="6244" w:name="_Toc179825818"/>
      <w:bookmarkStart w:id="6245" w:name="_Toc179831468"/>
      <w:bookmarkStart w:id="6246" w:name="_Toc179862998"/>
      <w:bookmarkStart w:id="6247" w:name="_Toc179869765"/>
      <w:bookmarkStart w:id="6248" w:name="_Toc179874158"/>
      <w:bookmarkStart w:id="6249" w:name="_Toc179878551"/>
      <w:bookmarkStart w:id="6250" w:name="_Toc179808740"/>
      <w:bookmarkStart w:id="6251" w:name="_Toc179814419"/>
      <w:bookmarkStart w:id="6252" w:name="_Toc179820119"/>
      <w:bookmarkStart w:id="6253" w:name="_Toc179825819"/>
      <w:bookmarkStart w:id="6254" w:name="_Toc179831469"/>
      <w:bookmarkStart w:id="6255" w:name="_Toc179862999"/>
      <w:bookmarkStart w:id="6256" w:name="_Toc179869766"/>
      <w:bookmarkStart w:id="6257" w:name="_Toc179874159"/>
      <w:bookmarkStart w:id="6258" w:name="_Toc179878552"/>
      <w:bookmarkStart w:id="6259" w:name="_Toc179808741"/>
      <w:bookmarkStart w:id="6260" w:name="_Toc179814420"/>
      <w:bookmarkStart w:id="6261" w:name="_Toc179820120"/>
      <w:bookmarkStart w:id="6262" w:name="_Toc179825820"/>
      <w:bookmarkStart w:id="6263" w:name="_Toc179831470"/>
      <w:bookmarkStart w:id="6264" w:name="_Toc179863000"/>
      <w:bookmarkStart w:id="6265" w:name="_Toc179869767"/>
      <w:bookmarkStart w:id="6266" w:name="_Toc179874160"/>
      <w:bookmarkStart w:id="6267" w:name="_Toc179878553"/>
      <w:bookmarkStart w:id="6268" w:name="_Toc179808742"/>
      <w:bookmarkStart w:id="6269" w:name="_Toc179814421"/>
      <w:bookmarkStart w:id="6270" w:name="_Toc179820121"/>
      <w:bookmarkStart w:id="6271" w:name="_Toc179825821"/>
      <w:bookmarkStart w:id="6272" w:name="_Toc179831471"/>
      <w:bookmarkStart w:id="6273" w:name="_Toc179863001"/>
      <w:bookmarkStart w:id="6274" w:name="_Toc179869768"/>
      <w:bookmarkStart w:id="6275" w:name="_Toc179874161"/>
      <w:bookmarkStart w:id="6276" w:name="_Toc179878554"/>
      <w:bookmarkStart w:id="6277" w:name="_Toc179808743"/>
      <w:bookmarkStart w:id="6278" w:name="_Toc179814422"/>
      <w:bookmarkStart w:id="6279" w:name="_Toc179820122"/>
      <w:bookmarkStart w:id="6280" w:name="_Toc179825822"/>
      <w:bookmarkStart w:id="6281" w:name="_Toc179831472"/>
      <w:bookmarkStart w:id="6282" w:name="_Toc179863002"/>
      <w:bookmarkStart w:id="6283" w:name="_Toc179869769"/>
      <w:bookmarkStart w:id="6284" w:name="_Toc179874162"/>
      <w:bookmarkStart w:id="6285" w:name="_Toc179878555"/>
      <w:bookmarkStart w:id="6286" w:name="_Toc179808744"/>
      <w:bookmarkStart w:id="6287" w:name="_Toc179814423"/>
      <w:bookmarkStart w:id="6288" w:name="_Toc179820123"/>
      <w:bookmarkStart w:id="6289" w:name="_Toc179825823"/>
      <w:bookmarkStart w:id="6290" w:name="_Toc179831473"/>
      <w:bookmarkStart w:id="6291" w:name="_Toc179863003"/>
      <w:bookmarkStart w:id="6292" w:name="_Toc179869770"/>
      <w:bookmarkStart w:id="6293" w:name="_Toc179874163"/>
      <w:bookmarkStart w:id="6294" w:name="_Toc179878556"/>
      <w:bookmarkStart w:id="6295" w:name="_Toc179808920"/>
      <w:bookmarkStart w:id="6296" w:name="_Toc179814599"/>
      <w:bookmarkStart w:id="6297" w:name="_Toc179820299"/>
      <w:bookmarkStart w:id="6298" w:name="_Toc179825999"/>
      <w:bookmarkStart w:id="6299" w:name="_Toc179831649"/>
      <w:bookmarkStart w:id="6300" w:name="_Toc179863179"/>
      <w:bookmarkStart w:id="6301" w:name="_Toc179869946"/>
      <w:bookmarkStart w:id="6302" w:name="_Toc179874339"/>
      <w:bookmarkStart w:id="6303" w:name="_Toc179878732"/>
      <w:bookmarkStart w:id="6304" w:name="_Toc179808921"/>
      <w:bookmarkStart w:id="6305" w:name="_Toc179814600"/>
      <w:bookmarkStart w:id="6306" w:name="_Toc179820300"/>
      <w:bookmarkStart w:id="6307" w:name="_Toc179826000"/>
      <w:bookmarkStart w:id="6308" w:name="_Toc179831650"/>
      <w:bookmarkStart w:id="6309" w:name="_Toc179863180"/>
      <w:bookmarkStart w:id="6310" w:name="_Toc179869947"/>
      <w:bookmarkStart w:id="6311" w:name="_Toc179874340"/>
      <w:bookmarkStart w:id="6312" w:name="_Toc179878733"/>
      <w:bookmarkStart w:id="6313" w:name="_Toc179809111"/>
      <w:bookmarkStart w:id="6314" w:name="_Toc179814790"/>
      <w:bookmarkStart w:id="6315" w:name="_Toc179820490"/>
      <w:bookmarkStart w:id="6316" w:name="_Toc179826190"/>
      <w:bookmarkStart w:id="6317" w:name="_Toc179831840"/>
      <w:bookmarkStart w:id="6318" w:name="_Toc179863370"/>
      <w:bookmarkStart w:id="6319" w:name="_Toc179870137"/>
      <w:bookmarkStart w:id="6320" w:name="_Toc179874530"/>
      <w:bookmarkStart w:id="6321" w:name="_Toc179878923"/>
      <w:bookmarkStart w:id="6322" w:name="_Toc179809112"/>
      <w:bookmarkStart w:id="6323" w:name="_Toc179814791"/>
      <w:bookmarkStart w:id="6324" w:name="_Toc179820491"/>
      <w:bookmarkStart w:id="6325" w:name="_Toc179826191"/>
      <w:bookmarkStart w:id="6326" w:name="_Toc179831841"/>
      <w:bookmarkStart w:id="6327" w:name="_Toc179863371"/>
      <w:bookmarkStart w:id="6328" w:name="_Toc179870138"/>
      <w:bookmarkStart w:id="6329" w:name="_Toc179874531"/>
      <w:bookmarkStart w:id="6330" w:name="_Toc179878924"/>
      <w:bookmarkStart w:id="6331" w:name="_Toc179809113"/>
      <w:bookmarkStart w:id="6332" w:name="_Toc179814792"/>
      <w:bookmarkStart w:id="6333" w:name="_Toc179820492"/>
      <w:bookmarkStart w:id="6334" w:name="_Toc179826192"/>
      <w:bookmarkStart w:id="6335" w:name="_Toc179831842"/>
      <w:bookmarkStart w:id="6336" w:name="_Toc179863372"/>
      <w:bookmarkStart w:id="6337" w:name="_Toc179870139"/>
      <w:bookmarkStart w:id="6338" w:name="_Toc179874532"/>
      <w:bookmarkStart w:id="6339" w:name="_Toc179878925"/>
      <w:bookmarkStart w:id="6340" w:name="_Toc179809114"/>
      <w:bookmarkStart w:id="6341" w:name="_Toc179814793"/>
      <w:bookmarkStart w:id="6342" w:name="_Toc179820493"/>
      <w:bookmarkStart w:id="6343" w:name="_Toc179826193"/>
      <w:bookmarkStart w:id="6344" w:name="_Toc179831843"/>
      <w:bookmarkStart w:id="6345" w:name="_Toc179863373"/>
      <w:bookmarkStart w:id="6346" w:name="_Toc179870140"/>
      <w:bookmarkStart w:id="6347" w:name="_Toc179874533"/>
      <w:bookmarkStart w:id="6348" w:name="_Toc179878926"/>
      <w:bookmarkStart w:id="6349" w:name="_Toc179809115"/>
      <w:bookmarkStart w:id="6350" w:name="_Toc179814794"/>
      <w:bookmarkStart w:id="6351" w:name="_Toc179820494"/>
      <w:bookmarkStart w:id="6352" w:name="_Toc179826194"/>
      <w:bookmarkStart w:id="6353" w:name="_Toc179831844"/>
      <w:bookmarkStart w:id="6354" w:name="_Toc179863374"/>
      <w:bookmarkStart w:id="6355" w:name="_Toc179870141"/>
      <w:bookmarkStart w:id="6356" w:name="_Toc179874534"/>
      <w:bookmarkStart w:id="6357" w:name="_Toc179878927"/>
      <w:bookmarkStart w:id="6358" w:name="_Toc179809155"/>
      <w:bookmarkStart w:id="6359" w:name="_Toc179814834"/>
      <w:bookmarkStart w:id="6360" w:name="_Toc179820534"/>
      <w:bookmarkStart w:id="6361" w:name="_Toc179826234"/>
      <w:bookmarkStart w:id="6362" w:name="_Toc179831884"/>
      <w:bookmarkStart w:id="6363" w:name="_Toc179863414"/>
      <w:bookmarkStart w:id="6364" w:name="_Toc179870181"/>
      <w:bookmarkStart w:id="6365" w:name="_Toc179874574"/>
      <w:bookmarkStart w:id="6366" w:name="_Toc179878967"/>
      <w:bookmarkStart w:id="6367" w:name="_Toc179809212"/>
      <w:bookmarkStart w:id="6368" w:name="_Toc179814891"/>
      <w:bookmarkStart w:id="6369" w:name="_Toc179820591"/>
      <w:bookmarkStart w:id="6370" w:name="_Toc179826291"/>
      <w:bookmarkStart w:id="6371" w:name="_Toc179831941"/>
      <w:bookmarkStart w:id="6372" w:name="_Toc179863471"/>
      <w:bookmarkStart w:id="6373" w:name="_Toc179870238"/>
      <w:bookmarkStart w:id="6374" w:name="_Toc179874631"/>
      <w:bookmarkStart w:id="6375" w:name="_Toc179879024"/>
      <w:bookmarkStart w:id="6376" w:name="_Toc179809213"/>
      <w:bookmarkStart w:id="6377" w:name="_Toc179814892"/>
      <w:bookmarkStart w:id="6378" w:name="_Toc179820592"/>
      <w:bookmarkStart w:id="6379" w:name="_Toc179826292"/>
      <w:bookmarkStart w:id="6380" w:name="_Toc179831942"/>
      <w:bookmarkStart w:id="6381" w:name="_Toc179863472"/>
      <w:bookmarkStart w:id="6382" w:name="_Toc179870239"/>
      <w:bookmarkStart w:id="6383" w:name="_Toc179874632"/>
      <w:bookmarkStart w:id="6384" w:name="_Toc179879025"/>
      <w:bookmarkStart w:id="6385" w:name="_Toc179809214"/>
      <w:bookmarkStart w:id="6386" w:name="_Toc179814893"/>
      <w:bookmarkStart w:id="6387" w:name="_Toc179820593"/>
      <w:bookmarkStart w:id="6388" w:name="_Toc179826293"/>
      <w:bookmarkStart w:id="6389" w:name="_Toc179831943"/>
      <w:bookmarkStart w:id="6390" w:name="_Toc179863473"/>
      <w:bookmarkStart w:id="6391" w:name="_Toc179870240"/>
      <w:bookmarkStart w:id="6392" w:name="_Toc179874633"/>
      <w:bookmarkStart w:id="6393" w:name="_Toc179879026"/>
      <w:bookmarkStart w:id="6394" w:name="_Toc179809215"/>
      <w:bookmarkStart w:id="6395" w:name="_Toc179814894"/>
      <w:bookmarkStart w:id="6396" w:name="_Toc179820594"/>
      <w:bookmarkStart w:id="6397" w:name="_Toc179826294"/>
      <w:bookmarkStart w:id="6398" w:name="_Toc179831944"/>
      <w:bookmarkStart w:id="6399" w:name="_Toc179863474"/>
      <w:bookmarkStart w:id="6400" w:name="_Toc179870241"/>
      <w:bookmarkStart w:id="6401" w:name="_Toc179874634"/>
      <w:bookmarkStart w:id="6402" w:name="_Toc179879027"/>
      <w:bookmarkStart w:id="6403" w:name="_Toc179809216"/>
      <w:bookmarkStart w:id="6404" w:name="_Toc179814895"/>
      <w:bookmarkStart w:id="6405" w:name="_Toc179820595"/>
      <w:bookmarkStart w:id="6406" w:name="_Toc179826295"/>
      <w:bookmarkStart w:id="6407" w:name="_Toc179831945"/>
      <w:bookmarkStart w:id="6408" w:name="_Toc179863475"/>
      <w:bookmarkStart w:id="6409" w:name="_Toc179870242"/>
      <w:bookmarkStart w:id="6410" w:name="_Toc179874635"/>
      <w:bookmarkStart w:id="6411" w:name="_Toc179879028"/>
      <w:bookmarkStart w:id="6412" w:name="_Toc179809217"/>
      <w:bookmarkStart w:id="6413" w:name="_Toc179814896"/>
      <w:bookmarkStart w:id="6414" w:name="_Toc179820596"/>
      <w:bookmarkStart w:id="6415" w:name="_Toc179826296"/>
      <w:bookmarkStart w:id="6416" w:name="_Toc179831946"/>
      <w:bookmarkStart w:id="6417" w:name="_Toc179863476"/>
      <w:bookmarkStart w:id="6418" w:name="_Toc179870243"/>
      <w:bookmarkStart w:id="6419" w:name="_Toc179874636"/>
      <w:bookmarkStart w:id="6420" w:name="_Toc179879029"/>
      <w:bookmarkStart w:id="6421" w:name="_Toc179809218"/>
      <w:bookmarkStart w:id="6422" w:name="_Toc179814897"/>
      <w:bookmarkStart w:id="6423" w:name="_Toc179820597"/>
      <w:bookmarkStart w:id="6424" w:name="_Toc179826297"/>
      <w:bookmarkStart w:id="6425" w:name="_Toc179831947"/>
      <w:bookmarkStart w:id="6426" w:name="_Toc179863477"/>
      <w:bookmarkStart w:id="6427" w:name="_Toc179870244"/>
      <w:bookmarkStart w:id="6428" w:name="_Toc179874637"/>
      <w:bookmarkStart w:id="6429" w:name="_Toc179879030"/>
      <w:bookmarkStart w:id="6430" w:name="_Toc179809219"/>
      <w:bookmarkStart w:id="6431" w:name="_Toc179814898"/>
      <w:bookmarkStart w:id="6432" w:name="_Toc179820598"/>
      <w:bookmarkStart w:id="6433" w:name="_Toc179826298"/>
      <w:bookmarkStart w:id="6434" w:name="_Toc179831948"/>
      <w:bookmarkStart w:id="6435" w:name="_Toc179863478"/>
      <w:bookmarkStart w:id="6436" w:name="_Toc179870245"/>
      <w:bookmarkStart w:id="6437" w:name="_Toc179874638"/>
      <w:bookmarkStart w:id="6438" w:name="_Toc179879031"/>
      <w:bookmarkStart w:id="6439" w:name="_Toc179809220"/>
      <w:bookmarkStart w:id="6440" w:name="_Toc179814899"/>
      <w:bookmarkStart w:id="6441" w:name="_Toc179820599"/>
      <w:bookmarkStart w:id="6442" w:name="_Toc179826299"/>
      <w:bookmarkStart w:id="6443" w:name="_Toc179831949"/>
      <w:bookmarkStart w:id="6444" w:name="_Toc179863479"/>
      <w:bookmarkStart w:id="6445" w:name="_Toc179870246"/>
      <w:bookmarkStart w:id="6446" w:name="_Toc179874639"/>
      <w:bookmarkStart w:id="6447" w:name="_Toc179879032"/>
      <w:bookmarkStart w:id="6448" w:name="_Toc179809221"/>
      <w:bookmarkStart w:id="6449" w:name="_Toc179814900"/>
      <w:bookmarkStart w:id="6450" w:name="_Toc179820600"/>
      <w:bookmarkStart w:id="6451" w:name="_Toc179826300"/>
      <w:bookmarkStart w:id="6452" w:name="_Toc179831950"/>
      <w:bookmarkStart w:id="6453" w:name="_Toc179863480"/>
      <w:bookmarkStart w:id="6454" w:name="_Toc179870247"/>
      <w:bookmarkStart w:id="6455" w:name="_Toc179874640"/>
      <w:bookmarkStart w:id="6456" w:name="_Toc179879033"/>
      <w:bookmarkStart w:id="6457" w:name="_Toc179809222"/>
      <w:bookmarkStart w:id="6458" w:name="_Toc179814901"/>
      <w:bookmarkStart w:id="6459" w:name="_Toc179820601"/>
      <w:bookmarkStart w:id="6460" w:name="_Toc179826301"/>
      <w:bookmarkStart w:id="6461" w:name="_Toc179831951"/>
      <w:bookmarkStart w:id="6462" w:name="_Toc179863481"/>
      <w:bookmarkStart w:id="6463" w:name="_Toc179870248"/>
      <w:bookmarkStart w:id="6464" w:name="_Toc179874641"/>
      <w:bookmarkStart w:id="6465" w:name="_Toc179879034"/>
      <w:bookmarkStart w:id="6466" w:name="_Toc179809223"/>
      <w:bookmarkStart w:id="6467" w:name="_Toc179814902"/>
      <w:bookmarkStart w:id="6468" w:name="_Toc179820602"/>
      <w:bookmarkStart w:id="6469" w:name="_Toc179826302"/>
      <w:bookmarkStart w:id="6470" w:name="_Toc179831952"/>
      <w:bookmarkStart w:id="6471" w:name="_Toc179863482"/>
      <w:bookmarkStart w:id="6472" w:name="_Toc179870249"/>
      <w:bookmarkStart w:id="6473" w:name="_Toc179874642"/>
      <w:bookmarkStart w:id="6474" w:name="_Toc179879035"/>
      <w:bookmarkStart w:id="6475" w:name="_Toc179809224"/>
      <w:bookmarkStart w:id="6476" w:name="_Toc179814903"/>
      <w:bookmarkStart w:id="6477" w:name="_Toc179820603"/>
      <w:bookmarkStart w:id="6478" w:name="_Toc179826303"/>
      <w:bookmarkStart w:id="6479" w:name="_Toc179831953"/>
      <w:bookmarkStart w:id="6480" w:name="_Toc179863483"/>
      <w:bookmarkStart w:id="6481" w:name="_Toc179870250"/>
      <w:bookmarkStart w:id="6482" w:name="_Toc179874643"/>
      <w:bookmarkStart w:id="6483" w:name="_Toc179879036"/>
      <w:bookmarkStart w:id="6484" w:name="_Toc179809292"/>
      <w:bookmarkStart w:id="6485" w:name="_Toc179814971"/>
      <w:bookmarkStart w:id="6486" w:name="_Toc179820671"/>
      <w:bookmarkStart w:id="6487" w:name="_Toc179826371"/>
      <w:bookmarkStart w:id="6488" w:name="_Toc179832021"/>
      <w:bookmarkStart w:id="6489" w:name="_Toc179863551"/>
      <w:bookmarkStart w:id="6490" w:name="_Toc179870318"/>
      <w:bookmarkStart w:id="6491" w:name="_Toc179874711"/>
      <w:bookmarkStart w:id="6492" w:name="_Toc179879104"/>
      <w:bookmarkStart w:id="6493" w:name="_Toc179809356"/>
      <w:bookmarkStart w:id="6494" w:name="_Toc179815035"/>
      <w:bookmarkStart w:id="6495" w:name="_Toc179820735"/>
      <w:bookmarkStart w:id="6496" w:name="_Toc179826435"/>
      <w:bookmarkStart w:id="6497" w:name="_Toc179832085"/>
      <w:bookmarkStart w:id="6498" w:name="_Toc179863615"/>
      <w:bookmarkStart w:id="6499" w:name="_Toc179870382"/>
      <w:bookmarkStart w:id="6500" w:name="_Toc179874775"/>
      <w:bookmarkStart w:id="6501" w:name="_Toc179879168"/>
      <w:bookmarkStart w:id="6502" w:name="_Toc179809357"/>
      <w:bookmarkStart w:id="6503" w:name="_Toc179815036"/>
      <w:bookmarkStart w:id="6504" w:name="_Toc179820736"/>
      <w:bookmarkStart w:id="6505" w:name="_Toc179826436"/>
      <w:bookmarkStart w:id="6506" w:name="_Toc179832086"/>
      <w:bookmarkStart w:id="6507" w:name="_Toc179863616"/>
      <w:bookmarkStart w:id="6508" w:name="_Toc179870383"/>
      <w:bookmarkStart w:id="6509" w:name="_Toc179874776"/>
      <w:bookmarkStart w:id="6510" w:name="_Toc179879169"/>
      <w:bookmarkStart w:id="6511" w:name="_Toc179809358"/>
      <w:bookmarkStart w:id="6512" w:name="_Toc179815037"/>
      <w:bookmarkStart w:id="6513" w:name="_Toc179820737"/>
      <w:bookmarkStart w:id="6514" w:name="_Toc179826437"/>
      <w:bookmarkStart w:id="6515" w:name="_Toc179832087"/>
      <w:bookmarkStart w:id="6516" w:name="_Toc179863617"/>
      <w:bookmarkStart w:id="6517" w:name="_Toc179870384"/>
      <w:bookmarkStart w:id="6518" w:name="_Toc179874777"/>
      <w:bookmarkStart w:id="6519" w:name="_Toc179879170"/>
      <w:bookmarkStart w:id="6520" w:name="_Toc179809359"/>
      <w:bookmarkStart w:id="6521" w:name="_Toc179815038"/>
      <w:bookmarkStart w:id="6522" w:name="_Toc179820738"/>
      <w:bookmarkStart w:id="6523" w:name="_Toc179826438"/>
      <w:bookmarkStart w:id="6524" w:name="_Toc179832088"/>
      <w:bookmarkStart w:id="6525" w:name="_Toc179863618"/>
      <w:bookmarkStart w:id="6526" w:name="_Toc179870385"/>
      <w:bookmarkStart w:id="6527" w:name="_Toc179874778"/>
      <w:bookmarkStart w:id="6528" w:name="_Toc179879171"/>
      <w:bookmarkStart w:id="6529" w:name="_Toc179809360"/>
      <w:bookmarkStart w:id="6530" w:name="_Toc179815039"/>
      <w:bookmarkStart w:id="6531" w:name="_Toc179820739"/>
      <w:bookmarkStart w:id="6532" w:name="_Toc179826439"/>
      <w:bookmarkStart w:id="6533" w:name="_Toc179832089"/>
      <w:bookmarkStart w:id="6534" w:name="_Toc179863619"/>
      <w:bookmarkStart w:id="6535" w:name="_Toc179870386"/>
      <w:bookmarkStart w:id="6536" w:name="_Toc179874779"/>
      <w:bookmarkStart w:id="6537" w:name="_Toc179879172"/>
      <w:bookmarkStart w:id="6538" w:name="_Toc179809361"/>
      <w:bookmarkStart w:id="6539" w:name="_Toc179815040"/>
      <w:bookmarkStart w:id="6540" w:name="_Toc179820740"/>
      <w:bookmarkStart w:id="6541" w:name="_Toc179826440"/>
      <w:bookmarkStart w:id="6542" w:name="_Toc179832090"/>
      <w:bookmarkStart w:id="6543" w:name="_Toc179863620"/>
      <w:bookmarkStart w:id="6544" w:name="_Toc179870387"/>
      <w:bookmarkStart w:id="6545" w:name="_Toc179874780"/>
      <w:bookmarkStart w:id="6546" w:name="_Toc179879173"/>
      <w:bookmarkStart w:id="6547" w:name="_Toc179809362"/>
      <w:bookmarkStart w:id="6548" w:name="_Toc179815041"/>
      <w:bookmarkStart w:id="6549" w:name="_Toc179820741"/>
      <w:bookmarkStart w:id="6550" w:name="_Toc179826441"/>
      <w:bookmarkStart w:id="6551" w:name="_Toc179832091"/>
      <w:bookmarkStart w:id="6552" w:name="_Toc179863621"/>
      <w:bookmarkStart w:id="6553" w:name="_Toc179870388"/>
      <w:bookmarkStart w:id="6554" w:name="_Toc179874781"/>
      <w:bookmarkStart w:id="6555" w:name="_Toc179879174"/>
      <w:bookmarkStart w:id="6556" w:name="_Toc179809363"/>
      <w:bookmarkStart w:id="6557" w:name="_Toc179815042"/>
      <w:bookmarkStart w:id="6558" w:name="_Toc179820742"/>
      <w:bookmarkStart w:id="6559" w:name="_Toc179826442"/>
      <w:bookmarkStart w:id="6560" w:name="_Toc179832092"/>
      <w:bookmarkStart w:id="6561" w:name="_Toc179863622"/>
      <w:bookmarkStart w:id="6562" w:name="_Toc179870389"/>
      <w:bookmarkStart w:id="6563" w:name="_Toc179874782"/>
      <w:bookmarkStart w:id="6564" w:name="_Toc179879175"/>
      <w:bookmarkStart w:id="6565" w:name="_Toc179809364"/>
      <w:bookmarkStart w:id="6566" w:name="_Toc179815043"/>
      <w:bookmarkStart w:id="6567" w:name="_Toc179820743"/>
      <w:bookmarkStart w:id="6568" w:name="_Toc179826443"/>
      <w:bookmarkStart w:id="6569" w:name="_Toc179832093"/>
      <w:bookmarkStart w:id="6570" w:name="_Toc179863623"/>
      <w:bookmarkStart w:id="6571" w:name="_Toc179870390"/>
      <w:bookmarkStart w:id="6572" w:name="_Toc179874783"/>
      <w:bookmarkStart w:id="6573" w:name="_Toc179879176"/>
      <w:bookmarkStart w:id="6574" w:name="_Toc179809365"/>
      <w:bookmarkStart w:id="6575" w:name="_Toc179815044"/>
      <w:bookmarkStart w:id="6576" w:name="_Toc179820744"/>
      <w:bookmarkStart w:id="6577" w:name="_Toc179826444"/>
      <w:bookmarkStart w:id="6578" w:name="_Toc179832094"/>
      <w:bookmarkStart w:id="6579" w:name="_Toc179863624"/>
      <w:bookmarkStart w:id="6580" w:name="_Toc179870391"/>
      <w:bookmarkStart w:id="6581" w:name="_Toc179874784"/>
      <w:bookmarkStart w:id="6582" w:name="_Toc179879177"/>
      <w:bookmarkStart w:id="6583" w:name="_Toc179809366"/>
      <w:bookmarkStart w:id="6584" w:name="_Toc179815045"/>
      <w:bookmarkStart w:id="6585" w:name="_Toc179820745"/>
      <w:bookmarkStart w:id="6586" w:name="_Toc179826445"/>
      <w:bookmarkStart w:id="6587" w:name="_Toc179832095"/>
      <w:bookmarkStart w:id="6588" w:name="_Toc179863625"/>
      <w:bookmarkStart w:id="6589" w:name="_Toc179870392"/>
      <w:bookmarkStart w:id="6590" w:name="_Toc179874785"/>
      <w:bookmarkStart w:id="6591" w:name="_Toc179879178"/>
      <w:bookmarkStart w:id="6592" w:name="_Toc179809367"/>
      <w:bookmarkStart w:id="6593" w:name="_Toc179815046"/>
      <w:bookmarkStart w:id="6594" w:name="_Toc179820746"/>
      <w:bookmarkStart w:id="6595" w:name="_Toc179826446"/>
      <w:bookmarkStart w:id="6596" w:name="_Toc179832096"/>
      <w:bookmarkStart w:id="6597" w:name="_Toc179863626"/>
      <w:bookmarkStart w:id="6598" w:name="_Toc179870393"/>
      <w:bookmarkStart w:id="6599" w:name="_Toc179874786"/>
      <w:bookmarkStart w:id="6600" w:name="_Toc179879179"/>
      <w:bookmarkStart w:id="6601" w:name="_Toc179809368"/>
      <w:bookmarkStart w:id="6602" w:name="_Toc179815047"/>
      <w:bookmarkStart w:id="6603" w:name="_Toc179820747"/>
      <w:bookmarkStart w:id="6604" w:name="_Toc179826447"/>
      <w:bookmarkStart w:id="6605" w:name="_Toc179832097"/>
      <w:bookmarkStart w:id="6606" w:name="_Toc179863627"/>
      <w:bookmarkStart w:id="6607" w:name="_Toc179870394"/>
      <w:bookmarkStart w:id="6608" w:name="_Toc179874787"/>
      <w:bookmarkStart w:id="6609" w:name="_Toc179879180"/>
      <w:bookmarkStart w:id="6610" w:name="_Toc179809369"/>
      <w:bookmarkStart w:id="6611" w:name="_Toc179815048"/>
      <w:bookmarkStart w:id="6612" w:name="_Toc179820748"/>
      <w:bookmarkStart w:id="6613" w:name="_Toc179826448"/>
      <w:bookmarkStart w:id="6614" w:name="_Toc179832098"/>
      <w:bookmarkStart w:id="6615" w:name="_Toc179863628"/>
      <w:bookmarkStart w:id="6616" w:name="_Toc179870395"/>
      <w:bookmarkStart w:id="6617" w:name="_Toc179874788"/>
      <w:bookmarkStart w:id="6618" w:name="_Toc179879181"/>
      <w:bookmarkStart w:id="6619" w:name="_Toc179809402"/>
      <w:bookmarkStart w:id="6620" w:name="_Toc179815081"/>
      <w:bookmarkStart w:id="6621" w:name="_Toc179820781"/>
      <w:bookmarkStart w:id="6622" w:name="_Toc179826481"/>
      <w:bookmarkStart w:id="6623" w:name="_Toc179832131"/>
      <w:bookmarkStart w:id="6624" w:name="_Toc179863661"/>
      <w:bookmarkStart w:id="6625" w:name="_Toc179870428"/>
      <w:bookmarkStart w:id="6626" w:name="_Toc179874821"/>
      <w:bookmarkStart w:id="6627" w:name="_Toc179879214"/>
      <w:bookmarkStart w:id="6628" w:name="_Toc179809431"/>
      <w:bookmarkStart w:id="6629" w:name="_Toc179815110"/>
      <w:bookmarkStart w:id="6630" w:name="_Toc179820810"/>
      <w:bookmarkStart w:id="6631" w:name="_Toc179826510"/>
      <w:bookmarkStart w:id="6632" w:name="_Toc179832160"/>
      <w:bookmarkStart w:id="6633" w:name="_Toc179863690"/>
      <w:bookmarkStart w:id="6634" w:name="_Toc179870457"/>
      <w:bookmarkStart w:id="6635" w:name="_Toc179874850"/>
      <w:bookmarkStart w:id="6636" w:name="_Toc179879243"/>
      <w:bookmarkStart w:id="6637" w:name="_Toc179809432"/>
      <w:bookmarkStart w:id="6638" w:name="_Toc179815111"/>
      <w:bookmarkStart w:id="6639" w:name="_Toc179820811"/>
      <w:bookmarkStart w:id="6640" w:name="_Toc179826511"/>
      <w:bookmarkStart w:id="6641" w:name="_Toc179832161"/>
      <w:bookmarkStart w:id="6642" w:name="_Toc179863691"/>
      <w:bookmarkStart w:id="6643" w:name="_Toc179870458"/>
      <w:bookmarkStart w:id="6644" w:name="_Toc179874851"/>
      <w:bookmarkStart w:id="6645" w:name="_Toc179879244"/>
      <w:bookmarkStart w:id="6646" w:name="_Toc179809433"/>
      <w:bookmarkStart w:id="6647" w:name="_Toc179815112"/>
      <w:bookmarkStart w:id="6648" w:name="_Toc179820812"/>
      <w:bookmarkStart w:id="6649" w:name="_Toc179826512"/>
      <w:bookmarkStart w:id="6650" w:name="_Toc179832162"/>
      <w:bookmarkStart w:id="6651" w:name="_Toc179863692"/>
      <w:bookmarkStart w:id="6652" w:name="_Toc179870459"/>
      <w:bookmarkStart w:id="6653" w:name="_Toc179874852"/>
      <w:bookmarkStart w:id="6654" w:name="_Toc179879245"/>
      <w:bookmarkStart w:id="6655" w:name="_Toc179809434"/>
      <w:bookmarkStart w:id="6656" w:name="_Toc179815113"/>
      <w:bookmarkStart w:id="6657" w:name="_Toc179820813"/>
      <w:bookmarkStart w:id="6658" w:name="_Toc179826513"/>
      <w:bookmarkStart w:id="6659" w:name="_Toc179832163"/>
      <w:bookmarkStart w:id="6660" w:name="_Toc179863693"/>
      <w:bookmarkStart w:id="6661" w:name="_Toc179870460"/>
      <w:bookmarkStart w:id="6662" w:name="_Toc179874853"/>
      <w:bookmarkStart w:id="6663" w:name="_Toc179879246"/>
      <w:bookmarkStart w:id="6664" w:name="_Toc179809435"/>
      <w:bookmarkStart w:id="6665" w:name="_Toc179815114"/>
      <w:bookmarkStart w:id="6666" w:name="_Toc179820814"/>
      <w:bookmarkStart w:id="6667" w:name="_Toc179826514"/>
      <w:bookmarkStart w:id="6668" w:name="_Toc179832164"/>
      <w:bookmarkStart w:id="6669" w:name="_Toc179863694"/>
      <w:bookmarkStart w:id="6670" w:name="_Toc179870461"/>
      <w:bookmarkStart w:id="6671" w:name="_Toc179874854"/>
      <w:bookmarkStart w:id="6672" w:name="_Toc179879247"/>
      <w:bookmarkStart w:id="6673" w:name="_Toc179809436"/>
      <w:bookmarkStart w:id="6674" w:name="_Toc179815115"/>
      <w:bookmarkStart w:id="6675" w:name="_Toc179820815"/>
      <w:bookmarkStart w:id="6676" w:name="_Toc179826515"/>
      <w:bookmarkStart w:id="6677" w:name="_Toc179832165"/>
      <w:bookmarkStart w:id="6678" w:name="_Toc179863695"/>
      <w:bookmarkStart w:id="6679" w:name="_Toc179870462"/>
      <w:bookmarkStart w:id="6680" w:name="_Toc179874855"/>
      <w:bookmarkStart w:id="6681" w:name="_Toc179879248"/>
      <w:bookmarkStart w:id="6682" w:name="_Toc179809437"/>
      <w:bookmarkStart w:id="6683" w:name="_Toc179815116"/>
      <w:bookmarkStart w:id="6684" w:name="_Toc179820816"/>
      <w:bookmarkStart w:id="6685" w:name="_Toc179826516"/>
      <w:bookmarkStart w:id="6686" w:name="_Toc179832166"/>
      <w:bookmarkStart w:id="6687" w:name="_Toc179863696"/>
      <w:bookmarkStart w:id="6688" w:name="_Toc179870463"/>
      <w:bookmarkStart w:id="6689" w:name="_Toc179874856"/>
      <w:bookmarkStart w:id="6690" w:name="_Toc179879249"/>
      <w:bookmarkStart w:id="6691" w:name="_Toc179809438"/>
      <w:bookmarkStart w:id="6692" w:name="_Toc179815117"/>
      <w:bookmarkStart w:id="6693" w:name="_Toc179820817"/>
      <w:bookmarkStart w:id="6694" w:name="_Toc179826517"/>
      <w:bookmarkStart w:id="6695" w:name="_Toc179832167"/>
      <w:bookmarkStart w:id="6696" w:name="_Toc179863697"/>
      <w:bookmarkStart w:id="6697" w:name="_Toc179870464"/>
      <w:bookmarkStart w:id="6698" w:name="_Toc179874857"/>
      <w:bookmarkStart w:id="6699" w:name="_Toc179879250"/>
      <w:bookmarkStart w:id="6700" w:name="_Toc179809439"/>
      <w:bookmarkStart w:id="6701" w:name="_Toc179815118"/>
      <w:bookmarkStart w:id="6702" w:name="_Toc179820818"/>
      <w:bookmarkStart w:id="6703" w:name="_Toc179826518"/>
      <w:bookmarkStart w:id="6704" w:name="_Toc179832168"/>
      <w:bookmarkStart w:id="6705" w:name="_Toc179863698"/>
      <w:bookmarkStart w:id="6706" w:name="_Toc179870465"/>
      <w:bookmarkStart w:id="6707" w:name="_Toc179874858"/>
      <w:bookmarkStart w:id="6708" w:name="_Toc179879251"/>
      <w:bookmarkStart w:id="6709" w:name="_Toc179809440"/>
      <w:bookmarkStart w:id="6710" w:name="_Toc179815119"/>
      <w:bookmarkStart w:id="6711" w:name="_Toc179820819"/>
      <w:bookmarkStart w:id="6712" w:name="_Toc179826519"/>
      <w:bookmarkStart w:id="6713" w:name="_Toc179832169"/>
      <w:bookmarkStart w:id="6714" w:name="_Toc179863699"/>
      <w:bookmarkStart w:id="6715" w:name="_Toc179870466"/>
      <w:bookmarkStart w:id="6716" w:name="_Toc179874859"/>
      <w:bookmarkStart w:id="6717" w:name="_Toc179879252"/>
      <w:bookmarkStart w:id="6718" w:name="_Toc179809441"/>
      <w:bookmarkStart w:id="6719" w:name="_Toc179815120"/>
      <w:bookmarkStart w:id="6720" w:name="_Toc179820820"/>
      <w:bookmarkStart w:id="6721" w:name="_Toc179826520"/>
      <w:bookmarkStart w:id="6722" w:name="_Toc179832170"/>
      <w:bookmarkStart w:id="6723" w:name="_Toc179863700"/>
      <w:bookmarkStart w:id="6724" w:name="_Toc179870467"/>
      <w:bookmarkStart w:id="6725" w:name="_Toc179874860"/>
      <w:bookmarkStart w:id="6726" w:name="_Toc179879253"/>
      <w:bookmarkStart w:id="6727" w:name="_Toc179809442"/>
      <w:bookmarkStart w:id="6728" w:name="_Toc179815121"/>
      <w:bookmarkStart w:id="6729" w:name="_Toc179820821"/>
      <w:bookmarkStart w:id="6730" w:name="_Toc179826521"/>
      <w:bookmarkStart w:id="6731" w:name="_Toc179832171"/>
      <w:bookmarkStart w:id="6732" w:name="_Toc179863701"/>
      <w:bookmarkStart w:id="6733" w:name="_Toc179870468"/>
      <w:bookmarkStart w:id="6734" w:name="_Toc179874861"/>
      <w:bookmarkStart w:id="6735" w:name="_Toc179879254"/>
      <w:bookmarkStart w:id="6736" w:name="_Toc179809443"/>
      <w:bookmarkStart w:id="6737" w:name="_Toc179815122"/>
      <w:bookmarkStart w:id="6738" w:name="_Toc179820822"/>
      <w:bookmarkStart w:id="6739" w:name="_Toc179826522"/>
      <w:bookmarkStart w:id="6740" w:name="_Toc179832172"/>
      <w:bookmarkStart w:id="6741" w:name="_Toc179863702"/>
      <w:bookmarkStart w:id="6742" w:name="_Toc179870469"/>
      <w:bookmarkStart w:id="6743" w:name="_Toc179874862"/>
      <w:bookmarkStart w:id="6744" w:name="_Toc179879255"/>
      <w:bookmarkStart w:id="6745" w:name="_Toc179809444"/>
      <w:bookmarkStart w:id="6746" w:name="_Toc179815123"/>
      <w:bookmarkStart w:id="6747" w:name="_Toc179820823"/>
      <w:bookmarkStart w:id="6748" w:name="_Toc179826523"/>
      <w:bookmarkStart w:id="6749" w:name="_Toc179832173"/>
      <w:bookmarkStart w:id="6750" w:name="_Toc179863703"/>
      <w:bookmarkStart w:id="6751" w:name="_Toc179870470"/>
      <w:bookmarkStart w:id="6752" w:name="_Toc179874863"/>
      <w:bookmarkStart w:id="6753" w:name="_Toc179879256"/>
      <w:bookmarkStart w:id="6754" w:name="_Toc179809445"/>
      <w:bookmarkStart w:id="6755" w:name="_Toc179815124"/>
      <w:bookmarkStart w:id="6756" w:name="_Toc179820824"/>
      <w:bookmarkStart w:id="6757" w:name="_Toc179826524"/>
      <w:bookmarkStart w:id="6758" w:name="_Toc179832174"/>
      <w:bookmarkStart w:id="6759" w:name="_Toc179863704"/>
      <w:bookmarkStart w:id="6760" w:name="_Toc179870471"/>
      <w:bookmarkStart w:id="6761" w:name="_Toc179874864"/>
      <w:bookmarkStart w:id="6762" w:name="_Toc179879257"/>
      <w:bookmarkStart w:id="6763" w:name="_Toc179809446"/>
      <w:bookmarkStart w:id="6764" w:name="_Toc179815125"/>
      <w:bookmarkStart w:id="6765" w:name="_Toc179820825"/>
      <w:bookmarkStart w:id="6766" w:name="_Toc179826525"/>
      <w:bookmarkStart w:id="6767" w:name="_Toc179832175"/>
      <w:bookmarkStart w:id="6768" w:name="_Toc179863705"/>
      <w:bookmarkStart w:id="6769" w:name="_Toc179870472"/>
      <w:bookmarkStart w:id="6770" w:name="_Toc179874865"/>
      <w:bookmarkStart w:id="6771" w:name="_Toc179879258"/>
      <w:bookmarkStart w:id="6772" w:name="_Toc179809447"/>
      <w:bookmarkStart w:id="6773" w:name="_Toc179815126"/>
      <w:bookmarkStart w:id="6774" w:name="_Toc179820826"/>
      <w:bookmarkStart w:id="6775" w:name="_Toc179826526"/>
      <w:bookmarkStart w:id="6776" w:name="_Toc179832176"/>
      <w:bookmarkStart w:id="6777" w:name="_Toc179863706"/>
      <w:bookmarkStart w:id="6778" w:name="_Toc179870473"/>
      <w:bookmarkStart w:id="6779" w:name="_Toc179874866"/>
      <w:bookmarkStart w:id="6780" w:name="_Toc179879259"/>
      <w:bookmarkStart w:id="6781" w:name="_Toc179809448"/>
      <w:bookmarkStart w:id="6782" w:name="_Toc179815127"/>
      <w:bookmarkStart w:id="6783" w:name="_Toc179820827"/>
      <w:bookmarkStart w:id="6784" w:name="_Toc179826527"/>
      <w:bookmarkStart w:id="6785" w:name="_Toc179832177"/>
      <w:bookmarkStart w:id="6786" w:name="_Toc179863707"/>
      <w:bookmarkStart w:id="6787" w:name="_Toc179870474"/>
      <w:bookmarkStart w:id="6788" w:name="_Toc179874867"/>
      <w:bookmarkStart w:id="6789" w:name="_Toc179879260"/>
      <w:bookmarkStart w:id="6790" w:name="_Toc179809449"/>
      <w:bookmarkStart w:id="6791" w:name="_Toc179815128"/>
      <w:bookmarkStart w:id="6792" w:name="_Toc179820828"/>
      <w:bookmarkStart w:id="6793" w:name="_Toc179826528"/>
      <w:bookmarkStart w:id="6794" w:name="_Toc179832178"/>
      <w:bookmarkStart w:id="6795" w:name="_Toc179863708"/>
      <w:bookmarkStart w:id="6796" w:name="_Toc179870475"/>
      <w:bookmarkStart w:id="6797" w:name="_Toc179874868"/>
      <w:bookmarkStart w:id="6798" w:name="_Toc179879261"/>
      <w:bookmarkStart w:id="6799" w:name="_Toc179809450"/>
      <w:bookmarkStart w:id="6800" w:name="_Toc179815129"/>
      <w:bookmarkStart w:id="6801" w:name="_Toc179820829"/>
      <w:bookmarkStart w:id="6802" w:name="_Toc179826529"/>
      <w:bookmarkStart w:id="6803" w:name="_Toc179832179"/>
      <w:bookmarkStart w:id="6804" w:name="_Toc179863709"/>
      <w:bookmarkStart w:id="6805" w:name="_Toc179870476"/>
      <w:bookmarkStart w:id="6806" w:name="_Toc179874869"/>
      <w:bookmarkStart w:id="6807" w:name="_Toc179879262"/>
      <w:bookmarkStart w:id="6808" w:name="_Toc179809451"/>
      <w:bookmarkStart w:id="6809" w:name="_Toc179815130"/>
      <w:bookmarkStart w:id="6810" w:name="_Toc179820830"/>
      <w:bookmarkStart w:id="6811" w:name="_Toc179826530"/>
      <w:bookmarkStart w:id="6812" w:name="_Toc179832180"/>
      <w:bookmarkStart w:id="6813" w:name="_Toc179863710"/>
      <w:bookmarkStart w:id="6814" w:name="_Toc179870477"/>
      <w:bookmarkStart w:id="6815" w:name="_Toc179874870"/>
      <w:bookmarkStart w:id="6816" w:name="_Toc179879263"/>
      <w:bookmarkStart w:id="6817" w:name="_Toc179809452"/>
      <w:bookmarkStart w:id="6818" w:name="_Toc179815131"/>
      <w:bookmarkStart w:id="6819" w:name="_Toc179820831"/>
      <w:bookmarkStart w:id="6820" w:name="_Toc179826531"/>
      <w:bookmarkStart w:id="6821" w:name="_Toc179832181"/>
      <w:bookmarkStart w:id="6822" w:name="_Toc179863711"/>
      <w:bookmarkStart w:id="6823" w:name="_Toc179870478"/>
      <w:bookmarkStart w:id="6824" w:name="_Toc179874871"/>
      <w:bookmarkStart w:id="6825" w:name="_Toc179879264"/>
      <w:bookmarkStart w:id="6826" w:name="_Toc179809453"/>
      <w:bookmarkStart w:id="6827" w:name="_Toc179815132"/>
      <w:bookmarkStart w:id="6828" w:name="_Toc179820832"/>
      <w:bookmarkStart w:id="6829" w:name="_Toc179826532"/>
      <w:bookmarkStart w:id="6830" w:name="_Toc179832182"/>
      <w:bookmarkStart w:id="6831" w:name="_Toc179863712"/>
      <w:bookmarkStart w:id="6832" w:name="_Toc179870479"/>
      <w:bookmarkStart w:id="6833" w:name="_Toc179874872"/>
      <w:bookmarkStart w:id="6834" w:name="_Toc179879265"/>
      <w:bookmarkStart w:id="6835" w:name="_Toc179809454"/>
      <w:bookmarkStart w:id="6836" w:name="_Toc179815133"/>
      <w:bookmarkStart w:id="6837" w:name="_Toc179820833"/>
      <w:bookmarkStart w:id="6838" w:name="_Toc179826533"/>
      <w:bookmarkStart w:id="6839" w:name="_Toc179832183"/>
      <w:bookmarkStart w:id="6840" w:name="_Toc179863713"/>
      <w:bookmarkStart w:id="6841" w:name="_Toc179870480"/>
      <w:bookmarkStart w:id="6842" w:name="_Toc179874873"/>
      <w:bookmarkStart w:id="6843" w:name="_Toc179879266"/>
      <w:bookmarkStart w:id="6844" w:name="_Toc179809455"/>
      <w:bookmarkStart w:id="6845" w:name="_Toc179815134"/>
      <w:bookmarkStart w:id="6846" w:name="_Toc179820834"/>
      <w:bookmarkStart w:id="6847" w:name="_Toc179826534"/>
      <w:bookmarkStart w:id="6848" w:name="_Toc179832184"/>
      <w:bookmarkStart w:id="6849" w:name="_Toc179863714"/>
      <w:bookmarkStart w:id="6850" w:name="_Toc179870481"/>
      <w:bookmarkStart w:id="6851" w:name="_Toc179874874"/>
      <w:bookmarkStart w:id="6852" w:name="_Toc179879267"/>
      <w:bookmarkStart w:id="6853" w:name="_Toc179809456"/>
      <w:bookmarkStart w:id="6854" w:name="_Toc179815135"/>
      <w:bookmarkStart w:id="6855" w:name="_Toc179820835"/>
      <w:bookmarkStart w:id="6856" w:name="_Toc179826535"/>
      <w:bookmarkStart w:id="6857" w:name="_Toc179832185"/>
      <w:bookmarkStart w:id="6858" w:name="_Toc179863715"/>
      <w:bookmarkStart w:id="6859" w:name="_Toc179870482"/>
      <w:bookmarkStart w:id="6860" w:name="_Toc179874875"/>
      <w:bookmarkStart w:id="6861" w:name="_Toc179879268"/>
      <w:bookmarkStart w:id="6862" w:name="_Toc179809457"/>
      <w:bookmarkStart w:id="6863" w:name="_Toc179815136"/>
      <w:bookmarkStart w:id="6864" w:name="_Toc179820836"/>
      <w:bookmarkStart w:id="6865" w:name="_Toc179826536"/>
      <w:bookmarkStart w:id="6866" w:name="_Toc179832186"/>
      <w:bookmarkStart w:id="6867" w:name="_Toc179863716"/>
      <w:bookmarkStart w:id="6868" w:name="_Toc179870483"/>
      <w:bookmarkStart w:id="6869" w:name="_Toc179874876"/>
      <w:bookmarkStart w:id="6870" w:name="_Toc179879269"/>
      <w:bookmarkStart w:id="6871" w:name="_Toc179809458"/>
      <w:bookmarkStart w:id="6872" w:name="_Toc179815137"/>
      <w:bookmarkStart w:id="6873" w:name="_Toc179820837"/>
      <w:bookmarkStart w:id="6874" w:name="_Toc179826537"/>
      <w:bookmarkStart w:id="6875" w:name="_Toc179832187"/>
      <w:bookmarkStart w:id="6876" w:name="_Toc179863717"/>
      <w:bookmarkStart w:id="6877" w:name="_Toc179870484"/>
      <w:bookmarkStart w:id="6878" w:name="_Toc179874877"/>
      <w:bookmarkStart w:id="6879" w:name="_Toc179879270"/>
      <w:bookmarkStart w:id="6880" w:name="_Toc179809459"/>
      <w:bookmarkStart w:id="6881" w:name="_Toc179815138"/>
      <w:bookmarkStart w:id="6882" w:name="_Toc179820838"/>
      <w:bookmarkStart w:id="6883" w:name="_Toc179826538"/>
      <w:bookmarkStart w:id="6884" w:name="_Toc179832188"/>
      <w:bookmarkStart w:id="6885" w:name="_Toc179863718"/>
      <w:bookmarkStart w:id="6886" w:name="_Toc179870485"/>
      <w:bookmarkStart w:id="6887" w:name="_Toc179874878"/>
      <w:bookmarkStart w:id="6888" w:name="_Toc179879271"/>
      <w:bookmarkStart w:id="6889" w:name="_Toc179809460"/>
      <w:bookmarkStart w:id="6890" w:name="_Toc179815139"/>
      <w:bookmarkStart w:id="6891" w:name="_Toc179820839"/>
      <w:bookmarkStart w:id="6892" w:name="_Toc179826539"/>
      <w:bookmarkStart w:id="6893" w:name="_Toc179832189"/>
      <w:bookmarkStart w:id="6894" w:name="_Toc179863719"/>
      <w:bookmarkStart w:id="6895" w:name="_Toc179870486"/>
      <w:bookmarkStart w:id="6896" w:name="_Toc179874879"/>
      <w:bookmarkStart w:id="6897" w:name="_Toc179879272"/>
      <w:bookmarkStart w:id="6898" w:name="_Toc179809461"/>
      <w:bookmarkStart w:id="6899" w:name="_Toc179815140"/>
      <w:bookmarkStart w:id="6900" w:name="_Toc179820840"/>
      <w:bookmarkStart w:id="6901" w:name="_Toc179826540"/>
      <w:bookmarkStart w:id="6902" w:name="_Toc179832190"/>
      <w:bookmarkStart w:id="6903" w:name="_Toc179863720"/>
      <w:bookmarkStart w:id="6904" w:name="_Toc179870487"/>
      <w:bookmarkStart w:id="6905" w:name="_Toc179874880"/>
      <w:bookmarkStart w:id="6906" w:name="_Toc179879273"/>
      <w:bookmarkStart w:id="6907" w:name="_Toc179809462"/>
      <w:bookmarkStart w:id="6908" w:name="_Toc179815141"/>
      <w:bookmarkStart w:id="6909" w:name="_Toc179820841"/>
      <w:bookmarkStart w:id="6910" w:name="_Toc179826541"/>
      <w:bookmarkStart w:id="6911" w:name="_Toc179832191"/>
      <w:bookmarkStart w:id="6912" w:name="_Toc179863721"/>
      <w:bookmarkStart w:id="6913" w:name="_Toc179870488"/>
      <w:bookmarkStart w:id="6914" w:name="_Toc179874881"/>
      <w:bookmarkStart w:id="6915" w:name="_Toc179879274"/>
      <w:bookmarkStart w:id="6916" w:name="_Toc179809463"/>
      <w:bookmarkStart w:id="6917" w:name="_Toc179815142"/>
      <w:bookmarkStart w:id="6918" w:name="_Toc179820842"/>
      <w:bookmarkStart w:id="6919" w:name="_Toc179826542"/>
      <w:bookmarkStart w:id="6920" w:name="_Toc179832192"/>
      <w:bookmarkStart w:id="6921" w:name="_Toc179863722"/>
      <w:bookmarkStart w:id="6922" w:name="_Toc179870489"/>
      <w:bookmarkStart w:id="6923" w:name="_Toc179874882"/>
      <w:bookmarkStart w:id="6924" w:name="_Toc179879275"/>
      <w:bookmarkStart w:id="6925" w:name="_Toc179809464"/>
      <w:bookmarkStart w:id="6926" w:name="_Toc179815143"/>
      <w:bookmarkStart w:id="6927" w:name="_Toc179820843"/>
      <w:bookmarkStart w:id="6928" w:name="_Toc179826543"/>
      <w:bookmarkStart w:id="6929" w:name="_Toc179832193"/>
      <w:bookmarkStart w:id="6930" w:name="_Toc179863723"/>
      <w:bookmarkStart w:id="6931" w:name="_Toc179870490"/>
      <w:bookmarkStart w:id="6932" w:name="_Toc179874883"/>
      <w:bookmarkStart w:id="6933" w:name="_Toc179879276"/>
      <w:bookmarkStart w:id="6934" w:name="_Toc179809465"/>
      <w:bookmarkStart w:id="6935" w:name="_Toc179815144"/>
      <w:bookmarkStart w:id="6936" w:name="_Toc179820844"/>
      <w:bookmarkStart w:id="6937" w:name="_Toc179826544"/>
      <w:bookmarkStart w:id="6938" w:name="_Toc179832194"/>
      <w:bookmarkStart w:id="6939" w:name="_Toc179863724"/>
      <w:bookmarkStart w:id="6940" w:name="_Toc179870491"/>
      <w:bookmarkStart w:id="6941" w:name="_Toc179874884"/>
      <w:bookmarkStart w:id="6942" w:name="_Toc179879277"/>
      <w:bookmarkStart w:id="6943" w:name="_Toc179809466"/>
      <w:bookmarkStart w:id="6944" w:name="_Toc179815145"/>
      <w:bookmarkStart w:id="6945" w:name="_Toc179820845"/>
      <w:bookmarkStart w:id="6946" w:name="_Toc179826545"/>
      <w:bookmarkStart w:id="6947" w:name="_Toc179832195"/>
      <w:bookmarkStart w:id="6948" w:name="_Toc179863725"/>
      <w:bookmarkStart w:id="6949" w:name="_Toc179870492"/>
      <w:bookmarkStart w:id="6950" w:name="_Toc179874885"/>
      <w:bookmarkStart w:id="6951" w:name="_Toc179879278"/>
      <w:bookmarkStart w:id="6952" w:name="_Toc179809467"/>
      <w:bookmarkStart w:id="6953" w:name="_Toc179815146"/>
      <w:bookmarkStart w:id="6954" w:name="_Toc179820846"/>
      <w:bookmarkStart w:id="6955" w:name="_Toc179826546"/>
      <w:bookmarkStart w:id="6956" w:name="_Toc179832196"/>
      <w:bookmarkStart w:id="6957" w:name="_Toc179863726"/>
      <w:bookmarkStart w:id="6958" w:name="_Toc179870493"/>
      <w:bookmarkStart w:id="6959" w:name="_Toc179874886"/>
      <w:bookmarkStart w:id="6960" w:name="_Toc179879279"/>
      <w:bookmarkStart w:id="6961" w:name="_Toc179809468"/>
      <w:bookmarkStart w:id="6962" w:name="_Toc179815147"/>
      <w:bookmarkStart w:id="6963" w:name="_Toc179820847"/>
      <w:bookmarkStart w:id="6964" w:name="_Toc179826547"/>
      <w:bookmarkStart w:id="6965" w:name="_Toc179832197"/>
      <w:bookmarkStart w:id="6966" w:name="_Toc179863727"/>
      <w:bookmarkStart w:id="6967" w:name="_Toc179870494"/>
      <w:bookmarkStart w:id="6968" w:name="_Toc179874887"/>
      <w:bookmarkStart w:id="6969" w:name="_Toc179879280"/>
      <w:bookmarkStart w:id="6970" w:name="_Toc179809469"/>
      <w:bookmarkStart w:id="6971" w:name="_Toc179815148"/>
      <w:bookmarkStart w:id="6972" w:name="_Toc179820848"/>
      <w:bookmarkStart w:id="6973" w:name="_Toc179826548"/>
      <w:bookmarkStart w:id="6974" w:name="_Toc179832198"/>
      <w:bookmarkStart w:id="6975" w:name="_Toc179863728"/>
      <w:bookmarkStart w:id="6976" w:name="_Toc179870495"/>
      <w:bookmarkStart w:id="6977" w:name="_Toc179874888"/>
      <w:bookmarkStart w:id="6978" w:name="_Toc179879281"/>
      <w:bookmarkStart w:id="6979" w:name="_Toc179809470"/>
      <w:bookmarkStart w:id="6980" w:name="_Toc179815149"/>
      <w:bookmarkStart w:id="6981" w:name="_Toc179820849"/>
      <w:bookmarkStart w:id="6982" w:name="_Toc179826549"/>
      <w:bookmarkStart w:id="6983" w:name="_Toc179832199"/>
      <w:bookmarkStart w:id="6984" w:name="_Toc179863729"/>
      <w:bookmarkStart w:id="6985" w:name="_Toc179870496"/>
      <w:bookmarkStart w:id="6986" w:name="_Toc179874889"/>
      <w:bookmarkStart w:id="6987" w:name="_Toc179879282"/>
      <w:bookmarkStart w:id="6988" w:name="_Toc179809471"/>
      <w:bookmarkStart w:id="6989" w:name="_Toc179815150"/>
      <w:bookmarkStart w:id="6990" w:name="_Toc179820850"/>
      <w:bookmarkStart w:id="6991" w:name="_Toc179826550"/>
      <w:bookmarkStart w:id="6992" w:name="_Toc179832200"/>
      <w:bookmarkStart w:id="6993" w:name="_Toc179863730"/>
      <w:bookmarkStart w:id="6994" w:name="_Toc179870497"/>
      <w:bookmarkStart w:id="6995" w:name="_Toc179874890"/>
      <w:bookmarkStart w:id="6996" w:name="_Toc179879283"/>
      <w:bookmarkStart w:id="6997" w:name="_Toc179809472"/>
      <w:bookmarkStart w:id="6998" w:name="_Toc179815151"/>
      <w:bookmarkStart w:id="6999" w:name="_Toc179820851"/>
      <w:bookmarkStart w:id="7000" w:name="_Toc179826551"/>
      <w:bookmarkStart w:id="7001" w:name="_Toc179832201"/>
      <w:bookmarkStart w:id="7002" w:name="_Toc179863731"/>
      <w:bookmarkStart w:id="7003" w:name="_Toc179870498"/>
      <w:bookmarkStart w:id="7004" w:name="_Toc179874891"/>
      <w:bookmarkStart w:id="7005" w:name="_Toc179879284"/>
      <w:bookmarkStart w:id="7006" w:name="_Toc179809473"/>
      <w:bookmarkStart w:id="7007" w:name="_Toc179815152"/>
      <w:bookmarkStart w:id="7008" w:name="_Toc179820852"/>
      <w:bookmarkStart w:id="7009" w:name="_Toc179826552"/>
      <w:bookmarkStart w:id="7010" w:name="_Toc179832202"/>
      <w:bookmarkStart w:id="7011" w:name="_Toc179863732"/>
      <w:bookmarkStart w:id="7012" w:name="_Toc179870499"/>
      <w:bookmarkStart w:id="7013" w:name="_Toc179874892"/>
      <w:bookmarkStart w:id="7014" w:name="_Toc179879285"/>
      <w:bookmarkStart w:id="7015" w:name="_Toc179809474"/>
      <w:bookmarkStart w:id="7016" w:name="_Toc179815153"/>
      <w:bookmarkStart w:id="7017" w:name="_Toc179820853"/>
      <w:bookmarkStart w:id="7018" w:name="_Toc179826553"/>
      <w:bookmarkStart w:id="7019" w:name="_Toc179832203"/>
      <w:bookmarkStart w:id="7020" w:name="_Toc179863733"/>
      <w:bookmarkStart w:id="7021" w:name="_Toc179870500"/>
      <w:bookmarkStart w:id="7022" w:name="_Toc179874893"/>
      <w:bookmarkStart w:id="7023" w:name="_Toc179879286"/>
      <w:bookmarkStart w:id="7024" w:name="_Toc179809475"/>
      <w:bookmarkStart w:id="7025" w:name="_Toc179815154"/>
      <w:bookmarkStart w:id="7026" w:name="_Toc179820854"/>
      <w:bookmarkStart w:id="7027" w:name="_Toc179826554"/>
      <w:bookmarkStart w:id="7028" w:name="_Toc179832204"/>
      <w:bookmarkStart w:id="7029" w:name="_Toc179863734"/>
      <w:bookmarkStart w:id="7030" w:name="_Toc179870501"/>
      <w:bookmarkStart w:id="7031" w:name="_Toc179874894"/>
      <w:bookmarkStart w:id="7032" w:name="_Toc179879287"/>
      <w:bookmarkStart w:id="7033" w:name="_Toc179813993"/>
      <w:bookmarkStart w:id="7034" w:name="_Toc179819693"/>
      <w:bookmarkStart w:id="7035" w:name="_Toc179825393"/>
      <w:bookmarkStart w:id="7036" w:name="_Toc59210203"/>
      <w:bookmarkStart w:id="7037" w:name="_Toc64983174"/>
      <w:bookmarkStart w:id="7038" w:name="_Toc130225997"/>
      <w:bookmarkStart w:id="7039" w:name="_Toc179815155"/>
      <w:bookmarkStart w:id="7040" w:name="_Toc179820855"/>
      <w:bookmarkStart w:id="7041" w:name="_Toc179826555"/>
      <w:bookmarkStart w:id="7042" w:name="_Toc179832205"/>
      <w:bookmarkStart w:id="7043" w:name="_Toc179863735"/>
      <w:bookmarkStart w:id="7044" w:name="_Toc179870502"/>
      <w:bookmarkStart w:id="7045" w:name="_Toc179874895"/>
      <w:bookmarkStart w:id="7046" w:name="_Toc179879288"/>
      <w:bookmarkStart w:id="7047" w:name="_Toc179880328"/>
      <w:bookmarkStart w:id="7048" w:name="_Toc190333400"/>
      <w:bookmarkEnd w:id="4522"/>
      <w:bookmarkEnd w:id="4523"/>
      <w:bookmarkEnd w:id="4524"/>
      <w:bookmarkEnd w:id="4525"/>
      <w:bookmarkEnd w:id="4526"/>
      <w:bookmarkEnd w:id="4527"/>
      <w:bookmarkEnd w:id="4528"/>
      <w:bookmarkEnd w:id="4529"/>
      <w:bookmarkEnd w:id="4530"/>
      <w:bookmarkEnd w:id="4531"/>
      <w:bookmarkEnd w:id="4532"/>
      <w:bookmarkEnd w:id="4533"/>
      <w:bookmarkEnd w:id="4534"/>
      <w:bookmarkEnd w:id="4535"/>
      <w:bookmarkEnd w:id="4536"/>
      <w:bookmarkEnd w:id="4537"/>
      <w:bookmarkEnd w:id="4538"/>
      <w:bookmarkEnd w:id="4539"/>
      <w:bookmarkEnd w:id="4540"/>
      <w:bookmarkEnd w:id="4541"/>
      <w:bookmarkEnd w:id="4542"/>
      <w:bookmarkEnd w:id="4543"/>
      <w:bookmarkEnd w:id="4544"/>
      <w:bookmarkEnd w:id="4545"/>
      <w:bookmarkEnd w:id="4546"/>
      <w:bookmarkEnd w:id="4547"/>
      <w:bookmarkEnd w:id="4548"/>
      <w:bookmarkEnd w:id="4549"/>
      <w:bookmarkEnd w:id="4550"/>
      <w:bookmarkEnd w:id="4551"/>
      <w:bookmarkEnd w:id="4552"/>
      <w:bookmarkEnd w:id="4553"/>
      <w:bookmarkEnd w:id="4554"/>
      <w:bookmarkEnd w:id="4555"/>
      <w:bookmarkEnd w:id="4556"/>
      <w:bookmarkEnd w:id="4557"/>
      <w:bookmarkEnd w:id="4558"/>
      <w:bookmarkEnd w:id="4559"/>
      <w:bookmarkEnd w:id="4560"/>
      <w:bookmarkEnd w:id="4561"/>
      <w:bookmarkEnd w:id="4562"/>
      <w:bookmarkEnd w:id="4563"/>
      <w:bookmarkEnd w:id="4564"/>
      <w:bookmarkEnd w:id="4565"/>
      <w:bookmarkEnd w:id="4566"/>
      <w:bookmarkEnd w:id="4567"/>
      <w:bookmarkEnd w:id="4568"/>
      <w:bookmarkEnd w:id="4569"/>
      <w:bookmarkEnd w:id="4570"/>
      <w:bookmarkEnd w:id="4571"/>
      <w:bookmarkEnd w:id="4572"/>
      <w:bookmarkEnd w:id="4573"/>
      <w:bookmarkEnd w:id="4574"/>
      <w:bookmarkEnd w:id="4575"/>
      <w:bookmarkEnd w:id="4576"/>
      <w:bookmarkEnd w:id="4577"/>
      <w:bookmarkEnd w:id="4578"/>
      <w:bookmarkEnd w:id="4579"/>
      <w:bookmarkEnd w:id="4580"/>
      <w:bookmarkEnd w:id="4581"/>
      <w:bookmarkEnd w:id="4582"/>
      <w:bookmarkEnd w:id="4583"/>
      <w:bookmarkEnd w:id="4584"/>
      <w:bookmarkEnd w:id="4585"/>
      <w:bookmarkEnd w:id="4586"/>
      <w:bookmarkEnd w:id="4587"/>
      <w:bookmarkEnd w:id="4588"/>
      <w:bookmarkEnd w:id="4589"/>
      <w:bookmarkEnd w:id="4590"/>
      <w:bookmarkEnd w:id="4591"/>
      <w:bookmarkEnd w:id="4592"/>
      <w:bookmarkEnd w:id="4593"/>
      <w:bookmarkEnd w:id="4594"/>
      <w:bookmarkEnd w:id="4595"/>
      <w:bookmarkEnd w:id="4596"/>
      <w:bookmarkEnd w:id="4597"/>
      <w:bookmarkEnd w:id="4598"/>
      <w:bookmarkEnd w:id="4599"/>
      <w:bookmarkEnd w:id="4600"/>
      <w:bookmarkEnd w:id="4601"/>
      <w:bookmarkEnd w:id="4602"/>
      <w:bookmarkEnd w:id="4603"/>
      <w:bookmarkEnd w:id="4604"/>
      <w:bookmarkEnd w:id="4605"/>
      <w:bookmarkEnd w:id="4606"/>
      <w:bookmarkEnd w:id="4607"/>
      <w:bookmarkEnd w:id="4608"/>
      <w:bookmarkEnd w:id="4609"/>
      <w:bookmarkEnd w:id="4610"/>
      <w:bookmarkEnd w:id="4611"/>
      <w:bookmarkEnd w:id="4612"/>
      <w:bookmarkEnd w:id="4613"/>
      <w:bookmarkEnd w:id="4614"/>
      <w:bookmarkEnd w:id="4615"/>
      <w:bookmarkEnd w:id="4616"/>
      <w:bookmarkEnd w:id="4617"/>
      <w:bookmarkEnd w:id="4618"/>
      <w:bookmarkEnd w:id="4619"/>
      <w:bookmarkEnd w:id="4620"/>
      <w:bookmarkEnd w:id="4621"/>
      <w:bookmarkEnd w:id="4622"/>
      <w:bookmarkEnd w:id="4623"/>
      <w:bookmarkEnd w:id="4624"/>
      <w:bookmarkEnd w:id="4625"/>
      <w:bookmarkEnd w:id="4626"/>
      <w:bookmarkEnd w:id="4627"/>
      <w:bookmarkEnd w:id="4628"/>
      <w:bookmarkEnd w:id="4629"/>
      <w:bookmarkEnd w:id="4630"/>
      <w:bookmarkEnd w:id="4631"/>
      <w:bookmarkEnd w:id="4632"/>
      <w:bookmarkEnd w:id="4633"/>
      <w:bookmarkEnd w:id="4634"/>
      <w:bookmarkEnd w:id="4635"/>
      <w:bookmarkEnd w:id="4636"/>
      <w:bookmarkEnd w:id="4637"/>
      <w:bookmarkEnd w:id="4638"/>
      <w:bookmarkEnd w:id="4639"/>
      <w:bookmarkEnd w:id="4640"/>
      <w:bookmarkEnd w:id="4641"/>
      <w:bookmarkEnd w:id="4642"/>
      <w:bookmarkEnd w:id="4643"/>
      <w:bookmarkEnd w:id="4644"/>
      <w:bookmarkEnd w:id="4645"/>
      <w:bookmarkEnd w:id="4646"/>
      <w:bookmarkEnd w:id="4647"/>
      <w:bookmarkEnd w:id="4648"/>
      <w:bookmarkEnd w:id="4649"/>
      <w:bookmarkEnd w:id="4650"/>
      <w:bookmarkEnd w:id="4651"/>
      <w:bookmarkEnd w:id="4652"/>
      <w:bookmarkEnd w:id="4653"/>
      <w:bookmarkEnd w:id="4654"/>
      <w:bookmarkEnd w:id="4655"/>
      <w:bookmarkEnd w:id="4656"/>
      <w:bookmarkEnd w:id="4657"/>
      <w:bookmarkEnd w:id="4658"/>
      <w:bookmarkEnd w:id="4659"/>
      <w:bookmarkEnd w:id="4660"/>
      <w:bookmarkEnd w:id="4661"/>
      <w:bookmarkEnd w:id="4662"/>
      <w:bookmarkEnd w:id="4663"/>
      <w:bookmarkEnd w:id="4664"/>
      <w:bookmarkEnd w:id="4665"/>
      <w:bookmarkEnd w:id="4666"/>
      <w:bookmarkEnd w:id="4667"/>
      <w:bookmarkEnd w:id="4668"/>
      <w:bookmarkEnd w:id="4669"/>
      <w:bookmarkEnd w:id="4670"/>
      <w:bookmarkEnd w:id="4671"/>
      <w:bookmarkEnd w:id="4672"/>
      <w:bookmarkEnd w:id="4673"/>
      <w:bookmarkEnd w:id="4674"/>
      <w:bookmarkEnd w:id="4675"/>
      <w:bookmarkEnd w:id="4676"/>
      <w:bookmarkEnd w:id="4677"/>
      <w:bookmarkEnd w:id="4678"/>
      <w:bookmarkEnd w:id="4679"/>
      <w:bookmarkEnd w:id="4680"/>
      <w:bookmarkEnd w:id="4681"/>
      <w:bookmarkEnd w:id="4682"/>
      <w:bookmarkEnd w:id="4683"/>
      <w:bookmarkEnd w:id="4684"/>
      <w:bookmarkEnd w:id="4685"/>
      <w:bookmarkEnd w:id="4686"/>
      <w:bookmarkEnd w:id="4687"/>
      <w:bookmarkEnd w:id="4688"/>
      <w:bookmarkEnd w:id="4689"/>
      <w:bookmarkEnd w:id="4690"/>
      <w:bookmarkEnd w:id="4691"/>
      <w:bookmarkEnd w:id="4692"/>
      <w:bookmarkEnd w:id="4693"/>
      <w:bookmarkEnd w:id="4694"/>
      <w:bookmarkEnd w:id="4695"/>
      <w:bookmarkEnd w:id="4696"/>
      <w:bookmarkEnd w:id="4697"/>
      <w:bookmarkEnd w:id="4698"/>
      <w:bookmarkEnd w:id="4699"/>
      <w:bookmarkEnd w:id="4700"/>
      <w:bookmarkEnd w:id="4701"/>
      <w:bookmarkEnd w:id="4702"/>
      <w:bookmarkEnd w:id="4703"/>
      <w:bookmarkEnd w:id="4704"/>
      <w:bookmarkEnd w:id="4705"/>
      <w:bookmarkEnd w:id="4706"/>
      <w:bookmarkEnd w:id="4707"/>
      <w:bookmarkEnd w:id="4708"/>
      <w:bookmarkEnd w:id="4709"/>
      <w:bookmarkEnd w:id="4710"/>
      <w:bookmarkEnd w:id="4711"/>
      <w:bookmarkEnd w:id="4712"/>
      <w:bookmarkEnd w:id="4713"/>
      <w:bookmarkEnd w:id="4714"/>
      <w:bookmarkEnd w:id="4715"/>
      <w:bookmarkEnd w:id="4716"/>
      <w:bookmarkEnd w:id="4717"/>
      <w:bookmarkEnd w:id="4718"/>
      <w:bookmarkEnd w:id="4719"/>
      <w:bookmarkEnd w:id="4720"/>
      <w:bookmarkEnd w:id="4721"/>
      <w:bookmarkEnd w:id="4722"/>
      <w:bookmarkEnd w:id="4723"/>
      <w:bookmarkEnd w:id="4724"/>
      <w:bookmarkEnd w:id="4725"/>
      <w:bookmarkEnd w:id="4726"/>
      <w:bookmarkEnd w:id="4727"/>
      <w:bookmarkEnd w:id="4728"/>
      <w:bookmarkEnd w:id="4729"/>
      <w:bookmarkEnd w:id="4730"/>
      <w:bookmarkEnd w:id="4731"/>
      <w:bookmarkEnd w:id="4732"/>
      <w:bookmarkEnd w:id="4733"/>
      <w:bookmarkEnd w:id="4734"/>
      <w:bookmarkEnd w:id="4735"/>
      <w:bookmarkEnd w:id="4736"/>
      <w:bookmarkEnd w:id="4737"/>
      <w:bookmarkEnd w:id="4738"/>
      <w:bookmarkEnd w:id="4739"/>
      <w:bookmarkEnd w:id="4740"/>
      <w:bookmarkEnd w:id="4741"/>
      <w:bookmarkEnd w:id="4742"/>
      <w:bookmarkEnd w:id="4743"/>
      <w:bookmarkEnd w:id="4744"/>
      <w:bookmarkEnd w:id="4745"/>
      <w:bookmarkEnd w:id="4746"/>
      <w:bookmarkEnd w:id="4747"/>
      <w:bookmarkEnd w:id="4748"/>
      <w:bookmarkEnd w:id="4749"/>
      <w:bookmarkEnd w:id="4750"/>
      <w:bookmarkEnd w:id="4751"/>
      <w:bookmarkEnd w:id="4752"/>
      <w:bookmarkEnd w:id="4753"/>
      <w:bookmarkEnd w:id="4754"/>
      <w:bookmarkEnd w:id="4755"/>
      <w:bookmarkEnd w:id="4756"/>
      <w:bookmarkEnd w:id="4757"/>
      <w:bookmarkEnd w:id="4758"/>
      <w:bookmarkEnd w:id="4759"/>
      <w:bookmarkEnd w:id="4760"/>
      <w:bookmarkEnd w:id="4761"/>
      <w:bookmarkEnd w:id="4762"/>
      <w:bookmarkEnd w:id="4763"/>
      <w:bookmarkEnd w:id="4764"/>
      <w:bookmarkEnd w:id="4765"/>
      <w:bookmarkEnd w:id="4766"/>
      <w:bookmarkEnd w:id="4767"/>
      <w:bookmarkEnd w:id="4768"/>
      <w:bookmarkEnd w:id="4769"/>
      <w:bookmarkEnd w:id="4770"/>
      <w:bookmarkEnd w:id="4771"/>
      <w:bookmarkEnd w:id="4772"/>
      <w:bookmarkEnd w:id="4773"/>
      <w:bookmarkEnd w:id="4774"/>
      <w:bookmarkEnd w:id="4775"/>
      <w:bookmarkEnd w:id="4776"/>
      <w:bookmarkEnd w:id="4777"/>
      <w:bookmarkEnd w:id="4778"/>
      <w:bookmarkEnd w:id="4779"/>
      <w:bookmarkEnd w:id="4780"/>
      <w:bookmarkEnd w:id="4781"/>
      <w:bookmarkEnd w:id="4782"/>
      <w:bookmarkEnd w:id="4783"/>
      <w:bookmarkEnd w:id="4784"/>
      <w:bookmarkEnd w:id="4785"/>
      <w:bookmarkEnd w:id="4786"/>
      <w:bookmarkEnd w:id="4787"/>
      <w:bookmarkEnd w:id="4788"/>
      <w:bookmarkEnd w:id="4789"/>
      <w:bookmarkEnd w:id="4790"/>
      <w:bookmarkEnd w:id="4791"/>
      <w:bookmarkEnd w:id="4792"/>
      <w:bookmarkEnd w:id="4793"/>
      <w:bookmarkEnd w:id="4794"/>
      <w:bookmarkEnd w:id="4795"/>
      <w:bookmarkEnd w:id="4796"/>
      <w:bookmarkEnd w:id="4797"/>
      <w:bookmarkEnd w:id="4798"/>
      <w:bookmarkEnd w:id="4799"/>
      <w:bookmarkEnd w:id="4800"/>
      <w:bookmarkEnd w:id="4801"/>
      <w:bookmarkEnd w:id="4802"/>
      <w:bookmarkEnd w:id="4803"/>
      <w:bookmarkEnd w:id="4804"/>
      <w:bookmarkEnd w:id="4805"/>
      <w:bookmarkEnd w:id="4806"/>
      <w:bookmarkEnd w:id="4807"/>
      <w:bookmarkEnd w:id="4808"/>
      <w:bookmarkEnd w:id="4809"/>
      <w:bookmarkEnd w:id="4810"/>
      <w:bookmarkEnd w:id="4811"/>
      <w:bookmarkEnd w:id="4812"/>
      <w:bookmarkEnd w:id="4813"/>
      <w:bookmarkEnd w:id="4814"/>
      <w:bookmarkEnd w:id="4815"/>
      <w:bookmarkEnd w:id="4816"/>
      <w:bookmarkEnd w:id="4817"/>
      <w:bookmarkEnd w:id="4818"/>
      <w:bookmarkEnd w:id="4819"/>
      <w:bookmarkEnd w:id="4820"/>
      <w:bookmarkEnd w:id="4821"/>
      <w:bookmarkEnd w:id="4822"/>
      <w:bookmarkEnd w:id="4823"/>
      <w:bookmarkEnd w:id="4824"/>
      <w:bookmarkEnd w:id="4825"/>
      <w:bookmarkEnd w:id="4826"/>
      <w:bookmarkEnd w:id="4827"/>
      <w:bookmarkEnd w:id="4828"/>
      <w:bookmarkEnd w:id="4829"/>
      <w:bookmarkEnd w:id="4830"/>
      <w:bookmarkEnd w:id="4831"/>
      <w:bookmarkEnd w:id="4832"/>
      <w:bookmarkEnd w:id="4833"/>
      <w:bookmarkEnd w:id="4834"/>
      <w:bookmarkEnd w:id="4835"/>
      <w:bookmarkEnd w:id="4836"/>
      <w:bookmarkEnd w:id="4837"/>
      <w:bookmarkEnd w:id="4838"/>
      <w:bookmarkEnd w:id="4839"/>
      <w:bookmarkEnd w:id="4840"/>
      <w:bookmarkEnd w:id="4841"/>
      <w:bookmarkEnd w:id="4842"/>
      <w:bookmarkEnd w:id="4843"/>
      <w:bookmarkEnd w:id="4844"/>
      <w:bookmarkEnd w:id="4845"/>
      <w:bookmarkEnd w:id="4846"/>
      <w:bookmarkEnd w:id="4847"/>
      <w:bookmarkEnd w:id="4848"/>
      <w:bookmarkEnd w:id="4849"/>
      <w:bookmarkEnd w:id="4850"/>
      <w:bookmarkEnd w:id="4851"/>
      <w:bookmarkEnd w:id="4852"/>
      <w:bookmarkEnd w:id="4853"/>
      <w:bookmarkEnd w:id="4854"/>
      <w:bookmarkEnd w:id="4855"/>
      <w:bookmarkEnd w:id="4856"/>
      <w:bookmarkEnd w:id="4857"/>
      <w:bookmarkEnd w:id="4858"/>
      <w:bookmarkEnd w:id="4859"/>
      <w:bookmarkEnd w:id="4860"/>
      <w:bookmarkEnd w:id="4861"/>
      <w:bookmarkEnd w:id="4862"/>
      <w:bookmarkEnd w:id="4863"/>
      <w:bookmarkEnd w:id="4864"/>
      <w:bookmarkEnd w:id="4865"/>
      <w:bookmarkEnd w:id="4866"/>
      <w:bookmarkEnd w:id="4867"/>
      <w:bookmarkEnd w:id="4868"/>
      <w:bookmarkEnd w:id="4869"/>
      <w:bookmarkEnd w:id="4870"/>
      <w:bookmarkEnd w:id="4871"/>
      <w:bookmarkEnd w:id="4872"/>
      <w:bookmarkEnd w:id="4873"/>
      <w:bookmarkEnd w:id="4874"/>
      <w:bookmarkEnd w:id="4875"/>
      <w:bookmarkEnd w:id="4876"/>
      <w:bookmarkEnd w:id="4877"/>
      <w:bookmarkEnd w:id="4878"/>
      <w:bookmarkEnd w:id="4879"/>
      <w:bookmarkEnd w:id="4880"/>
      <w:bookmarkEnd w:id="4881"/>
      <w:bookmarkEnd w:id="4882"/>
      <w:bookmarkEnd w:id="4883"/>
      <w:bookmarkEnd w:id="4884"/>
      <w:bookmarkEnd w:id="4885"/>
      <w:bookmarkEnd w:id="4886"/>
      <w:bookmarkEnd w:id="4887"/>
      <w:bookmarkEnd w:id="4888"/>
      <w:bookmarkEnd w:id="4889"/>
      <w:bookmarkEnd w:id="4890"/>
      <w:bookmarkEnd w:id="4891"/>
      <w:bookmarkEnd w:id="4892"/>
      <w:bookmarkEnd w:id="4893"/>
      <w:bookmarkEnd w:id="4894"/>
      <w:bookmarkEnd w:id="4895"/>
      <w:bookmarkEnd w:id="4896"/>
      <w:bookmarkEnd w:id="4897"/>
      <w:bookmarkEnd w:id="4898"/>
      <w:bookmarkEnd w:id="4899"/>
      <w:bookmarkEnd w:id="4900"/>
      <w:bookmarkEnd w:id="4901"/>
      <w:bookmarkEnd w:id="4902"/>
      <w:bookmarkEnd w:id="4903"/>
      <w:bookmarkEnd w:id="4904"/>
      <w:bookmarkEnd w:id="4905"/>
      <w:bookmarkEnd w:id="4906"/>
      <w:bookmarkEnd w:id="4907"/>
      <w:bookmarkEnd w:id="4908"/>
      <w:bookmarkEnd w:id="4909"/>
      <w:bookmarkEnd w:id="4910"/>
      <w:bookmarkEnd w:id="4911"/>
      <w:bookmarkEnd w:id="4912"/>
      <w:bookmarkEnd w:id="4913"/>
      <w:bookmarkEnd w:id="4914"/>
      <w:bookmarkEnd w:id="4915"/>
      <w:bookmarkEnd w:id="4916"/>
      <w:bookmarkEnd w:id="4917"/>
      <w:bookmarkEnd w:id="4918"/>
      <w:bookmarkEnd w:id="4919"/>
      <w:bookmarkEnd w:id="4920"/>
      <w:bookmarkEnd w:id="4921"/>
      <w:bookmarkEnd w:id="4922"/>
      <w:bookmarkEnd w:id="4923"/>
      <w:bookmarkEnd w:id="4924"/>
      <w:bookmarkEnd w:id="4925"/>
      <w:bookmarkEnd w:id="4926"/>
      <w:bookmarkEnd w:id="4927"/>
      <w:bookmarkEnd w:id="4928"/>
      <w:bookmarkEnd w:id="4929"/>
      <w:bookmarkEnd w:id="4930"/>
      <w:bookmarkEnd w:id="4931"/>
      <w:bookmarkEnd w:id="4932"/>
      <w:bookmarkEnd w:id="4933"/>
      <w:bookmarkEnd w:id="4934"/>
      <w:bookmarkEnd w:id="4935"/>
      <w:bookmarkEnd w:id="4936"/>
      <w:bookmarkEnd w:id="4937"/>
      <w:bookmarkEnd w:id="4938"/>
      <w:bookmarkEnd w:id="4939"/>
      <w:bookmarkEnd w:id="4940"/>
      <w:bookmarkEnd w:id="4941"/>
      <w:bookmarkEnd w:id="4942"/>
      <w:bookmarkEnd w:id="4943"/>
      <w:bookmarkEnd w:id="4944"/>
      <w:bookmarkEnd w:id="4945"/>
      <w:bookmarkEnd w:id="4946"/>
      <w:bookmarkEnd w:id="4947"/>
      <w:bookmarkEnd w:id="4948"/>
      <w:bookmarkEnd w:id="4949"/>
      <w:bookmarkEnd w:id="4950"/>
      <w:bookmarkEnd w:id="4951"/>
      <w:bookmarkEnd w:id="4952"/>
      <w:bookmarkEnd w:id="4953"/>
      <w:bookmarkEnd w:id="4954"/>
      <w:bookmarkEnd w:id="4955"/>
      <w:bookmarkEnd w:id="4956"/>
      <w:bookmarkEnd w:id="4957"/>
      <w:bookmarkEnd w:id="4958"/>
      <w:bookmarkEnd w:id="4959"/>
      <w:bookmarkEnd w:id="4960"/>
      <w:bookmarkEnd w:id="4961"/>
      <w:bookmarkEnd w:id="4962"/>
      <w:bookmarkEnd w:id="4963"/>
      <w:bookmarkEnd w:id="4964"/>
      <w:bookmarkEnd w:id="4965"/>
      <w:bookmarkEnd w:id="4966"/>
      <w:bookmarkEnd w:id="4967"/>
      <w:bookmarkEnd w:id="4968"/>
      <w:bookmarkEnd w:id="4969"/>
      <w:bookmarkEnd w:id="4970"/>
      <w:bookmarkEnd w:id="4971"/>
      <w:bookmarkEnd w:id="4972"/>
      <w:bookmarkEnd w:id="4973"/>
      <w:bookmarkEnd w:id="4974"/>
      <w:bookmarkEnd w:id="4975"/>
      <w:bookmarkEnd w:id="4976"/>
      <w:bookmarkEnd w:id="4977"/>
      <w:bookmarkEnd w:id="4978"/>
      <w:bookmarkEnd w:id="4979"/>
      <w:bookmarkEnd w:id="4980"/>
      <w:bookmarkEnd w:id="4981"/>
      <w:bookmarkEnd w:id="4982"/>
      <w:bookmarkEnd w:id="4983"/>
      <w:bookmarkEnd w:id="4984"/>
      <w:bookmarkEnd w:id="4985"/>
      <w:bookmarkEnd w:id="4986"/>
      <w:bookmarkEnd w:id="4987"/>
      <w:bookmarkEnd w:id="4988"/>
      <w:bookmarkEnd w:id="4989"/>
      <w:bookmarkEnd w:id="4990"/>
      <w:bookmarkEnd w:id="4991"/>
      <w:bookmarkEnd w:id="4992"/>
      <w:bookmarkEnd w:id="4993"/>
      <w:bookmarkEnd w:id="4994"/>
      <w:bookmarkEnd w:id="4995"/>
      <w:bookmarkEnd w:id="4996"/>
      <w:bookmarkEnd w:id="4997"/>
      <w:bookmarkEnd w:id="4998"/>
      <w:bookmarkEnd w:id="4999"/>
      <w:bookmarkEnd w:id="5000"/>
      <w:bookmarkEnd w:id="5001"/>
      <w:bookmarkEnd w:id="5002"/>
      <w:bookmarkEnd w:id="5003"/>
      <w:bookmarkEnd w:id="5004"/>
      <w:bookmarkEnd w:id="5005"/>
      <w:bookmarkEnd w:id="5006"/>
      <w:bookmarkEnd w:id="5007"/>
      <w:bookmarkEnd w:id="5008"/>
      <w:bookmarkEnd w:id="5009"/>
      <w:bookmarkEnd w:id="5010"/>
      <w:bookmarkEnd w:id="5011"/>
      <w:bookmarkEnd w:id="5012"/>
      <w:bookmarkEnd w:id="5013"/>
      <w:bookmarkEnd w:id="5014"/>
      <w:bookmarkEnd w:id="5015"/>
      <w:bookmarkEnd w:id="5016"/>
      <w:bookmarkEnd w:id="5017"/>
      <w:bookmarkEnd w:id="5018"/>
      <w:bookmarkEnd w:id="5019"/>
      <w:bookmarkEnd w:id="5020"/>
      <w:bookmarkEnd w:id="5021"/>
      <w:bookmarkEnd w:id="5022"/>
      <w:bookmarkEnd w:id="5023"/>
      <w:bookmarkEnd w:id="5024"/>
      <w:bookmarkEnd w:id="5025"/>
      <w:bookmarkEnd w:id="5026"/>
      <w:bookmarkEnd w:id="5027"/>
      <w:bookmarkEnd w:id="5028"/>
      <w:bookmarkEnd w:id="5029"/>
      <w:bookmarkEnd w:id="5030"/>
      <w:bookmarkEnd w:id="5031"/>
      <w:bookmarkEnd w:id="5032"/>
      <w:bookmarkEnd w:id="5033"/>
      <w:bookmarkEnd w:id="5034"/>
      <w:bookmarkEnd w:id="5035"/>
      <w:bookmarkEnd w:id="5036"/>
      <w:bookmarkEnd w:id="5037"/>
      <w:bookmarkEnd w:id="5038"/>
      <w:bookmarkEnd w:id="5039"/>
      <w:bookmarkEnd w:id="5040"/>
      <w:bookmarkEnd w:id="5041"/>
      <w:bookmarkEnd w:id="5042"/>
      <w:bookmarkEnd w:id="5043"/>
      <w:bookmarkEnd w:id="5044"/>
      <w:bookmarkEnd w:id="5045"/>
      <w:bookmarkEnd w:id="5046"/>
      <w:bookmarkEnd w:id="5047"/>
      <w:bookmarkEnd w:id="5048"/>
      <w:bookmarkEnd w:id="5049"/>
      <w:bookmarkEnd w:id="5050"/>
      <w:bookmarkEnd w:id="5051"/>
      <w:bookmarkEnd w:id="5052"/>
      <w:bookmarkEnd w:id="5053"/>
      <w:bookmarkEnd w:id="5054"/>
      <w:bookmarkEnd w:id="5055"/>
      <w:bookmarkEnd w:id="5056"/>
      <w:bookmarkEnd w:id="5057"/>
      <w:bookmarkEnd w:id="5058"/>
      <w:bookmarkEnd w:id="5059"/>
      <w:bookmarkEnd w:id="5060"/>
      <w:bookmarkEnd w:id="5061"/>
      <w:bookmarkEnd w:id="5062"/>
      <w:bookmarkEnd w:id="5063"/>
      <w:bookmarkEnd w:id="5064"/>
      <w:bookmarkEnd w:id="5065"/>
      <w:bookmarkEnd w:id="5066"/>
      <w:bookmarkEnd w:id="5067"/>
      <w:bookmarkEnd w:id="5068"/>
      <w:bookmarkEnd w:id="5069"/>
      <w:bookmarkEnd w:id="5070"/>
      <w:bookmarkEnd w:id="5071"/>
      <w:bookmarkEnd w:id="5072"/>
      <w:bookmarkEnd w:id="5073"/>
      <w:bookmarkEnd w:id="5074"/>
      <w:bookmarkEnd w:id="5075"/>
      <w:bookmarkEnd w:id="5076"/>
      <w:bookmarkEnd w:id="5077"/>
      <w:bookmarkEnd w:id="5078"/>
      <w:bookmarkEnd w:id="5079"/>
      <w:bookmarkEnd w:id="5080"/>
      <w:bookmarkEnd w:id="5081"/>
      <w:bookmarkEnd w:id="5082"/>
      <w:bookmarkEnd w:id="5083"/>
      <w:bookmarkEnd w:id="5084"/>
      <w:bookmarkEnd w:id="5085"/>
      <w:bookmarkEnd w:id="5086"/>
      <w:bookmarkEnd w:id="5087"/>
      <w:bookmarkEnd w:id="5088"/>
      <w:bookmarkEnd w:id="5089"/>
      <w:bookmarkEnd w:id="5090"/>
      <w:bookmarkEnd w:id="5091"/>
      <w:bookmarkEnd w:id="5092"/>
      <w:bookmarkEnd w:id="5093"/>
      <w:bookmarkEnd w:id="5094"/>
      <w:bookmarkEnd w:id="5095"/>
      <w:bookmarkEnd w:id="5096"/>
      <w:bookmarkEnd w:id="5097"/>
      <w:bookmarkEnd w:id="5098"/>
      <w:bookmarkEnd w:id="5099"/>
      <w:bookmarkEnd w:id="5100"/>
      <w:bookmarkEnd w:id="5101"/>
      <w:bookmarkEnd w:id="5102"/>
      <w:bookmarkEnd w:id="5103"/>
      <w:bookmarkEnd w:id="5104"/>
      <w:bookmarkEnd w:id="5105"/>
      <w:bookmarkEnd w:id="5106"/>
      <w:bookmarkEnd w:id="5107"/>
      <w:bookmarkEnd w:id="5108"/>
      <w:bookmarkEnd w:id="5109"/>
      <w:bookmarkEnd w:id="5110"/>
      <w:bookmarkEnd w:id="5111"/>
      <w:bookmarkEnd w:id="5112"/>
      <w:bookmarkEnd w:id="5113"/>
      <w:bookmarkEnd w:id="5114"/>
      <w:bookmarkEnd w:id="5115"/>
      <w:bookmarkEnd w:id="5116"/>
      <w:bookmarkEnd w:id="5117"/>
      <w:bookmarkEnd w:id="5118"/>
      <w:bookmarkEnd w:id="5119"/>
      <w:bookmarkEnd w:id="5120"/>
      <w:bookmarkEnd w:id="5121"/>
      <w:bookmarkEnd w:id="5122"/>
      <w:bookmarkEnd w:id="5123"/>
      <w:bookmarkEnd w:id="5124"/>
      <w:bookmarkEnd w:id="5125"/>
      <w:bookmarkEnd w:id="5126"/>
      <w:bookmarkEnd w:id="5127"/>
      <w:bookmarkEnd w:id="5128"/>
      <w:bookmarkEnd w:id="5129"/>
      <w:bookmarkEnd w:id="5130"/>
      <w:bookmarkEnd w:id="5131"/>
      <w:bookmarkEnd w:id="5132"/>
      <w:bookmarkEnd w:id="5133"/>
      <w:bookmarkEnd w:id="5134"/>
      <w:bookmarkEnd w:id="5135"/>
      <w:bookmarkEnd w:id="5136"/>
      <w:bookmarkEnd w:id="5137"/>
      <w:bookmarkEnd w:id="5138"/>
      <w:bookmarkEnd w:id="5139"/>
      <w:bookmarkEnd w:id="5140"/>
      <w:bookmarkEnd w:id="5141"/>
      <w:bookmarkEnd w:id="5142"/>
      <w:bookmarkEnd w:id="5143"/>
      <w:bookmarkEnd w:id="5144"/>
      <w:bookmarkEnd w:id="5145"/>
      <w:bookmarkEnd w:id="5146"/>
      <w:bookmarkEnd w:id="5147"/>
      <w:bookmarkEnd w:id="5148"/>
      <w:bookmarkEnd w:id="5149"/>
      <w:bookmarkEnd w:id="5150"/>
      <w:bookmarkEnd w:id="5151"/>
      <w:bookmarkEnd w:id="5152"/>
      <w:bookmarkEnd w:id="5153"/>
      <w:bookmarkEnd w:id="5154"/>
      <w:bookmarkEnd w:id="5155"/>
      <w:bookmarkEnd w:id="5156"/>
      <w:bookmarkEnd w:id="5157"/>
      <w:bookmarkEnd w:id="5158"/>
      <w:bookmarkEnd w:id="5159"/>
      <w:bookmarkEnd w:id="5160"/>
      <w:bookmarkEnd w:id="5161"/>
      <w:bookmarkEnd w:id="5162"/>
      <w:bookmarkEnd w:id="5163"/>
      <w:bookmarkEnd w:id="5164"/>
      <w:bookmarkEnd w:id="5165"/>
      <w:bookmarkEnd w:id="5166"/>
      <w:bookmarkEnd w:id="5167"/>
      <w:bookmarkEnd w:id="5168"/>
      <w:bookmarkEnd w:id="5169"/>
      <w:bookmarkEnd w:id="5170"/>
      <w:bookmarkEnd w:id="5171"/>
      <w:bookmarkEnd w:id="5172"/>
      <w:bookmarkEnd w:id="5173"/>
      <w:bookmarkEnd w:id="5174"/>
      <w:bookmarkEnd w:id="5175"/>
      <w:bookmarkEnd w:id="5176"/>
      <w:bookmarkEnd w:id="5177"/>
      <w:bookmarkEnd w:id="5178"/>
      <w:bookmarkEnd w:id="5179"/>
      <w:bookmarkEnd w:id="5180"/>
      <w:bookmarkEnd w:id="5181"/>
      <w:bookmarkEnd w:id="5182"/>
      <w:bookmarkEnd w:id="5183"/>
      <w:bookmarkEnd w:id="5184"/>
      <w:bookmarkEnd w:id="5185"/>
      <w:bookmarkEnd w:id="5186"/>
      <w:bookmarkEnd w:id="5187"/>
      <w:bookmarkEnd w:id="5188"/>
      <w:bookmarkEnd w:id="5189"/>
      <w:bookmarkEnd w:id="5190"/>
      <w:bookmarkEnd w:id="5191"/>
      <w:bookmarkEnd w:id="5192"/>
      <w:bookmarkEnd w:id="5193"/>
      <w:bookmarkEnd w:id="5194"/>
      <w:bookmarkEnd w:id="5195"/>
      <w:bookmarkEnd w:id="5196"/>
      <w:bookmarkEnd w:id="5197"/>
      <w:bookmarkEnd w:id="5198"/>
      <w:bookmarkEnd w:id="5199"/>
      <w:bookmarkEnd w:id="5200"/>
      <w:bookmarkEnd w:id="5201"/>
      <w:bookmarkEnd w:id="5202"/>
      <w:bookmarkEnd w:id="5203"/>
      <w:bookmarkEnd w:id="5204"/>
      <w:bookmarkEnd w:id="5205"/>
      <w:bookmarkEnd w:id="5206"/>
      <w:bookmarkEnd w:id="5207"/>
      <w:bookmarkEnd w:id="5208"/>
      <w:bookmarkEnd w:id="5209"/>
      <w:bookmarkEnd w:id="5210"/>
      <w:bookmarkEnd w:id="5211"/>
      <w:bookmarkEnd w:id="5212"/>
      <w:bookmarkEnd w:id="5213"/>
      <w:bookmarkEnd w:id="5214"/>
      <w:bookmarkEnd w:id="5215"/>
      <w:bookmarkEnd w:id="5216"/>
      <w:bookmarkEnd w:id="5217"/>
      <w:bookmarkEnd w:id="5218"/>
      <w:bookmarkEnd w:id="5219"/>
      <w:bookmarkEnd w:id="5220"/>
      <w:bookmarkEnd w:id="5221"/>
      <w:bookmarkEnd w:id="5222"/>
      <w:bookmarkEnd w:id="5223"/>
      <w:bookmarkEnd w:id="5224"/>
      <w:bookmarkEnd w:id="5225"/>
      <w:bookmarkEnd w:id="5226"/>
      <w:bookmarkEnd w:id="5227"/>
      <w:bookmarkEnd w:id="5228"/>
      <w:bookmarkEnd w:id="5229"/>
      <w:bookmarkEnd w:id="5230"/>
      <w:bookmarkEnd w:id="5231"/>
      <w:bookmarkEnd w:id="5232"/>
      <w:bookmarkEnd w:id="5233"/>
      <w:bookmarkEnd w:id="5234"/>
      <w:bookmarkEnd w:id="5235"/>
      <w:bookmarkEnd w:id="5236"/>
      <w:bookmarkEnd w:id="5237"/>
      <w:bookmarkEnd w:id="5238"/>
      <w:bookmarkEnd w:id="5239"/>
      <w:bookmarkEnd w:id="5240"/>
      <w:bookmarkEnd w:id="5241"/>
      <w:bookmarkEnd w:id="5242"/>
      <w:bookmarkEnd w:id="5243"/>
      <w:bookmarkEnd w:id="5244"/>
      <w:bookmarkEnd w:id="5245"/>
      <w:bookmarkEnd w:id="5246"/>
      <w:bookmarkEnd w:id="5247"/>
      <w:bookmarkEnd w:id="5248"/>
      <w:bookmarkEnd w:id="5249"/>
      <w:bookmarkEnd w:id="5250"/>
      <w:bookmarkEnd w:id="5251"/>
      <w:bookmarkEnd w:id="5252"/>
      <w:bookmarkEnd w:id="5253"/>
      <w:bookmarkEnd w:id="5254"/>
      <w:bookmarkEnd w:id="5255"/>
      <w:bookmarkEnd w:id="5256"/>
      <w:bookmarkEnd w:id="5257"/>
      <w:bookmarkEnd w:id="5258"/>
      <w:bookmarkEnd w:id="5259"/>
      <w:bookmarkEnd w:id="5260"/>
      <w:bookmarkEnd w:id="5261"/>
      <w:bookmarkEnd w:id="5262"/>
      <w:bookmarkEnd w:id="5263"/>
      <w:bookmarkEnd w:id="5264"/>
      <w:bookmarkEnd w:id="5265"/>
      <w:bookmarkEnd w:id="5266"/>
      <w:bookmarkEnd w:id="5267"/>
      <w:bookmarkEnd w:id="5268"/>
      <w:bookmarkEnd w:id="5269"/>
      <w:bookmarkEnd w:id="5270"/>
      <w:bookmarkEnd w:id="5271"/>
      <w:bookmarkEnd w:id="5272"/>
      <w:bookmarkEnd w:id="5273"/>
      <w:bookmarkEnd w:id="5274"/>
      <w:bookmarkEnd w:id="5275"/>
      <w:bookmarkEnd w:id="5276"/>
      <w:bookmarkEnd w:id="5277"/>
      <w:bookmarkEnd w:id="5278"/>
      <w:bookmarkEnd w:id="5279"/>
      <w:bookmarkEnd w:id="5280"/>
      <w:bookmarkEnd w:id="5281"/>
      <w:bookmarkEnd w:id="5282"/>
      <w:bookmarkEnd w:id="5283"/>
      <w:bookmarkEnd w:id="5284"/>
      <w:bookmarkEnd w:id="5285"/>
      <w:bookmarkEnd w:id="5286"/>
      <w:bookmarkEnd w:id="5287"/>
      <w:bookmarkEnd w:id="5288"/>
      <w:bookmarkEnd w:id="5289"/>
      <w:bookmarkEnd w:id="5290"/>
      <w:bookmarkEnd w:id="5291"/>
      <w:bookmarkEnd w:id="5292"/>
      <w:bookmarkEnd w:id="5293"/>
      <w:bookmarkEnd w:id="5294"/>
      <w:bookmarkEnd w:id="5295"/>
      <w:bookmarkEnd w:id="5296"/>
      <w:bookmarkEnd w:id="5297"/>
      <w:bookmarkEnd w:id="5298"/>
      <w:bookmarkEnd w:id="5299"/>
      <w:bookmarkEnd w:id="5300"/>
      <w:bookmarkEnd w:id="5301"/>
      <w:bookmarkEnd w:id="5302"/>
      <w:bookmarkEnd w:id="5303"/>
      <w:bookmarkEnd w:id="5304"/>
      <w:bookmarkEnd w:id="5305"/>
      <w:bookmarkEnd w:id="5306"/>
      <w:bookmarkEnd w:id="5307"/>
      <w:bookmarkEnd w:id="5308"/>
      <w:bookmarkEnd w:id="5309"/>
      <w:bookmarkEnd w:id="5310"/>
      <w:bookmarkEnd w:id="5311"/>
      <w:bookmarkEnd w:id="5312"/>
      <w:bookmarkEnd w:id="5313"/>
      <w:bookmarkEnd w:id="5314"/>
      <w:bookmarkEnd w:id="5315"/>
      <w:bookmarkEnd w:id="5316"/>
      <w:bookmarkEnd w:id="5317"/>
      <w:bookmarkEnd w:id="5318"/>
      <w:bookmarkEnd w:id="5319"/>
      <w:bookmarkEnd w:id="5320"/>
      <w:bookmarkEnd w:id="5321"/>
      <w:bookmarkEnd w:id="5322"/>
      <w:bookmarkEnd w:id="5323"/>
      <w:bookmarkEnd w:id="5324"/>
      <w:bookmarkEnd w:id="5325"/>
      <w:bookmarkEnd w:id="5326"/>
      <w:bookmarkEnd w:id="5327"/>
      <w:bookmarkEnd w:id="5328"/>
      <w:bookmarkEnd w:id="5329"/>
      <w:bookmarkEnd w:id="5330"/>
      <w:bookmarkEnd w:id="5331"/>
      <w:bookmarkEnd w:id="5332"/>
      <w:bookmarkEnd w:id="5333"/>
      <w:bookmarkEnd w:id="5334"/>
      <w:bookmarkEnd w:id="5335"/>
      <w:bookmarkEnd w:id="5336"/>
      <w:bookmarkEnd w:id="5337"/>
      <w:bookmarkEnd w:id="5338"/>
      <w:bookmarkEnd w:id="5339"/>
      <w:bookmarkEnd w:id="5340"/>
      <w:bookmarkEnd w:id="5341"/>
      <w:bookmarkEnd w:id="5342"/>
      <w:bookmarkEnd w:id="5343"/>
      <w:bookmarkEnd w:id="5344"/>
      <w:bookmarkEnd w:id="5345"/>
      <w:bookmarkEnd w:id="5346"/>
      <w:bookmarkEnd w:id="5347"/>
      <w:bookmarkEnd w:id="5348"/>
      <w:bookmarkEnd w:id="5349"/>
      <w:bookmarkEnd w:id="5350"/>
      <w:bookmarkEnd w:id="5351"/>
      <w:bookmarkEnd w:id="5352"/>
      <w:bookmarkEnd w:id="5353"/>
      <w:bookmarkEnd w:id="5354"/>
      <w:bookmarkEnd w:id="5355"/>
      <w:bookmarkEnd w:id="5356"/>
      <w:bookmarkEnd w:id="5357"/>
      <w:bookmarkEnd w:id="5358"/>
      <w:bookmarkEnd w:id="5359"/>
      <w:bookmarkEnd w:id="5360"/>
      <w:bookmarkEnd w:id="5361"/>
      <w:bookmarkEnd w:id="5362"/>
      <w:bookmarkEnd w:id="5363"/>
      <w:bookmarkEnd w:id="5364"/>
      <w:bookmarkEnd w:id="5365"/>
      <w:bookmarkEnd w:id="5366"/>
      <w:bookmarkEnd w:id="5367"/>
      <w:bookmarkEnd w:id="5368"/>
      <w:bookmarkEnd w:id="5369"/>
      <w:bookmarkEnd w:id="5370"/>
      <w:bookmarkEnd w:id="5371"/>
      <w:bookmarkEnd w:id="5372"/>
      <w:bookmarkEnd w:id="5373"/>
      <w:bookmarkEnd w:id="5374"/>
      <w:bookmarkEnd w:id="5375"/>
      <w:bookmarkEnd w:id="5376"/>
      <w:bookmarkEnd w:id="5377"/>
      <w:bookmarkEnd w:id="5378"/>
      <w:bookmarkEnd w:id="5379"/>
      <w:bookmarkEnd w:id="5380"/>
      <w:bookmarkEnd w:id="5381"/>
      <w:bookmarkEnd w:id="5382"/>
      <w:bookmarkEnd w:id="5383"/>
      <w:bookmarkEnd w:id="5384"/>
      <w:bookmarkEnd w:id="5385"/>
      <w:bookmarkEnd w:id="5386"/>
      <w:bookmarkEnd w:id="5387"/>
      <w:bookmarkEnd w:id="5388"/>
      <w:bookmarkEnd w:id="5389"/>
      <w:bookmarkEnd w:id="5390"/>
      <w:bookmarkEnd w:id="5391"/>
      <w:bookmarkEnd w:id="5392"/>
      <w:bookmarkEnd w:id="5393"/>
      <w:bookmarkEnd w:id="5394"/>
      <w:bookmarkEnd w:id="5395"/>
      <w:bookmarkEnd w:id="5396"/>
      <w:bookmarkEnd w:id="5397"/>
      <w:bookmarkEnd w:id="5398"/>
      <w:bookmarkEnd w:id="5399"/>
      <w:bookmarkEnd w:id="5400"/>
      <w:bookmarkEnd w:id="5401"/>
      <w:bookmarkEnd w:id="5402"/>
      <w:bookmarkEnd w:id="5403"/>
      <w:bookmarkEnd w:id="5404"/>
      <w:bookmarkEnd w:id="5405"/>
      <w:bookmarkEnd w:id="5406"/>
      <w:bookmarkEnd w:id="5407"/>
      <w:bookmarkEnd w:id="5408"/>
      <w:bookmarkEnd w:id="5409"/>
      <w:bookmarkEnd w:id="5410"/>
      <w:bookmarkEnd w:id="5411"/>
      <w:bookmarkEnd w:id="5412"/>
      <w:bookmarkEnd w:id="5413"/>
      <w:bookmarkEnd w:id="5414"/>
      <w:bookmarkEnd w:id="5415"/>
      <w:bookmarkEnd w:id="5416"/>
      <w:bookmarkEnd w:id="5417"/>
      <w:bookmarkEnd w:id="5418"/>
      <w:bookmarkEnd w:id="5419"/>
      <w:bookmarkEnd w:id="5420"/>
      <w:bookmarkEnd w:id="5421"/>
      <w:bookmarkEnd w:id="5422"/>
      <w:bookmarkEnd w:id="5423"/>
      <w:bookmarkEnd w:id="5424"/>
      <w:bookmarkEnd w:id="5425"/>
      <w:bookmarkEnd w:id="5426"/>
      <w:bookmarkEnd w:id="5427"/>
      <w:bookmarkEnd w:id="5428"/>
      <w:bookmarkEnd w:id="5429"/>
      <w:bookmarkEnd w:id="5430"/>
      <w:bookmarkEnd w:id="5431"/>
      <w:bookmarkEnd w:id="5432"/>
      <w:bookmarkEnd w:id="5433"/>
      <w:bookmarkEnd w:id="5434"/>
      <w:bookmarkEnd w:id="5435"/>
      <w:bookmarkEnd w:id="5436"/>
      <w:bookmarkEnd w:id="5437"/>
      <w:bookmarkEnd w:id="5438"/>
      <w:bookmarkEnd w:id="5439"/>
      <w:bookmarkEnd w:id="5440"/>
      <w:bookmarkEnd w:id="5441"/>
      <w:bookmarkEnd w:id="5442"/>
      <w:bookmarkEnd w:id="5443"/>
      <w:bookmarkEnd w:id="5444"/>
      <w:bookmarkEnd w:id="5445"/>
      <w:bookmarkEnd w:id="5446"/>
      <w:bookmarkEnd w:id="5447"/>
      <w:bookmarkEnd w:id="5448"/>
      <w:bookmarkEnd w:id="5449"/>
      <w:bookmarkEnd w:id="5450"/>
      <w:bookmarkEnd w:id="5451"/>
      <w:bookmarkEnd w:id="5452"/>
      <w:bookmarkEnd w:id="5453"/>
      <w:bookmarkEnd w:id="5454"/>
      <w:bookmarkEnd w:id="5455"/>
      <w:bookmarkEnd w:id="5456"/>
      <w:bookmarkEnd w:id="5457"/>
      <w:bookmarkEnd w:id="5458"/>
      <w:bookmarkEnd w:id="5459"/>
      <w:bookmarkEnd w:id="5460"/>
      <w:bookmarkEnd w:id="5461"/>
      <w:bookmarkEnd w:id="5462"/>
      <w:bookmarkEnd w:id="5463"/>
      <w:bookmarkEnd w:id="5464"/>
      <w:bookmarkEnd w:id="5465"/>
      <w:bookmarkEnd w:id="5466"/>
      <w:bookmarkEnd w:id="5467"/>
      <w:bookmarkEnd w:id="5468"/>
      <w:bookmarkEnd w:id="5469"/>
      <w:bookmarkEnd w:id="5470"/>
      <w:bookmarkEnd w:id="5471"/>
      <w:bookmarkEnd w:id="5472"/>
      <w:bookmarkEnd w:id="5473"/>
      <w:bookmarkEnd w:id="5474"/>
      <w:bookmarkEnd w:id="5475"/>
      <w:bookmarkEnd w:id="5476"/>
      <w:bookmarkEnd w:id="5477"/>
      <w:bookmarkEnd w:id="5478"/>
      <w:bookmarkEnd w:id="5479"/>
      <w:bookmarkEnd w:id="5480"/>
      <w:bookmarkEnd w:id="5481"/>
      <w:bookmarkEnd w:id="5482"/>
      <w:bookmarkEnd w:id="5483"/>
      <w:bookmarkEnd w:id="5484"/>
      <w:bookmarkEnd w:id="5485"/>
      <w:bookmarkEnd w:id="5486"/>
      <w:bookmarkEnd w:id="5487"/>
      <w:bookmarkEnd w:id="5488"/>
      <w:bookmarkEnd w:id="5489"/>
      <w:bookmarkEnd w:id="5490"/>
      <w:bookmarkEnd w:id="5491"/>
      <w:bookmarkEnd w:id="5492"/>
      <w:bookmarkEnd w:id="5493"/>
      <w:bookmarkEnd w:id="5494"/>
      <w:bookmarkEnd w:id="5495"/>
      <w:bookmarkEnd w:id="5496"/>
      <w:bookmarkEnd w:id="5497"/>
      <w:bookmarkEnd w:id="5498"/>
      <w:bookmarkEnd w:id="5499"/>
      <w:bookmarkEnd w:id="5500"/>
      <w:bookmarkEnd w:id="5501"/>
      <w:bookmarkEnd w:id="5502"/>
      <w:bookmarkEnd w:id="5503"/>
      <w:bookmarkEnd w:id="5504"/>
      <w:bookmarkEnd w:id="5505"/>
      <w:bookmarkEnd w:id="5506"/>
      <w:bookmarkEnd w:id="5507"/>
      <w:bookmarkEnd w:id="5508"/>
      <w:bookmarkEnd w:id="5509"/>
      <w:bookmarkEnd w:id="5510"/>
      <w:bookmarkEnd w:id="5511"/>
      <w:bookmarkEnd w:id="5512"/>
      <w:bookmarkEnd w:id="5513"/>
      <w:bookmarkEnd w:id="5514"/>
      <w:bookmarkEnd w:id="5515"/>
      <w:bookmarkEnd w:id="5516"/>
      <w:bookmarkEnd w:id="5517"/>
      <w:bookmarkEnd w:id="5518"/>
      <w:bookmarkEnd w:id="5519"/>
      <w:bookmarkEnd w:id="5520"/>
      <w:bookmarkEnd w:id="5521"/>
      <w:bookmarkEnd w:id="5522"/>
      <w:bookmarkEnd w:id="5523"/>
      <w:bookmarkEnd w:id="5524"/>
      <w:bookmarkEnd w:id="5525"/>
      <w:bookmarkEnd w:id="5526"/>
      <w:bookmarkEnd w:id="5527"/>
      <w:bookmarkEnd w:id="5528"/>
      <w:bookmarkEnd w:id="5529"/>
      <w:bookmarkEnd w:id="5530"/>
      <w:bookmarkEnd w:id="5531"/>
      <w:bookmarkEnd w:id="5532"/>
      <w:bookmarkEnd w:id="5533"/>
      <w:bookmarkEnd w:id="5534"/>
      <w:bookmarkEnd w:id="5535"/>
      <w:bookmarkEnd w:id="5536"/>
      <w:bookmarkEnd w:id="5537"/>
      <w:bookmarkEnd w:id="5538"/>
      <w:bookmarkEnd w:id="5539"/>
      <w:bookmarkEnd w:id="5540"/>
      <w:bookmarkEnd w:id="5541"/>
      <w:bookmarkEnd w:id="5542"/>
      <w:bookmarkEnd w:id="5543"/>
      <w:bookmarkEnd w:id="5544"/>
      <w:bookmarkEnd w:id="5545"/>
      <w:bookmarkEnd w:id="5546"/>
      <w:bookmarkEnd w:id="5547"/>
      <w:bookmarkEnd w:id="5548"/>
      <w:bookmarkEnd w:id="5549"/>
      <w:bookmarkEnd w:id="5550"/>
      <w:bookmarkEnd w:id="5551"/>
      <w:bookmarkEnd w:id="5552"/>
      <w:bookmarkEnd w:id="5553"/>
      <w:bookmarkEnd w:id="5554"/>
      <w:bookmarkEnd w:id="5555"/>
      <w:bookmarkEnd w:id="5556"/>
      <w:bookmarkEnd w:id="5557"/>
      <w:bookmarkEnd w:id="5558"/>
      <w:bookmarkEnd w:id="5559"/>
      <w:bookmarkEnd w:id="5560"/>
      <w:bookmarkEnd w:id="5561"/>
      <w:bookmarkEnd w:id="5562"/>
      <w:bookmarkEnd w:id="5563"/>
      <w:bookmarkEnd w:id="5564"/>
      <w:bookmarkEnd w:id="5565"/>
      <w:bookmarkEnd w:id="5566"/>
      <w:bookmarkEnd w:id="5567"/>
      <w:bookmarkEnd w:id="5568"/>
      <w:bookmarkEnd w:id="5569"/>
      <w:bookmarkEnd w:id="5570"/>
      <w:bookmarkEnd w:id="5571"/>
      <w:bookmarkEnd w:id="5572"/>
      <w:bookmarkEnd w:id="5573"/>
      <w:bookmarkEnd w:id="5574"/>
      <w:bookmarkEnd w:id="5575"/>
      <w:bookmarkEnd w:id="5576"/>
      <w:bookmarkEnd w:id="5577"/>
      <w:bookmarkEnd w:id="5578"/>
      <w:bookmarkEnd w:id="5579"/>
      <w:bookmarkEnd w:id="5580"/>
      <w:bookmarkEnd w:id="5581"/>
      <w:bookmarkEnd w:id="5582"/>
      <w:bookmarkEnd w:id="5583"/>
      <w:bookmarkEnd w:id="5584"/>
      <w:bookmarkEnd w:id="5585"/>
      <w:bookmarkEnd w:id="5586"/>
      <w:bookmarkEnd w:id="5587"/>
      <w:bookmarkEnd w:id="5588"/>
      <w:bookmarkEnd w:id="5589"/>
      <w:bookmarkEnd w:id="5590"/>
      <w:bookmarkEnd w:id="5591"/>
      <w:bookmarkEnd w:id="5592"/>
      <w:bookmarkEnd w:id="5593"/>
      <w:bookmarkEnd w:id="5594"/>
      <w:bookmarkEnd w:id="5595"/>
      <w:bookmarkEnd w:id="5596"/>
      <w:bookmarkEnd w:id="5597"/>
      <w:bookmarkEnd w:id="5598"/>
      <w:bookmarkEnd w:id="5599"/>
      <w:bookmarkEnd w:id="5600"/>
      <w:bookmarkEnd w:id="5601"/>
      <w:bookmarkEnd w:id="5602"/>
      <w:bookmarkEnd w:id="5603"/>
      <w:bookmarkEnd w:id="5604"/>
      <w:bookmarkEnd w:id="5605"/>
      <w:bookmarkEnd w:id="5606"/>
      <w:bookmarkEnd w:id="5607"/>
      <w:bookmarkEnd w:id="5608"/>
      <w:bookmarkEnd w:id="5609"/>
      <w:bookmarkEnd w:id="5610"/>
      <w:bookmarkEnd w:id="5611"/>
      <w:bookmarkEnd w:id="5612"/>
      <w:bookmarkEnd w:id="5613"/>
      <w:bookmarkEnd w:id="5614"/>
      <w:bookmarkEnd w:id="5615"/>
      <w:bookmarkEnd w:id="5616"/>
      <w:bookmarkEnd w:id="5617"/>
      <w:bookmarkEnd w:id="5618"/>
      <w:bookmarkEnd w:id="5619"/>
      <w:bookmarkEnd w:id="5620"/>
      <w:bookmarkEnd w:id="5621"/>
      <w:bookmarkEnd w:id="5622"/>
      <w:bookmarkEnd w:id="5623"/>
      <w:bookmarkEnd w:id="5624"/>
      <w:bookmarkEnd w:id="5625"/>
      <w:bookmarkEnd w:id="5626"/>
      <w:bookmarkEnd w:id="5627"/>
      <w:bookmarkEnd w:id="5628"/>
      <w:bookmarkEnd w:id="5629"/>
      <w:bookmarkEnd w:id="5630"/>
      <w:bookmarkEnd w:id="5631"/>
      <w:bookmarkEnd w:id="5632"/>
      <w:bookmarkEnd w:id="5633"/>
      <w:bookmarkEnd w:id="5634"/>
      <w:bookmarkEnd w:id="5635"/>
      <w:bookmarkEnd w:id="5636"/>
      <w:bookmarkEnd w:id="5637"/>
      <w:bookmarkEnd w:id="5638"/>
      <w:bookmarkEnd w:id="5639"/>
      <w:bookmarkEnd w:id="5640"/>
      <w:bookmarkEnd w:id="5641"/>
      <w:bookmarkEnd w:id="5642"/>
      <w:bookmarkEnd w:id="5643"/>
      <w:bookmarkEnd w:id="5644"/>
      <w:bookmarkEnd w:id="5645"/>
      <w:bookmarkEnd w:id="5646"/>
      <w:bookmarkEnd w:id="5647"/>
      <w:bookmarkEnd w:id="5648"/>
      <w:bookmarkEnd w:id="5649"/>
      <w:bookmarkEnd w:id="5650"/>
      <w:bookmarkEnd w:id="5651"/>
      <w:bookmarkEnd w:id="5652"/>
      <w:bookmarkEnd w:id="5653"/>
      <w:bookmarkEnd w:id="5654"/>
      <w:bookmarkEnd w:id="5655"/>
      <w:bookmarkEnd w:id="5656"/>
      <w:bookmarkEnd w:id="5657"/>
      <w:bookmarkEnd w:id="5658"/>
      <w:bookmarkEnd w:id="5659"/>
      <w:bookmarkEnd w:id="5660"/>
      <w:bookmarkEnd w:id="5661"/>
      <w:bookmarkEnd w:id="5662"/>
      <w:bookmarkEnd w:id="5663"/>
      <w:bookmarkEnd w:id="5664"/>
      <w:bookmarkEnd w:id="5665"/>
      <w:bookmarkEnd w:id="5666"/>
      <w:bookmarkEnd w:id="5667"/>
      <w:bookmarkEnd w:id="5668"/>
      <w:bookmarkEnd w:id="5669"/>
      <w:bookmarkEnd w:id="5670"/>
      <w:bookmarkEnd w:id="5671"/>
      <w:bookmarkEnd w:id="5672"/>
      <w:bookmarkEnd w:id="5673"/>
      <w:bookmarkEnd w:id="5674"/>
      <w:bookmarkEnd w:id="5675"/>
      <w:bookmarkEnd w:id="5676"/>
      <w:bookmarkEnd w:id="5677"/>
      <w:bookmarkEnd w:id="5678"/>
      <w:bookmarkEnd w:id="5679"/>
      <w:bookmarkEnd w:id="5680"/>
      <w:bookmarkEnd w:id="5681"/>
      <w:bookmarkEnd w:id="5682"/>
      <w:bookmarkEnd w:id="5683"/>
      <w:bookmarkEnd w:id="5684"/>
      <w:bookmarkEnd w:id="5685"/>
      <w:bookmarkEnd w:id="5686"/>
      <w:bookmarkEnd w:id="5687"/>
      <w:bookmarkEnd w:id="5688"/>
      <w:bookmarkEnd w:id="5689"/>
      <w:bookmarkEnd w:id="5690"/>
      <w:bookmarkEnd w:id="5691"/>
      <w:bookmarkEnd w:id="5692"/>
      <w:bookmarkEnd w:id="5693"/>
      <w:bookmarkEnd w:id="5694"/>
      <w:bookmarkEnd w:id="5695"/>
      <w:bookmarkEnd w:id="5696"/>
      <w:bookmarkEnd w:id="5697"/>
      <w:bookmarkEnd w:id="5698"/>
      <w:bookmarkEnd w:id="5699"/>
      <w:bookmarkEnd w:id="5700"/>
      <w:bookmarkEnd w:id="5701"/>
      <w:bookmarkEnd w:id="5702"/>
      <w:bookmarkEnd w:id="5703"/>
      <w:bookmarkEnd w:id="5704"/>
      <w:bookmarkEnd w:id="5705"/>
      <w:bookmarkEnd w:id="5706"/>
      <w:bookmarkEnd w:id="5707"/>
      <w:bookmarkEnd w:id="5708"/>
      <w:bookmarkEnd w:id="5709"/>
      <w:bookmarkEnd w:id="5710"/>
      <w:bookmarkEnd w:id="5711"/>
      <w:bookmarkEnd w:id="5712"/>
      <w:bookmarkEnd w:id="5713"/>
      <w:bookmarkEnd w:id="5714"/>
      <w:bookmarkEnd w:id="5715"/>
      <w:bookmarkEnd w:id="5716"/>
      <w:bookmarkEnd w:id="5717"/>
      <w:bookmarkEnd w:id="5718"/>
      <w:bookmarkEnd w:id="5719"/>
      <w:bookmarkEnd w:id="5720"/>
      <w:bookmarkEnd w:id="5721"/>
      <w:bookmarkEnd w:id="5722"/>
      <w:bookmarkEnd w:id="5723"/>
      <w:bookmarkEnd w:id="5724"/>
      <w:bookmarkEnd w:id="5725"/>
      <w:bookmarkEnd w:id="5726"/>
      <w:bookmarkEnd w:id="5727"/>
      <w:bookmarkEnd w:id="5728"/>
      <w:bookmarkEnd w:id="5729"/>
      <w:bookmarkEnd w:id="5730"/>
      <w:bookmarkEnd w:id="5731"/>
      <w:bookmarkEnd w:id="5732"/>
      <w:bookmarkEnd w:id="5733"/>
      <w:bookmarkEnd w:id="5734"/>
      <w:bookmarkEnd w:id="5735"/>
      <w:bookmarkEnd w:id="5736"/>
      <w:bookmarkEnd w:id="5737"/>
      <w:bookmarkEnd w:id="5738"/>
      <w:bookmarkEnd w:id="5739"/>
      <w:bookmarkEnd w:id="5740"/>
      <w:bookmarkEnd w:id="5741"/>
      <w:bookmarkEnd w:id="5742"/>
      <w:bookmarkEnd w:id="5743"/>
      <w:bookmarkEnd w:id="5744"/>
      <w:bookmarkEnd w:id="5745"/>
      <w:bookmarkEnd w:id="5746"/>
      <w:bookmarkEnd w:id="5747"/>
      <w:bookmarkEnd w:id="5748"/>
      <w:bookmarkEnd w:id="5749"/>
      <w:bookmarkEnd w:id="5750"/>
      <w:bookmarkEnd w:id="5751"/>
      <w:bookmarkEnd w:id="5752"/>
      <w:bookmarkEnd w:id="5753"/>
      <w:bookmarkEnd w:id="5754"/>
      <w:bookmarkEnd w:id="5755"/>
      <w:bookmarkEnd w:id="5756"/>
      <w:bookmarkEnd w:id="5757"/>
      <w:bookmarkEnd w:id="5758"/>
      <w:bookmarkEnd w:id="5759"/>
      <w:bookmarkEnd w:id="5760"/>
      <w:bookmarkEnd w:id="5761"/>
      <w:bookmarkEnd w:id="5762"/>
      <w:bookmarkEnd w:id="5763"/>
      <w:bookmarkEnd w:id="5764"/>
      <w:bookmarkEnd w:id="5765"/>
      <w:bookmarkEnd w:id="5766"/>
      <w:bookmarkEnd w:id="5767"/>
      <w:bookmarkEnd w:id="5768"/>
      <w:bookmarkEnd w:id="5769"/>
      <w:bookmarkEnd w:id="5770"/>
      <w:bookmarkEnd w:id="5771"/>
      <w:bookmarkEnd w:id="5772"/>
      <w:bookmarkEnd w:id="5773"/>
      <w:bookmarkEnd w:id="5774"/>
      <w:bookmarkEnd w:id="5775"/>
      <w:bookmarkEnd w:id="5776"/>
      <w:bookmarkEnd w:id="5777"/>
      <w:bookmarkEnd w:id="5778"/>
      <w:bookmarkEnd w:id="5779"/>
      <w:bookmarkEnd w:id="5780"/>
      <w:bookmarkEnd w:id="5781"/>
      <w:bookmarkEnd w:id="5782"/>
      <w:bookmarkEnd w:id="5783"/>
      <w:bookmarkEnd w:id="5784"/>
      <w:bookmarkEnd w:id="5785"/>
      <w:bookmarkEnd w:id="5786"/>
      <w:bookmarkEnd w:id="5787"/>
      <w:bookmarkEnd w:id="5788"/>
      <w:bookmarkEnd w:id="5789"/>
      <w:bookmarkEnd w:id="5790"/>
      <w:bookmarkEnd w:id="5791"/>
      <w:bookmarkEnd w:id="5792"/>
      <w:bookmarkEnd w:id="5793"/>
      <w:bookmarkEnd w:id="5794"/>
      <w:bookmarkEnd w:id="5795"/>
      <w:bookmarkEnd w:id="5796"/>
      <w:bookmarkEnd w:id="5797"/>
      <w:bookmarkEnd w:id="5798"/>
      <w:bookmarkEnd w:id="5799"/>
      <w:bookmarkEnd w:id="5800"/>
      <w:bookmarkEnd w:id="5801"/>
      <w:bookmarkEnd w:id="5802"/>
      <w:bookmarkEnd w:id="5803"/>
      <w:bookmarkEnd w:id="5804"/>
      <w:bookmarkEnd w:id="5805"/>
      <w:bookmarkEnd w:id="5806"/>
      <w:bookmarkEnd w:id="5807"/>
      <w:bookmarkEnd w:id="5808"/>
      <w:bookmarkEnd w:id="5809"/>
      <w:bookmarkEnd w:id="5810"/>
      <w:bookmarkEnd w:id="5811"/>
      <w:bookmarkEnd w:id="5812"/>
      <w:bookmarkEnd w:id="5813"/>
      <w:bookmarkEnd w:id="5814"/>
      <w:bookmarkEnd w:id="5815"/>
      <w:bookmarkEnd w:id="5816"/>
      <w:bookmarkEnd w:id="5817"/>
      <w:bookmarkEnd w:id="5818"/>
      <w:bookmarkEnd w:id="5819"/>
      <w:bookmarkEnd w:id="5820"/>
      <w:bookmarkEnd w:id="5821"/>
      <w:bookmarkEnd w:id="5822"/>
      <w:bookmarkEnd w:id="5823"/>
      <w:bookmarkEnd w:id="5824"/>
      <w:bookmarkEnd w:id="5825"/>
      <w:bookmarkEnd w:id="5826"/>
      <w:bookmarkEnd w:id="5827"/>
      <w:bookmarkEnd w:id="5828"/>
      <w:bookmarkEnd w:id="5829"/>
      <w:bookmarkEnd w:id="5830"/>
      <w:bookmarkEnd w:id="5831"/>
      <w:bookmarkEnd w:id="5832"/>
      <w:bookmarkEnd w:id="5833"/>
      <w:bookmarkEnd w:id="5834"/>
      <w:bookmarkEnd w:id="5835"/>
      <w:bookmarkEnd w:id="5836"/>
      <w:bookmarkEnd w:id="5837"/>
      <w:bookmarkEnd w:id="5838"/>
      <w:bookmarkEnd w:id="5839"/>
      <w:bookmarkEnd w:id="5840"/>
      <w:bookmarkEnd w:id="5841"/>
      <w:bookmarkEnd w:id="5842"/>
      <w:bookmarkEnd w:id="5843"/>
      <w:bookmarkEnd w:id="5844"/>
      <w:bookmarkEnd w:id="5845"/>
      <w:bookmarkEnd w:id="5846"/>
      <w:bookmarkEnd w:id="5847"/>
      <w:bookmarkEnd w:id="5848"/>
      <w:bookmarkEnd w:id="5849"/>
      <w:bookmarkEnd w:id="5850"/>
      <w:bookmarkEnd w:id="5851"/>
      <w:bookmarkEnd w:id="5852"/>
      <w:bookmarkEnd w:id="5853"/>
      <w:bookmarkEnd w:id="5854"/>
      <w:bookmarkEnd w:id="5855"/>
      <w:bookmarkEnd w:id="5856"/>
      <w:bookmarkEnd w:id="5857"/>
      <w:bookmarkEnd w:id="5858"/>
      <w:bookmarkEnd w:id="5859"/>
      <w:bookmarkEnd w:id="5860"/>
      <w:bookmarkEnd w:id="5861"/>
      <w:bookmarkEnd w:id="5862"/>
      <w:bookmarkEnd w:id="5863"/>
      <w:bookmarkEnd w:id="5864"/>
      <w:bookmarkEnd w:id="5865"/>
      <w:bookmarkEnd w:id="5866"/>
      <w:bookmarkEnd w:id="5867"/>
      <w:bookmarkEnd w:id="5868"/>
      <w:bookmarkEnd w:id="5869"/>
      <w:bookmarkEnd w:id="5870"/>
      <w:bookmarkEnd w:id="5871"/>
      <w:bookmarkEnd w:id="5872"/>
      <w:bookmarkEnd w:id="5873"/>
      <w:bookmarkEnd w:id="5874"/>
      <w:bookmarkEnd w:id="5875"/>
      <w:bookmarkEnd w:id="5876"/>
      <w:bookmarkEnd w:id="5877"/>
      <w:bookmarkEnd w:id="5878"/>
      <w:bookmarkEnd w:id="5879"/>
      <w:bookmarkEnd w:id="5880"/>
      <w:bookmarkEnd w:id="5881"/>
      <w:bookmarkEnd w:id="5882"/>
      <w:bookmarkEnd w:id="5883"/>
      <w:bookmarkEnd w:id="5884"/>
      <w:bookmarkEnd w:id="5885"/>
      <w:bookmarkEnd w:id="5886"/>
      <w:bookmarkEnd w:id="5887"/>
      <w:bookmarkEnd w:id="5888"/>
      <w:bookmarkEnd w:id="5889"/>
      <w:bookmarkEnd w:id="5890"/>
      <w:bookmarkEnd w:id="5891"/>
      <w:bookmarkEnd w:id="5892"/>
      <w:bookmarkEnd w:id="5893"/>
      <w:bookmarkEnd w:id="5894"/>
      <w:bookmarkEnd w:id="5895"/>
      <w:bookmarkEnd w:id="5896"/>
      <w:bookmarkEnd w:id="5897"/>
      <w:bookmarkEnd w:id="5898"/>
      <w:bookmarkEnd w:id="5899"/>
      <w:bookmarkEnd w:id="5900"/>
      <w:bookmarkEnd w:id="5901"/>
      <w:bookmarkEnd w:id="5902"/>
      <w:bookmarkEnd w:id="5903"/>
      <w:bookmarkEnd w:id="5904"/>
      <w:bookmarkEnd w:id="5905"/>
      <w:bookmarkEnd w:id="5906"/>
      <w:bookmarkEnd w:id="5907"/>
      <w:bookmarkEnd w:id="5908"/>
      <w:bookmarkEnd w:id="5909"/>
      <w:bookmarkEnd w:id="5910"/>
      <w:bookmarkEnd w:id="5911"/>
      <w:bookmarkEnd w:id="5912"/>
      <w:bookmarkEnd w:id="5913"/>
      <w:bookmarkEnd w:id="5914"/>
      <w:bookmarkEnd w:id="5915"/>
      <w:bookmarkEnd w:id="5916"/>
      <w:bookmarkEnd w:id="5917"/>
      <w:bookmarkEnd w:id="5918"/>
      <w:bookmarkEnd w:id="5919"/>
      <w:bookmarkEnd w:id="5920"/>
      <w:bookmarkEnd w:id="5921"/>
      <w:bookmarkEnd w:id="5922"/>
      <w:bookmarkEnd w:id="5923"/>
      <w:bookmarkEnd w:id="5924"/>
      <w:bookmarkEnd w:id="5925"/>
      <w:bookmarkEnd w:id="5926"/>
      <w:bookmarkEnd w:id="5927"/>
      <w:bookmarkEnd w:id="5928"/>
      <w:bookmarkEnd w:id="5929"/>
      <w:bookmarkEnd w:id="5930"/>
      <w:bookmarkEnd w:id="5931"/>
      <w:bookmarkEnd w:id="5932"/>
      <w:bookmarkEnd w:id="5933"/>
      <w:bookmarkEnd w:id="5934"/>
      <w:bookmarkEnd w:id="5935"/>
      <w:bookmarkEnd w:id="5936"/>
      <w:bookmarkEnd w:id="5937"/>
      <w:bookmarkEnd w:id="5938"/>
      <w:bookmarkEnd w:id="5939"/>
      <w:bookmarkEnd w:id="5940"/>
      <w:bookmarkEnd w:id="5941"/>
      <w:bookmarkEnd w:id="5942"/>
      <w:bookmarkEnd w:id="5943"/>
      <w:bookmarkEnd w:id="5944"/>
      <w:bookmarkEnd w:id="5945"/>
      <w:bookmarkEnd w:id="5946"/>
      <w:bookmarkEnd w:id="5947"/>
      <w:bookmarkEnd w:id="5948"/>
      <w:bookmarkEnd w:id="5949"/>
      <w:bookmarkEnd w:id="5950"/>
      <w:bookmarkEnd w:id="5951"/>
      <w:bookmarkEnd w:id="5952"/>
      <w:bookmarkEnd w:id="5953"/>
      <w:bookmarkEnd w:id="5954"/>
      <w:bookmarkEnd w:id="5955"/>
      <w:bookmarkEnd w:id="5956"/>
      <w:bookmarkEnd w:id="5957"/>
      <w:bookmarkEnd w:id="5958"/>
      <w:bookmarkEnd w:id="5959"/>
      <w:bookmarkEnd w:id="5960"/>
      <w:bookmarkEnd w:id="5961"/>
      <w:bookmarkEnd w:id="5962"/>
      <w:bookmarkEnd w:id="5963"/>
      <w:bookmarkEnd w:id="5964"/>
      <w:bookmarkEnd w:id="5965"/>
      <w:bookmarkEnd w:id="5966"/>
      <w:bookmarkEnd w:id="5967"/>
      <w:bookmarkEnd w:id="5968"/>
      <w:bookmarkEnd w:id="5969"/>
      <w:bookmarkEnd w:id="5970"/>
      <w:bookmarkEnd w:id="5971"/>
      <w:bookmarkEnd w:id="5972"/>
      <w:bookmarkEnd w:id="5973"/>
      <w:bookmarkEnd w:id="5974"/>
      <w:bookmarkEnd w:id="5975"/>
      <w:bookmarkEnd w:id="5976"/>
      <w:bookmarkEnd w:id="5977"/>
      <w:bookmarkEnd w:id="5978"/>
      <w:bookmarkEnd w:id="5979"/>
      <w:bookmarkEnd w:id="5980"/>
      <w:bookmarkEnd w:id="5981"/>
      <w:bookmarkEnd w:id="5982"/>
      <w:bookmarkEnd w:id="5983"/>
      <w:bookmarkEnd w:id="5984"/>
      <w:bookmarkEnd w:id="5985"/>
      <w:bookmarkEnd w:id="5986"/>
      <w:bookmarkEnd w:id="5987"/>
      <w:bookmarkEnd w:id="5988"/>
      <w:bookmarkEnd w:id="5989"/>
      <w:bookmarkEnd w:id="5990"/>
      <w:bookmarkEnd w:id="5991"/>
      <w:bookmarkEnd w:id="5992"/>
      <w:bookmarkEnd w:id="5993"/>
      <w:bookmarkEnd w:id="5994"/>
      <w:bookmarkEnd w:id="5995"/>
      <w:bookmarkEnd w:id="5996"/>
      <w:bookmarkEnd w:id="5997"/>
      <w:bookmarkEnd w:id="5998"/>
      <w:bookmarkEnd w:id="5999"/>
      <w:bookmarkEnd w:id="6000"/>
      <w:bookmarkEnd w:id="6001"/>
      <w:bookmarkEnd w:id="6002"/>
      <w:bookmarkEnd w:id="6003"/>
      <w:bookmarkEnd w:id="6004"/>
      <w:bookmarkEnd w:id="6005"/>
      <w:bookmarkEnd w:id="6006"/>
      <w:bookmarkEnd w:id="6007"/>
      <w:bookmarkEnd w:id="6008"/>
      <w:bookmarkEnd w:id="6009"/>
      <w:bookmarkEnd w:id="6010"/>
      <w:bookmarkEnd w:id="6011"/>
      <w:bookmarkEnd w:id="6012"/>
      <w:bookmarkEnd w:id="6013"/>
      <w:bookmarkEnd w:id="6014"/>
      <w:bookmarkEnd w:id="6015"/>
      <w:bookmarkEnd w:id="6016"/>
      <w:bookmarkEnd w:id="6017"/>
      <w:bookmarkEnd w:id="6018"/>
      <w:bookmarkEnd w:id="6019"/>
      <w:bookmarkEnd w:id="6020"/>
      <w:bookmarkEnd w:id="6021"/>
      <w:bookmarkEnd w:id="6022"/>
      <w:bookmarkEnd w:id="6023"/>
      <w:bookmarkEnd w:id="6024"/>
      <w:bookmarkEnd w:id="6025"/>
      <w:bookmarkEnd w:id="6026"/>
      <w:bookmarkEnd w:id="6027"/>
      <w:bookmarkEnd w:id="6028"/>
      <w:bookmarkEnd w:id="6029"/>
      <w:bookmarkEnd w:id="6030"/>
      <w:bookmarkEnd w:id="6031"/>
      <w:bookmarkEnd w:id="6032"/>
      <w:bookmarkEnd w:id="6033"/>
      <w:bookmarkEnd w:id="6034"/>
      <w:bookmarkEnd w:id="6035"/>
      <w:bookmarkEnd w:id="6036"/>
      <w:bookmarkEnd w:id="6037"/>
      <w:bookmarkEnd w:id="6038"/>
      <w:bookmarkEnd w:id="6039"/>
      <w:bookmarkEnd w:id="6040"/>
      <w:bookmarkEnd w:id="6041"/>
      <w:bookmarkEnd w:id="6042"/>
      <w:bookmarkEnd w:id="6043"/>
      <w:bookmarkEnd w:id="6044"/>
      <w:bookmarkEnd w:id="6045"/>
      <w:bookmarkEnd w:id="6046"/>
      <w:bookmarkEnd w:id="6047"/>
      <w:bookmarkEnd w:id="6048"/>
      <w:bookmarkEnd w:id="6049"/>
      <w:bookmarkEnd w:id="6050"/>
      <w:bookmarkEnd w:id="6051"/>
      <w:bookmarkEnd w:id="6052"/>
      <w:bookmarkEnd w:id="6053"/>
      <w:bookmarkEnd w:id="6054"/>
      <w:bookmarkEnd w:id="6055"/>
      <w:bookmarkEnd w:id="6056"/>
      <w:bookmarkEnd w:id="6057"/>
      <w:bookmarkEnd w:id="6058"/>
      <w:bookmarkEnd w:id="6059"/>
      <w:bookmarkEnd w:id="6060"/>
      <w:bookmarkEnd w:id="6061"/>
      <w:bookmarkEnd w:id="6062"/>
      <w:bookmarkEnd w:id="6063"/>
      <w:bookmarkEnd w:id="6064"/>
      <w:bookmarkEnd w:id="6065"/>
      <w:bookmarkEnd w:id="6066"/>
      <w:bookmarkEnd w:id="6067"/>
      <w:bookmarkEnd w:id="6068"/>
      <w:bookmarkEnd w:id="6069"/>
      <w:bookmarkEnd w:id="6070"/>
      <w:bookmarkEnd w:id="6071"/>
      <w:bookmarkEnd w:id="6072"/>
      <w:bookmarkEnd w:id="6073"/>
      <w:bookmarkEnd w:id="6074"/>
      <w:bookmarkEnd w:id="6075"/>
      <w:bookmarkEnd w:id="6076"/>
      <w:bookmarkEnd w:id="6077"/>
      <w:bookmarkEnd w:id="6078"/>
      <w:bookmarkEnd w:id="6079"/>
      <w:bookmarkEnd w:id="6080"/>
      <w:bookmarkEnd w:id="6081"/>
      <w:bookmarkEnd w:id="6082"/>
      <w:bookmarkEnd w:id="6083"/>
      <w:bookmarkEnd w:id="6084"/>
      <w:bookmarkEnd w:id="6085"/>
      <w:bookmarkEnd w:id="6086"/>
      <w:bookmarkEnd w:id="6087"/>
      <w:bookmarkEnd w:id="6088"/>
      <w:bookmarkEnd w:id="6089"/>
      <w:bookmarkEnd w:id="6090"/>
      <w:bookmarkEnd w:id="6091"/>
      <w:bookmarkEnd w:id="6092"/>
      <w:bookmarkEnd w:id="6093"/>
      <w:bookmarkEnd w:id="6094"/>
      <w:bookmarkEnd w:id="6095"/>
      <w:bookmarkEnd w:id="6096"/>
      <w:bookmarkEnd w:id="6097"/>
      <w:bookmarkEnd w:id="6098"/>
      <w:bookmarkEnd w:id="6099"/>
      <w:bookmarkEnd w:id="6100"/>
      <w:bookmarkEnd w:id="6101"/>
      <w:bookmarkEnd w:id="6102"/>
      <w:bookmarkEnd w:id="6103"/>
      <w:bookmarkEnd w:id="6104"/>
      <w:bookmarkEnd w:id="6105"/>
      <w:bookmarkEnd w:id="6106"/>
      <w:bookmarkEnd w:id="6107"/>
      <w:bookmarkEnd w:id="6108"/>
      <w:bookmarkEnd w:id="6109"/>
      <w:bookmarkEnd w:id="6110"/>
      <w:bookmarkEnd w:id="6111"/>
      <w:bookmarkEnd w:id="6112"/>
      <w:bookmarkEnd w:id="6113"/>
      <w:bookmarkEnd w:id="6114"/>
      <w:bookmarkEnd w:id="6115"/>
      <w:bookmarkEnd w:id="6116"/>
      <w:bookmarkEnd w:id="6117"/>
      <w:bookmarkEnd w:id="6118"/>
      <w:bookmarkEnd w:id="6119"/>
      <w:bookmarkEnd w:id="6120"/>
      <w:bookmarkEnd w:id="6121"/>
      <w:bookmarkEnd w:id="6122"/>
      <w:bookmarkEnd w:id="6123"/>
      <w:bookmarkEnd w:id="6124"/>
      <w:bookmarkEnd w:id="6125"/>
      <w:bookmarkEnd w:id="6126"/>
      <w:bookmarkEnd w:id="6127"/>
      <w:bookmarkEnd w:id="6128"/>
      <w:bookmarkEnd w:id="6129"/>
      <w:bookmarkEnd w:id="6130"/>
      <w:bookmarkEnd w:id="6131"/>
      <w:bookmarkEnd w:id="6132"/>
      <w:bookmarkEnd w:id="6133"/>
      <w:bookmarkEnd w:id="6134"/>
      <w:bookmarkEnd w:id="6135"/>
      <w:bookmarkEnd w:id="6136"/>
      <w:bookmarkEnd w:id="6137"/>
      <w:bookmarkEnd w:id="6138"/>
      <w:bookmarkEnd w:id="6139"/>
      <w:bookmarkEnd w:id="6140"/>
      <w:bookmarkEnd w:id="6141"/>
      <w:bookmarkEnd w:id="6142"/>
      <w:bookmarkEnd w:id="6143"/>
      <w:bookmarkEnd w:id="6144"/>
      <w:bookmarkEnd w:id="6145"/>
      <w:bookmarkEnd w:id="6146"/>
      <w:bookmarkEnd w:id="6147"/>
      <w:bookmarkEnd w:id="6148"/>
      <w:bookmarkEnd w:id="6149"/>
      <w:bookmarkEnd w:id="6150"/>
      <w:bookmarkEnd w:id="6151"/>
      <w:bookmarkEnd w:id="6152"/>
      <w:bookmarkEnd w:id="6153"/>
      <w:bookmarkEnd w:id="6154"/>
      <w:bookmarkEnd w:id="6155"/>
      <w:bookmarkEnd w:id="6156"/>
      <w:bookmarkEnd w:id="6157"/>
      <w:bookmarkEnd w:id="6158"/>
      <w:bookmarkEnd w:id="6159"/>
      <w:bookmarkEnd w:id="6160"/>
      <w:bookmarkEnd w:id="6161"/>
      <w:bookmarkEnd w:id="6162"/>
      <w:bookmarkEnd w:id="6163"/>
      <w:bookmarkEnd w:id="6164"/>
      <w:bookmarkEnd w:id="6165"/>
      <w:bookmarkEnd w:id="6166"/>
      <w:bookmarkEnd w:id="6167"/>
      <w:bookmarkEnd w:id="6168"/>
      <w:bookmarkEnd w:id="6169"/>
      <w:bookmarkEnd w:id="6170"/>
      <w:bookmarkEnd w:id="6171"/>
      <w:bookmarkEnd w:id="6172"/>
      <w:bookmarkEnd w:id="6173"/>
      <w:bookmarkEnd w:id="6174"/>
      <w:bookmarkEnd w:id="6175"/>
      <w:bookmarkEnd w:id="6176"/>
      <w:bookmarkEnd w:id="6177"/>
      <w:bookmarkEnd w:id="6178"/>
      <w:bookmarkEnd w:id="6179"/>
      <w:bookmarkEnd w:id="6180"/>
      <w:bookmarkEnd w:id="6181"/>
      <w:bookmarkEnd w:id="6182"/>
      <w:bookmarkEnd w:id="6183"/>
      <w:bookmarkEnd w:id="6184"/>
      <w:bookmarkEnd w:id="6185"/>
      <w:bookmarkEnd w:id="6186"/>
      <w:bookmarkEnd w:id="6187"/>
      <w:bookmarkEnd w:id="6188"/>
      <w:bookmarkEnd w:id="6189"/>
      <w:bookmarkEnd w:id="6190"/>
      <w:bookmarkEnd w:id="6191"/>
      <w:bookmarkEnd w:id="6192"/>
      <w:bookmarkEnd w:id="6193"/>
      <w:bookmarkEnd w:id="6194"/>
      <w:bookmarkEnd w:id="6195"/>
      <w:bookmarkEnd w:id="6196"/>
      <w:bookmarkEnd w:id="6197"/>
      <w:bookmarkEnd w:id="6198"/>
      <w:bookmarkEnd w:id="6199"/>
      <w:bookmarkEnd w:id="6200"/>
      <w:bookmarkEnd w:id="6201"/>
      <w:bookmarkEnd w:id="6202"/>
      <w:bookmarkEnd w:id="6203"/>
      <w:bookmarkEnd w:id="6204"/>
      <w:bookmarkEnd w:id="6205"/>
      <w:bookmarkEnd w:id="6206"/>
      <w:bookmarkEnd w:id="6207"/>
      <w:bookmarkEnd w:id="6208"/>
      <w:bookmarkEnd w:id="6209"/>
      <w:bookmarkEnd w:id="6210"/>
      <w:bookmarkEnd w:id="6211"/>
      <w:bookmarkEnd w:id="6212"/>
      <w:bookmarkEnd w:id="6213"/>
      <w:bookmarkEnd w:id="6214"/>
      <w:bookmarkEnd w:id="6215"/>
      <w:bookmarkEnd w:id="6216"/>
      <w:bookmarkEnd w:id="6217"/>
      <w:bookmarkEnd w:id="6218"/>
      <w:bookmarkEnd w:id="6219"/>
      <w:bookmarkEnd w:id="6220"/>
      <w:bookmarkEnd w:id="6221"/>
      <w:bookmarkEnd w:id="6222"/>
      <w:bookmarkEnd w:id="6223"/>
      <w:bookmarkEnd w:id="6224"/>
      <w:bookmarkEnd w:id="6225"/>
      <w:bookmarkEnd w:id="6226"/>
      <w:bookmarkEnd w:id="6227"/>
      <w:bookmarkEnd w:id="6228"/>
      <w:bookmarkEnd w:id="6229"/>
      <w:bookmarkEnd w:id="6230"/>
      <w:bookmarkEnd w:id="6231"/>
      <w:bookmarkEnd w:id="6232"/>
      <w:bookmarkEnd w:id="6233"/>
      <w:bookmarkEnd w:id="6234"/>
      <w:bookmarkEnd w:id="6235"/>
      <w:bookmarkEnd w:id="6236"/>
      <w:bookmarkEnd w:id="6237"/>
      <w:bookmarkEnd w:id="6238"/>
      <w:bookmarkEnd w:id="6239"/>
      <w:bookmarkEnd w:id="6240"/>
      <w:bookmarkEnd w:id="6241"/>
      <w:bookmarkEnd w:id="6242"/>
      <w:bookmarkEnd w:id="6243"/>
      <w:bookmarkEnd w:id="6244"/>
      <w:bookmarkEnd w:id="6245"/>
      <w:bookmarkEnd w:id="6246"/>
      <w:bookmarkEnd w:id="6247"/>
      <w:bookmarkEnd w:id="6248"/>
      <w:bookmarkEnd w:id="6249"/>
      <w:bookmarkEnd w:id="6250"/>
      <w:bookmarkEnd w:id="6251"/>
      <w:bookmarkEnd w:id="6252"/>
      <w:bookmarkEnd w:id="6253"/>
      <w:bookmarkEnd w:id="6254"/>
      <w:bookmarkEnd w:id="6255"/>
      <w:bookmarkEnd w:id="6256"/>
      <w:bookmarkEnd w:id="6257"/>
      <w:bookmarkEnd w:id="6258"/>
      <w:bookmarkEnd w:id="6259"/>
      <w:bookmarkEnd w:id="6260"/>
      <w:bookmarkEnd w:id="6261"/>
      <w:bookmarkEnd w:id="6262"/>
      <w:bookmarkEnd w:id="6263"/>
      <w:bookmarkEnd w:id="6264"/>
      <w:bookmarkEnd w:id="6265"/>
      <w:bookmarkEnd w:id="6266"/>
      <w:bookmarkEnd w:id="6267"/>
      <w:bookmarkEnd w:id="6268"/>
      <w:bookmarkEnd w:id="6269"/>
      <w:bookmarkEnd w:id="6270"/>
      <w:bookmarkEnd w:id="6271"/>
      <w:bookmarkEnd w:id="6272"/>
      <w:bookmarkEnd w:id="6273"/>
      <w:bookmarkEnd w:id="6274"/>
      <w:bookmarkEnd w:id="6275"/>
      <w:bookmarkEnd w:id="6276"/>
      <w:bookmarkEnd w:id="6277"/>
      <w:bookmarkEnd w:id="6278"/>
      <w:bookmarkEnd w:id="6279"/>
      <w:bookmarkEnd w:id="6280"/>
      <w:bookmarkEnd w:id="6281"/>
      <w:bookmarkEnd w:id="6282"/>
      <w:bookmarkEnd w:id="6283"/>
      <w:bookmarkEnd w:id="6284"/>
      <w:bookmarkEnd w:id="6285"/>
      <w:bookmarkEnd w:id="6286"/>
      <w:bookmarkEnd w:id="6287"/>
      <w:bookmarkEnd w:id="6288"/>
      <w:bookmarkEnd w:id="6289"/>
      <w:bookmarkEnd w:id="6290"/>
      <w:bookmarkEnd w:id="6291"/>
      <w:bookmarkEnd w:id="6292"/>
      <w:bookmarkEnd w:id="6293"/>
      <w:bookmarkEnd w:id="6294"/>
      <w:bookmarkEnd w:id="6295"/>
      <w:bookmarkEnd w:id="6296"/>
      <w:bookmarkEnd w:id="6297"/>
      <w:bookmarkEnd w:id="6298"/>
      <w:bookmarkEnd w:id="6299"/>
      <w:bookmarkEnd w:id="6300"/>
      <w:bookmarkEnd w:id="6301"/>
      <w:bookmarkEnd w:id="6302"/>
      <w:bookmarkEnd w:id="6303"/>
      <w:bookmarkEnd w:id="6304"/>
      <w:bookmarkEnd w:id="6305"/>
      <w:bookmarkEnd w:id="6306"/>
      <w:bookmarkEnd w:id="6307"/>
      <w:bookmarkEnd w:id="6308"/>
      <w:bookmarkEnd w:id="6309"/>
      <w:bookmarkEnd w:id="6310"/>
      <w:bookmarkEnd w:id="6311"/>
      <w:bookmarkEnd w:id="6312"/>
      <w:bookmarkEnd w:id="6313"/>
      <w:bookmarkEnd w:id="6314"/>
      <w:bookmarkEnd w:id="6315"/>
      <w:bookmarkEnd w:id="6316"/>
      <w:bookmarkEnd w:id="6317"/>
      <w:bookmarkEnd w:id="6318"/>
      <w:bookmarkEnd w:id="6319"/>
      <w:bookmarkEnd w:id="6320"/>
      <w:bookmarkEnd w:id="6321"/>
      <w:bookmarkEnd w:id="6322"/>
      <w:bookmarkEnd w:id="6323"/>
      <w:bookmarkEnd w:id="6324"/>
      <w:bookmarkEnd w:id="6325"/>
      <w:bookmarkEnd w:id="6326"/>
      <w:bookmarkEnd w:id="6327"/>
      <w:bookmarkEnd w:id="6328"/>
      <w:bookmarkEnd w:id="6329"/>
      <w:bookmarkEnd w:id="6330"/>
      <w:bookmarkEnd w:id="6331"/>
      <w:bookmarkEnd w:id="6332"/>
      <w:bookmarkEnd w:id="6333"/>
      <w:bookmarkEnd w:id="6334"/>
      <w:bookmarkEnd w:id="6335"/>
      <w:bookmarkEnd w:id="6336"/>
      <w:bookmarkEnd w:id="6337"/>
      <w:bookmarkEnd w:id="6338"/>
      <w:bookmarkEnd w:id="6339"/>
      <w:bookmarkEnd w:id="6340"/>
      <w:bookmarkEnd w:id="6341"/>
      <w:bookmarkEnd w:id="6342"/>
      <w:bookmarkEnd w:id="6343"/>
      <w:bookmarkEnd w:id="6344"/>
      <w:bookmarkEnd w:id="6345"/>
      <w:bookmarkEnd w:id="6346"/>
      <w:bookmarkEnd w:id="6347"/>
      <w:bookmarkEnd w:id="6348"/>
      <w:bookmarkEnd w:id="6349"/>
      <w:bookmarkEnd w:id="6350"/>
      <w:bookmarkEnd w:id="6351"/>
      <w:bookmarkEnd w:id="6352"/>
      <w:bookmarkEnd w:id="6353"/>
      <w:bookmarkEnd w:id="6354"/>
      <w:bookmarkEnd w:id="6355"/>
      <w:bookmarkEnd w:id="6356"/>
      <w:bookmarkEnd w:id="6357"/>
      <w:bookmarkEnd w:id="6358"/>
      <w:bookmarkEnd w:id="6359"/>
      <w:bookmarkEnd w:id="6360"/>
      <w:bookmarkEnd w:id="6361"/>
      <w:bookmarkEnd w:id="6362"/>
      <w:bookmarkEnd w:id="6363"/>
      <w:bookmarkEnd w:id="6364"/>
      <w:bookmarkEnd w:id="6365"/>
      <w:bookmarkEnd w:id="6366"/>
      <w:bookmarkEnd w:id="6367"/>
      <w:bookmarkEnd w:id="6368"/>
      <w:bookmarkEnd w:id="6369"/>
      <w:bookmarkEnd w:id="6370"/>
      <w:bookmarkEnd w:id="6371"/>
      <w:bookmarkEnd w:id="6372"/>
      <w:bookmarkEnd w:id="6373"/>
      <w:bookmarkEnd w:id="6374"/>
      <w:bookmarkEnd w:id="6375"/>
      <w:bookmarkEnd w:id="6376"/>
      <w:bookmarkEnd w:id="6377"/>
      <w:bookmarkEnd w:id="6378"/>
      <w:bookmarkEnd w:id="6379"/>
      <w:bookmarkEnd w:id="6380"/>
      <w:bookmarkEnd w:id="6381"/>
      <w:bookmarkEnd w:id="6382"/>
      <w:bookmarkEnd w:id="6383"/>
      <w:bookmarkEnd w:id="6384"/>
      <w:bookmarkEnd w:id="6385"/>
      <w:bookmarkEnd w:id="6386"/>
      <w:bookmarkEnd w:id="6387"/>
      <w:bookmarkEnd w:id="6388"/>
      <w:bookmarkEnd w:id="6389"/>
      <w:bookmarkEnd w:id="6390"/>
      <w:bookmarkEnd w:id="6391"/>
      <w:bookmarkEnd w:id="6392"/>
      <w:bookmarkEnd w:id="6393"/>
      <w:bookmarkEnd w:id="6394"/>
      <w:bookmarkEnd w:id="6395"/>
      <w:bookmarkEnd w:id="6396"/>
      <w:bookmarkEnd w:id="6397"/>
      <w:bookmarkEnd w:id="6398"/>
      <w:bookmarkEnd w:id="6399"/>
      <w:bookmarkEnd w:id="6400"/>
      <w:bookmarkEnd w:id="6401"/>
      <w:bookmarkEnd w:id="6402"/>
      <w:bookmarkEnd w:id="6403"/>
      <w:bookmarkEnd w:id="6404"/>
      <w:bookmarkEnd w:id="6405"/>
      <w:bookmarkEnd w:id="6406"/>
      <w:bookmarkEnd w:id="6407"/>
      <w:bookmarkEnd w:id="6408"/>
      <w:bookmarkEnd w:id="6409"/>
      <w:bookmarkEnd w:id="6410"/>
      <w:bookmarkEnd w:id="6411"/>
      <w:bookmarkEnd w:id="6412"/>
      <w:bookmarkEnd w:id="6413"/>
      <w:bookmarkEnd w:id="6414"/>
      <w:bookmarkEnd w:id="6415"/>
      <w:bookmarkEnd w:id="6416"/>
      <w:bookmarkEnd w:id="6417"/>
      <w:bookmarkEnd w:id="6418"/>
      <w:bookmarkEnd w:id="6419"/>
      <w:bookmarkEnd w:id="6420"/>
      <w:bookmarkEnd w:id="6421"/>
      <w:bookmarkEnd w:id="6422"/>
      <w:bookmarkEnd w:id="6423"/>
      <w:bookmarkEnd w:id="6424"/>
      <w:bookmarkEnd w:id="6425"/>
      <w:bookmarkEnd w:id="6426"/>
      <w:bookmarkEnd w:id="6427"/>
      <w:bookmarkEnd w:id="6428"/>
      <w:bookmarkEnd w:id="6429"/>
      <w:bookmarkEnd w:id="6430"/>
      <w:bookmarkEnd w:id="6431"/>
      <w:bookmarkEnd w:id="6432"/>
      <w:bookmarkEnd w:id="6433"/>
      <w:bookmarkEnd w:id="6434"/>
      <w:bookmarkEnd w:id="6435"/>
      <w:bookmarkEnd w:id="6436"/>
      <w:bookmarkEnd w:id="6437"/>
      <w:bookmarkEnd w:id="6438"/>
      <w:bookmarkEnd w:id="6439"/>
      <w:bookmarkEnd w:id="6440"/>
      <w:bookmarkEnd w:id="6441"/>
      <w:bookmarkEnd w:id="6442"/>
      <w:bookmarkEnd w:id="6443"/>
      <w:bookmarkEnd w:id="6444"/>
      <w:bookmarkEnd w:id="6445"/>
      <w:bookmarkEnd w:id="6446"/>
      <w:bookmarkEnd w:id="6447"/>
      <w:bookmarkEnd w:id="6448"/>
      <w:bookmarkEnd w:id="6449"/>
      <w:bookmarkEnd w:id="6450"/>
      <w:bookmarkEnd w:id="6451"/>
      <w:bookmarkEnd w:id="6452"/>
      <w:bookmarkEnd w:id="6453"/>
      <w:bookmarkEnd w:id="6454"/>
      <w:bookmarkEnd w:id="6455"/>
      <w:bookmarkEnd w:id="6456"/>
      <w:bookmarkEnd w:id="6457"/>
      <w:bookmarkEnd w:id="6458"/>
      <w:bookmarkEnd w:id="6459"/>
      <w:bookmarkEnd w:id="6460"/>
      <w:bookmarkEnd w:id="6461"/>
      <w:bookmarkEnd w:id="6462"/>
      <w:bookmarkEnd w:id="6463"/>
      <w:bookmarkEnd w:id="6464"/>
      <w:bookmarkEnd w:id="6465"/>
      <w:bookmarkEnd w:id="6466"/>
      <w:bookmarkEnd w:id="6467"/>
      <w:bookmarkEnd w:id="6468"/>
      <w:bookmarkEnd w:id="6469"/>
      <w:bookmarkEnd w:id="6470"/>
      <w:bookmarkEnd w:id="6471"/>
      <w:bookmarkEnd w:id="6472"/>
      <w:bookmarkEnd w:id="6473"/>
      <w:bookmarkEnd w:id="6474"/>
      <w:bookmarkEnd w:id="6475"/>
      <w:bookmarkEnd w:id="6476"/>
      <w:bookmarkEnd w:id="6477"/>
      <w:bookmarkEnd w:id="6478"/>
      <w:bookmarkEnd w:id="6479"/>
      <w:bookmarkEnd w:id="6480"/>
      <w:bookmarkEnd w:id="6481"/>
      <w:bookmarkEnd w:id="6482"/>
      <w:bookmarkEnd w:id="6483"/>
      <w:bookmarkEnd w:id="6484"/>
      <w:bookmarkEnd w:id="6485"/>
      <w:bookmarkEnd w:id="6486"/>
      <w:bookmarkEnd w:id="6487"/>
      <w:bookmarkEnd w:id="6488"/>
      <w:bookmarkEnd w:id="6489"/>
      <w:bookmarkEnd w:id="6490"/>
      <w:bookmarkEnd w:id="6491"/>
      <w:bookmarkEnd w:id="6492"/>
      <w:bookmarkEnd w:id="6493"/>
      <w:bookmarkEnd w:id="6494"/>
      <w:bookmarkEnd w:id="6495"/>
      <w:bookmarkEnd w:id="6496"/>
      <w:bookmarkEnd w:id="6497"/>
      <w:bookmarkEnd w:id="6498"/>
      <w:bookmarkEnd w:id="6499"/>
      <w:bookmarkEnd w:id="6500"/>
      <w:bookmarkEnd w:id="6501"/>
      <w:bookmarkEnd w:id="6502"/>
      <w:bookmarkEnd w:id="6503"/>
      <w:bookmarkEnd w:id="6504"/>
      <w:bookmarkEnd w:id="6505"/>
      <w:bookmarkEnd w:id="6506"/>
      <w:bookmarkEnd w:id="6507"/>
      <w:bookmarkEnd w:id="6508"/>
      <w:bookmarkEnd w:id="6509"/>
      <w:bookmarkEnd w:id="6510"/>
      <w:bookmarkEnd w:id="6511"/>
      <w:bookmarkEnd w:id="6512"/>
      <w:bookmarkEnd w:id="6513"/>
      <w:bookmarkEnd w:id="6514"/>
      <w:bookmarkEnd w:id="6515"/>
      <w:bookmarkEnd w:id="6516"/>
      <w:bookmarkEnd w:id="6517"/>
      <w:bookmarkEnd w:id="6518"/>
      <w:bookmarkEnd w:id="6519"/>
      <w:bookmarkEnd w:id="6520"/>
      <w:bookmarkEnd w:id="6521"/>
      <w:bookmarkEnd w:id="6522"/>
      <w:bookmarkEnd w:id="6523"/>
      <w:bookmarkEnd w:id="6524"/>
      <w:bookmarkEnd w:id="6525"/>
      <w:bookmarkEnd w:id="6526"/>
      <w:bookmarkEnd w:id="6527"/>
      <w:bookmarkEnd w:id="6528"/>
      <w:bookmarkEnd w:id="6529"/>
      <w:bookmarkEnd w:id="6530"/>
      <w:bookmarkEnd w:id="6531"/>
      <w:bookmarkEnd w:id="6532"/>
      <w:bookmarkEnd w:id="6533"/>
      <w:bookmarkEnd w:id="6534"/>
      <w:bookmarkEnd w:id="6535"/>
      <w:bookmarkEnd w:id="6536"/>
      <w:bookmarkEnd w:id="6537"/>
      <w:bookmarkEnd w:id="6538"/>
      <w:bookmarkEnd w:id="6539"/>
      <w:bookmarkEnd w:id="6540"/>
      <w:bookmarkEnd w:id="6541"/>
      <w:bookmarkEnd w:id="6542"/>
      <w:bookmarkEnd w:id="6543"/>
      <w:bookmarkEnd w:id="6544"/>
      <w:bookmarkEnd w:id="6545"/>
      <w:bookmarkEnd w:id="6546"/>
      <w:bookmarkEnd w:id="6547"/>
      <w:bookmarkEnd w:id="6548"/>
      <w:bookmarkEnd w:id="6549"/>
      <w:bookmarkEnd w:id="6550"/>
      <w:bookmarkEnd w:id="6551"/>
      <w:bookmarkEnd w:id="6552"/>
      <w:bookmarkEnd w:id="6553"/>
      <w:bookmarkEnd w:id="6554"/>
      <w:bookmarkEnd w:id="6555"/>
      <w:bookmarkEnd w:id="6556"/>
      <w:bookmarkEnd w:id="6557"/>
      <w:bookmarkEnd w:id="6558"/>
      <w:bookmarkEnd w:id="6559"/>
      <w:bookmarkEnd w:id="6560"/>
      <w:bookmarkEnd w:id="6561"/>
      <w:bookmarkEnd w:id="6562"/>
      <w:bookmarkEnd w:id="6563"/>
      <w:bookmarkEnd w:id="6564"/>
      <w:bookmarkEnd w:id="6565"/>
      <w:bookmarkEnd w:id="6566"/>
      <w:bookmarkEnd w:id="6567"/>
      <w:bookmarkEnd w:id="6568"/>
      <w:bookmarkEnd w:id="6569"/>
      <w:bookmarkEnd w:id="6570"/>
      <w:bookmarkEnd w:id="6571"/>
      <w:bookmarkEnd w:id="6572"/>
      <w:bookmarkEnd w:id="6573"/>
      <w:bookmarkEnd w:id="6574"/>
      <w:bookmarkEnd w:id="6575"/>
      <w:bookmarkEnd w:id="6576"/>
      <w:bookmarkEnd w:id="6577"/>
      <w:bookmarkEnd w:id="6578"/>
      <w:bookmarkEnd w:id="6579"/>
      <w:bookmarkEnd w:id="6580"/>
      <w:bookmarkEnd w:id="6581"/>
      <w:bookmarkEnd w:id="6582"/>
      <w:bookmarkEnd w:id="6583"/>
      <w:bookmarkEnd w:id="6584"/>
      <w:bookmarkEnd w:id="6585"/>
      <w:bookmarkEnd w:id="6586"/>
      <w:bookmarkEnd w:id="6587"/>
      <w:bookmarkEnd w:id="6588"/>
      <w:bookmarkEnd w:id="6589"/>
      <w:bookmarkEnd w:id="6590"/>
      <w:bookmarkEnd w:id="6591"/>
      <w:bookmarkEnd w:id="6592"/>
      <w:bookmarkEnd w:id="6593"/>
      <w:bookmarkEnd w:id="6594"/>
      <w:bookmarkEnd w:id="6595"/>
      <w:bookmarkEnd w:id="6596"/>
      <w:bookmarkEnd w:id="6597"/>
      <w:bookmarkEnd w:id="6598"/>
      <w:bookmarkEnd w:id="6599"/>
      <w:bookmarkEnd w:id="6600"/>
      <w:bookmarkEnd w:id="6601"/>
      <w:bookmarkEnd w:id="6602"/>
      <w:bookmarkEnd w:id="6603"/>
      <w:bookmarkEnd w:id="6604"/>
      <w:bookmarkEnd w:id="6605"/>
      <w:bookmarkEnd w:id="6606"/>
      <w:bookmarkEnd w:id="6607"/>
      <w:bookmarkEnd w:id="6608"/>
      <w:bookmarkEnd w:id="6609"/>
      <w:bookmarkEnd w:id="6610"/>
      <w:bookmarkEnd w:id="6611"/>
      <w:bookmarkEnd w:id="6612"/>
      <w:bookmarkEnd w:id="6613"/>
      <w:bookmarkEnd w:id="6614"/>
      <w:bookmarkEnd w:id="6615"/>
      <w:bookmarkEnd w:id="6616"/>
      <w:bookmarkEnd w:id="6617"/>
      <w:bookmarkEnd w:id="6618"/>
      <w:bookmarkEnd w:id="6619"/>
      <w:bookmarkEnd w:id="6620"/>
      <w:bookmarkEnd w:id="6621"/>
      <w:bookmarkEnd w:id="6622"/>
      <w:bookmarkEnd w:id="6623"/>
      <w:bookmarkEnd w:id="6624"/>
      <w:bookmarkEnd w:id="6625"/>
      <w:bookmarkEnd w:id="6626"/>
      <w:bookmarkEnd w:id="6627"/>
      <w:bookmarkEnd w:id="6628"/>
      <w:bookmarkEnd w:id="6629"/>
      <w:bookmarkEnd w:id="6630"/>
      <w:bookmarkEnd w:id="6631"/>
      <w:bookmarkEnd w:id="6632"/>
      <w:bookmarkEnd w:id="6633"/>
      <w:bookmarkEnd w:id="6634"/>
      <w:bookmarkEnd w:id="6635"/>
      <w:bookmarkEnd w:id="6636"/>
      <w:bookmarkEnd w:id="6637"/>
      <w:bookmarkEnd w:id="6638"/>
      <w:bookmarkEnd w:id="6639"/>
      <w:bookmarkEnd w:id="6640"/>
      <w:bookmarkEnd w:id="6641"/>
      <w:bookmarkEnd w:id="6642"/>
      <w:bookmarkEnd w:id="6643"/>
      <w:bookmarkEnd w:id="6644"/>
      <w:bookmarkEnd w:id="6645"/>
      <w:bookmarkEnd w:id="6646"/>
      <w:bookmarkEnd w:id="6647"/>
      <w:bookmarkEnd w:id="6648"/>
      <w:bookmarkEnd w:id="6649"/>
      <w:bookmarkEnd w:id="6650"/>
      <w:bookmarkEnd w:id="6651"/>
      <w:bookmarkEnd w:id="6652"/>
      <w:bookmarkEnd w:id="6653"/>
      <w:bookmarkEnd w:id="6654"/>
      <w:bookmarkEnd w:id="6655"/>
      <w:bookmarkEnd w:id="6656"/>
      <w:bookmarkEnd w:id="6657"/>
      <w:bookmarkEnd w:id="6658"/>
      <w:bookmarkEnd w:id="6659"/>
      <w:bookmarkEnd w:id="6660"/>
      <w:bookmarkEnd w:id="6661"/>
      <w:bookmarkEnd w:id="6662"/>
      <w:bookmarkEnd w:id="6663"/>
      <w:bookmarkEnd w:id="6664"/>
      <w:bookmarkEnd w:id="6665"/>
      <w:bookmarkEnd w:id="6666"/>
      <w:bookmarkEnd w:id="6667"/>
      <w:bookmarkEnd w:id="6668"/>
      <w:bookmarkEnd w:id="6669"/>
      <w:bookmarkEnd w:id="6670"/>
      <w:bookmarkEnd w:id="6671"/>
      <w:bookmarkEnd w:id="6672"/>
      <w:bookmarkEnd w:id="6673"/>
      <w:bookmarkEnd w:id="6674"/>
      <w:bookmarkEnd w:id="6675"/>
      <w:bookmarkEnd w:id="6676"/>
      <w:bookmarkEnd w:id="6677"/>
      <w:bookmarkEnd w:id="6678"/>
      <w:bookmarkEnd w:id="6679"/>
      <w:bookmarkEnd w:id="6680"/>
      <w:bookmarkEnd w:id="6681"/>
      <w:bookmarkEnd w:id="6682"/>
      <w:bookmarkEnd w:id="6683"/>
      <w:bookmarkEnd w:id="6684"/>
      <w:bookmarkEnd w:id="6685"/>
      <w:bookmarkEnd w:id="6686"/>
      <w:bookmarkEnd w:id="6687"/>
      <w:bookmarkEnd w:id="6688"/>
      <w:bookmarkEnd w:id="6689"/>
      <w:bookmarkEnd w:id="6690"/>
      <w:bookmarkEnd w:id="6691"/>
      <w:bookmarkEnd w:id="6692"/>
      <w:bookmarkEnd w:id="6693"/>
      <w:bookmarkEnd w:id="6694"/>
      <w:bookmarkEnd w:id="6695"/>
      <w:bookmarkEnd w:id="6696"/>
      <w:bookmarkEnd w:id="6697"/>
      <w:bookmarkEnd w:id="6698"/>
      <w:bookmarkEnd w:id="6699"/>
      <w:bookmarkEnd w:id="6700"/>
      <w:bookmarkEnd w:id="6701"/>
      <w:bookmarkEnd w:id="6702"/>
      <w:bookmarkEnd w:id="6703"/>
      <w:bookmarkEnd w:id="6704"/>
      <w:bookmarkEnd w:id="6705"/>
      <w:bookmarkEnd w:id="6706"/>
      <w:bookmarkEnd w:id="6707"/>
      <w:bookmarkEnd w:id="6708"/>
      <w:bookmarkEnd w:id="6709"/>
      <w:bookmarkEnd w:id="6710"/>
      <w:bookmarkEnd w:id="6711"/>
      <w:bookmarkEnd w:id="6712"/>
      <w:bookmarkEnd w:id="6713"/>
      <w:bookmarkEnd w:id="6714"/>
      <w:bookmarkEnd w:id="6715"/>
      <w:bookmarkEnd w:id="6716"/>
      <w:bookmarkEnd w:id="6717"/>
      <w:bookmarkEnd w:id="6718"/>
      <w:bookmarkEnd w:id="6719"/>
      <w:bookmarkEnd w:id="6720"/>
      <w:bookmarkEnd w:id="6721"/>
      <w:bookmarkEnd w:id="6722"/>
      <w:bookmarkEnd w:id="6723"/>
      <w:bookmarkEnd w:id="6724"/>
      <w:bookmarkEnd w:id="6725"/>
      <w:bookmarkEnd w:id="6726"/>
      <w:bookmarkEnd w:id="6727"/>
      <w:bookmarkEnd w:id="6728"/>
      <w:bookmarkEnd w:id="6729"/>
      <w:bookmarkEnd w:id="6730"/>
      <w:bookmarkEnd w:id="6731"/>
      <w:bookmarkEnd w:id="6732"/>
      <w:bookmarkEnd w:id="6733"/>
      <w:bookmarkEnd w:id="6734"/>
      <w:bookmarkEnd w:id="6735"/>
      <w:bookmarkEnd w:id="6736"/>
      <w:bookmarkEnd w:id="6737"/>
      <w:bookmarkEnd w:id="6738"/>
      <w:bookmarkEnd w:id="6739"/>
      <w:bookmarkEnd w:id="6740"/>
      <w:bookmarkEnd w:id="6741"/>
      <w:bookmarkEnd w:id="6742"/>
      <w:bookmarkEnd w:id="6743"/>
      <w:bookmarkEnd w:id="6744"/>
      <w:bookmarkEnd w:id="6745"/>
      <w:bookmarkEnd w:id="6746"/>
      <w:bookmarkEnd w:id="6747"/>
      <w:bookmarkEnd w:id="6748"/>
      <w:bookmarkEnd w:id="6749"/>
      <w:bookmarkEnd w:id="6750"/>
      <w:bookmarkEnd w:id="6751"/>
      <w:bookmarkEnd w:id="6752"/>
      <w:bookmarkEnd w:id="6753"/>
      <w:bookmarkEnd w:id="6754"/>
      <w:bookmarkEnd w:id="6755"/>
      <w:bookmarkEnd w:id="6756"/>
      <w:bookmarkEnd w:id="6757"/>
      <w:bookmarkEnd w:id="6758"/>
      <w:bookmarkEnd w:id="6759"/>
      <w:bookmarkEnd w:id="6760"/>
      <w:bookmarkEnd w:id="6761"/>
      <w:bookmarkEnd w:id="6762"/>
      <w:bookmarkEnd w:id="6763"/>
      <w:bookmarkEnd w:id="6764"/>
      <w:bookmarkEnd w:id="6765"/>
      <w:bookmarkEnd w:id="6766"/>
      <w:bookmarkEnd w:id="6767"/>
      <w:bookmarkEnd w:id="6768"/>
      <w:bookmarkEnd w:id="6769"/>
      <w:bookmarkEnd w:id="6770"/>
      <w:bookmarkEnd w:id="6771"/>
      <w:bookmarkEnd w:id="6772"/>
      <w:bookmarkEnd w:id="6773"/>
      <w:bookmarkEnd w:id="6774"/>
      <w:bookmarkEnd w:id="6775"/>
      <w:bookmarkEnd w:id="6776"/>
      <w:bookmarkEnd w:id="6777"/>
      <w:bookmarkEnd w:id="6778"/>
      <w:bookmarkEnd w:id="6779"/>
      <w:bookmarkEnd w:id="6780"/>
      <w:bookmarkEnd w:id="6781"/>
      <w:bookmarkEnd w:id="6782"/>
      <w:bookmarkEnd w:id="6783"/>
      <w:bookmarkEnd w:id="6784"/>
      <w:bookmarkEnd w:id="6785"/>
      <w:bookmarkEnd w:id="6786"/>
      <w:bookmarkEnd w:id="6787"/>
      <w:bookmarkEnd w:id="6788"/>
      <w:bookmarkEnd w:id="6789"/>
      <w:bookmarkEnd w:id="6790"/>
      <w:bookmarkEnd w:id="6791"/>
      <w:bookmarkEnd w:id="6792"/>
      <w:bookmarkEnd w:id="6793"/>
      <w:bookmarkEnd w:id="6794"/>
      <w:bookmarkEnd w:id="6795"/>
      <w:bookmarkEnd w:id="6796"/>
      <w:bookmarkEnd w:id="6797"/>
      <w:bookmarkEnd w:id="6798"/>
      <w:bookmarkEnd w:id="6799"/>
      <w:bookmarkEnd w:id="6800"/>
      <w:bookmarkEnd w:id="6801"/>
      <w:bookmarkEnd w:id="6802"/>
      <w:bookmarkEnd w:id="6803"/>
      <w:bookmarkEnd w:id="6804"/>
      <w:bookmarkEnd w:id="6805"/>
      <w:bookmarkEnd w:id="6806"/>
      <w:bookmarkEnd w:id="6807"/>
      <w:bookmarkEnd w:id="6808"/>
      <w:bookmarkEnd w:id="6809"/>
      <w:bookmarkEnd w:id="6810"/>
      <w:bookmarkEnd w:id="6811"/>
      <w:bookmarkEnd w:id="6812"/>
      <w:bookmarkEnd w:id="6813"/>
      <w:bookmarkEnd w:id="6814"/>
      <w:bookmarkEnd w:id="6815"/>
      <w:bookmarkEnd w:id="6816"/>
      <w:bookmarkEnd w:id="6817"/>
      <w:bookmarkEnd w:id="6818"/>
      <w:bookmarkEnd w:id="6819"/>
      <w:bookmarkEnd w:id="6820"/>
      <w:bookmarkEnd w:id="6821"/>
      <w:bookmarkEnd w:id="6822"/>
      <w:bookmarkEnd w:id="6823"/>
      <w:bookmarkEnd w:id="6824"/>
      <w:bookmarkEnd w:id="6825"/>
      <w:bookmarkEnd w:id="6826"/>
      <w:bookmarkEnd w:id="6827"/>
      <w:bookmarkEnd w:id="6828"/>
      <w:bookmarkEnd w:id="6829"/>
      <w:bookmarkEnd w:id="6830"/>
      <w:bookmarkEnd w:id="6831"/>
      <w:bookmarkEnd w:id="6832"/>
      <w:bookmarkEnd w:id="6833"/>
      <w:bookmarkEnd w:id="6834"/>
      <w:bookmarkEnd w:id="6835"/>
      <w:bookmarkEnd w:id="6836"/>
      <w:bookmarkEnd w:id="6837"/>
      <w:bookmarkEnd w:id="6838"/>
      <w:bookmarkEnd w:id="6839"/>
      <w:bookmarkEnd w:id="6840"/>
      <w:bookmarkEnd w:id="6841"/>
      <w:bookmarkEnd w:id="6842"/>
      <w:bookmarkEnd w:id="6843"/>
      <w:bookmarkEnd w:id="6844"/>
      <w:bookmarkEnd w:id="6845"/>
      <w:bookmarkEnd w:id="6846"/>
      <w:bookmarkEnd w:id="6847"/>
      <w:bookmarkEnd w:id="6848"/>
      <w:bookmarkEnd w:id="6849"/>
      <w:bookmarkEnd w:id="6850"/>
      <w:bookmarkEnd w:id="6851"/>
      <w:bookmarkEnd w:id="6852"/>
      <w:bookmarkEnd w:id="6853"/>
      <w:bookmarkEnd w:id="6854"/>
      <w:bookmarkEnd w:id="6855"/>
      <w:bookmarkEnd w:id="6856"/>
      <w:bookmarkEnd w:id="6857"/>
      <w:bookmarkEnd w:id="6858"/>
      <w:bookmarkEnd w:id="6859"/>
      <w:bookmarkEnd w:id="6860"/>
      <w:bookmarkEnd w:id="6861"/>
      <w:bookmarkEnd w:id="6862"/>
      <w:bookmarkEnd w:id="6863"/>
      <w:bookmarkEnd w:id="6864"/>
      <w:bookmarkEnd w:id="6865"/>
      <w:bookmarkEnd w:id="6866"/>
      <w:bookmarkEnd w:id="6867"/>
      <w:bookmarkEnd w:id="6868"/>
      <w:bookmarkEnd w:id="6869"/>
      <w:bookmarkEnd w:id="6870"/>
      <w:bookmarkEnd w:id="6871"/>
      <w:bookmarkEnd w:id="6872"/>
      <w:bookmarkEnd w:id="6873"/>
      <w:bookmarkEnd w:id="6874"/>
      <w:bookmarkEnd w:id="6875"/>
      <w:bookmarkEnd w:id="6876"/>
      <w:bookmarkEnd w:id="6877"/>
      <w:bookmarkEnd w:id="6878"/>
      <w:bookmarkEnd w:id="6879"/>
      <w:bookmarkEnd w:id="6880"/>
      <w:bookmarkEnd w:id="6881"/>
      <w:bookmarkEnd w:id="6882"/>
      <w:bookmarkEnd w:id="6883"/>
      <w:bookmarkEnd w:id="6884"/>
      <w:bookmarkEnd w:id="6885"/>
      <w:bookmarkEnd w:id="6886"/>
      <w:bookmarkEnd w:id="6887"/>
      <w:bookmarkEnd w:id="6888"/>
      <w:bookmarkEnd w:id="6889"/>
      <w:bookmarkEnd w:id="6890"/>
      <w:bookmarkEnd w:id="6891"/>
      <w:bookmarkEnd w:id="6892"/>
      <w:bookmarkEnd w:id="6893"/>
      <w:bookmarkEnd w:id="6894"/>
      <w:bookmarkEnd w:id="6895"/>
      <w:bookmarkEnd w:id="6896"/>
      <w:bookmarkEnd w:id="6897"/>
      <w:bookmarkEnd w:id="6898"/>
      <w:bookmarkEnd w:id="6899"/>
      <w:bookmarkEnd w:id="6900"/>
      <w:bookmarkEnd w:id="6901"/>
      <w:bookmarkEnd w:id="6902"/>
      <w:bookmarkEnd w:id="6903"/>
      <w:bookmarkEnd w:id="6904"/>
      <w:bookmarkEnd w:id="6905"/>
      <w:bookmarkEnd w:id="6906"/>
      <w:bookmarkEnd w:id="6907"/>
      <w:bookmarkEnd w:id="6908"/>
      <w:bookmarkEnd w:id="6909"/>
      <w:bookmarkEnd w:id="6910"/>
      <w:bookmarkEnd w:id="6911"/>
      <w:bookmarkEnd w:id="6912"/>
      <w:bookmarkEnd w:id="6913"/>
      <w:bookmarkEnd w:id="6914"/>
      <w:bookmarkEnd w:id="6915"/>
      <w:bookmarkEnd w:id="6916"/>
      <w:bookmarkEnd w:id="6917"/>
      <w:bookmarkEnd w:id="6918"/>
      <w:bookmarkEnd w:id="6919"/>
      <w:bookmarkEnd w:id="6920"/>
      <w:bookmarkEnd w:id="6921"/>
      <w:bookmarkEnd w:id="6922"/>
      <w:bookmarkEnd w:id="6923"/>
      <w:bookmarkEnd w:id="6924"/>
      <w:bookmarkEnd w:id="6925"/>
      <w:bookmarkEnd w:id="6926"/>
      <w:bookmarkEnd w:id="6927"/>
      <w:bookmarkEnd w:id="6928"/>
      <w:bookmarkEnd w:id="6929"/>
      <w:bookmarkEnd w:id="6930"/>
      <w:bookmarkEnd w:id="6931"/>
      <w:bookmarkEnd w:id="6932"/>
      <w:bookmarkEnd w:id="6933"/>
      <w:bookmarkEnd w:id="6934"/>
      <w:bookmarkEnd w:id="6935"/>
      <w:bookmarkEnd w:id="6936"/>
      <w:bookmarkEnd w:id="6937"/>
      <w:bookmarkEnd w:id="6938"/>
      <w:bookmarkEnd w:id="6939"/>
      <w:bookmarkEnd w:id="6940"/>
      <w:bookmarkEnd w:id="6941"/>
      <w:bookmarkEnd w:id="6942"/>
      <w:bookmarkEnd w:id="6943"/>
      <w:bookmarkEnd w:id="6944"/>
      <w:bookmarkEnd w:id="6945"/>
      <w:bookmarkEnd w:id="6946"/>
      <w:bookmarkEnd w:id="6947"/>
      <w:bookmarkEnd w:id="6948"/>
      <w:bookmarkEnd w:id="6949"/>
      <w:bookmarkEnd w:id="6950"/>
      <w:bookmarkEnd w:id="6951"/>
      <w:bookmarkEnd w:id="6952"/>
      <w:bookmarkEnd w:id="6953"/>
      <w:bookmarkEnd w:id="6954"/>
      <w:bookmarkEnd w:id="6955"/>
      <w:bookmarkEnd w:id="6956"/>
      <w:bookmarkEnd w:id="6957"/>
      <w:bookmarkEnd w:id="6958"/>
      <w:bookmarkEnd w:id="6959"/>
      <w:bookmarkEnd w:id="6960"/>
      <w:bookmarkEnd w:id="6961"/>
      <w:bookmarkEnd w:id="6962"/>
      <w:bookmarkEnd w:id="6963"/>
      <w:bookmarkEnd w:id="6964"/>
      <w:bookmarkEnd w:id="6965"/>
      <w:bookmarkEnd w:id="6966"/>
      <w:bookmarkEnd w:id="6967"/>
      <w:bookmarkEnd w:id="6968"/>
      <w:bookmarkEnd w:id="6969"/>
      <w:bookmarkEnd w:id="6970"/>
      <w:bookmarkEnd w:id="6971"/>
      <w:bookmarkEnd w:id="6972"/>
      <w:bookmarkEnd w:id="6973"/>
      <w:bookmarkEnd w:id="6974"/>
      <w:bookmarkEnd w:id="6975"/>
      <w:bookmarkEnd w:id="6976"/>
      <w:bookmarkEnd w:id="6977"/>
      <w:bookmarkEnd w:id="6978"/>
      <w:bookmarkEnd w:id="6979"/>
      <w:bookmarkEnd w:id="6980"/>
      <w:bookmarkEnd w:id="6981"/>
      <w:bookmarkEnd w:id="6982"/>
      <w:bookmarkEnd w:id="6983"/>
      <w:bookmarkEnd w:id="6984"/>
      <w:bookmarkEnd w:id="6985"/>
      <w:bookmarkEnd w:id="6986"/>
      <w:bookmarkEnd w:id="6987"/>
      <w:bookmarkEnd w:id="6988"/>
      <w:bookmarkEnd w:id="6989"/>
      <w:bookmarkEnd w:id="6990"/>
      <w:bookmarkEnd w:id="6991"/>
      <w:bookmarkEnd w:id="6992"/>
      <w:bookmarkEnd w:id="6993"/>
      <w:bookmarkEnd w:id="6994"/>
      <w:bookmarkEnd w:id="6995"/>
      <w:bookmarkEnd w:id="6996"/>
      <w:bookmarkEnd w:id="6997"/>
      <w:bookmarkEnd w:id="6998"/>
      <w:bookmarkEnd w:id="6999"/>
      <w:bookmarkEnd w:id="7000"/>
      <w:bookmarkEnd w:id="7001"/>
      <w:bookmarkEnd w:id="7002"/>
      <w:bookmarkEnd w:id="7003"/>
      <w:bookmarkEnd w:id="7004"/>
      <w:bookmarkEnd w:id="7005"/>
      <w:bookmarkEnd w:id="7006"/>
      <w:bookmarkEnd w:id="7007"/>
      <w:bookmarkEnd w:id="7008"/>
      <w:bookmarkEnd w:id="7009"/>
      <w:bookmarkEnd w:id="7010"/>
      <w:bookmarkEnd w:id="7011"/>
      <w:bookmarkEnd w:id="7012"/>
      <w:bookmarkEnd w:id="7013"/>
      <w:bookmarkEnd w:id="7014"/>
      <w:bookmarkEnd w:id="7015"/>
      <w:bookmarkEnd w:id="7016"/>
      <w:bookmarkEnd w:id="7017"/>
      <w:bookmarkEnd w:id="7018"/>
      <w:bookmarkEnd w:id="7019"/>
      <w:bookmarkEnd w:id="7020"/>
      <w:bookmarkEnd w:id="7021"/>
      <w:bookmarkEnd w:id="7022"/>
      <w:bookmarkEnd w:id="7023"/>
      <w:bookmarkEnd w:id="7024"/>
      <w:bookmarkEnd w:id="7025"/>
      <w:bookmarkEnd w:id="7026"/>
      <w:bookmarkEnd w:id="7027"/>
      <w:bookmarkEnd w:id="7028"/>
      <w:bookmarkEnd w:id="7029"/>
      <w:bookmarkEnd w:id="7030"/>
      <w:bookmarkEnd w:id="7031"/>
      <w:bookmarkEnd w:id="7032"/>
      <w:r>
        <w:t xml:space="preserve">Guidance – </w:t>
      </w:r>
      <w:r>
        <w:rPr>
          <w:rFonts w:eastAsia="SimHei"/>
          <w:lang w:eastAsia="zh-CN"/>
        </w:rPr>
        <w:t>Disclosures</w:t>
      </w:r>
      <w:r>
        <w:t xml:space="preserve"> of financial instruments</w:t>
      </w:r>
      <w:bookmarkEnd w:id="7033"/>
      <w:bookmarkEnd w:id="7034"/>
      <w:bookmarkEnd w:id="7035"/>
      <w:r>
        <w:t xml:space="preserve"> </w:t>
      </w:r>
    </w:p>
    <w:p w14:paraId="4E4600F0" w14:textId="77777777" w:rsidR="00270A0A" w:rsidRPr="00427AC0" w:rsidRDefault="00270A0A" w:rsidP="00270A0A">
      <w:pPr>
        <w:pStyle w:val="GuidanceHeading"/>
        <w:spacing w:before="120" w:after="0"/>
        <w:rPr>
          <w:rStyle w:val="Guidance"/>
          <w:rFonts w:asciiTheme="majorHAnsi" w:eastAsiaTheme="majorEastAsia" w:hAnsiTheme="majorHAnsi" w:cstheme="majorBidi"/>
          <w:bCs/>
          <w:iCs/>
          <w:szCs w:val="24"/>
        </w:rPr>
      </w:pPr>
      <w:r>
        <w:rPr>
          <w:rStyle w:val="Guidance"/>
        </w:rPr>
        <w:t>Carrying amount disclosures:</w:t>
      </w:r>
    </w:p>
    <w:p w14:paraId="6E9EE7E1" w14:textId="77777777" w:rsidR="00270A0A" w:rsidRPr="000D2D1C" w:rsidRDefault="00270A0A" w:rsidP="00270A0A">
      <w:pPr>
        <w:spacing w:before="120" w:after="0"/>
        <w:rPr>
          <w:color w:val="4472C4" w:themeColor="accent1"/>
        </w:rPr>
      </w:pPr>
      <w:r w:rsidRPr="000D2D1C">
        <w:rPr>
          <w:color w:val="4472C4" w:themeColor="accent1"/>
        </w:rPr>
        <w:t xml:space="preserve">An entity shall disclose the carrying amounts of each of the following categories of financial assets and financial liabilities at the reporting date, in total, either in the statement of financial position or in the notes: </w:t>
      </w:r>
    </w:p>
    <w:p w14:paraId="613283C5" w14:textId="48262341" w:rsidR="00270A0A" w:rsidRPr="002A0038" w:rsidRDefault="0056160E" w:rsidP="00270A0A">
      <w:pPr>
        <w:pStyle w:val="ListBullet"/>
        <w:numPr>
          <w:ilvl w:val="0"/>
          <w:numId w:val="349"/>
        </w:numPr>
        <w:spacing w:after="0"/>
        <w:ind w:left="357" w:hanging="357"/>
        <w:rPr>
          <w:rStyle w:val="Guidance"/>
        </w:rPr>
      </w:pPr>
      <w:r>
        <w:rPr>
          <w:rStyle w:val="Guidance"/>
        </w:rPr>
        <w:t>F</w:t>
      </w:r>
      <w:r w:rsidR="00270A0A" w:rsidRPr="002A0038">
        <w:rPr>
          <w:rStyle w:val="Guidance"/>
        </w:rPr>
        <w:t xml:space="preserve">inancial assets measured at fair value through profit or loss </w:t>
      </w:r>
    </w:p>
    <w:p w14:paraId="69F5FF18" w14:textId="7A234DDA" w:rsidR="00270A0A" w:rsidRPr="002A0038" w:rsidRDefault="0056160E" w:rsidP="00270A0A">
      <w:pPr>
        <w:pStyle w:val="ListBullet"/>
        <w:numPr>
          <w:ilvl w:val="0"/>
          <w:numId w:val="349"/>
        </w:numPr>
        <w:spacing w:after="0"/>
        <w:ind w:left="357" w:hanging="357"/>
        <w:rPr>
          <w:rStyle w:val="Guidance"/>
        </w:rPr>
      </w:pPr>
      <w:r>
        <w:rPr>
          <w:rStyle w:val="Guidance"/>
        </w:rPr>
        <w:t>F</w:t>
      </w:r>
      <w:r w:rsidR="00270A0A" w:rsidRPr="002A0038">
        <w:rPr>
          <w:rStyle w:val="Guidance"/>
        </w:rPr>
        <w:t xml:space="preserve">inancial assets measured at amortised cost </w:t>
      </w:r>
    </w:p>
    <w:p w14:paraId="1D483674" w14:textId="376E8AD9" w:rsidR="00270A0A" w:rsidRPr="002A0038" w:rsidRDefault="0056160E" w:rsidP="00270A0A">
      <w:pPr>
        <w:pStyle w:val="ListBullet"/>
        <w:numPr>
          <w:ilvl w:val="0"/>
          <w:numId w:val="349"/>
        </w:numPr>
        <w:spacing w:after="0"/>
        <w:ind w:left="357" w:hanging="357"/>
        <w:rPr>
          <w:rStyle w:val="Guidance"/>
        </w:rPr>
      </w:pPr>
      <w:r>
        <w:rPr>
          <w:rStyle w:val="Guidance"/>
        </w:rPr>
        <w:t>F</w:t>
      </w:r>
      <w:r w:rsidR="00270A0A" w:rsidRPr="002A0038">
        <w:rPr>
          <w:rStyle w:val="Guidance"/>
        </w:rPr>
        <w:t xml:space="preserve">inancial liabilities measured at fair value through profit or loss </w:t>
      </w:r>
    </w:p>
    <w:p w14:paraId="765DC7D8" w14:textId="26D17AFA" w:rsidR="00270A0A" w:rsidRPr="002A0038" w:rsidRDefault="0056160E" w:rsidP="00270A0A">
      <w:pPr>
        <w:pStyle w:val="ListBullet"/>
        <w:numPr>
          <w:ilvl w:val="0"/>
          <w:numId w:val="349"/>
        </w:numPr>
        <w:spacing w:after="0"/>
        <w:ind w:left="357" w:hanging="357"/>
        <w:rPr>
          <w:rStyle w:val="Guidance"/>
        </w:rPr>
      </w:pPr>
      <w:r>
        <w:rPr>
          <w:rStyle w:val="Guidance"/>
        </w:rPr>
        <w:t>F</w:t>
      </w:r>
      <w:r w:rsidR="00270A0A" w:rsidRPr="002A0038">
        <w:rPr>
          <w:rStyle w:val="Guidance"/>
        </w:rPr>
        <w:t>inancial liabilities measured at amortised cost</w:t>
      </w:r>
    </w:p>
    <w:p w14:paraId="06C8A328" w14:textId="4D67A1FC" w:rsidR="00270A0A" w:rsidRPr="002A0038" w:rsidRDefault="0056160E" w:rsidP="00270A0A">
      <w:pPr>
        <w:pStyle w:val="ListBullet"/>
        <w:numPr>
          <w:ilvl w:val="0"/>
          <w:numId w:val="349"/>
        </w:numPr>
        <w:spacing w:after="0"/>
        <w:ind w:left="357" w:hanging="357"/>
        <w:rPr>
          <w:rStyle w:val="Guidance"/>
        </w:rPr>
      </w:pPr>
      <w:r>
        <w:rPr>
          <w:rStyle w:val="Guidance"/>
        </w:rPr>
        <w:t>F</w:t>
      </w:r>
      <w:r w:rsidR="00270A0A" w:rsidRPr="002A0038">
        <w:rPr>
          <w:rStyle w:val="Guidance"/>
        </w:rPr>
        <w:t xml:space="preserve">inancial assets measured at fair value through other comprehensive income, showing separately: </w:t>
      </w:r>
    </w:p>
    <w:p w14:paraId="5A27E868" w14:textId="77777777" w:rsidR="00270A0A" w:rsidRPr="002A0038" w:rsidRDefault="00270A0A" w:rsidP="00270A0A">
      <w:pPr>
        <w:pStyle w:val="ListBullet"/>
        <w:numPr>
          <w:ilvl w:val="0"/>
          <w:numId w:val="350"/>
        </w:numPr>
        <w:spacing w:after="0"/>
        <w:rPr>
          <w:rStyle w:val="Guidance"/>
        </w:rPr>
      </w:pPr>
      <w:r w:rsidRPr="002A0038">
        <w:rPr>
          <w:rStyle w:val="Guidance"/>
        </w:rPr>
        <w:t xml:space="preserve">financial assets that are measured at fair value through other comprehensive income in accordance with paragraph 4.1.2A of </w:t>
      </w:r>
      <w:r>
        <w:rPr>
          <w:rStyle w:val="Guidance"/>
        </w:rPr>
        <w:t>AASB </w:t>
      </w:r>
      <w:r w:rsidRPr="002A0038">
        <w:rPr>
          <w:rStyle w:val="Guidance"/>
        </w:rPr>
        <w:t xml:space="preserve">9 </w:t>
      </w:r>
    </w:p>
    <w:p w14:paraId="480BC46F" w14:textId="77777777" w:rsidR="00270A0A" w:rsidRDefault="00270A0A" w:rsidP="00270A0A">
      <w:pPr>
        <w:pStyle w:val="ListBullet"/>
        <w:numPr>
          <w:ilvl w:val="0"/>
          <w:numId w:val="350"/>
        </w:numPr>
        <w:spacing w:after="0"/>
        <w:rPr>
          <w:rStyle w:val="Guidance"/>
        </w:rPr>
      </w:pPr>
      <w:r w:rsidRPr="002A0038">
        <w:rPr>
          <w:rStyle w:val="Guidance"/>
        </w:rPr>
        <w:t xml:space="preserve">investments in equity instruments designated as such upon initial recognition in accordance with paragraph 5.7.5 of </w:t>
      </w:r>
      <w:r>
        <w:rPr>
          <w:rStyle w:val="Guidance"/>
        </w:rPr>
        <w:t>AASB </w:t>
      </w:r>
      <w:r w:rsidRPr="002A0038">
        <w:rPr>
          <w:rStyle w:val="Guidance"/>
        </w:rPr>
        <w:t>9.</w:t>
      </w:r>
      <w:r>
        <w:rPr>
          <w:rStyle w:val="Guidance"/>
        </w:rPr>
        <w:t xml:space="preserve"> </w:t>
      </w:r>
      <w:r w:rsidRPr="00752021">
        <w:rPr>
          <w:rStyle w:val="Reference"/>
        </w:rPr>
        <w:t>[</w:t>
      </w:r>
      <w:r>
        <w:rPr>
          <w:rStyle w:val="Reference"/>
        </w:rPr>
        <w:t>AASB 1060.113]</w:t>
      </w:r>
    </w:p>
    <w:p w14:paraId="067BAA53" w14:textId="77777777" w:rsidR="00270A0A" w:rsidRDefault="00270A0A" w:rsidP="00270A0A">
      <w:pPr>
        <w:pStyle w:val="GuidanceHeading"/>
        <w:spacing w:before="120" w:after="0"/>
        <w:rPr>
          <w:rStyle w:val="Guidance"/>
        </w:rPr>
      </w:pPr>
      <w:r>
        <w:rPr>
          <w:rStyle w:val="Guidance"/>
        </w:rPr>
        <w:t xml:space="preserve">Items of income, expense, gains or losses </w:t>
      </w:r>
    </w:p>
    <w:p w14:paraId="5141D704" w14:textId="77777777" w:rsidR="00270A0A" w:rsidRPr="000560BB" w:rsidRDefault="00270A0A" w:rsidP="00270A0A">
      <w:pPr>
        <w:spacing w:before="120" w:after="0"/>
        <w:rPr>
          <w:color w:val="4472C4" w:themeColor="accent1"/>
        </w:rPr>
      </w:pPr>
      <w:r w:rsidRPr="000560BB">
        <w:rPr>
          <w:color w:val="4472C4" w:themeColor="accent1"/>
        </w:rPr>
        <w:t xml:space="preserve">An entity shall disclose the following items of income, expense, gains or losses: </w:t>
      </w:r>
    </w:p>
    <w:p w14:paraId="65E29C60" w14:textId="1BBE203C" w:rsidR="00270A0A" w:rsidRPr="002A0038" w:rsidRDefault="0056160E" w:rsidP="00270A0A">
      <w:pPr>
        <w:pStyle w:val="ListBullet"/>
        <w:numPr>
          <w:ilvl w:val="0"/>
          <w:numId w:val="354"/>
        </w:numPr>
        <w:spacing w:after="0"/>
        <w:ind w:left="357" w:hanging="357"/>
        <w:rPr>
          <w:rStyle w:val="Guidance"/>
        </w:rPr>
      </w:pPr>
      <w:r>
        <w:rPr>
          <w:rStyle w:val="Guidance"/>
        </w:rPr>
        <w:t>I</w:t>
      </w:r>
      <w:r w:rsidR="00270A0A" w:rsidRPr="002A0038">
        <w:rPr>
          <w:rStyle w:val="Guidance"/>
        </w:rPr>
        <w:t xml:space="preserve">ncome, expense, gains or losses, including changes in fair value, recognised on: </w:t>
      </w:r>
    </w:p>
    <w:p w14:paraId="41960C9B" w14:textId="77777777" w:rsidR="00270A0A" w:rsidRPr="002A0038" w:rsidRDefault="00270A0A" w:rsidP="00270A0A">
      <w:pPr>
        <w:pStyle w:val="ListBullet"/>
        <w:numPr>
          <w:ilvl w:val="0"/>
          <w:numId w:val="355"/>
        </w:numPr>
        <w:spacing w:after="0"/>
        <w:ind w:left="697" w:hanging="357"/>
        <w:rPr>
          <w:rStyle w:val="Guidance"/>
        </w:rPr>
      </w:pPr>
      <w:r w:rsidRPr="002A0038">
        <w:rPr>
          <w:rStyle w:val="Guidance"/>
        </w:rPr>
        <w:t xml:space="preserve">financial assets measured at fair value through profit or loss </w:t>
      </w:r>
    </w:p>
    <w:p w14:paraId="346E6835" w14:textId="77777777" w:rsidR="00270A0A" w:rsidRPr="002A0038" w:rsidRDefault="00270A0A" w:rsidP="00270A0A">
      <w:pPr>
        <w:pStyle w:val="ListBullet"/>
        <w:numPr>
          <w:ilvl w:val="0"/>
          <w:numId w:val="355"/>
        </w:numPr>
        <w:spacing w:after="0"/>
        <w:ind w:left="697" w:hanging="357"/>
        <w:rPr>
          <w:rStyle w:val="Guidance"/>
        </w:rPr>
      </w:pPr>
      <w:r w:rsidRPr="002A0038">
        <w:rPr>
          <w:rStyle w:val="Guidance"/>
        </w:rPr>
        <w:t>financial liabilities measured at fair value through profit or loss</w:t>
      </w:r>
    </w:p>
    <w:p w14:paraId="0AA08130" w14:textId="77777777" w:rsidR="00270A0A" w:rsidRPr="002A0038" w:rsidRDefault="00270A0A" w:rsidP="00270A0A">
      <w:pPr>
        <w:pStyle w:val="ListBullet"/>
        <w:numPr>
          <w:ilvl w:val="0"/>
          <w:numId w:val="355"/>
        </w:numPr>
        <w:spacing w:after="0"/>
        <w:ind w:left="697" w:hanging="357"/>
        <w:rPr>
          <w:rStyle w:val="Guidance"/>
        </w:rPr>
      </w:pPr>
      <w:r w:rsidRPr="002A0038">
        <w:rPr>
          <w:rStyle w:val="Guidance"/>
        </w:rPr>
        <w:t xml:space="preserve">financial assets measured at amortised cost </w:t>
      </w:r>
    </w:p>
    <w:p w14:paraId="4A88D04D" w14:textId="77777777" w:rsidR="00270A0A" w:rsidRPr="002A0038" w:rsidRDefault="00270A0A" w:rsidP="00270A0A">
      <w:pPr>
        <w:pStyle w:val="ListBullet"/>
        <w:numPr>
          <w:ilvl w:val="0"/>
          <w:numId w:val="355"/>
        </w:numPr>
        <w:spacing w:after="0"/>
        <w:ind w:left="697" w:hanging="357"/>
        <w:rPr>
          <w:rStyle w:val="Guidance"/>
        </w:rPr>
      </w:pPr>
      <w:r w:rsidRPr="002A0038">
        <w:rPr>
          <w:rStyle w:val="Guidance"/>
        </w:rPr>
        <w:t xml:space="preserve">financial liabilities measured at amortised cost </w:t>
      </w:r>
    </w:p>
    <w:p w14:paraId="7DABE6D8" w14:textId="77777777" w:rsidR="00270A0A" w:rsidRPr="002A0038" w:rsidRDefault="00270A0A" w:rsidP="00270A0A">
      <w:pPr>
        <w:pStyle w:val="ListBullet"/>
        <w:numPr>
          <w:ilvl w:val="0"/>
          <w:numId w:val="355"/>
        </w:numPr>
        <w:spacing w:after="0"/>
        <w:ind w:left="697" w:hanging="357"/>
        <w:rPr>
          <w:rStyle w:val="Guidance"/>
        </w:rPr>
      </w:pPr>
      <w:r w:rsidRPr="002A0038">
        <w:rPr>
          <w:rStyle w:val="Guidance"/>
        </w:rPr>
        <w:t xml:space="preserve">investments in equity instruments designated at fair value through other comprehensive income in accordance with paragraph 5.7.5 of </w:t>
      </w:r>
      <w:r>
        <w:rPr>
          <w:rStyle w:val="Guidance"/>
        </w:rPr>
        <w:t>AASB </w:t>
      </w:r>
      <w:r w:rsidRPr="002A0038">
        <w:rPr>
          <w:rStyle w:val="Guidance"/>
        </w:rPr>
        <w:t xml:space="preserve">9; and </w:t>
      </w:r>
    </w:p>
    <w:p w14:paraId="46C3FA9C" w14:textId="77777777" w:rsidR="00270A0A" w:rsidRPr="002A0038" w:rsidRDefault="00270A0A" w:rsidP="00270A0A">
      <w:pPr>
        <w:pStyle w:val="ListBullet"/>
        <w:numPr>
          <w:ilvl w:val="0"/>
          <w:numId w:val="355"/>
        </w:numPr>
        <w:spacing w:after="0"/>
        <w:ind w:left="697" w:hanging="357"/>
        <w:rPr>
          <w:rStyle w:val="Guidance"/>
        </w:rPr>
      </w:pPr>
      <w:r w:rsidRPr="002A0038">
        <w:rPr>
          <w:rStyle w:val="Guidance"/>
        </w:rPr>
        <w:t xml:space="preserve">financial assets measured at fair value through other comprehensive income in accordance with paragraph 4.1.2A of </w:t>
      </w:r>
      <w:r>
        <w:rPr>
          <w:rStyle w:val="Guidance"/>
        </w:rPr>
        <w:t>AASB </w:t>
      </w:r>
      <w:r w:rsidRPr="002A0038">
        <w:rPr>
          <w:rStyle w:val="Guidance"/>
        </w:rPr>
        <w:t>9, showing separately the amount of gain or loss recognised in other comprehensive income during the period and the amount reclassified upon derecognition from accumulated other comprehensive income to profit or loss for the period</w:t>
      </w:r>
      <w:r>
        <w:rPr>
          <w:rStyle w:val="Guidance"/>
        </w:rPr>
        <w:t>.</w:t>
      </w:r>
      <w:r w:rsidRPr="002A0038">
        <w:rPr>
          <w:rStyle w:val="Guidance"/>
        </w:rPr>
        <w:t xml:space="preserve"> </w:t>
      </w:r>
    </w:p>
    <w:p w14:paraId="6771FC2D" w14:textId="67E74F8C" w:rsidR="00270A0A" w:rsidRPr="002A0038" w:rsidRDefault="0056160E" w:rsidP="00270A0A">
      <w:pPr>
        <w:pStyle w:val="ListBullet"/>
        <w:numPr>
          <w:ilvl w:val="0"/>
          <w:numId w:val="354"/>
        </w:numPr>
        <w:spacing w:after="0"/>
        <w:ind w:left="357" w:hanging="357"/>
        <w:rPr>
          <w:rStyle w:val="Guidance"/>
        </w:rPr>
      </w:pPr>
      <w:r>
        <w:rPr>
          <w:rStyle w:val="Guidance"/>
        </w:rPr>
        <w:t>T</w:t>
      </w:r>
      <w:r w:rsidR="00270A0A" w:rsidRPr="002A0038">
        <w:rPr>
          <w:rStyle w:val="Guidance"/>
        </w:rPr>
        <w:t>otal interest income and total interest expense (calculated using the effective interest method) for financial assets or financial liabilities that are not measured at fair value through profit or loss</w:t>
      </w:r>
    </w:p>
    <w:p w14:paraId="1AE42B75" w14:textId="2FE39F14" w:rsidR="00270A0A" w:rsidRPr="002A0038" w:rsidRDefault="0056160E" w:rsidP="00270A0A">
      <w:pPr>
        <w:pStyle w:val="ListBullet"/>
        <w:numPr>
          <w:ilvl w:val="0"/>
          <w:numId w:val="354"/>
        </w:numPr>
        <w:spacing w:after="0"/>
        <w:ind w:left="357" w:hanging="357"/>
        <w:rPr>
          <w:rStyle w:val="Reference"/>
          <w:color w:val="4472C4" w:themeColor="accent1"/>
          <w:sz w:val="18"/>
        </w:rPr>
      </w:pPr>
      <w:r>
        <w:rPr>
          <w:rStyle w:val="Guidance"/>
        </w:rPr>
        <w:t>T</w:t>
      </w:r>
      <w:r w:rsidR="00270A0A" w:rsidRPr="002A0038">
        <w:rPr>
          <w:rStyle w:val="Guidance"/>
        </w:rPr>
        <w:t>he amount of any impairment loss for each class of financial asset.</w:t>
      </w:r>
      <w:r w:rsidR="00270A0A" w:rsidRPr="00AE7EB2">
        <w:rPr>
          <w:rStyle w:val="Reference"/>
        </w:rPr>
        <w:t xml:space="preserve"> </w:t>
      </w:r>
      <w:r w:rsidR="00270A0A" w:rsidRPr="00752021">
        <w:rPr>
          <w:rStyle w:val="Reference"/>
        </w:rPr>
        <w:t>[</w:t>
      </w:r>
      <w:r w:rsidR="00270A0A">
        <w:rPr>
          <w:rStyle w:val="Reference"/>
        </w:rPr>
        <w:t>AASB 1060.119]</w:t>
      </w:r>
    </w:p>
    <w:p w14:paraId="3E63EA91" w14:textId="77777777" w:rsidR="00270A0A" w:rsidRDefault="00270A0A" w:rsidP="00270A0A">
      <w:pPr>
        <w:pStyle w:val="GuidanceEnd"/>
      </w:pPr>
    </w:p>
    <w:p w14:paraId="68752947" w14:textId="5A51288E" w:rsidR="003719CD" w:rsidRDefault="003719CD" w:rsidP="007762BE">
      <w:pPr>
        <w:pStyle w:val="Heading2numbered"/>
      </w:pPr>
      <w:r>
        <w:t>Contingent assets and contingent liabilities</w:t>
      </w:r>
      <w:bookmarkEnd w:id="7036"/>
      <w:bookmarkEnd w:id="7037"/>
      <w:bookmarkEnd w:id="7038"/>
      <w:bookmarkEnd w:id="7039"/>
      <w:bookmarkEnd w:id="7040"/>
      <w:bookmarkEnd w:id="7041"/>
      <w:bookmarkEnd w:id="7042"/>
      <w:bookmarkEnd w:id="7043"/>
      <w:bookmarkEnd w:id="7044"/>
      <w:bookmarkEnd w:id="7045"/>
      <w:bookmarkEnd w:id="7046"/>
      <w:bookmarkEnd w:id="7047"/>
      <w:bookmarkEnd w:id="7048"/>
    </w:p>
    <w:p w14:paraId="71BD888B" w14:textId="77777777" w:rsidR="003719CD" w:rsidRDefault="003719CD" w:rsidP="00DC39DE">
      <w:r>
        <w:t>Contingent assets and contingent liabilities are not recognised in the balance sheet but are disclosed and, if quantifiable, are measured at nominal value.</w:t>
      </w:r>
    </w:p>
    <w:p w14:paraId="0F2C3116" w14:textId="77777777" w:rsidR="003719CD" w:rsidRDefault="003719CD" w:rsidP="00DC39DE">
      <w:r>
        <w:t>Contingent assets and liabilities are presented inclusive of GST receivable or payable respectively.</w:t>
      </w:r>
    </w:p>
    <w:p w14:paraId="2D63E4BF" w14:textId="30B4751A" w:rsidR="003719CD" w:rsidRDefault="004B7FE6" w:rsidP="007D536F">
      <w:pPr>
        <w:pStyle w:val="Heading3"/>
      </w:pPr>
      <w:bookmarkStart w:id="7049" w:name="_Toc179815156"/>
      <w:bookmarkStart w:id="7050" w:name="_Toc179820856"/>
      <w:bookmarkStart w:id="7051" w:name="_Toc179826556"/>
      <w:bookmarkStart w:id="7052" w:name="_Toc179832206"/>
      <w:bookmarkStart w:id="7053" w:name="_Toc179863736"/>
      <w:r>
        <w:t>7</w:t>
      </w:r>
      <w:r w:rsidR="00816202">
        <w:t xml:space="preserve">.2.1 </w:t>
      </w:r>
      <w:r w:rsidR="003719CD">
        <w:t>Contingent assets</w:t>
      </w:r>
      <w:bookmarkEnd w:id="7049"/>
      <w:bookmarkEnd w:id="7050"/>
      <w:bookmarkEnd w:id="7051"/>
      <w:bookmarkEnd w:id="7052"/>
      <w:bookmarkEnd w:id="7053"/>
    </w:p>
    <w:p w14:paraId="6C4B3F5D" w14:textId="77777777" w:rsidR="003719CD" w:rsidRDefault="003719CD" w:rsidP="00DC39DE">
      <w:r>
        <w:t>Contingent assets are possible assets that arise from past events, whose existence will be confirmed only by the occurrence or non-occurrence of one or more uncertain future events not wholly within the control of the entity.</w:t>
      </w:r>
    </w:p>
    <w:p w14:paraId="1DCAB3AB" w14:textId="77777777" w:rsidR="003719CD" w:rsidRDefault="003719CD" w:rsidP="00DC39DE">
      <w:r>
        <w:t>These are classified as either quantifiable, where the potential economic benefit is known, or non-quantifiable.</w:t>
      </w:r>
    </w:p>
    <w:p w14:paraId="045B7BB8" w14:textId="77777777" w:rsidR="003719CD" w:rsidRDefault="003719CD" w:rsidP="007D536F">
      <w:pPr>
        <w:pStyle w:val="Caption"/>
      </w:pPr>
      <w:r>
        <w:t>Quantifiable contingent assets (arising from outside of government)</w:t>
      </w:r>
      <w:r>
        <w:tab/>
        <w:t>($ thousand)</w:t>
      </w:r>
    </w:p>
    <w:tbl>
      <w:tblPr>
        <w:tblStyle w:val="DTFTable"/>
        <w:tblW w:w="9639" w:type="dxa"/>
        <w:tblLayout w:type="fixed"/>
        <w:tblLook w:val="06A0" w:firstRow="1" w:lastRow="0" w:firstColumn="1" w:lastColumn="0" w:noHBand="1" w:noVBand="1"/>
      </w:tblPr>
      <w:tblGrid>
        <w:gridCol w:w="7825"/>
        <w:gridCol w:w="907"/>
        <w:gridCol w:w="907"/>
      </w:tblGrid>
      <w:tr w:rsidR="008E5233" w14:paraId="16263EBE" w14:textId="77777777" w:rsidTr="0018270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7825" w:type="dxa"/>
          </w:tcPr>
          <w:p w14:paraId="56CDD2F6" w14:textId="77777777" w:rsidR="008E5233" w:rsidRDefault="008E5233">
            <w:pPr>
              <w:keepNext/>
            </w:pPr>
          </w:p>
        </w:tc>
        <w:tc>
          <w:tcPr>
            <w:tcW w:w="907" w:type="dxa"/>
          </w:tcPr>
          <w:p w14:paraId="31230268" w14:textId="77777777" w:rsidR="008E5233" w:rsidRDefault="005648A9">
            <w:pPr>
              <w:keepNext/>
              <w:cnfStyle w:val="100000000000" w:firstRow="1" w:lastRow="0" w:firstColumn="0" w:lastColumn="0" w:oddVBand="0" w:evenVBand="0" w:oddHBand="0" w:evenHBand="0" w:firstRowFirstColumn="0" w:firstRowLastColumn="0" w:lastRowFirstColumn="0" w:lastRowLastColumn="0"/>
            </w:pPr>
            <w:r>
              <w:t>20X2</w:t>
            </w:r>
          </w:p>
        </w:tc>
        <w:tc>
          <w:tcPr>
            <w:tcW w:w="907" w:type="dxa"/>
          </w:tcPr>
          <w:p w14:paraId="27201DDC" w14:textId="77777777" w:rsidR="008E5233" w:rsidRDefault="005648A9">
            <w:pPr>
              <w:keepNext/>
              <w:cnfStyle w:val="100000000000" w:firstRow="1" w:lastRow="0" w:firstColumn="0" w:lastColumn="0" w:oddVBand="0" w:evenVBand="0" w:oddHBand="0" w:evenHBand="0" w:firstRowFirstColumn="0" w:firstRowLastColumn="0" w:lastRowFirstColumn="0" w:lastRowLastColumn="0"/>
            </w:pPr>
            <w:r>
              <w:t>20X1</w:t>
            </w:r>
          </w:p>
        </w:tc>
      </w:tr>
      <w:tr w:rsidR="008E5233" w14:paraId="770E390A" w14:textId="77777777">
        <w:tc>
          <w:tcPr>
            <w:cnfStyle w:val="001000000000" w:firstRow="0" w:lastRow="0" w:firstColumn="1" w:lastColumn="0" w:oddVBand="0" w:evenVBand="0" w:oddHBand="0" w:evenHBand="0" w:firstRowFirstColumn="0" w:firstRowLastColumn="0" w:lastRowFirstColumn="0" w:lastRowLastColumn="0"/>
            <w:tcW w:w="7825" w:type="dxa"/>
          </w:tcPr>
          <w:p w14:paraId="5441ACE1" w14:textId="77777777" w:rsidR="008E5233" w:rsidRPr="002A0038" w:rsidRDefault="005648A9">
            <w:pPr>
              <w:rPr>
                <w:b/>
                <w:bCs w:val="0"/>
              </w:rPr>
            </w:pPr>
            <w:r w:rsidRPr="002A0038">
              <w:rPr>
                <w:b/>
              </w:rPr>
              <w:t>Contingent assets</w:t>
            </w:r>
          </w:p>
        </w:tc>
        <w:tc>
          <w:tcPr>
            <w:tcW w:w="907" w:type="dxa"/>
          </w:tcPr>
          <w:p w14:paraId="769213DE" w14:textId="77777777" w:rsidR="008E5233" w:rsidRDefault="008E5233">
            <w:pPr>
              <w:cnfStyle w:val="000000000000" w:firstRow="0" w:lastRow="0" w:firstColumn="0" w:lastColumn="0" w:oddVBand="0" w:evenVBand="0" w:oddHBand="0" w:evenHBand="0" w:firstRowFirstColumn="0" w:firstRowLastColumn="0" w:lastRowFirstColumn="0" w:lastRowLastColumn="0"/>
            </w:pPr>
          </w:p>
        </w:tc>
        <w:tc>
          <w:tcPr>
            <w:tcW w:w="907" w:type="dxa"/>
          </w:tcPr>
          <w:p w14:paraId="5D112D93" w14:textId="77777777" w:rsidR="008E5233" w:rsidRDefault="008E5233">
            <w:pPr>
              <w:cnfStyle w:val="000000000000" w:firstRow="0" w:lastRow="0" w:firstColumn="0" w:lastColumn="0" w:oddVBand="0" w:evenVBand="0" w:oddHBand="0" w:evenHBand="0" w:firstRowFirstColumn="0" w:firstRowLastColumn="0" w:lastRowFirstColumn="0" w:lastRowLastColumn="0"/>
            </w:pPr>
          </w:p>
        </w:tc>
      </w:tr>
      <w:tr w:rsidR="008E5233" w14:paraId="35A30B10" w14:textId="77777777">
        <w:tc>
          <w:tcPr>
            <w:cnfStyle w:val="001000000000" w:firstRow="0" w:lastRow="0" w:firstColumn="1" w:lastColumn="0" w:oddVBand="0" w:evenVBand="0" w:oddHBand="0" w:evenHBand="0" w:firstRowFirstColumn="0" w:firstRowLastColumn="0" w:lastRowFirstColumn="0" w:lastRowLastColumn="0"/>
            <w:tcW w:w="7825" w:type="dxa"/>
          </w:tcPr>
          <w:p w14:paraId="77AF3043" w14:textId="3B620538" w:rsidR="008E5233" w:rsidRDefault="00530065">
            <w:r w:rsidRPr="00530065">
              <w:t>Claims from lawsuits</w:t>
            </w:r>
            <w:r w:rsidR="005648A9">
              <w:t xml:space="preserve"> </w:t>
            </w:r>
            <w:r w:rsidR="005648A9">
              <w:rPr>
                <w:vertAlign w:val="superscript"/>
              </w:rPr>
              <w:t>(a)</w:t>
            </w:r>
          </w:p>
        </w:tc>
        <w:tc>
          <w:tcPr>
            <w:tcW w:w="907" w:type="dxa"/>
          </w:tcPr>
          <w:p w14:paraId="16DB6F75" w14:textId="77777777" w:rsidR="008E5233" w:rsidRDefault="005648A9">
            <w:pPr>
              <w:cnfStyle w:val="000000000000" w:firstRow="0" w:lastRow="0" w:firstColumn="0" w:lastColumn="0" w:oddVBand="0" w:evenVBand="0" w:oddHBand="0" w:evenHBand="0" w:firstRowFirstColumn="0" w:firstRowLastColumn="0" w:lastRowFirstColumn="0" w:lastRowLastColumn="0"/>
            </w:pPr>
            <w:r>
              <w:t>140</w:t>
            </w:r>
          </w:p>
        </w:tc>
        <w:tc>
          <w:tcPr>
            <w:tcW w:w="907" w:type="dxa"/>
          </w:tcPr>
          <w:p w14:paraId="7B4F8B61" w14:textId="77777777" w:rsidR="008E5233" w:rsidRDefault="005648A9">
            <w:pPr>
              <w:cnfStyle w:val="000000000000" w:firstRow="0" w:lastRow="0" w:firstColumn="0" w:lastColumn="0" w:oddVBand="0" w:evenVBand="0" w:oddHBand="0" w:evenHBand="0" w:firstRowFirstColumn="0" w:firstRowLastColumn="0" w:lastRowFirstColumn="0" w:lastRowLastColumn="0"/>
            </w:pPr>
            <w:r>
              <w:t>..</w:t>
            </w:r>
          </w:p>
        </w:tc>
      </w:tr>
      <w:tr w:rsidR="00671D55" w14:paraId="7D68E114" w14:textId="77777777" w:rsidTr="00182709">
        <w:tc>
          <w:tcPr>
            <w:cnfStyle w:val="001000000000" w:firstRow="0" w:lastRow="0" w:firstColumn="1" w:lastColumn="0" w:oddVBand="0" w:evenVBand="0" w:oddHBand="0" w:evenHBand="0" w:firstRowFirstColumn="0" w:firstRowLastColumn="0" w:lastRowFirstColumn="0" w:lastRowLastColumn="0"/>
            <w:tcW w:w="7825" w:type="dxa"/>
          </w:tcPr>
          <w:p w14:paraId="20889615" w14:textId="77777777" w:rsidR="008E5233" w:rsidRDefault="008E5233"/>
        </w:tc>
        <w:tc>
          <w:tcPr>
            <w:tcW w:w="907" w:type="dxa"/>
          </w:tcPr>
          <w:p w14:paraId="32F27680" w14:textId="77777777" w:rsidR="008E5233" w:rsidRDefault="005648A9">
            <w:pPr>
              <w:cnfStyle w:val="000000000000" w:firstRow="0" w:lastRow="0" w:firstColumn="0" w:lastColumn="0" w:oddVBand="0" w:evenVBand="0" w:oddHBand="0" w:evenHBand="0" w:firstRowFirstColumn="0" w:firstRowLastColumn="0" w:lastRowFirstColumn="0" w:lastRowLastColumn="0"/>
            </w:pPr>
            <w:r>
              <w:rPr>
                <w:b/>
              </w:rPr>
              <w:t>140</w:t>
            </w:r>
          </w:p>
        </w:tc>
        <w:tc>
          <w:tcPr>
            <w:tcW w:w="907" w:type="dxa"/>
          </w:tcPr>
          <w:p w14:paraId="1AB8E24C" w14:textId="77777777" w:rsidR="008E5233" w:rsidRDefault="005648A9">
            <w:pPr>
              <w:cnfStyle w:val="000000000000" w:firstRow="0" w:lastRow="0" w:firstColumn="0" w:lastColumn="0" w:oddVBand="0" w:evenVBand="0" w:oddHBand="0" w:evenHBand="0" w:firstRowFirstColumn="0" w:firstRowLastColumn="0" w:lastRowFirstColumn="0" w:lastRowLastColumn="0"/>
            </w:pPr>
            <w:r>
              <w:rPr>
                <w:b/>
              </w:rPr>
              <w:t>..</w:t>
            </w:r>
          </w:p>
        </w:tc>
      </w:tr>
    </w:tbl>
    <w:p w14:paraId="19BF1262" w14:textId="77777777" w:rsidR="003719CD" w:rsidRDefault="003719CD" w:rsidP="007D536F">
      <w:pPr>
        <w:pStyle w:val="Note"/>
      </w:pPr>
      <w:r>
        <w:t xml:space="preserve">Note: </w:t>
      </w:r>
    </w:p>
    <w:p w14:paraId="5230F851" w14:textId="398AA61F" w:rsidR="003719CD" w:rsidRDefault="00067650" w:rsidP="00C8530A">
      <w:pPr>
        <w:pStyle w:val="Note"/>
      </w:pPr>
      <w:r>
        <w:rPr>
          <w:rFonts w:hint="eastAsia"/>
          <w:lang w:eastAsia="zh-CN"/>
        </w:rPr>
        <w:t xml:space="preserve">(a) </w:t>
      </w:r>
      <w:r w:rsidR="00C8530A">
        <w:rPr>
          <w:lang w:eastAsia="zh-CN"/>
        </w:rPr>
        <w:tab/>
      </w:r>
      <w:r w:rsidR="00EC1CDC">
        <w:t>TV</w:t>
      </w:r>
      <w:r w:rsidR="003719CD">
        <w:t xml:space="preserve"> has a </w:t>
      </w:r>
      <w:r w:rsidR="003719CD" w:rsidRPr="00C8530A">
        <w:t>claim</w:t>
      </w:r>
      <w:r w:rsidR="003719CD">
        <w:t xml:space="preserve"> outstanding against a supplier for the supply of faulty products. Based on negotiations to date, management believes that it may be possible to recover this amount.</w:t>
      </w:r>
      <w:r w:rsidR="00300D2A">
        <w:t xml:space="preserve"> </w:t>
      </w:r>
      <w:r w:rsidR="00300D2A" w:rsidRPr="002A0038">
        <w:rPr>
          <w:rStyle w:val="Reference"/>
          <w:rFonts w:asciiTheme="majorHAnsi" w:eastAsiaTheme="majorEastAsia" w:hAnsiTheme="majorHAnsi" w:cstheme="majorBidi"/>
          <w:sz w:val="14"/>
          <w:szCs w:val="22"/>
        </w:rPr>
        <w:t>[</w:t>
      </w:r>
      <w:r w:rsidR="0007383E">
        <w:rPr>
          <w:rStyle w:val="Reference"/>
          <w:rFonts w:asciiTheme="majorHAnsi" w:eastAsiaTheme="majorEastAsia" w:hAnsiTheme="majorHAnsi" w:cstheme="majorBidi"/>
          <w:sz w:val="14"/>
          <w:szCs w:val="22"/>
        </w:rPr>
        <w:t>AASB </w:t>
      </w:r>
      <w:r w:rsidR="00300D2A" w:rsidRPr="002A0038">
        <w:rPr>
          <w:rStyle w:val="Reference"/>
          <w:rFonts w:asciiTheme="majorHAnsi" w:eastAsiaTheme="majorEastAsia" w:hAnsiTheme="majorHAnsi" w:cstheme="majorBidi"/>
          <w:sz w:val="14"/>
          <w:szCs w:val="22"/>
        </w:rPr>
        <w:t>1060.155]</w:t>
      </w:r>
    </w:p>
    <w:p w14:paraId="3BB3168A" w14:textId="5FD2A001" w:rsidR="003719CD" w:rsidRDefault="004B7FE6" w:rsidP="007D536F">
      <w:pPr>
        <w:pStyle w:val="Heading3"/>
      </w:pPr>
      <w:bookmarkStart w:id="7054" w:name="_Toc179815157"/>
      <w:bookmarkStart w:id="7055" w:name="_Toc179820857"/>
      <w:bookmarkStart w:id="7056" w:name="_Toc179826557"/>
      <w:bookmarkStart w:id="7057" w:name="_Toc179832207"/>
      <w:bookmarkStart w:id="7058" w:name="_Toc179863737"/>
      <w:r>
        <w:t>7</w:t>
      </w:r>
      <w:r w:rsidR="00816202">
        <w:t xml:space="preserve">.2.2 </w:t>
      </w:r>
      <w:r w:rsidR="003719CD">
        <w:t>Contingent liabilities</w:t>
      </w:r>
      <w:bookmarkEnd w:id="7054"/>
      <w:bookmarkEnd w:id="7055"/>
      <w:bookmarkEnd w:id="7056"/>
      <w:bookmarkEnd w:id="7057"/>
      <w:bookmarkEnd w:id="7058"/>
      <w:r w:rsidR="00F75378">
        <w:t xml:space="preserve"> </w:t>
      </w:r>
    </w:p>
    <w:p w14:paraId="6074812D" w14:textId="77777777" w:rsidR="003719CD" w:rsidRDefault="003719CD" w:rsidP="007D536F">
      <w:pPr>
        <w:keepNext/>
      </w:pPr>
      <w:r>
        <w:t>Contingent liabilities are:</w:t>
      </w:r>
    </w:p>
    <w:p w14:paraId="708C7B67" w14:textId="0CC74315" w:rsidR="003719CD" w:rsidRDefault="003719CD" w:rsidP="002A0038">
      <w:pPr>
        <w:pStyle w:val="ListBullet"/>
        <w:numPr>
          <w:ilvl w:val="0"/>
          <w:numId w:val="370"/>
        </w:numPr>
      </w:pPr>
      <w:r>
        <w:t>possible obligations that arise from past events, whose existence will be confirmed only by the occurrence or non-occurrence of one or more uncertain future events not wholly within the control of the entity</w:t>
      </w:r>
    </w:p>
    <w:p w14:paraId="2CC9E63D" w14:textId="48AC8B96" w:rsidR="003719CD" w:rsidRDefault="003719CD" w:rsidP="002A0038">
      <w:pPr>
        <w:pStyle w:val="ListBullet"/>
        <w:numPr>
          <w:ilvl w:val="0"/>
          <w:numId w:val="370"/>
        </w:numPr>
      </w:pPr>
      <w:r>
        <w:t>present obligations that arise from past events but are not recognised because</w:t>
      </w:r>
      <w:r w:rsidR="00200804">
        <w:t xml:space="preserve"> </w:t>
      </w:r>
      <w:r>
        <w:t>it is not probable that an outflow of resources embodying economic benefits will be required to settle the obligations</w:t>
      </w:r>
      <w:r w:rsidR="00200804">
        <w:t xml:space="preserve"> </w:t>
      </w:r>
      <w:r>
        <w:t>the amount of the obligations cannot be measured with sufficient reliability.</w:t>
      </w:r>
    </w:p>
    <w:p w14:paraId="58928867" w14:textId="77777777" w:rsidR="003719CD" w:rsidRDefault="003719CD" w:rsidP="00DC39DE">
      <w:r>
        <w:t>Contingent liabilities are also classified as either quantifiable or non-quantifiable.</w:t>
      </w:r>
    </w:p>
    <w:p w14:paraId="0887B3E2" w14:textId="77777777" w:rsidR="003719CD" w:rsidRDefault="003719CD" w:rsidP="007D536F">
      <w:pPr>
        <w:pStyle w:val="Heading4"/>
      </w:pPr>
      <w:bookmarkStart w:id="7059" w:name="_Toc179815158"/>
      <w:bookmarkStart w:id="7060" w:name="_Toc179820858"/>
      <w:bookmarkStart w:id="7061" w:name="_Toc179826558"/>
      <w:r>
        <w:t>Non-quantifiable contingent liabilities</w:t>
      </w:r>
      <w:bookmarkEnd w:id="7059"/>
      <w:bookmarkEnd w:id="7060"/>
      <w:bookmarkEnd w:id="7061"/>
    </w:p>
    <w:p w14:paraId="590C9E1F" w14:textId="77777777" w:rsidR="003719CD" w:rsidRDefault="003719CD" w:rsidP="00DC39DE">
      <w:proofErr w:type="gramStart"/>
      <w:r>
        <w:t>A number of</w:t>
      </w:r>
      <w:proofErr w:type="gramEnd"/>
      <w:r>
        <w:t xml:space="preserve"> potential obligations are non-quantifiable </w:t>
      </w:r>
      <w:proofErr w:type="gramStart"/>
      <w:r>
        <w:t>at this time</w:t>
      </w:r>
      <w:proofErr w:type="gramEnd"/>
      <w:r>
        <w:t xml:space="preserve"> arising from:</w:t>
      </w:r>
    </w:p>
    <w:p w14:paraId="541AEDDE" w14:textId="6CFBC194" w:rsidR="003719CD" w:rsidRDefault="003719CD" w:rsidP="002A0038">
      <w:pPr>
        <w:pStyle w:val="ListBullet"/>
        <w:numPr>
          <w:ilvl w:val="0"/>
          <w:numId w:val="370"/>
        </w:numPr>
      </w:pPr>
      <w:r>
        <w:t>indemnities provided in relation to transactions, including financial arrangements and consultancy services, as well as for directors and administrators</w:t>
      </w:r>
    </w:p>
    <w:p w14:paraId="0BFEACD6" w14:textId="290A69C4" w:rsidR="003719CD" w:rsidRDefault="003719CD" w:rsidP="002A0038">
      <w:pPr>
        <w:pStyle w:val="ListBullet"/>
        <w:numPr>
          <w:ilvl w:val="0"/>
          <w:numId w:val="370"/>
        </w:numPr>
      </w:pPr>
      <w:r>
        <w:t>deeds in respect of certain obligations</w:t>
      </w:r>
      <w:r w:rsidR="009E7498" w:rsidDel="009E7498">
        <w:t xml:space="preserve"> </w:t>
      </w:r>
      <w:r w:rsidR="00200804" w:rsidRPr="002D2277">
        <w:rPr>
          <w:rStyle w:val="Reference"/>
          <w:bCs/>
          <w:iCs/>
        </w:rPr>
        <w:t>[</w:t>
      </w:r>
      <w:r w:rsidR="0007383E">
        <w:rPr>
          <w:rStyle w:val="Reference"/>
          <w:bCs/>
          <w:iCs/>
        </w:rPr>
        <w:t>AASB </w:t>
      </w:r>
      <w:r w:rsidR="00200804" w:rsidRPr="002D2277">
        <w:rPr>
          <w:rStyle w:val="Reference"/>
          <w:rFonts w:eastAsia="SimHei" w:hint="eastAsia"/>
          <w:bCs/>
          <w:iCs/>
          <w:lang w:eastAsia="zh-CN"/>
        </w:rPr>
        <w:t>1060.1</w:t>
      </w:r>
      <w:r w:rsidR="00200804">
        <w:rPr>
          <w:rStyle w:val="Reference"/>
          <w:rFonts w:eastAsia="SimHei"/>
          <w:bCs/>
          <w:iCs/>
          <w:lang w:eastAsia="zh-CN"/>
        </w:rPr>
        <w:t>54</w:t>
      </w:r>
      <w:r w:rsidR="00200804" w:rsidRPr="002D2277">
        <w:rPr>
          <w:rStyle w:val="Reference"/>
          <w:rFonts w:eastAsia="SimHei" w:hint="eastAsia"/>
          <w:bCs/>
          <w:iCs/>
          <w:lang w:eastAsia="zh-CN"/>
        </w:rPr>
        <w:t>]</w:t>
      </w:r>
    </w:p>
    <w:p w14:paraId="4861987D" w14:textId="2A0133C9" w:rsidR="00785F6D" w:rsidRDefault="00785F6D" w:rsidP="00785F6D">
      <w:pPr>
        <w:pStyle w:val="Heading4"/>
      </w:pPr>
      <w:bookmarkStart w:id="7062" w:name="_Toc179815159"/>
      <w:bookmarkStart w:id="7063" w:name="_Toc179820859"/>
      <w:bookmarkStart w:id="7064" w:name="_Toc179826559"/>
      <w:r>
        <w:t xml:space="preserve">Quantifiable </w:t>
      </w:r>
      <w:r w:rsidR="00182A9A">
        <w:t>contingent</w:t>
      </w:r>
      <w:r>
        <w:t xml:space="preserve"> liabilities</w:t>
      </w:r>
      <w:bookmarkEnd w:id="7062"/>
      <w:bookmarkEnd w:id="7063"/>
      <w:bookmarkEnd w:id="7064"/>
    </w:p>
    <w:p w14:paraId="44393D19" w14:textId="40912857" w:rsidR="003719CD" w:rsidRDefault="003719CD" w:rsidP="00785F6D">
      <w:pPr>
        <w:pStyle w:val="Caption"/>
        <w:jc w:val="right"/>
      </w:pPr>
      <w:r>
        <w:tab/>
        <w:t>($ thousand)</w:t>
      </w:r>
    </w:p>
    <w:tbl>
      <w:tblPr>
        <w:tblStyle w:val="DTFTable"/>
        <w:tblW w:w="9639" w:type="dxa"/>
        <w:tblLayout w:type="fixed"/>
        <w:tblLook w:val="06A0" w:firstRow="1" w:lastRow="0" w:firstColumn="1" w:lastColumn="0" w:noHBand="1" w:noVBand="1"/>
      </w:tblPr>
      <w:tblGrid>
        <w:gridCol w:w="3119"/>
        <w:gridCol w:w="5386"/>
        <w:gridCol w:w="1134"/>
      </w:tblGrid>
      <w:tr w:rsidR="008E5233" w14:paraId="4440FA9A" w14:textId="77777777" w:rsidTr="00E51206">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119" w:type="dxa"/>
          </w:tcPr>
          <w:p w14:paraId="1E1E4C17" w14:textId="77777777" w:rsidR="008E5233" w:rsidRDefault="008E5233">
            <w:pPr>
              <w:keepNext/>
            </w:pPr>
          </w:p>
        </w:tc>
        <w:tc>
          <w:tcPr>
            <w:tcW w:w="5386" w:type="dxa"/>
          </w:tcPr>
          <w:p w14:paraId="0B59C85A" w14:textId="77777777" w:rsidR="008E5233" w:rsidRDefault="005648A9">
            <w:pPr>
              <w:keepNext/>
              <w:cnfStyle w:val="100000000000" w:firstRow="1" w:lastRow="0" w:firstColumn="0" w:lastColumn="0" w:oddVBand="0" w:evenVBand="0" w:oddHBand="0" w:evenHBand="0" w:firstRowFirstColumn="0" w:firstRowLastColumn="0" w:lastRowFirstColumn="0" w:lastRowLastColumn="0"/>
            </w:pPr>
            <w:r>
              <w:t>20X2</w:t>
            </w:r>
          </w:p>
        </w:tc>
        <w:tc>
          <w:tcPr>
            <w:tcW w:w="1134" w:type="dxa"/>
          </w:tcPr>
          <w:p w14:paraId="0E67EECE" w14:textId="77777777" w:rsidR="008E5233" w:rsidRDefault="005648A9">
            <w:pPr>
              <w:keepNext/>
              <w:cnfStyle w:val="100000000000" w:firstRow="1" w:lastRow="0" w:firstColumn="0" w:lastColumn="0" w:oddVBand="0" w:evenVBand="0" w:oddHBand="0" w:evenHBand="0" w:firstRowFirstColumn="0" w:firstRowLastColumn="0" w:lastRowFirstColumn="0" w:lastRowLastColumn="0"/>
            </w:pPr>
            <w:r>
              <w:t>20X1</w:t>
            </w:r>
          </w:p>
        </w:tc>
      </w:tr>
      <w:tr w:rsidR="008E5233" w14:paraId="78CA537B" w14:textId="77777777" w:rsidTr="00E51206">
        <w:tc>
          <w:tcPr>
            <w:cnfStyle w:val="001000000000" w:firstRow="0" w:lastRow="0" w:firstColumn="1" w:lastColumn="0" w:oddVBand="0" w:evenVBand="0" w:oddHBand="0" w:evenHBand="0" w:firstRowFirstColumn="0" w:firstRowLastColumn="0" w:lastRowFirstColumn="0" w:lastRowLastColumn="0"/>
            <w:tcW w:w="3119" w:type="dxa"/>
          </w:tcPr>
          <w:p w14:paraId="0BDAAE68" w14:textId="77777777" w:rsidR="008E5233" w:rsidRDefault="005648A9">
            <w:r>
              <w:t>Legal proceedings and disputes</w:t>
            </w:r>
            <w:r>
              <w:rPr>
                <w:vertAlign w:val="superscript"/>
              </w:rPr>
              <w:t xml:space="preserve"> (a)</w:t>
            </w:r>
          </w:p>
        </w:tc>
        <w:tc>
          <w:tcPr>
            <w:tcW w:w="5386" w:type="dxa"/>
          </w:tcPr>
          <w:p w14:paraId="5F6171B2" w14:textId="77777777" w:rsidR="008E5233" w:rsidRDefault="005648A9">
            <w:pPr>
              <w:cnfStyle w:val="000000000000" w:firstRow="0" w:lastRow="0" w:firstColumn="0" w:lastColumn="0" w:oddVBand="0" w:evenVBand="0" w:oddHBand="0" w:evenHBand="0" w:firstRowFirstColumn="0" w:firstRowLastColumn="0" w:lastRowFirstColumn="0" w:lastRowLastColumn="0"/>
            </w:pPr>
            <w:r>
              <w:t>250</w:t>
            </w:r>
          </w:p>
        </w:tc>
        <w:tc>
          <w:tcPr>
            <w:tcW w:w="1134" w:type="dxa"/>
          </w:tcPr>
          <w:p w14:paraId="3853900F" w14:textId="77777777" w:rsidR="008E5233" w:rsidRDefault="005648A9">
            <w:pPr>
              <w:cnfStyle w:val="000000000000" w:firstRow="0" w:lastRow="0" w:firstColumn="0" w:lastColumn="0" w:oddVBand="0" w:evenVBand="0" w:oddHBand="0" w:evenHBand="0" w:firstRowFirstColumn="0" w:firstRowLastColumn="0" w:lastRowFirstColumn="0" w:lastRowLastColumn="0"/>
            </w:pPr>
            <w:r>
              <w:t>210</w:t>
            </w:r>
          </w:p>
        </w:tc>
      </w:tr>
      <w:tr w:rsidR="00671D55" w14:paraId="14E1F1E6" w14:textId="77777777" w:rsidTr="00E51206">
        <w:tc>
          <w:tcPr>
            <w:cnfStyle w:val="001000000000" w:firstRow="0" w:lastRow="0" w:firstColumn="1" w:lastColumn="0" w:oddVBand="0" w:evenVBand="0" w:oddHBand="0" w:evenHBand="0" w:firstRowFirstColumn="0" w:firstRowLastColumn="0" w:lastRowFirstColumn="0" w:lastRowLastColumn="0"/>
            <w:tcW w:w="3119" w:type="dxa"/>
          </w:tcPr>
          <w:p w14:paraId="495694F7" w14:textId="77777777" w:rsidR="008E5233" w:rsidRDefault="005648A9">
            <w:r>
              <w:rPr>
                <w:b/>
              </w:rPr>
              <w:t>Total</w:t>
            </w:r>
          </w:p>
        </w:tc>
        <w:tc>
          <w:tcPr>
            <w:tcW w:w="5386" w:type="dxa"/>
          </w:tcPr>
          <w:p w14:paraId="199D9A3B" w14:textId="291435ED" w:rsidR="008E5233" w:rsidRDefault="007D4EDC">
            <w:pPr>
              <w:cnfStyle w:val="000000000000" w:firstRow="0" w:lastRow="0" w:firstColumn="0" w:lastColumn="0" w:oddVBand="0" w:evenVBand="0" w:oddHBand="0" w:evenHBand="0" w:firstRowFirstColumn="0" w:firstRowLastColumn="0" w:lastRowFirstColumn="0" w:lastRowLastColumn="0"/>
            </w:pPr>
            <w:r>
              <w:rPr>
                <w:rFonts w:hint="eastAsia"/>
                <w:b/>
                <w:lang w:eastAsia="zh-CN"/>
              </w:rPr>
              <w:t>2</w:t>
            </w:r>
            <w:r w:rsidR="005648A9">
              <w:rPr>
                <w:b/>
              </w:rPr>
              <w:t>50</w:t>
            </w:r>
          </w:p>
        </w:tc>
        <w:tc>
          <w:tcPr>
            <w:tcW w:w="1134" w:type="dxa"/>
          </w:tcPr>
          <w:p w14:paraId="4E327C62" w14:textId="07659E6A" w:rsidR="008E5233" w:rsidRDefault="007D4EDC">
            <w:pPr>
              <w:cnfStyle w:val="000000000000" w:firstRow="0" w:lastRow="0" w:firstColumn="0" w:lastColumn="0" w:oddVBand="0" w:evenVBand="0" w:oddHBand="0" w:evenHBand="0" w:firstRowFirstColumn="0" w:firstRowLastColumn="0" w:lastRowFirstColumn="0" w:lastRowLastColumn="0"/>
            </w:pPr>
            <w:r>
              <w:rPr>
                <w:rFonts w:hint="eastAsia"/>
                <w:b/>
                <w:lang w:eastAsia="zh-CN"/>
              </w:rPr>
              <w:t>2</w:t>
            </w:r>
            <w:r w:rsidR="005648A9">
              <w:rPr>
                <w:b/>
              </w:rPr>
              <w:t>10</w:t>
            </w:r>
          </w:p>
        </w:tc>
      </w:tr>
    </w:tbl>
    <w:p w14:paraId="71DEE420" w14:textId="77777777" w:rsidR="003719CD" w:rsidRDefault="003719CD" w:rsidP="007D536F">
      <w:pPr>
        <w:pStyle w:val="Note"/>
      </w:pPr>
      <w:r>
        <w:t>Notes:</w:t>
      </w:r>
    </w:p>
    <w:p w14:paraId="0EE28202" w14:textId="1D7D8C9B" w:rsidR="003719CD" w:rsidRDefault="00E774FE" w:rsidP="00C8530A">
      <w:pPr>
        <w:pStyle w:val="Note"/>
        <w:rPr>
          <w:rStyle w:val="Reference"/>
          <w:rFonts w:eastAsia="SimHei"/>
          <w:bCs/>
          <w:iCs/>
          <w:sz w:val="14"/>
          <w:szCs w:val="16"/>
          <w:lang w:eastAsia="zh-CN"/>
        </w:rPr>
      </w:pPr>
      <w:r>
        <w:t>(a)</w:t>
      </w:r>
      <w:r w:rsidR="00BE3836">
        <w:t xml:space="preserve"> </w:t>
      </w:r>
      <w:r w:rsidR="00C8530A">
        <w:tab/>
      </w:r>
      <w:r w:rsidR="00BE3836">
        <w:t>C</w:t>
      </w:r>
      <w:r w:rsidR="003719CD">
        <w:t xml:space="preserve">laims for damages were lodged during the year against </w:t>
      </w:r>
      <w:r w:rsidR="00EC1CDC">
        <w:t>TV</w:t>
      </w:r>
      <w:r w:rsidR="003719CD">
        <w:t xml:space="preserve"> and certain staff in relation to alleged non-performance under a technology contract. </w:t>
      </w:r>
      <w:r w:rsidR="00EC1CDC">
        <w:t>TV</w:t>
      </w:r>
      <w:r w:rsidR="003719CD">
        <w:t xml:space="preserve"> has </w:t>
      </w:r>
      <w:r w:rsidR="001B339F">
        <w:t xml:space="preserve">denied </w:t>
      </w:r>
      <w:r w:rsidR="003719CD">
        <w:t>liability and is defending the action.</w:t>
      </w:r>
      <w:r w:rsidR="00200804">
        <w:t xml:space="preserve"> </w:t>
      </w:r>
      <w:r w:rsidR="00200804" w:rsidRPr="003C2B9A">
        <w:rPr>
          <w:rStyle w:val="Reference"/>
          <w:bCs/>
          <w:iCs/>
          <w:sz w:val="14"/>
          <w:szCs w:val="16"/>
        </w:rPr>
        <w:t>[</w:t>
      </w:r>
      <w:r w:rsidR="0007383E">
        <w:rPr>
          <w:rStyle w:val="Reference"/>
          <w:bCs/>
          <w:iCs/>
          <w:sz w:val="14"/>
          <w:szCs w:val="16"/>
        </w:rPr>
        <w:t>AASB </w:t>
      </w:r>
      <w:r w:rsidR="00200804" w:rsidRPr="003C2B9A">
        <w:rPr>
          <w:rStyle w:val="Reference"/>
          <w:rFonts w:eastAsia="SimHei"/>
          <w:bCs/>
          <w:iCs/>
          <w:sz w:val="14"/>
          <w:szCs w:val="16"/>
          <w:lang w:eastAsia="zh-CN"/>
        </w:rPr>
        <w:t>1060.154]</w:t>
      </w:r>
    </w:p>
    <w:p w14:paraId="19BCABCE" w14:textId="77777777" w:rsidR="003C2B9A" w:rsidRDefault="003C2B9A" w:rsidP="00785F6D">
      <w:pPr>
        <w:pStyle w:val="Note"/>
        <w:spacing w:before="160" w:after="80" w:line="264" w:lineRule="auto"/>
      </w:pPr>
    </w:p>
    <w:p w14:paraId="00466EE1" w14:textId="77777777" w:rsidR="003719CD" w:rsidRDefault="003719CD" w:rsidP="00785F6D">
      <w:pPr>
        <w:pStyle w:val="GuidanceBlockHeading"/>
        <w:keepNext w:val="0"/>
        <w:keepLines w:val="0"/>
      </w:pPr>
      <w:bookmarkStart w:id="7065" w:name="_Toc179815161"/>
      <w:bookmarkStart w:id="7066" w:name="_Toc179820861"/>
      <w:bookmarkStart w:id="7067" w:name="_Toc179826561"/>
      <w:r>
        <w:t>Guidance – Contingent assets and contingent liabilities</w:t>
      </w:r>
      <w:bookmarkEnd w:id="7065"/>
      <w:bookmarkEnd w:id="7066"/>
      <w:bookmarkEnd w:id="7067"/>
    </w:p>
    <w:p w14:paraId="29186975" w14:textId="02CAB46F" w:rsidR="003719CD" w:rsidRDefault="003719CD" w:rsidP="002A0038">
      <w:pPr>
        <w:pStyle w:val="GuidanceHeading"/>
        <w:keepNext w:val="0"/>
        <w:keepLines w:val="0"/>
        <w:spacing w:before="120" w:after="0"/>
      </w:pPr>
      <w:r>
        <w:t xml:space="preserve">Contingent assets </w:t>
      </w:r>
    </w:p>
    <w:p w14:paraId="744998E3" w14:textId="12016332" w:rsidR="00045ED0" w:rsidRPr="002A0038" w:rsidRDefault="00F21CD2" w:rsidP="002A0038">
      <w:pPr>
        <w:pStyle w:val="GuidanceHeading"/>
        <w:keepNext w:val="0"/>
        <w:keepLines w:val="0"/>
        <w:spacing w:before="120" w:after="0"/>
      </w:pPr>
      <w:r w:rsidRPr="00F21CD2">
        <w:rPr>
          <w:rStyle w:val="Guidance"/>
          <w:b w:val="0"/>
          <w:sz w:val="18"/>
        </w:rPr>
        <w:t>If an inflow of economic benefits is probable (more likely than not) but not virtually certain, an entity shall</w:t>
      </w:r>
      <w:r>
        <w:rPr>
          <w:rStyle w:val="Guidance"/>
          <w:b w:val="0"/>
          <w:sz w:val="18"/>
        </w:rPr>
        <w:t xml:space="preserve"> </w:t>
      </w:r>
      <w:r w:rsidRPr="00F21CD2">
        <w:rPr>
          <w:rStyle w:val="Guidance"/>
          <w:b w:val="0"/>
          <w:sz w:val="18"/>
        </w:rPr>
        <w:t>disclose a description of the nature of the contingent assets at the end of the reporting period and, where</w:t>
      </w:r>
      <w:r>
        <w:rPr>
          <w:rStyle w:val="Guidance"/>
          <w:b w:val="0"/>
          <w:sz w:val="18"/>
        </w:rPr>
        <w:t xml:space="preserve"> </w:t>
      </w:r>
      <w:r w:rsidRPr="00F21CD2">
        <w:rPr>
          <w:rStyle w:val="Guidance"/>
          <w:b w:val="0"/>
          <w:sz w:val="18"/>
        </w:rPr>
        <w:t>practicable, an estimate of their financial effect, measured using the principles set out in paragraphs 36–52 of</w:t>
      </w:r>
      <w:r>
        <w:rPr>
          <w:rStyle w:val="Guidance"/>
          <w:b w:val="0"/>
          <w:sz w:val="18"/>
        </w:rPr>
        <w:t xml:space="preserve"> </w:t>
      </w:r>
      <w:r w:rsidR="0007383E">
        <w:rPr>
          <w:rStyle w:val="Guidance"/>
          <w:b w:val="0"/>
          <w:sz w:val="18"/>
        </w:rPr>
        <w:t>AASB </w:t>
      </w:r>
      <w:r w:rsidRPr="00F21CD2">
        <w:rPr>
          <w:rStyle w:val="Guidance"/>
          <w:b w:val="0"/>
          <w:sz w:val="18"/>
        </w:rPr>
        <w:t>137</w:t>
      </w:r>
      <w:r w:rsidR="003C2B9A">
        <w:rPr>
          <w:rStyle w:val="Guidance"/>
          <w:rFonts w:hint="eastAsia"/>
          <w:b w:val="0"/>
          <w:sz w:val="18"/>
          <w:lang w:eastAsia="zh-CN"/>
        </w:rPr>
        <w:t xml:space="preserve"> </w:t>
      </w:r>
      <w:r w:rsidR="003C2B9A" w:rsidRPr="003C2B9A">
        <w:rPr>
          <w:rStyle w:val="Guidance"/>
          <w:rFonts w:hint="eastAsia"/>
          <w:b w:val="0"/>
          <w:i/>
          <w:iCs/>
          <w:sz w:val="18"/>
          <w:lang w:eastAsia="zh-CN"/>
        </w:rPr>
        <w:t>Provisions, Contingent Liabilities and Contingent Assets</w:t>
      </w:r>
      <w:r w:rsidRPr="00F21CD2">
        <w:rPr>
          <w:rStyle w:val="Guidance"/>
          <w:b w:val="0"/>
          <w:sz w:val="18"/>
        </w:rPr>
        <w:t>. Where any of the</w:t>
      </w:r>
      <w:r>
        <w:rPr>
          <w:rStyle w:val="Guidance"/>
          <w:b w:val="0"/>
          <w:sz w:val="18"/>
        </w:rPr>
        <w:t xml:space="preserve"> </w:t>
      </w:r>
      <w:r w:rsidRPr="00F21CD2">
        <w:rPr>
          <w:rStyle w:val="Guidance"/>
          <w:b w:val="0"/>
          <w:sz w:val="18"/>
        </w:rPr>
        <w:t>information required by this paragraph is not disclosed because it is not</w:t>
      </w:r>
      <w:r>
        <w:rPr>
          <w:rStyle w:val="Guidance"/>
          <w:b w:val="0"/>
          <w:sz w:val="18"/>
        </w:rPr>
        <w:t xml:space="preserve"> </w:t>
      </w:r>
      <w:r w:rsidRPr="00F21CD2">
        <w:rPr>
          <w:rStyle w:val="Guidance"/>
          <w:b w:val="0"/>
          <w:sz w:val="18"/>
        </w:rPr>
        <w:t>practicable to do so, that fact shall be stated.</w:t>
      </w:r>
      <w:r w:rsidR="000E3D93">
        <w:rPr>
          <w:rStyle w:val="Guidance"/>
          <w:b w:val="0"/>
          <w:sz w:val="18"/>
        </w:rPr>
        <w:t xml:space="preserve"> </w:t>
      </w:r>
      <w:r w:rsidR="000E3D93" w:rsidRPr="003C2B9A">
        <w:rPr>
          <w:rStyle w:val="Reference"/>
          <w:b w:val="0"/>
        </w:rPr>
        <w:t>[</w:t>
      </w:r>
      <w:r w:rsidR="0007383E">
        <w:rPr>
          <w:rStyle w:val="Reference"/>
          <w:b w:val="0"/>
        </w:rPr>
        <w:t>AASB </w:t>
      </w:r>
      <w:r w:rsidR="000E3D93" w:rsidRPr="003C2B9A">
        <w:rPr>
          <w:rStyle w:val="Reference"/>
          <w:b w:val="0"/>
        </w:rPr>
        <w:t>1060.155]</w:t>
      </w:r>
      <w:r w:rsidRPr="00F21CD2">
        <w:rPr>
          <w:rStyle w:val="Guidance"/>
          <w:b w:val="0"/>
          <w:sz w:val="18"/>
        </w:rPr>
        <w:t xml:space="preserve"> </w:t>
      </w:r>
    </w:p>
    <w:p w14:paraId="15030B4E" w14:textId="13BA6EAF" w:rsidR="003719CD" w:rsidRPr="003100D9" w:rsidRDefault="003719CD" w:rsidP="002A0038">
      <w:pPr>
        <w:pStyle w:val="GuidanceHeading"/>
        <w:spacing w:before="120" w:after="0"/>
        <w:rPr>
          <w:rStyle w:val="Guidance"/>
          <w:b w:val="0"/>
          <w:sz w:val="18"/>
        </w:rPr>
      </w:pPr>
      <w:r w:rsidRPr="003100D9">
        <w:rPr>
          <w:rStyle w:val="Guidance"/>
        </w:rPr>
        <w:t xml:space="preserve">Contingent liabilities </w:t>
      </w:r>
    </w:p>
    <w:p w14:paraId="682AAD0F" w14:textId="28377AE7" w:rsidR="009E214F" w:rsidRPr="009E214F" w:rsidRDefault="009E214F" w:rsidP="002A0038">
      <w:pPr>
        <w:pStyle w:val="GuidanceHeading"/>
        <w:spacing w:before="120" w:after="0"/>
        <w:rPr>
          <w:rStyle w:val="Guidance"/>
          <w:b w:val="0"/>
          <w:sz w:val="18"/>
        </w:rPr>
      </w:pPr>
      <w:r w:rsidRPr="009E214F">
        <w:rPr>
          <w:rStyle w:val="Guidance"/>
          <w:b w:val="0"/>
          <w:sz w:val="18"/>
        </w:rPr>
        <w:t>Unless the possibility of any outflow of resources in settlement is remote, an entity shall disclose, for each</w:t>
      </w:r>
      <w:r>
        <w:rPr>
          <w:rStyle w:val="Guidance"/>
          <w:b w:val="0"/>
          <w:sz w:val="18"/>
        </w:rPr>
        <w:t xml:space="preserve"> </w:t>
      </w:r>
      <w:r w:rsidRPr="009E214F">
        <w:rPr>
          <w:rStyle w:val="Guidance"/>
          <w:b w:val="0"/>
          <w:sz w:val="18"/>
        </w:rPr>
        <w:t>class of contingent liability at the reporting date, a brief description of the nature of the contingent liability</w:t>
      </w:r>
      <w:r>
        <w:rPr>
          <w:rStyle w:val="Guidance"/>
          <w:b w:val="0"/>
          <w:sz w:val="18"/>
        </w:rPr>
        <w:t xml:space="preserve"> </w:t>
      </w:r>
      <w:r w:rsidRPr="009E214F">
        <w:rPr>
          <w:rStyle w:val="Guidance"/>
          <w:b w:val="0"/>
          <w:sz w:val="18"/>
        </w:rPr>
        <w:t>and, when practicable:</w:t>
      </w:r>
    </w:p>
    <w:p w14:paraId="0D06013A" w14:textId="78A37D9D" w:rsidR="009E214F" w:rsidRPr="009E214F" w:rsidRDefault="009E214F" w:rsidP="002A0038">
      <w:pPr>
        <w:pStyle w:val="GuidanceHeading"/>
        <w:numPr>
          <w:ilvl w:val="0"/>
          <w:numId w:val="356"/>
        </w:numPr>
        <w:spacing w:before="40" w:after="0"/>
        <w:ind w:left="357" w:hanging="357"/>
        <w:rPr>
          <w:rStyle w:val="Guidance"/>
          <w:b w:val="0"/>
          <w:sz w:val="18"/>
        </w:rPr>
      </w:pPr>
      <w:r w:rsidRPr="009E214F">
        <w:rPr>
          <w:rStyle w:val="Guidance"/>
          <w:b w:val="0"/>
          <w:sz w:val="18"/>
        </w:rPr>
        <w:t xml:space="preserve">an estimate of its financial effect, measured in accordance with paragraphs 36–52 of </w:t>
      </w:r>
      <w:r w:rsidR="0007383E">
        <w:rPr>
          <w:rStyle w:val="Guidance"/>
          <w:b w:val="0"/>
          <w:sz w:val="18"/>
        </w:rPr>
        <w:t>AASB </w:t>
      </w:r>
      <w:r w:rsidRPr="009E214F">
        <w:rPr>
          <w:rStyle w:val="Guidance"/>
          <w:b w:val="0"/>
          <w:sz w:val="18"/>
        </w:rPr>
        <w:t>137</w:t>
      </w:r>
    </w:p>
    <w:p w14:paraId="3A69D853" w14:textId="47CC4877" w:rsidR="009E214F" w:rsidRPr="009E214F" w:rsidRDefault="009E214F" w:rsidP="002A0038">
      <w:pPr>
        <w:pStyle w:val="GuidanceHeading"/>
        <w:numPr>
          <w:ilvl w:val="0"/>
          <w:numId w:val="356"/>
        </w:numPr>
        <w:spacing w:before="40" w:after="0"/>
        <w:ind w:left="357" w:hanging="357"/>
        <w:rPr>
          <w:rStyle w:val="Guidance"/>
          <w:b w:val="0"/>
          <w:sz w:val="18"/>
        </w:rPr>
      </w:pPr>
      <w:r w:rsidRPr="009E214F">
        <w:rPr>
          <w:rStyle w:val="Guidance"/>
          <w:b w:val="0"/>
          <w:sz w:val="18"/>
        </w:rPr>
        <w:t>an indication of the uncertainties relating to the amount or timing of any outflow; and</w:t>
      </w:r>
    </w:p>
    <w:p w14:paraId="099CC238" w14:textId="0304E4B6" w:rsidR="009E214F" w:rsidRPr="009E214F" w:rsidRDefault="009E214F" w:rsidP="002A0038">
      <w:pPr>
        <w:pStyle w:val="GuidanceHeading"/>
        <w:numPr>
          <w:ilvl w:val="0"/>
          <w:numId w:val="356"/>
        </w:numPr>
        <w:spacing w:before="40" w:after="0"/>
        <w:ind w:left="357" w:hanging="357"/>
        <w:rPr>
          <w:rStyle w:val="Guidance"/>
          <w:b w:val="0"/>
          <w:sz w:val="18"/>
        </w:rPr>
      </w:pPr>
      <w:r w:rsidRPr="009E214F">
        <w:rPr>
          <w:rStyle w:val="Guidance"/>
          <w:b w:val="0"/>
          <w:sz w:val="18"/>
        </w:rPr>
        <w:t>the possibility of any reimbursement.</w:t>
      </w:r>
    </w:p>
    <w:p w14:paraId="4E5A8810" w14:textId="132D78C6" w:rsidR="009E214F" w:rsidRPr="002A0038" w:rsidRDefault="009E214F" w:rsidP="002A0038">
      <w:pPr>
        <w:spacing w:before="120" w:after="0"/>
      </w:pPr>
      <w:r w:rsidRPr="009E214F">
        <w:rPr>
          <w:rStyle w:val="Guidance"/>
        </w:rPr>
        <w:t>If it is impracticable to make one or more of these disclosures, that fact shall be stated.</w:t>
      </w:r>
      <w:r w:rsidR="000E3D93">
        <w:rPr>
          <w:rStyle w:val="Guidance"/>
        </w:rPr>
        <w:t xml:space="preserve"> </w:t>
      </w:r>
      <w:r w:rsidR="000E3D93" w:rsidRPr="003100D9">
        <w:rPr>
          <w:rStyle w:val="Reference"/>
        </w:rPr>
        <w:t>[</w:t>
      </w:r>
      <w:r w:rsidR="0007383E">
        <w:rPr>
          <w:rStyle w:val="Reference"/>
        </w:rPr>
        <w:t>AASB </w:t>
      </w:r>
      <w:r w:rsidR="000E3D93">
        <w:rPr>
          <w:rStyle w:val="Reference"/>
        </w:rPr>
        <w:t>1060.154</w:t>
      </w:r>
      <w:r w:rsidR="000E3D93" w:rsidRPr="003100D9">
        <w:rPr>
          <w:rStyle w:val="Reference"/>
        </w:rPr>
        <w:t>]</w:t>
      </w:r>
    </w:p>
    <w:p w14:paraId="73550CF3" w14:textId="4F7622A0" w:rsidR="00693E84" w:rsidRPr="003100D9" w:rsidRDefault="005C443F" w:rsidP="002A0038">
      <w:pPr>
        <w:pStyle w:val="GuidanceHeading"/>
        <w:spacing w:before="120" w:after="0"/>
        <w:rPr>
          <w:rStyle w:val="Guidance"/>
          <w:b w:val="0"/>
          <w:sz w:val="18"/>
        </w:rPr>
      </w:pPr>
      <w:r>
        <w:t>Prej</w:t>
      </w:r>
      <w:r w:rsidR="00693E84">
        <w:t xml:space="preserve">udicial disclosure </w:t>
      </w:r>
    </w:p>
    <w:p w14:paraId="5A6018E2" w14:textId="6CB23945" w:rsidR="005C443F" w:rsidRPr="003100D9" w:rsidRDefault="00FA4CA3" w:rsidP="007D536F">
      <w:pPr>
        <w:rPr>
          <w:rStyle w:val="Guidance"/>
        </w:rPr>
      </w:pPr>
      <w:r w:rsidRPr="002A0038">
        <w:rPr>
          <w:rStyle w:val="Guidance"/>
        </w:rPr>
        <w:t xml:space="preserve">In extremely rare cases, disclosure of some or </w:t>
      </w:r>
      <w:proofErr w:type="gramStart"/>
      <w:r w:rsidRPr="002A0038">
        <w:rPr>
          <w:rStyle w:val="Guidance"/>
        </w:rPr>
        <w:t>all of</w:t>
      </w:r>
      <w:proofErr w:type="gramEnd"/>
      <w:r w:rsidRPr="002A0038">
        <w:rPr>
          <w:rStyle w:val="Guidance"/>
        </w:rPr>
        <w:t xml:space="preserve"> the information required </w:t>
      </w:r>
      <w:r>
        <w:rPr>
          <w:rStyle w:val="Guidance"/>
        </w:rPr>
        <w:t>for provisions, contingent liabilities and contingent assets</w:t>
      </w:r>
      <w:r w:rsidRPr="002A0038">
        <w:rPr>
          <w:rStyle w:val="Guidance"/>
        </w:rPr>
        <w:t xml:space="preserve"> can be</w:t>
      </w:r>
      <w:r>
        <w:rPr>
          <w:rStyle w:val="Guidance"/>
        </w:rPr>
        <w:t xml:space="preserve"> </w:t>
      </w:r>
      <w:r w:rsidRPr="002A0038">
        <w:rPr>
          <w:rStyle w:val="Guidance"/>
        </w:rPr>
        <w:t>expected to prejudice seriously the position of the entity in a dispute with other parties on the subject matter</w:t>
      </w:r>
      <w:r>
        <w:rPr>
          <w:rStyle w:val="Guidance"/>
        </w:rPr>
        <w:t xml:space="preserve"> </w:t>
      </w:r>
      <w:r w:rsidRPr="002A0038">
        <w:rPr>
          <w:rStyle w:val="Guidance"/>
        </w:rPr>
        <w:t>of the provision, contingent liability or contingent asset. In such cases, an entity need not disclose the</w:t>
      </w:r>
      <w:r>
        <w:rPr>
          <w:rStyle w:val="Guidance"/>
        </w:rPr>
        <w:t xml:space="preserve"> </w:t>
      </w:r>
      <w:r w:rsidRPr="002A0038">
        <w:rPr>
          <w:rStyle w:val="Guidance"/>
        </w:rPr>
        <w:t>information, but shall disclose the general nature of the dispute, together with the fact that, and reason why,</w:t>
      </w:r>
      <w:r>
        <w:rPr>
          <w:rStyle w:val="Guidance"/>
        </w:rPr>
        <w:t xml:space="preserve"> </w:t>
      </w:r>
      <w:r w:rsidRPr="002A0038">
        <w:rPr>
          <w:rStyle w:val="Guidance"/>
        </w:rPr>
        <w:t>the information has not been disclosed.</w:t>
      </w:r>
      <w:r w:rsidR="000E3D93">
        <w:rPr>
          <w:rStyle w:val="Guidance"/>
        </w:rPr>
        <w:t xml:space="preserve"> </w:t>
      </w:r>
      <w:r w:rsidR="000E3D93" w:rsidRPr="003100D9">
        <w:rPr>
          <w:rStyle w:val="Reference"/>
        </w:rPr>
        <w:t>[</w:t>
      </w:r>
      <w:r w:rsidR="0007383E">
        <w:rPr>
          <w:rStyle w:val="Reference"/>
        </w:rPr>
        <w:t>AASB </w:t>
      </w:r>
      <w:r w:rsidR="000E3D93">
        <w:rPr>
          <w:rStyle w:val="Reference"/>
        </w:rPr>
        <w:t>1060.156</w:t>
      </w:r>
      <w:r w:rsidR="000E3D93" w:rsidRPr="003100D9">
        <w:rPr>
          <w:rStyle w:val="Reference"/>
        </w:rPr>
        <w:t>]</w:t>
      </w:r>
    </w:p>
    <w:p w14:paraId="7AAA863C" w14:textId="77777777" w:rsidR="003719CD" w:rsidRDefault="003719CD" w:rsidP="007D536F">
      <w:pPr>
        <w:pStyle w:val="GuidanceEnd"/>
      </w:pPr>
    </w:p>
    <w:p w14:paraId="7AECACE5" w14:textId="651F6DC5" w:rsidR="003719CD" w:rsidRDefault="003719CD" w:rsidP="007762BE">
      <w:pPr>
        <w:pStyle w:val="Heading2numbered"/>
      </w:pPr>
      <w:bookmarkStart w:id="7068" w:name="_Toc59210204"/>
      <w:bookmarkStart w:id="7069" w:name="_Toc64983175"/>
      <w:bookmarkStart w:id="7070" w:name="_Toc130225998"/>
      <w:bookmarkStart w:id="7071" w:name="_Toc179815162"/>
      <w:bookmarkStart w:id="7072" w:name="_Toc179820862"/>
      <w:bookmarkStart w:id="7073" w:name="_Toc179826562"/>
      <w:bookmarkStart w:id="7074" w:name="_Toc179832208"/>
      <w:bookmarkStart w:id="7075" w:name="_Toc179863738"/>
      <w:bookmarkStart w:id="7076" w:name="_Toc179870503"/>
      <w:bookmarkStart w:id="7077" w:name="_Toc179874896"/>
      <w:bookmarkStart w:id="7078" w:name="_Toc179879289"/>
      <w:bookmarkStart w:id="7079" w:name="_Toc179880329"/>
      <w:bookmarkStart w:id="7080" w:name="_Toc190333401"/>
      <w:r>
        <w:t>Fair value determination</w:t>
      </w:r>
      <w:bookmarkEnd w:id="7068"/>
      <w:bookmarkEnd w:id="7069"/>
      <w:bookmarkEnd w:id="7070"/>
      <w:bookmarkEnd w:id="7071"/>
      <w:bookmarkEnd w:id="7072"/>
      <w:bookmarkEnd w:id="7073"/>
      <w:bookmarkEnd w:id="7074"/>
      <w:bookmarkEnd w:id="7075"/>
      <w:bookmarkEnd w:id="7076"/>
      <w:bookmarkEnd w:id="7077"/>
      <w:bookmarkEnd w:id="7078"/>
      <w:bookmarkEnd w:id="7079"/>
      <w:bookmarkEnd w:id="7080"/>
      <w:r w:rsidR="00863235">
        <w:t xml:space="preserve"> </w:t>
      </w:r>
      <w:r w:rsidR="00863235" w:rsidRPr="00E51206">
        <w:rPr>
          <w:color w:val="C00000"/>
        </w:rPr>
        <w:t>[REVISED]</w:t>
      </w:r>
    </w:p>
    <w:p w14:paraId="64B1CC31" w14:textId="77777777" w:rsidR="003719CD" w:rsidRPr="003100D9" w:rsidRDefault="003719CD" w:rsidP="007D536F">
      <w:pPr>
        <w:pStyle w:val="GuidanceBox"/>
        <w:rPr>
          <w:b/>
          <w:bCs/>
        </w:rPr>
      </w:pPr>
      <w:r w:rsidRPr="003100D9">
        <w:rPr>
          <w:b/>
          <w:bCs/>
        </w:rPr>
        <w:t>Significant judgement: Fair value measurements of assets and liabilities</w:t>
      </w:r>
    </w:p>
    <w:p w14:paraId="13F36F83" w14:textId="3CF1B391" w:rsidR="003719CD" w:rsidRPr="003100D9" w:rsidRDefault="003719CD" w:rsidP="007D536F">
      <w:pPr>
        <w:pStyle w:val="GuidanceBox"/>
      </w:pPr>
      <w:r>
        <w:t xml:space="preserve">Fair value determination requires judgement and the use of assumptions. This section discloses the most significant assumptions used in determining fair values. Changes to assumptions could have a material impact on the results and </w:t>
      </w:r>
      <w:r w:rsidRPr="003100D9">
        <w:t xml:space="preserve">financial position of </w:t>
      </w:r>
      <w:r w:rsidR="00B85E40">
        <w:t>TV</w:t>
      </w:r>
      <w:r w:rsidRPr="003100D9">
        <w:t>.</w:t>
      </w:r>
    </w:p>
    <w:p w14:paraId="75DD8D37" w14:textId="71E8195D" w:rsidR="003719CD" w:rsidRDefault="003719CD" w:rsidP="00DC39DE">
      <w:r>
        <w:t xml:space="preserve">This section sets out information on how </w:t>
      </w:r>
      <w:r w:rsidR="00EC1CDC">
        <w:t>TV</w:t>
      </w:r>
      <w:r>
        <w:t xml:space="preserve"> determine</w:t>
      </w:r>
      <w:r w:rsidR="00CD5B2A">
        <w:t>s</w:t>
      </w:r>
      <w:r>
        <w:t xml:space="preserve"> fair value for financial reporting purposes. Fair value is the price that would be received to sell an asset or paid to transfer a liability in an orderly transaction between market participants at the measurement date. </w:t>
      </w:r>
    </w:p>
    <w:p w14:paraId="4F7F7B87" w14:textId="3FB4A816" w:rsidR="003719CD" w:rsidRDefault="006F101F">
      <w:pPr>
        <w:pStyle w:val="ListBullet"/>
        <w:numPr>
          <w:ilvl w:val="0"/>
          <w:numId w:val="0"/>
        </w:numPr>
      </w:pPr>
      <w:r>
        <w:rPr>
          <w:rFonts w:hint="eastAsia"/>
          <w:lang w:eastAsia="zh-CN"/>
        </w:rPr>
        <w:t>L</w:t>
      </w:r>
      <w:r>
        <w:t>and, buildings</w:t>
      </w:r>
      <w:r>
        <w:rPr>
          <w:rFonts w:hint="eastAsia"/>
          <w:lang w:eastAsia="zh-CN"/>
        </w:rPr>
        <w:t xml:space="preserve">, </w:t>
      </w:r>
      <w:r>
        <w:t>plant and equipment</w:t>
      </w:r>
      <w:r>
        <w:rPr>
          <w:rFonts w:hint="eastAsia"/>
          <w:lang w:eastAsia="zh-CN"/>
        </w:rPr>
        <w:t xml:space="preserve"> </w:t>
      </w:r>
      <w:r w:rsidR="003719CD">
        <w:t>are carried at fair value</w:t>
      </w:r>
      <w:r w:rsidR="00DC6D3A">
        <w:t xml:space="preserve">, </w:t>
      </w:r>
      <w:proofErr w:type="gramStart"/>
      <w:r w:rsidR="00DC6D3A">
        <w:t>with the exception of</w:t>
      </w:r>
      <w:proofErr w:type="gramEnd"/>
      <w:r w:rsidR="00DC6D3A">
        <w:t xml:space="preserve"> right-of-use assets arising under AASB 16, which are measured using the cost model</w:t>
      </w:r>
      <w:r w:rsidR="002A3428">
        <w:rPr>
          <w:rFonts w:hint="eastAsia"/>
          <w:lang w:eastAsia="zh-CN"/>
        </w:rPr>
        <w:t>.</w:t>
      </w:r>
    </w:p>
    <w:p w14:paraId="6A371E2E" w14:textId="77777777" w:rsidR="003719CD" w:rsidRDefault="003719CD" w:rsidP="007D536F">
      <w:pPr>
        <w:pStyle w:val="Heading3"/>
      </w:pPr>
      <w:bookmarkStart w:id="7081" w:name="_Toc179815163"/>
      <w:bookmarkStart w:id="7082" w:name="_Toc179820863"/>
      <w:bookmarkStart w:id="7083" w:name="_Toc179826563"/>
      <w:bookmarkStart w:id="7084" w:name="_Toc179832209"/>
      <w:bookmarkStart w:id="7085" w:name="_Toc179863739"/>
      <w:r>
        <w:t>Fair value hierarchy</w:t>
      </w:r>
      <w:bookmarkEnd w:id="7081"/>
      <w:bookmarkEnd w:id="7082"/>
      <w:bookmarkEnd w:id="7083"/>
      <w:bookmarkEnd w:id="7084"/>
      <w:bookmarkEnd w:id="7085"/>
    </w:p>
    <w:p w14:paraId="5F8DA7FF" w14:textId="77777777" w:rsidR="003719CD" w:rsidRDefault="003719CD" w:rsidP="00DC39DE">
      <w:r>
        <w:t xml:space="preserve">In determining fair values, </w:t>
      </w:r>
      <w:proofErr w:type="gramStart"/>
      <w:r>
        <w:t>a number of</w:t>
      </w:r>
      <w:proofErr w:type="gramEnd"/>
      <w:r>
        <w:t xml:space="preserve"> inputs are used. To increase consistency and comparability in the financial statements, these inputs are categorised into three levels, also known as the fair value hierarchy. The levels are as follows:</w:t>
      </w:r>
    </w:p>
    <w:p w14:paraId="5872C0F2" w14:textId="5C595066" w:rsidR="003719CD" w:rsidRDefault="003719CD" w:rsidP="002A0038">
      <w:pPr>
        <w:pStyle w:val="ListBullet"/>
        <w:numPr>
          <w:ilvl w:val="0"/>
          <w:numId w:val="370"/>
        </w:numPr>
      </w:pPr>
      <w:r>
        <w:t>Level 1 – quoted (unadjusted) market prices in active markets for identical assets or liabilities</w:t>
      </w:r>
    </w:p>
    <w:p w14:paraId="4560DF8D" w14:textId="696E373D" w:rsidR="003719CD" w:rsidRDefault="003719CD" w:rsidP="002A0038">
      <w:pPr>
        <w:pStyle w:val="ListBullet"/>
        <w:numPr>
          <w:ilvl w:val="0"/>
          <w:numId w:val="370"/>
        </w:numPr>
      </w:pPr>
      <w:r>
        <w:t>Level 2 – valuation techniques for which the lowest level input that is significant to the fair value measurement is directly or indirectly observable</w:t>
      </w:r>
    </w:p>
    <w:p w14:paraId="306D03AF" w14:textId="77777777" w:rsidR="003719CD" w:rsidRDefault="003719CD" w:rsidP="002A0038">
      <w:pPr>
        <w:pStyle w:val="ListBullet"/>
        <w:numPr>
          <w:ilvl w:val="0"/>
          <w:numId w:val="370"/>
        </w:numPr>
      </w:pPr>
      <w:r>
        <w:t>Level 3 – valuation techniques for which the lowest level input that is significant to the fair value measurement is unobservable.</w:t>
      </w:r>
    </w:p>
    <w:p w14:paraId="613313C8" w14:textId="1B5E010C" w:rsidR="003719CD" w:rsidRDefault="00EC1CDC" w:rsidP="00DC39DE">
      <w:r>
        <w:t>TV</w:t>
      </w:r>
      <w:r w:rsidR="003719CD">
        <w:t xml:space="preserve"> determines whether transfers have occurred between levels in the hierarchy by reassessing categorisation (based on the lowest level input that is significant to the fair value measurement as a whole) at the end of each reporting period. </w:t>
      </w:r>
    </w:p>
    <w:p w14:paraId="7F8ADD3C" w14:textId="1375895B" w:rsidR="003719CD" w:rsidRDefault="003719CD" w:rsidP="00DC39DE">
      <w:r>
        <w:t xml:space="preserve">The Valuer General Victoria (VGV) is </w:t>
      </w:r>
      <w:r w:rsidR="00EC1CDC">
        <w:t>TV</w:t>
      </w:r>
      <w:r>
        <w:t>’s independent valuation agency</w:t>
      </w:r>
      <w:r w:rsidR="007E6885">
        <w:t>. I</w:t>
      </w:r>
      <w:r>
        <w:t>n conjunction with VGV</w:t>
      </w:r>
      <w:r w:rsidR="007E6885">
        <w:t>,</w:t>
      </w:r>
      <w:r>
        <w:t xml:space="preserve"> </w:t>
      </w:r>
      <w:r w:rsidR="007E6885">
        <w:t>TV</w:t>
      </w:r>
      <w:r>
        <w:t xml:space="preserve"> monitors changes in the fair value of each asset and liability through relevant data sources to determine whether revaluation is required.</w:t>
      </w:r>
    </w:p>
    <w:p w14:paraId="0D563120" w14:textId="77777777" w:rsidR="003719CD" w:rsidRDefault="003719CD" w:rsidP="007D536F">
      <w:pPr>
        <w:pStyle w:val="Heading3"/>
      </w:pPr>
      <w:bookmarkStart w:id="7086" w:name="_Toc179815164"/>
      <w:bookmarkStart w:id="7087" w:name="_Toc179820864"/>
      <w:bookmarkStart w:id="7088" w:name="_Toc179826564"/>
      <w:bookmarkStart w:id="7089" w:name="_Toc179832210"/>
      <w:bookmarkStart w:id="7090" w:name="_Toc179863740"/>
      <w:r>
        <w:t>How this section is structured</w:t>
      </w:r>
      <w:bookmarkEnd w:id="7086"/>
      <w:bookmarkEnd w:id="7087"/>
      <w:bookmarkEnd w:id="7088"/>
      <w:bookmarkEnd w:id="7089"/>
      <w:bookmarkEnd w:id="7090"/>
    </w:p>
    <w:p w14:paraId="3EA74283" w14:textId="77777777" w:rsidR="003719CD" w:rsidRDefault="003719CD" w:rsidP="00DC39DE">
      <w:r>
        <w:t>For those assets and liabilities for which fair values are determined, the following disclosures are provided:</w:t>
      </w:r>
    </w:p>
    <w:p w14:paraId="465C36B1" w14:textId="4A5A8759" w:rsidR="003719CD" w:rsidRDefault="00633A3B" w:rsidP="00FE6E67">
      <w:pPr>
        <w:pStyle w:val="ListBullet2"/>
        <w:numPr>
          <w:ilvl w:val="0"/>
          <w:numId w:val="379"/>
        </w:numPr>
      </w:pPr>
      <w:r>
        <w:t>V</w:t>
      </w:r>
      <w:r w:rsidR="00BA3660">
        <w:t xml:space="preserve">aluation techniques </w:t>
      </w:r>
    </w:p>
    <w:p w14:paraId="5AAB0D0D" w14:textId="0E074D4F" w:rsidR="003719CD" w:rsidRDefault="00633A3B" w:rsidP="00FE6E67">
      <w:pPr>
        <w:pStyle w:val="ListBullet2"/>
        <w:numPr>
          <w:ilvl w:val="0"/>
          <w:numId w:val="379"/>
        </w:numPr>
      </w:pPr>
      <w:r>
        <w:t>D</w:t>
      </w:r>
      <w:r w:rsidR="003719CD">
        <w:t xml:space="preserve">etails of significant </w:t>
      </w:r>
      <w:r w:rsidR="00BA3660">
        <w:t>assumptions</w:t>
      </w:r>
      <w:r w:rsidR="003719CD">
        <w:t xml:space="preserve"> used in the fair value determination.</w:t>
      </w:r>
    </w:p>
    <w:p w14:paraId="1059544B" w14:textId="200CC2E0" w:rsidR="003719CD" w:rsidRDefault="003719CD" w:rsidP="007762BE">
      <w:pPr>
        <w:pStyle w:val="Heading3numbered"/>
      </w:pPr>
      <w:bookmarkStart w:id="7091" w:name="_Toc179809482"/>
      <w:bookmarkStart w:id="7092" w:name="_Toc179815165"/>
      <w:bookmarkStart w:id="7093" w:name="_Toc179820865"/>
      <w:bookmarkStart w:id="7094" w:name="_Toc179826565"/>
      <w:bookmarkStart w:id="7095" w:name="_Toc179832211"/>
      <w:bookmarkStart w:id="7096" w:name="_Toc179863741"/>
      <w:bookmarkStart w:id="7097" w:name="_Toc179809483"/>
      <w:bookmarkStart w:id="7098" w:name="_Toc179815166"/>
      <w:bookmarkStart w:id="7099" w:name="_Toc179820866"/>
      <w:bookmarkStart w:id="7100" w:name="_Toc179826566"/>
      <w:bookmarkStart w:id="7101" w:name="_Toc179832212"/>
      <w:bookmarkStart w:id="7102" w:name="_Toc179863742"/>
      <w:bookmarkStart w:id="7103" w:name="_Toc179809484"/>
      <w:bookmarkStart w:id="7104" w:name="_Toc179815167"/>
      <w:bookmarkStart w:id="7105" w:name="_Toc179820867"/>
      <w:bookmarkStart w:id="7106" w:name="_Toc179826567"/>
      <w:bookmarkStart w:id="7107" w:name="_Toc179832213"/>
      <w:bookmarkStart w:id="7108" w:name="_Toc179863743"/>
      <w:bookmarkStart w:id="7109" w:name="_Toc179809485"/>
      <w:bookmarkStart w:id="7110" w:name="_Toc179815168"/>
      <w:bookmarkStart w:id="7111" w:name="_Toc179820868"/>
      <w:bookmarkStart w:id="7112" w:name="_Toc179826568"/>
      <w:bookmarkStart w:id="7113" w:name="_Toc179832214"/>
      <w:bookmarkStart w:id="7114" w:name="_Toc179863744"/>
      <w:bookmarkStart w:id="7115" w:name="_Toc179809486"/>
      <w:bookmarkStart w:id="7116" w:name="_Toc179815169"/>
      <w:bookmarkStart w:id="7117" w:name="_Toc179820869"/>
      <w:bookmarkStart w:id="7118" w:name="_Toc179826569"/>
      <w:bookmarkStart w:id="7119" w:name="_Toc179832215"/>
      <w:bookmarkStart w:id="7120" w:name="_Toc179863745"/>
      <w:bookmarkStart w:id="7121" w:name="_Toc179809487"/>
      <w:bookmarkStart w:id="7122" w:name="_Toc179815170"/>
      <w:bookmarkStart w:id="7123" w:name="_Toc179820870"/>
      <w:bookmarkStart w:id="7124" w:name="_Toc179826570"/>
      <w:bookmarkStart w:id="7125" w:name="_Toc179832216"/>
      <w:bookmarkStart w:id="7126" w:name="_Toc179863746"/>
      <w:bookmarkStart w:id="7127" w:name="_Toc179809488"/>
      <w:bookmarkStart w:id="7128" w:name="_Toc179815171"/>
      <w:bookmarkStart w:id="7129" w:name="_Toc179820871"/>
      <w:bookmarkStart w:id="7130" w:name="_Toc179826571"/>
      <w:bookmarkStart w:id="7131" w:name="_Toc179832217"/>
      <w:bookmarkStart w:id="7132" w:name="_Toc179863747"/>
      <w:bookmarkStart w:id="7133" w:name="_Toc179809489"/>
      <w:bookmarkStart w:id="7134" w:name="_Toc179815172"/>
      <w:bookmarkStart w:id="7135" w:name="_Toc179820872"/>
      <w:bookmarkStart w:id="7136" w:name="_Toc179826572"/>
      <w:bookmarkStart w:id="7137" w:name="_Toc179832218"/>
      <w:bookmarkStart w:id="7138" w:name="_Toc179863748"/>
      <w:bookmarkStart w:id="7139" w:name="_Toc179809507"/>
      <w:bookmarkStart w:id="7140" w:name="_Toc179815190"/>
      <w:bookmarkStart w:id="7141" w:name="_Toc179820890"/>
      <w:bookmarkStart w:id="7142" w:name="_Toc179826590"/>
      <w:bookmarkStart w:id="7143" w:name="_Toc179832236"/>
      <w:bookmarkStart w:id="7144" w:name="_Toc179863766"/>
      <w:bookmarkStart w:id="7145" w:name="_Toc179809508"/>
      <w:bookmarkStart w:id="7146" w:name="_Toc179815191"/>
      <w:bookmarkStart w:id="7147" w:name="_Toc179820891"/>
      <w:bookmarkStart w:id="7148" w:name="_Toc179826591"/>
      <w:bookmarkStart w:id="7149" w:name="_Toc179832237"/>
      <w:bookmarkStart w:id="7150" w:name="_Toc179863767"/>
      <w:bookmarkStart w:id="7151" w:name="_Toc179809523"/>
      <w:bookmarkStart w:id="7152" w:name="_Toc179815206"/>
      <w:bookmarkStart w:id="7153" w:name="_Toc179820906"/>
      <w:bookmarkStart w:id="7154" w:name="_Toc179826606"/>
      <w:bookmarkStart w:id="7155" w:name="_Toc179832252"/>
      <w:bookmarkStart w:id="7156" w:name="_Toc179863782"/>
      <w:bookmarkStart w:id="7157" w:name="_Toc179809530"/>
      <w:bookmarkStart w:id="7158" w:name="_Toc179815213"/>
      <w:bookmarkStart w:id="7159" w:name="_Toc179820913"/>
      <w:bookmarkStart w:id="7160" w:name="_Toc179826613"/>
      <w:bookmarkStart w:id="7161" w:name="_Toc179832259"/>
      <w:bookmarkStart w:id="7162" w:name="_Toc179863789"/>
      <w:bookmarkStart w:id="7163" w:name="_Toc179809537"/>
      <w:bookmarkStart w:id="7164" w:name="_Toc179815220"/>
      <w:bookmarkStart w:id="7165" w:name="_Toc179820920"/>
      <w:bookmarkStart w:id="7166" w:name="_Toc179826620"/>
      <w:bookmarkStart w:id="7167" w:name="_Toc179832266"/>
      <w:bookmarkStart w:id="7168" w:name="_Toc179863796"/>
      <w:bookmarkStart w:id="7169" w:name="_Toc179809544"/>
      <w:bookmarkStart w:id="7170" w:name="_Toc179815227"/>
      <w:bookmarkStart w:id="7171" w:name="_Toc179820927"/>
      <w:bookmarkStart w:id="7172" w:name="_Toc179826627"/>
      <w:bookmarkStart w:id="7173" w:name="_Toc179832273"/>
      <w:bookmarkStart w:id="7174" w:name="_Toc179863803"/>
      <w:bookmarkStart w:id="7175" w:name="_Toc179809551"/>
      <w:bookmarkStart w:id="7176" w:name="_Toc179815234"/>
      <w:bookmarkStart w:id="7177" w:name="_Toc179820934"/>
      <w:bookmarkStart w:id="7178" w:name="_Toc179826634"/>
      <w:bookmarkStart w:id="7179" w:name="_Toc179832280"/>
      <w:bookmarkStart w:id="7180" w:name="_Toc179863810"/>
      <w:bookmarkStart w:id="7181" w:name="_Toc179809558"/>
      <w:bookmarkStart w:id="7182" w:name="_Toc179815241"/>
      <w:bookmarkStart w:id="7183" w:name="_Toc179820941"/>
      <w:bookmarkStart w:id="7184" w:name="_Toc179826641"/>
      <w:bookmarkStart w:id="7185" w:name="_Toc179832287"/>
      <w:bookmarkStart w:id="7186" w:name="_Toc179863817"/>
      <w:bookmarkStart w:id="7187" w:name="_Toc179809565"/>
      <w:bookmarkStart w:id="7188" w:name="_Toc179815248"/>
      <w:bookmarkStart w:id="7189" w:name="_Toc179820948"/>
      <w:bookmarkStart w:id="7190" w:name="_Toc179826648"/>
      <w:bookmarkStart w:id="7191" w:name="_Toc179832294"/>
      <w:bookmarkStart w:id="7192" w:name="_Toc179863824"/>
      <w:bookmarkStart w:id="7193" w:name="_Toc179809572"/>
      <w:bookmarkStart w:id="7194" w:name="_Toc179815255"/>
      <w:bookmarkStart w:id="7195" w:name="_Toc179820955"/>
      <w:bookmarkStart w:id="7196" w:name="_Toc179826655"/>
      <w:bookmarkStart w:id="7197" w:name="_Toc179832301"/>
      <w:bookmarkStart w:id="7198" w:name="_Toc179863831"/>
      <w:bookmarkStart w:id="7199" w:name="_Toc179809579"/>
      <w:bookmarkStart w:id="7200" w:name="_Toc179815262"/>
      <w:bookmarkStart w:id="7201" w:name="_Toc179820962"/>
      <w:bookmarkStart w:id="7202" w:name="_Toc179826662"/>
      <w:bookmarkStart w:id="7203" w:name="_Toc179832308"/>
      <w:bookmarkStart w:id="7204" w:name="_Toc179863838"/>
      <w:bookmarkStart w:id="7205" w:name="_Toc179809586"/>
      <w:bookmarkStart w:id="7206" w:name="_Toc179815269"/>
      <w:bookmarkStart w:id="7207" w:name="_Toc179820969"/>
      <w:bookmarkStart w:id="7208" w:name="_Toc179826669"/>
      <w:bookmarkStart w:id="7209" w:name="_Toc179832315"/>
      <w:bookmarkStart w:id="7210" w:name="_Toc179863845"/>
      <w:bookmarkStart w:id="7211" w:name="_Toc179809593"/>
      <w:bookmarkStart w:id="7212" w:name="_Toc179815276"/>
      <w:bookmarkStart w:id="7213" w:name="_Toc179820976"/>
      <w:bookmarkStart w:id="7214" w:name="_Toc179826676"/>
      <w:bookmarkStart w:id="7215" w:name="_Toc179832322"/>
      <w:bookmarkStart w:id="7216" w:name="_Toc179863852"/>
      <w:bookmarkStart w:id="7217" w:name="_Toc179809594"/>
      <w:bookmarkStart w:id="7218" w:name="_Toc179815277"/>
      <w:bookmarkStart w:id="7219" w:name="_Toc179820977"/>
      <w:bookmarkStart w:id="7220" w:name="_Toc179826677"/>
      <w:bookmarkStart w:id="7221" w:name="_Toc179832323"/>
      <w:bookmarkStart w:id="7222" w:name="_Toc179863853"/>
      <w:bookmarkStart w:id="7223" w:name="_Toc179809595"/>
      <w:bookmarkStart w:id="7224" w:name="_Toc179815278"/>
      <w:bookmarkStart w:id="7225" w:name="_Toc179820978"/>
      <w:bookmarkStart w:id="7226" w:name="_Toc179826678"/>
      <w:bookmarkStart w:id="7227" w:name="_Toc179832324"/>
      <w:bookmarkStart w:id="7228" w:name="_Toc179863854"/>
      <w:bookmarkStart w:id="7229" w:name="_Toc179809596"/>
      <w:bookmarkStart w:id="7230" w:name="_Toc179815279"/>
      <w:bookmarkStart w:id="7231" w:name="_Toc179820979"/>
      <w:bookmarkStart w:id="7232" w:name="_Toc179826679"/>
      <w:bookmarkStart w:id="7233" w:name="_Toc179832325"/>
      <w:bookmarkStart w:id="7234" w:name="_Toc179863855"/>
      <w:bookmarkStart w:id="7235" w:name="_Toc179809597"/>
      <w:bookmarkStart w:id="7236" w:name="_Toc179815280"/>
      <w:bookmarkStart w:id="7237" w:name="_Toc179820980"/>
      <w:bookmarkStart w:id="7238" w:name="_Toc179826680"/>
      <w:bookmarkStart w:id="7239" w:name="_Toc179832326"/>
      <w:bookmarkStart w:id="7240" w:name="_Toc179863856"/>
      <w:bookmarkStart w:id="7241" w:name="_Toc179809611"/>
      <w:bookmarkStart w:id="7242" w:name="_Toc179815294"/>
      <w:bookmarkStart w:id="7243" w:name="_Toc179820994"/>
      <w:bookmarkStart w:id="7244" w:name="_Toc179826694"/>
      <w:bookmarkStart w:id="7245" w:name="_Toc179832340"/>
      <w:bookmarkStart w:id="7246" w:name="_Toc179863870"/>
      <w:bookmarkStart w:id="7247" w:name="_Toc179809618"/>
      <w:bookmarkStart w:id="7248" w:name="_Toc179815301"/>
      <w:bookmarkStart w:id="7249" w:name="_Toc179821001"/>
      <w:bookmarkStart w:id="7250" w:name="_Toc179826701"/>
      <w:bookmarkStart w:id="7251" w:name="_Toc179832347"/>
      <w:bookmarkStart w:id="7252" w:name="_Toc179863877"/>
      <w:bookmarkStart w:id="7253" w:name="_Toc179809625"/>
      <w:bookmarkStart w:id="7254" w:name="_Toc179815308"/>
      <w:bookmarkStart w:id="7255" w:name="_Toc179821008"/>
      <w:bookmarkStart w:id="7256" w:name="_Toc179826708"/>
      <w:bookmarkStart w:id="7257" w:name="_Toc179832354"/>
      <w:bookmarkStart w:id="7258" w:name="_Toc179863884"/>
      <w:bookmarkStart w:id="7259" w:name="_Toc179809632"/>
      <w:bookmarkStart w:id="7260" w:name="_Toc179815315"/>
      <w:bookmarkStart w:id="7261" w:name="_Toc179821015"/>
      <w:bookmarkStart w:id="7262" w:name="_Toc179826715"/>
      <w:bookmarkStart w:id="7263" w:name="_Toc179832361"/>
      <w:bookmarkStart w:id="7264" w:name="_Toc179863891"/>
      <w:bookmarkStart w:id="7265" w:name="_Toc179809639"/>
      <w:bookmarkStart w:id="7266" w:name="_Toc179815322"/>
      <w:bookmarkStart w:id="7267" w:name="_Toc179821022"/>
      <w:bookmarkStart w:id="7268" w:name="_Toc179826722"/>
      <w:bookmarkStart w:id="7269" w:name="_Toc179832368"/>
      <w:bookmarkStart w:id="7270" w:name="_Toc179863898"/>
      <w:bookmarkStart w:id="7271" w:name="_Toc179809646"/>
      <w:bookmarkStart w:id="7272" w:name="_Toc179815329"/>
      <w:bookmarkStart w:id="7273" w:name="_Toc179821029"/>
      <w:bookmarkStart w:id="7274" w:name="_Toc179826729"/>
      <w:bookmarkStart w:id="7275" w:name="_Toc179832375"/>
      <w:bookmarkStart w:id="7276" w:name="_Toc179863905"/>
      <w:bookmarkStart w:id="7277" w:name="_Toc179809653"/>
      <w:bookmarkStart w:id="7278" w:name="_Toc179815336"/>
      <w:bookmarkStart w:id="7279" w:name="_Toc179821036"/>
      <w:bookmarkStart w:id="7280" w:name="_Toc179826736"/>
      <w:bookmarkStart w:id="7281" w:name="_Toc179832382"/>
      <w:bookmarkStart w:id="7282" w:name="_Toc179863912"/>
      <w:bookmarkStart w:id="7283" w:name="_Toc179809660"/>
      <w:bookmarkStart w:id="7284" w:name="_Toc179815343"/>
      <w:bookmarkStart w:id="7285" w:name="_Toc179821043"/>
      <w:bookmarkStart w:id="7286" w:name="_Toc179826743"/>
      <w:bookmarkStart w:id="7287" w:name="_Toc179832389"/>
      <w:bookmarkStart w:id="7288" w:name="_Toc179863919"/>
      <w:bookmarkStart w:id="7289" w:name="_Toc179809667"/>
      <w:bookmarkStart w:id="7290" w:name="_Toc179815350"/>
      <w:bookmarkStart w:id="7291" w:name="_Toc179821050"/>
      <w:bookmarkStart w:id="7292" w:name="_Toc179826750"/>
      <w:bookmarkStart w:id="7293" w:name="_Toc179832396"/>
      <w:bookmarkStart w:id="7294" w:name="_Toc179863926"/>
      <w:bookmarkStart w:id="7295" w:name="_Toc179809674"/>
      <w:bookmarkStart w:id="7296" w:name="_Toc179815357"/>
      <w:bookmarkStart w:id="7297" w:name="_Toc179821057"/>
      <w:bookmarkStart w:id="7298" w:name="_Toc179826757"/>
      <w:bookmarkStart w:id="7299" w:name="_Toc179832403"/>
      <w:bookmarkStart w:id="7300" w:name="_Toc179863933"/>
      <w:bookmarkStart w:id="7301" w:name="_Toc179809688"/>
      <w:bookmarkStart w:id="7302" w:name="_Toc179815371"/>
      <w:bookmarkStart w:id="7303" w:name="_Toc179821071"/>
      <w:bookmarkStart w:id="7304" w:name="_Toc179826771"/>
      <w:bookmarkStart w:id="7305" w:name="_Toc179832417"/>
      <w:bookmarkStart w:id="7306" w:name="_Toc179863947"/>
      <w:bookmarkStart w:id="7307" w:name="_Toc179809695"/>
      <w:bookmarkStart w:id="7308" w:name="_Toc179815378"/>
      <w:bookmarkStart w:id="7309" w:name="_Toc179821078"/>
      <w:bookmarkStart w:id="7310" w:name="_Toc179826778"/>
      <w:bookmarkStart w:id="7311" w:name="_Toc179832424"/>
      <w:bookmarkStart w:id="7312" w:name="_Toc179863954"/>
      <w:bookmarkStart w:id="7313" w:name="_Toc179809702"/>
      <w:bookmarkStart w:id="7314" w:name="_Toc179815385"/>
      <w:bookmarkStart w:id="7315" w:name="_Toc179821085"/>
      <w:bookmarkStart w:id="7316" w:name="_Toc179826785"/>
      <w:bookmarkStart w:id="7317" w:name="_Toc179832431"/>
      <w:bookmarkStart w:id="7318" w:name="_Toc179863961"/>
      <w:bookmarkStart w:id="7319" w:name="_Toc179809709"/>
      <w:bookmarkStart w:id="7320" w:name="_Toc179815392"/>
      <w:bookmarkStart w:id="7321" w:name="_Toc179821092"/>
      <w:bookmarkStart w:id="7322" w:name="_Toc179826792"/>
      <w:bookmarkStart w:id="7323" w:name="_Toc179832438"/>
      <w:bookmarkStart w:id="7324" w:name="_Toc179863968"/>
      <w:bookmarkStart w:id="7325" w:name="_Toc179809716"/>
      <w:bookmarkStart w:id="7326" w:name="_Toc179815399"/>
      <w:bookmarkStart w:id="7327" w:name="_Toc179821099"/>
      <w:bookmarkStart w:id="7328" w:name="_Toc179826799"/>
      <w:bookmarkStart w:id="7329" w:name="_Toc179832445"/>
      <w:bookmarkStart w:id="7330" w:name="_Toc179863975"/>
      <w:bookmarkStart w:id="7331" w:name="_Toc179809723"/>
      <w:bookmarkStart w:id="7332" w:name="_Toc179815406"/>
      <w:bookmarkStart w:id="7333" w:name="_Toc179821106"/>
      <w:bookmarkStart w:id="7334" w:name="_Toc179826806"/>
      <w:bookmarkStart w:id="7335" w:name="_Toc179832452"/>
      <w:bookmarkStart w:id="7336" w:name="_Toc179863982"/>
      <w:bookmarkStart w:id="7337" w:name="_Toc179809730"/>
      <w:bookmarkStart w:id="7338" w:name="_Toc179815413"/>
      <w:bookmarkStart w:id="7339" w:name="_Toc179821113"/>
      <w:bookmarkStart w:id="7340" w:name="_Toc179826813"/>
      <w:bookmarkStart w:id="7341" w:name="_Toc179832459"/>
      <w:bookmarkStart w:id="7342" w:name="_Toc179863989"/>
      <w:bookmarkStart w:id="7343" w:name="_Toc179809737"/>
      <w:bookmarkStart w:id="7344" w:name="_Toc179815420"/>
      <w:bookmarkStart w:id="7345" w:name="_Toc179821120"/>
      <w:bookmarkStart w:id="7346" w:name="_Toc179826820"/>
      <w:bookmarkStart w:id="7347" w:name="_Toc179832466"/>
      <w:bookmarkStart w:id="7348" w:name="_Toc179863996"/>
      <w:bookmarkStart w:id="7349" w:name="_Toc179809738"/>
      <w:bookmarkStart w:id="7350" w:name="_Toc179815421"/>
      <w:bookmarkStart w:id="7351" w:name="_Toc179821121"/>
      <w:bookmarkStart w:id="7352" w:name="_Toc179826821"/>
      <w:bookmarkStart w:id="7353" w:name="_Toc179832467"/>
      <w:bookmarkStart w:id="7354" w:name="_Toc179863997"/>
      <w:bookmarkStart w:id="7355" w:name="_Toc179809739"/>
      <w:bookmarkStart w:id="7356" w:name="_Toc179815422"/>
      <w:bookmarkStart w:id="7357" w:name="_Toc179821122"/>
      <w:bookmarkStart w:id="7358" w:name="_Toc179826822"/>
      <w:bookmarkStart w:id="7359" w:name="_Toc179832468"/>
      <w:bookmarkStart w:id="7360" w:name="_Toc179863998"/>
      <w:bookmarkStart w:id="7361" w:name="_Toc179809740"/>
      <w:bookmarkStart w:id="7362" w:name="_Toc179815423"/>
      <w:bookmarkStart w:id="7363" w:name="_Toc179821123"/>
      <w:bookmarkStart w:id="7364" w:name="_Toc179826823"/>
      <w:bookmarkStart w:id="7365" w:name="_Toc179832469"/>
      <w:bookmarkStart w:id="7366" w:name="_Toc179863999"/>
      <w:bookmarkStart w:id="7367" w:name="_Toc179809741"/>
      <w:bookmarkStart w:id="7368" w:name="_Toc179815424"/>
      <w:bookmarkStart w:id="7369" w:name="_Toc179821124"/>
      <w:bookmarkStart w:id="7370" w:name="_Toc179826824"/>
      <w:bookmarkStart w:id="7371" w:name="_Toc179832470"/>
      <w:bookmarkStart w:id="7372" w:name="_Toc179864000"/>
      <w:bookmarkStart w:id="7373" w:name="_Toc179809742"/>
      <w:bookmarkStart w:id="7374" w:name="_Toc179815425"/>
      <w:bookmarkStart w:id="7375" w:name="_Toc179821125"/>
      <w:bookmarkStart w:id="7376" w:name="_Toc179826825"/>
      <w:bookmarkStart w:id="7377" w:name="_Toc179832471"/>
      <w:bookmarkStart w:id="7378" w:name="_Toc179864001"/>
      <w:bookmarkStart w:id="7379" w:name="_Toc179809743"/>
      <w:bookmarkStart w:id="7380" w:name="_Toc179815426"/>
      <w:bookmarkStart w:id="7381" w:name="_Toc179821126"/>
      <w:bookmarkStart w:id="7382" w:name="_Toc179826826"/>
      <w:bookmarkStart w:id="7383" w:name="_Toc179832472"/>
      <w:bookmarkStart w:id="7384" w:name="_Toc179864002"/>
      <w:bookmarkStart w:id="7385" w:name="_Toc179809744"/>
      <w:bookmarkStart w:id="7386" w:name="_Toc179815427"/>
      <w:bookmarkStart w:id="7387" w:name="_Toc179821127"/>
      <w:bookmarkStart w:id="7388" w:name="_Toc179826827"/>
      <w:bookmarkStart w:id="7389" w:name="_Toc179832473"/>
      <w:bookmarkStart w:id="7390" w:name="_Toc179864003"/>
      <w:bookmarkStart w:id="7391" w:name="_Toc179809745"/>
      <w:bookmarkStart w:id="7392" w:name="_Toc179815428"/>
      <w:bookmarkStart w:id="7393" w:name="_Toc179821128"/>
      <w:bookmarkStart w:id="7394" w:name="_Toc179826828"/>
      <w:bookmarkStart w:id="7395" w:name="_Toc179832474"/>
      <w:bookmarkStart w:id="7396" w:name="_Toc179864004"/>
      <w:bookmarkStart w:id="7397" w:name="_Toc179809746"/>
      <w:bookmarkStart w:id="7398" w:name="_Toc179815429"/>
      <w:bookmarkStart w:id="7399" w:name="_Toc179821129"/>
      <w:bookmarkStart w:id="7400" w:name="_Toc179826829"/>
      <w:bookmarkStart w:id="7401" w:name="_Toc179832475"/>
      <w:bookmarkStart w:id="7402" w:name="_Toc179864005"/>
      <w:bookmarkStart w:id="7403" w:name="_Toc179809747"/>
      <w:bookmarkStart w:id="7404" w:name="_Toc179815430"/>
      <w:bookmarkStart w:id="7405" w:name="_Toc179821130"/>
      <w:bookmarkStart w:id="7406" w:name="_Toc179826830"/>
      <w:bookmarkStart w:id="7407" w:name="_Toc179832476"/>
      <w:bookmarkStart w:id="7408" w:name="_Toc179864006"/>
      <w:bookmarkStart w:id="7409" w:name="_Toc179809754"/>
      <w:bookmarkStart w:id="7410" w:name="_Toc179815437"/>
      <w:bookmarkStart w:id="7411" w:name="_Toc179821137"/>
      <w:bookmarkStart w:id="7412" w:name="_Toc179826837"/>
      <w:bookmarkStart w:id="7413" w:name="_Toc179832483"/>
      <w:bookmarkStart w:id="7414" w:name="_Toc179864013"/>
      <w:bookmarkStart w:id="7415" w:name="_Toc179809767"/>
      <w:bookmarkStart w:id="7416" w:name="_Toc179815450"/>
      <w:bookmarkStart w:id="7417" w:name="_Toc179821150"/>
      <w:bookmarkStart w:id="7418" w:name="_Toc179826850"/>
      <w:bookmarkStart w:id="7419" w:name="_Toc179832496"/>
      <w:bookmarkStart w:id="7420" w:name="_Toc179864026"/>
      <w:bookmarkStart w:id="7421" w:name="_Toc179809774"/>
      <w:bookmarkStart w:id="7422" w:name="_Toc179815457"/>
      <w:bookmarkStart w:id="7423" w:name="_Toc179821157"/>
      <w:bookmarkStart w:id="7424" w:name="_Toc179826857"/>
      <w:bookmarkStart w:id="7425" w:name="_Toc179832503"/>
      <w:bookmarkStart w:id="7426" w:name="_Toc179864033"/>
      <w:bookmarkStart w:id="7427" w:name="_Toc179809781"/>
      <w:bookmarkStart w:id="7428" w:name="_Toc179815464"/>
      <w:bookmarkStart w:id="7429" w:name="_Toc179821164"/>
      <w:bookmarkStart w:id="7430" w:name="_Toc179826864"/>
      <w:bookmarkStart w:id="7431" w:name="_Toc179832510"/>
      <w:bookmarkStart w:id="7432" w:name="_Toc179864040"/>
      <w:bookmarkStart w:id="7433" w:name="_Toc179809788"/>
      <w:bookmarkStart w:id="7434" w:name="_Toc179815471"/>
      <w:bookmarkStart w:id="7435" w:name="_Toc179821171"/>
      <w:bookmarkStart w:id="7436" w:name="_Toc179826871"/>
      <w:bookmarkStart w:id="7437" w:name="_Toc179832517"/>
      <w:bookmarkStart w:id="7438" w:name="_Toc179864047"/>
      <w:bookmarkStart w:id="7439" w:name="_Toc179809795"/>
      <w:bookmarkStart w:id="7440" w:name="_Toc179815478"/>
      <w:bookmarkStart w:id="7441" w:name="_Toc179821178"/>
      <w:bookmarkStart w:id="7442" w:name="_Toc179826878"/>
      <w:bookmarkStart w:id="7443" w:name="_Toc179832524"/>
      <w:bookmarkStart w:id="7444" w:name="_Toc179864054"/>
      <w:bookmarkStart w:id="7445" w:name="_Toc179809802"/>
      <w:bookmarkStart w:id="7446" w:name="_Toc179815485"/>
      <w:bookmarkStart w:id="7447" w:name="_Toc179821185"/>
      <w:bookmarkStart w:id="7448" w:name="_Toc179826885"/>
      <w:bookmarkStart w:id="7449" w:name="_Toc179832531"/>
      <w:bookmarkStart w:id="7450" w:name="_Toc179864061"/>
      <w:bookmarkStart w:id="7451" w:name="_Toc179809809"/>
      <w:bookmarkStart w:id="7452" w:name="_Toc179815492"/>
      <w:bookmarkStart w:id="7453" w:name="_Toc179821192"/>
      <w:bookmarkStart w:id="7454" w:name="_Toc179826892"/>
      <w:bookmarkStart w:id="7455" w:name="_Toc179832538"/>
      <w:bookmarkStart w:id="7456" w:name="_Toc179864068"/>
      <w:bookmarkStart w:id="7457" w:name="_Toc179809816"/>
      <w:bookmarkStart w:id="7458" w:name="_Toc179815499"/>
      <w:bookmarkStart w:id="7459" w:name="_Toc179821199"/>
      <w:bookmarkStart w:id="7460" w:name="_Toc179826899"/>
      <w:bookmarkStart w:id="7461" w:name="_Toc179832545"/>
      <w:bookmarkStart w:id="7462" w:name="_Toc179864075"/>
      <w:bookmarkStart w:id="7463" w:name="_Toc179809823"/>
      <w:bookmarkStart w:id="7464" w:name="_Toc179815506"/>
      <w:bookmarkStart w:id="7465" w:name="_Toc179821206"/>
      <w:bookmarkStart w:id="7466" w:name="_Toc179826906"/>
      <w:bookmarkStart w:id="7467" w:name="_Toc179832552"/>
      <w:bookmarkStart w:id="7468" w:name="_Toc179864082"/>
      <w:bookmarkStart w:id="7469" w:name="_Toc179809830"/>
      <w:bookmarkStart w:id="7470" w:name="_Toc179815513"/>
      <w:bookmarkStart w:id="7471" w:name="_Toc179821213"/>
      <w:bookmarkStart w:id="7472" w:name="_Toc179826913"/>
      <w:bookmarkStart w:id="7473" w:name="_Toc179832559"/>
      <w:bookmarkStart w:id="7474" w:name="_Toc179864089"/>
      <w:bookmarkStart w:id="7475" w:name="_Toc179809837"/>
      <w:bookmarkStart w:id="7476" w:name="_Toc179815520"/>
      <w:bookmarkStart w:id="7477" w:name="_Toc179821220"/>
      <w:bookmarkStart w:id="7478" w:name="_Toc179826920"/>
      <w:bookmarkStart w:id="7479" w:name="_Toc179832566"/>
      <w:bookmarkStart w:id="7480" w:name="_Toc179864096"/>
      <w:bookmarkStart w:id="7481" w:name="_Toc179809844"/>
      <w:bookmarkStart w:id="7482" w:name="_Toc179815527"/>
      <w:bookmarkStart w:id="7483" w:name="_Toc179821227"/>
      <w:bookmarkStart w:id="7484" w:name="_Toc179826927"/>
      <w:bookmarkStart w:id="7485" w:name="_Toc179832573"/>
      <w:bookmarkStart w:id="7486" w:name="_Toc179864103"/>
      <w:bookmarkStart w:id="7487" w:name="_Toc179809851"/>
      <w:bookmarkStart w:id="7488" w:name="_Toc179815534"/>
      <w:bookmarkStart w:id="7489" w:name="_Toc179821234"/>
      <w:bookmarkStart w:id="7490" w:name="_Toc179826934"/>
      <w:bookmarkStart w:id="7491" w:name="_Toc179832580"/>
      <w:bookmarkStart w:id="7492" w:name="_Toc179864110"/>
      <w:bookmarkStart w:id="7493" w:name="_Toc179809852"/>
      <w:bookmarkStart w:id="7494" w:name="_Toc179815535"/>
      <w:bookmarkStart w:id="7495" w:name="_Toc179821235"/>
      <w:bookmarkStart w:id="7496" w:name="_Toc179826935"/>
      <w:bookmarkStart w:id="7497" w:name="_Toc179832581"/>
      <w:bookmarkStart w:id="7498" w:name="_Toc179864111"/>
      <w:bookmarkStart w:id="7499" w:name="_Toc179809853"/>
      <w:bookmarkStart w:id="7500" w:name="_Toc179815536"/>
      <w:bookmarkStart w:id="7501" w:name="_Toc179821236"/>
      <w:bookmarkStart w:id="7502" w:name="_Toc179826936"/>
      <w:bookmarkStart w:id="7503" w:name="_Toc179832582"/>
      <w:bookmarkStart w:id="7504" w:name="_Toc179864112"/>
      <w:bookmarkStart w:id="7505" w:name="_Toc179809854"/>
      <w:bookmarkStart w:id="7506" w:name="_Toc179815537"/>
      <w:bookmarkStart w:id="7507" w:name="_Toc179821237"/>
      <w:bookmarkStart w:id="7508" w:name="_Toc179826937"/>
      <w:bookmarkStart w:id="7509" w:name="_Toc179832583"/>
      <w:bookmarkStart w:id="7510" w:name="_Toc179864113"/>
      <w:bookmarkStart w:id="7511" w:name="_Toc179809855"/>
      <w:bookmarkStart w:id="7512" w:name="_Toc179815538"/>
      <w:bookmarkStart w:id="7513" w:name="_Toc179821238"/>
      <w:bookmarkStart w:id="7514" w:name="_Toc179826938"/>
      <w:bookmarkStart w:id="7515" w:name="_Toc179832584"/>
      <w:bookmarkStart w:id="7516" w:name="_Toc179864114"/>
      <w:bookmarkStart w:id="7517" w:name="_Toc179809856"/>
      <w:bookmarkStart w:id="7518" w:name="_Toc179815539"/>
      <w:bookmarkStart w:id="7519" w:name="_Toc179821239"/>
      <w:bookmarkStart w:id="7520" w:name="_Toc179826939"/>
      <w:bookmarkStart w:id="7521" w:name="_Toc179832585"/>
      <w:bookmarkStart w:id="7522" w:name="_Toc179864115"/>
      <w:bookmarkStart w:id="7523" w:name="_Toc179809868"/>
      <w:bookmarkStart w:id="7524" w:name="_Toc179815551"/>
      <w:bookmarkStart w:id="7525" w:name="_Toc179821251"/>
      <w:bookmarkStart w:id="7526" w:name="_Toc179826951"/>
      <w:bookmarkStart w:id="7527" w:name="_Toc179832597"/>
      <w:bookmarkStart w:id="7528" w:name="_Toc179864127"/>
      <w:bookmarkStart w:id="7529" w:name="_Toc179809874"/>
      <w:bookmarkStart w:id="7530" w:name="_Toc179815557"/>
      <w:bookmarkStart w:id="7531" w:name="_Toc179821257"/>
      <w:bookmarkStart w:id="7532" w:name="_Toc179826957"/>
      <w:bookmarkStart w:id="7533" w:name="_Toc179832603"/>
      <w:bookmarkStart w:id="7534" w:name="_Toc179864133"/>
      <w:bookmarkStart w:id="7535" w:name="_Toc179809880"/>
      <w:bookmarkStart w:id="7536" w:name="_Toc179815563"/>
      <w:bookmarkStart w:id="7537" w:name="_Toc179821263"/>
      <w:bookmarkStart w:id="7538" w:name="_Toc179826963"/>
      <w:bookmarkStart w:id="7539" w:name="_Toc179832609"/>
      <w:bookmarkStart w:id="7540" w:name="_Toc179864139"/>
      <w:bookmarkStart w:id="7541" w:name="_Toc179809897"/>
      <w:bookmarkStart w:id="7542" w:name="_Toc179815580"/>
      <w:bookmarkStart w:id="7543" w:name="_Toc179821280"/>
      <w:bookmarkStart w:id="7544" w:name="_Toc179826980"/>
      <w:bookmarkStart w:id="7545" w:name="_Toc179832626"/>
      <w:bookmarkStart w:id="7546" w:name="_Toc179864156"/>
      <w:bookmarkStart w:id="7547" w:name="_Toc179809903"/>
      <w:bookmarkStart w:id="7548" w:name="_Toc179815586"/>
      <w:bookmarkStart w:id="7549" w:name="_Toc179821286"/>
      <w:bookmarkStart w:id="7550" w:name="_Toc179826986"/>
      <w:bookmarkStart w:id="7551" w:name="_Toc179832632"/>
      <w:bookmarkStart w:id="7552" w:name="_Toc179864162"/>
      <w:bookmarkStart w:id="7553" w:name="_Toc179809909"/>
      <w:bookmarkStart w:id="7554" w:name="_Toc179815592"/>
      <w:bookmarkStart w:id="7555" w:name="_Toc179821292"/>
      <w:bookmarkStart w:id="7556" w:name="_Toc179826992"/>
      <w:bookmarkStart w:id="7557" w:name="_Toc179832638"/>
      <w:bookmarkStart w:id="7558" w:name="_Toc179864168"/>
      <w:bookmarkStart w:id="7559" w:name="_Toc179809910"/>
      <w:bookmarkStart w:id="7560" w:name="_Toc179815593"/>
      <w:bookmarkStart w:id="7561" w:name="_Toc179821293"/>
      <w:bookmarkStart w:id="7562" w:name="_Toc179826993"/>
      <w:bookmarkStart w:id="7563" w:name="_Toc179832639"/>
      <w:bookmarkStart w:id="7564" w:name="_Toc179864169"/>
      <w:bookmarkStart w:id="7565" w:name="_Toc179809911"/>
      <w:bookmarkStart w:id="7566" w:name="_Toc179815594"/>
      <w:bookmarkStart w:id="7567" w:name="_Toc179821294"/>
      <w:bookmarkStart w:id="7568" w:name="_Toc179826994"/>
      <w:bookmarkStart w:id="7569" w:name="_Toc179832640"/>
      <w:bookmarkStart w:id="7570" w:name="_Toc179864170"/>
      <w:bookmarkStart w:id="7571" w:name="_Toc179809912"/>
      <w:bookmarkStart w:id="7572" w:name="_Toc179815595"/>
      <w:bookmarkStart w:id="7573" w:name="_Toc179821295"/>
      <w:bookmarkStart w:id="7574" w:name="_Toc179826995"/>
      <w:bookmarkStart w:id="7575" w:name="_Toc179832641"/>
      <w:bookmarkStart w:id="7576" w:name="_Toc179864171"/>
      <w:bookmarkStart w:id="7577" w:name="_Toc179809913"/>
      <w:bookmarkStart w:id="7578" w:name="_Toc179815596"/>
      <w:bookmarkStart w:id="7579" w:name="_Toc179821296"/>
      <w:bookmarkStart w:id="7580" w:name="_Toc179826996"/>
      <w:bookmarkStart w:id="7581" w:name="_Toc179832642"/>
      <w:bookmarkStart w:id="7582" w:name="_Toc179864172"/>
      <w:bookmarkStart w:id="7583" w:name="_Toc179809914"/>
      <w:bookmarkStart w:id="7584" w:name="_Toc179815597"/>
      <w:bookmarkStart w:id="7585" w:name="_Toc179821297"/>
      <w:bookmarkStart w:id="7586" w:name="_Toc179826997"/>
      <w:bookmarkStart w:id="7587" w:name="_Toc179832643"/>
      <w:bookmarkStart w:id="7588" w:name="_Toc179864173"/>
      <w:bookmarkStart w:id="7589" w:name="_Toc179809915"/>
      <w:bookmarkStart w:id="7590" w:name="_Toc179815598"/>
      <w:bookmarkStart w:id="7591" w:name="_Toc179821298"/>
      <w:bookmarkStart w:id="7592" w:name="_Toc179826998"/>
      <w:bookmarkStart w:id="7593" w:name="_Toc179832644"/>
      <w:bookmarkStart w:id="7594" w:name="_Toc179864174"/>
      <w:bookmarkStart w:id="7595" w:name="_Toc179809916"/>
      <w:bookmarkStart w:id="7596" w:name="_Toc179815599"/>
      <w:bookmarkStart w:id="7597" w:name="_Toc179821299"/>
      <w:bookmarkStart w:id="7598" w:name="_Toc179826999"/>
      <w:bookmarkStart w:id="7599" w:name="_Toc179832645"/>
      <w:bookmarkStart w:id="7600" w:name="_Toc179864175"/>
      <w:bookmarkStart w:id="7601" w:name="_Toc179809917"/>
      <w:bookmarkStart w:id="7602" w:name="_Toc179815600"/>
      <w:bookmarkStart w:id="7603" w:name="_Toc179821300"/>
      <w:bookmarkStart w:id="7604" w:name="_Toc179827000"/>
      <w:bookmarkStart w:id="7605" w:name="_Toc179832646"/>
      <w:bookmarkStart w:id="7606" w:name="_Toc179864176"/>
      <w:bookmarkStart w:id="7607" w:name="_Toc179809918"/>
      <w:bookmarkStart w:id="7608" w:name="_Toc179815601"/>
      <w:bookmarkStart w:id="7609" w:name="_Toc179821301"/>
      <w:bookmarkStart w:id="7610" w:name="_Toc179827001"/>
      <w:bookmarkStart w:id="7611" w:name="_Toc179832647"/>
      <w:bookmarkStart w:id="7612" w:name="_Toc179864177"/>
      <w:bookmarkStart w:id="7613" w:name="_Toc179809919"/>
      <w:bookmarkStart w:id="7614" w:name="_Toc179815602"/>
      <w:bookmarkStart w:id="7615" w:name="_Toc179821302"/>
      <w:bookmarkStart w:id="7616" w:name="_Toc179827002"/>
      <w:bookmarkStart w:id="7617" w:name="_Toc179832648"/>
      <w:bookmarkStart w:id="7618" w:name="_Toc179864178"/>
      <w:bookmarkStart w:id="7619" w:name="_Toc179809920"/>
      <w:bookmarkStart w:id="7620" w:name="_Toc179815603"/>
      <w:bookmarkStart w:id="7621" w:name="_Toc179821303"/>
      <w:bookmarkStart w:id="7622" w:name="_Toc179827003"/>
      <w:bookmarkStart w:id="7623" w:name="_Toc179832649"/>
      <w:bookmarkStart w:id="7624" w:name="_Toc179864179"/>
      <w:bookmarkStart w:id="7625" w:name="_Toc179809921"/>
      <w:bookmarkStart w:id="7626" w:name="_Toc179815604"/>
      <w:bookmarkStart w:id="7627" w:name="_Toc179821304"/>
      <w:bookmarkStart w:id="7628" w:name="_Toc179827004"/>
      <w:bookmarkStart w:id="7629" w:name="_Toc179832650"/>
      <w:bookmarkStart w:id="7630" w:name="_Toc179864180"/>
      <w:bookmarkStart w:id="7631" w:name="_Toc179809922"/>
      <w:bookmarkStart w:id="7632" w:name="_Toc179815605"/>
      <w:bookmarkStart w:id="7633" w:name="_Toc179821305"/>
      <w:bookmarkStart w:id="7634" w:name="_Toc179827005"/>
      <w:bookmarkStart w:id="7635" w:name="_Toc179832651"/>
      <w:bookmarkStart w:id="7636" w:name="_Toc179864181"/>
      <w:bookmarkStart w:id="7637" w:name="_Toc179809923"/>
      <w:bookmarkStart w:id="7638" w:name="_Toc179815606"/>
      <w:bookmarkStart w:id="7639" w:name="_Toc179821306"/>
      <w:bookmarkStart w:id="7640" w:name="_Toc179827006"/>
      <w:bookmarkStart w:id="7641" w:name="_Toc179832652"/>
      <w:bookmarkStart w:id="7642" w:name="_Toc179864182"/>
      <w:bookmarkStart w:id="7643" w:name="_Toc179809924"/>
      <w:bookmarkStart w:id="7644" w:name="_Toc179815607"/>
      <w:bookmarkStart w:id="7645" w:name="_Toc179821307"/>
      <w:bookmarkStart w:id="7646" w:name="_Toc179827007"/>
      <w:bookmarkStart w:id="7647" w:name="_Toc179832653"/>
      <w:bookmarkStart w:id="7648" w:name="_Toc179864183"/>
      <w:bookmarkStart w:id="7649" w:name="_Toc179809925"/>
      <w:bookmarkStart w:id="7650" w:name="_Toc179815608"/>
      <w:bookmarkStart w:id="7651" w:name="_Toc179821308"/>
      <w:bookmarkStart w:id="7652" w:name="_Toc179827008"/>
      <w:bookmarkStart w:id="7653" w:name="_Toc179832654"/>
      <w:bookmarkStart w:id="7654" w:name="_Toc179864184"/>
      <w:bookmarkStart w:id="7655" w:name="_Toc179809926"/>
      <w:bookmarkStart w:id="7656" w:name="_Toc179815609"/>
      <w:bookmarkStart w:id="7657" w:name="_Toc179821309"/>
      <w:bookmarkStart w:id="7658" w:name="_Toc179827009"/>
      <w:bookmarkStart w:id="7659" w:name="_Toc179832655"/>
      <w:bookmarkStart w:id="7660" w:name="_Toc179864185"/>
      <w:bookmarkStart w:id="7661" w:name="_Toc179809927"/>
      <w:bookmarkStart w:id="7662" w:name="_Toc179815610"/>
      <w:bookmarkStart w:id="7663" w:name="_Toc179821310"/>
      <w:bookmarkStart w:id="7664" w:name="_Toc179827010"/>
      <w:bookmarkStart w:id="7665" w:name="_Toc179832656"/>
      <w:bookmarkStart w:id="7666" w:name="_Toc179864186"/>
      <w:bookmarkStart w:id="7667" w:name="_Toc179809928"/>
      <w:bookmarkStart w:id="7668" w:name="_Toc179815611"/>
      <w:bookmarkStart w:id="7669" w:name="_Toc179821311"/>
      <w:bookmarkStart w:id="7670" w:name="_Toc179827011"/>
      <w:bookmarkStart w:id="7671" w:name="_Toc179832657"/>
      <w:bookmarkStart w:id="7672" w:name="_Toc179864187"/>
      <w:bookmarkStart w:id="7673" w:name="_Toc179809929"/>
      <w:bookmarkStart w:id="7674" w:name="_Toc179815612"/>
      <w:bookmarkStart w:id="7675" w:name="_Toc179821312"/>
      <w:bookmarkStart w:id="7676" w:name="_Toc179827012"/>
      <w:bookmarkStart w:id="7677" w:name="_Toc179832658"/>
      <w:bookmarkStart w:id="7678" w:name="_Toc179864188"/>
      <w:bookmarkStart w:id="7679" w:name="_Toc179809930"/>
      <w:bookmarkStart w:id="7680" w:name="_Toc179815613"/>
      <w:bookmarkStart w:id="7681" w:name="_Toc179821313"/>
      <w:bookmarkStart w:id="7682" w:name="_Toc179827013"/>
      <w:bookmarkStart w:id="7683" w:name="_Toc179832659"/>
      <w:bookmarkStart w:id="7684" w:name="_Toc179864189"/>
      <w:bookmarkStart w:id="7685" w:name="_Toc179809931"/>
      <w:bookmarkStart w:id="7686" w:name="_Toc179815614"/>
      <w:bookmarkStart w:id="7687" w:name="_Toc179821314"/>
      <w:bookmarkStart w:id="7688" w:name="_Toc179827014"/>
      <w:bookmarkStart w:id="7689" w:name="_Toc179832660"/>
      <w:bookmarkStart w:id="7690" w:name="_Toc179864190"/>
      <w:bookmarkStart w:id="7691" w:name="_Toc179809932"/>
      <w:bookmarkStart w:id="7692" w:name="_Toc179815615"/>
      <w:bookmarkStart w:id="7693" w:name="_Toc179821315"/>
      <w:bookmarkStart w:id="7694" w:name="_Toc179827015"/>
      <w:bookmarkStart w:id="7695" w:name="_Toc179832661"/>
      <w:bookmarkStart w:id="7696" w:name="_Toc179864191"/>
      <w:bookmarkStart w:id="7697" w:name="_Toc179809933"/>
      <w:bookmarkStart w:id="7698" w:name="_Toc179815616"/>
      <w:bookmarkStart w:id="7699" w:name="_Toc179821316"/>
      <w:bookmarkStart w:id="7700" w:name="_Toc179827016"/>
      <w:bookmarkStart w:id="7701" w:name="_Toc179832662"/>
      <w:bookmarkStart w:id="7702" w:name="_Toc179864192"/>
      <w:bookmarkStart w:id="7703" w:name="_Toc179809934"/>
      <w:bookmarkStart w:id="7704" w:name="_Toc179815617"/>
      <w:bookmarkStart w:id="7705" w:name="_Toc179821317"/>
      <w:bookmarkStart w:id="7706" w:name="_Toc179827017"/>
      <w:bookmarkStart w:id="7707" w:name="_Toc179832663"/>
      <w:bookmarkStart w:id="7708" w:name="_Toc179864193"/>
      <w:bookmarkStart w:id="7709" w:name="_Toc179809935"/>
      <w:bookmarkStart w:id="7710" w:name="_Toc179815618"/>
      <w:bookmarkStart w:id="7711" w:name="_Toc179821318"/>
      <w:bookmarkStart w:id="7712" w:name="_Toc179827018"/>
      <w:bookmarkStart w:id="7713" w:name="_Toc179832664"/>
      <w:bookmarkStart w:id="7714" w:name="_Toc179864194"/>
      <w:bookmarkStart w:id="7715" w:name="_Toc179809936"/>
      <w:bookmarkStart w:id="7716" w:name="_Toc179815619"/>
      <w:bookmarkStart w:id="7717" w:name="_Toc179821319"/>
      <w:bookmarkStart w:id="7718" w:name="_Toc179827019"/>
      <w:bookmarkStart w:id="7719" w:name="_Toc179832665"/>
      <w:bookmarkStart w:id="7720" w:name="_Toc179864195"/>
      <w:bookmarkStart w:id="7721" w:name="_Toc179809937"/>
      <w:bookmarkStart w:id="7722" w:name="_Toc179815620"/>
      <w:bookmarkStart w:id="7723" w:name="_Toc179821320"/>
      <w:bookmarkStart w:id="7724" w:name="_Toc179827020"/>
      <w:bookmarkStart w:id="7725" w:name="_Toc179832666"/>
      <w:bookmarkStart w:id="7726" w:name="_Toc179864196"/>
      <w:bookmarkStart w:id="7727" w:name="_Toc179809938"/>
      <w:bookmarkStart w:id="7728" w:name="_Toc179815621"/>
      <w:bookmarkStart w:id="7729" w:name="_Toc179821321"/>
      <w:bookmarkStart w:id="7730" w:name="_Toc179827021"/>
      <w:bookmarkStart w:id="7731" w:name="_Toc179832667"/>
      <w:bookmarkStart w:id="7732" w:name="_Toc179864197"/>
      <w:bookmarkStart w:id="7733" w:name="_Toc179809939"/>
      <w:bookmarkStart w:id="7734" w:name="_Toc179815622"/>
      <w:bookmarkStart w:id="7735" w:name="_Toc179821322"/>
      <w:bookmarkStart w:id="7736" w:name="_Toc179827022"/>
      <w:bookmarkStart w:id="7737" w:name="_Toc179832668"/>
      <w:bookmarkStart w:id="7738" w:name="_Toc179864198"/>
      <w:bookmarkStart w:id="7739" w:name="_Toc179809940"/>
      <w:bookmarkStart w:id="7740" w:name="_Toc179815623"/>
      <w:bookmarkStart w:id="7741" w:name="_Toc179821323"/>
      <w:bookmarkStart w:id="7742" w:name="_Toc179827023"/>
      <w:bookmarkStart w:id="7743" w:name="_Toc179832669"/>
      <w:bookmarkStart w:id="7744" w:name="_Toc179864199"/>
      <w:bookmarkStart w:id="7745" w:name="_Toc179809941"/>
      <w:bookmarkStart w:id="7746" w:name="_Toc179815624"/>
      <w:bookmarkStart w:id="7747" w:name="_Toc179821324"/>
      <w:bookmarkStart w:id="7748" w:name="_Toc179827024"/>
      <w:bookmarkStart w:id="7749" w:name="_Toc179832670"/>
      <w:bookmarkStart w:id="7750" w:name="_Toc179864200"/>
      <w:bookmarkStart w:id="7751" w:name="_Toc179809942"/>
      <w:bookmarkStart w:id="7752" w:name="_Toc179815625"/>
      <w:bookmarkStart w:id="7753" w:name="_Toc179821325"/>
      <w:bookmarkStart w:id="7754" w:name="_Toc179827025"/>
      <w:bookmarkStart w:id="7755" w:name="_Toc179832671"/>
      <w:bookmarkStart w:id="7756" w:name="_Toc179864201"/>
      <w:bookmarkStart w:id="7757" w:name="_Toc179809943"/>
      <w:bookmarkStart w:id="7758" w:name="_Toc179815626"/>
      <w:bookmarkStart w:id="7759" w:name="_Toc179821326"/>
      <w:bookmarkStart w:id="7760" w:name="_Toc179827026"/>
      <w:bookmarkStart w:id="7761" w:name="_Toc179832672"/>
      <w:bookmarkStart w:id="7762" w:name="_Toc179864202"/>
      <w:bookmarkStart w:id="7763" w:name="_Toc179809944"/>
      <w:bookmarkStart w:id="7764" w:name="_Toc179815627"/>
      <w:bookmarkStart w:id="7765" w:name="_Toc179821327"/>
      <w:bookmarkStart w:id="7766" w:name="_Toc179827027"/>
      <w:bookmarkStart w:id="7767" w:name="_Toc179832673"/>
      <w:bookmarkStart w:id="7768" w:name="_Toc179864203"/>
      <w:bookmarkStart w:id="7769" w:name="_Toc179809945"/>
      <w:bookmarkStart w:id="7770" w:name="_Toc179815628"/>
      <w:bookmarkStart w:id="7771" w:name="_Toc179821328"/>
      <w:bookmarkStart w:id="7772" w:name="_Toc179827028"/>
      <w:bookmarkStart w:id="7773" w:name="_Toc179832674"/>
      <w:bookmarkStart w:id="7774" w:name="_Toc179864204"/>
      <w:bookmarkStart w:id="7775" w:name="_Toc179809946"/>
      <w:bookmarkStart w:id="7776" w:name="_Toc179815629"/>
      <w:bookmarkStart w:id="7777" w:name="_Toc179821329"/>
      <w:bookmarkStart w:id="7778" w:name="_Toc179827029"/>
      <w:bookmarkStart w:id="7779" w:name="_Toc179832675"/>
      <w:bookmarkStart w:id="7780" w:name="_Toc179864205"/>
      <w:bookmarkStart w:id="7781" w:name="_Toc179809947"/>
      <w:bookmarkStart w:id="7782" w:name="_Toc179815630"/>
      <w:bookmarkStart w:id="7783" w:name="_Toc179821330"/>
      <w:bookmarkStart w:id="7784" w:name="_Toc179827030"/>
      <w:bookmarkStart w:id="7785" w:name="_Toc179832676"/>
      <w:bookmarkStart w:id="7786" w:name="_Toc179864206"/>
      <w:bookmarkStart w:id="7787" w:name="_Toc179809948"/>
      <w:bookmarkStart w:id="7788" w:name="_Toc179815631"/>
      <w:bookmarkStart w:id="7789" w:name="_Toc179821331"/>
      <w:bookmarkStart w:id="7790" w:name="_Toc179827031"/>
      <w:bookmarkStart w:id="7791" w:name="_Toc179832677"/>
      <w:bookmarkStart w:id="7792" w:name="_Toc179864207"/>
      <w:bookmarkStart w:id="7793" w:name="_Toc179809949"/>
      <w:bookmarkStart w:id="7794" w:name="_Toc179815632"/>
      <w:bookmarkStart w:id="7795" w:name="_Toc179821332"/>
      <w:bookmarkStart w:id="7796" w:name="_Toc179827032"/>
      <w:bookmarkStart w:id="7797" w:name="_Toc179832678"/>
      <w:bookmarkStart w:id="7798" w:name="_Toc179864208"/>
      <w:bookmarkStart w:id="7799" w:name="_Toc179809950"/>
      <w:bookmarkStart w:id="7800" w:name="_Toc179815633"/>
      <w:bookmarkStart w:id="7801" w:name="_Toc179821333"/>
      <w:bookmarkStart w:id="7802" w:name="_Toc179827033"/>
      <w:bookmarkStart w:id="7803" w:name="_Toc179832679"/>
      <w:bookmarkStart w:id="7804" w:name="_Toc179864209"/>
      <w:bookmarkStart w:id="7805" w:name="_Toc179809951"/>
      <w:bookmarkStart w:id="7806" w:name="_Toc179815634"/>
      <w:bookmarkStart w:id="7807" w:name="_Toc179821334"/>
      <w:bookmarkStart w:id="7808" w:name="_Toc179827034"/>
      <w:bookmarkStart w:id="7809" w:name="_Toc179832680"/>
      <w:bookmarkStart w:id="7810" w:name="_Toc179864210"/>
      <w:bookmarkStart w:id="7811" w:name="_Toc179809952"/>
      <w:bookmarkStart w:id="7812" w:name="_Toc179815635"/>
      <w:bookmarkStart w:id="7813" w:name="_Toc179821335"/>
      <w:bookmarkStart w:id="7814" w:name="_Toc179827035"/>
      <w:bookmarkStart w:id="7815" w:name="_Toc179832681"/>
      <w:bookmarkStart w:id="7816" w:name="_Toc179864211"/>
      <w:bookmarkStart w:id="7817" w:name="_Toc179815636"/>
      <w:bookmarkStart w:id="7818" w:name="_Toc179821336"/>
      <w:bookmarkStart w:id="7819" w:name="_Toc179827036"/>
      <w:bookmarkStart w:id="7820" w:name="_Toc179832682"/>
      <w:bookmarkStart w:id="7821" w:name="_Toc179864212"/>
      <w:bookmarkEnd w:id="7091"/>
      <w:bookmarkEnd w:id="7092"/>
      <w:bookmarkEnd w:id="7093"/>
      <w:bookmarkEnd w:id="7094"/>
      <w:bookmarkEnd w:id="7095"/>
      <w:bookmarkEnd w:id="7096"/>
      <w:bookmarkEnd w:id="7097"/>
      <w:bookmarkEnd w:id="7098"/>
      <w:bookmarkEnd w:id="7099"/>
      <w:bookmarkEnd w:id="7100"/>
      <w:bookmarkEnd w:id="7101"/>
      <w:bookmarkEnd w:id="7102"/>
      <w:bookmarkEnd w:id="7103"/>
      <w:bookmarkEnd w:id="7104"/>
      <w:bookmarkEnd w:id="7105"/>
      <w:bookmarkEnd w:id="7106"/>
      <w:bookmarkEnd w:id="7107"/>
      <w:bookmarkEnd w:id="7108"/>
      <w:bookmarkEnd w:id="7109"/>
      <w:bookmarkEnd w:id="7110"/>
      <w:bookmarkEnd w:id="7111"/>
      <w:bookmarkEnd w:id="7112"/>
      <w:bookmarkEnd w:id="7113"/>
      <w:bookmarkEnd w:id="7114"/>
      <w:bookmarkEnd w:id="7115"/>
      <w:bookmarkEnd w:id="7116"/>
      <w:bookmarkEnd w:id="7117"/>
      <w:bookmarkEnd w:id="7118"/>
      <w:bookmarkEnd w:id="7119"/>
      <w:bookmarkEnd w:id="7120"/>
      <w:bookmarkEnd w:id="7121"/>
      <w:bookmarkEnd w:id="7122"/>
      <w:bookmarkEnd w:id="7123"/>
      <w:bookmarkEnd w:id="7124"/>
      <w:bookmarkEnd w:id="7125"/>
      <w:bookmarkEnd w:id="7126"/>
      <w:bookmarkEnd w:id="7127"/>
      <w:bookmarkEnd w:id="7128"/>
      <w:bookmarkEnd w:id="7129"/>
      <w:bookmarkEnd w:id="7130"/>
      <w:bookmarkEnd w:id="7131"/>
      <w:bookmarkEnd w:id="7132"/>
      <w:bookmarkEnd w:id="7133"/>
      <w:bookmarkEnd w:id="7134"/>
      <w:bookmarkEnd w:id="7135"/>
      <w:bookmarkEnd w:id="7136"/>
      <w:bookmarkEnd w:id="7137"/>
      <w:bookmarkEnd w:id="7138"/>
      <w:bookmarkEnd w:id="7139"/>
      <w:bookmarkEnd w:id="7140"/>
      <w:bookmarkEnd w:id="7141"/>
      <w:bookmarkEnd w:id="7142"/>
      <w:bookmarkEnd w:id="7143"/>
      <w:bookmarkEnd w:id="7144"/>
      <w:bookmarkEnd w:id="7145"/>
      <w:bookmarkEnd w:id="7146"/>
      <w:bookmarkEnd w:id="7147"/>
      <w:bookmarkEnd w:id="7148"/>
      <w:bookmarkEnd w:id="7149"/>
      <w:bookmarkEnd w:id="7150"/>
      <w:bookmarkEnd w:id="7151"/>
      <w:bookmarkEnd w:id="7152"/>
      <w:bookmarkEnd w:id="7153"/>
      <w:bookmarkEnd w:id="7154"/>
      <w:bookmarkEnd w:id="7155"/>
      <w:bookmarkEnd w:id="7156"/>
      <w:bookmarkEnd w:id="7157"/>
      <w:bookmarkEnd w:id="7158"/>
      <w:bookmarkEnd w:id="7159"/>
      <w:bookmarkEnd w:id="7160"/>
      <w:bookmarkEnd w:id="7161"/>
      <w:bookmarkEnd w:id="7162"/>
      <w:bookmarkEnd w:id="7163"/>
      <w:bookmarkEnd w:id="7164"/>
      <w:bookmarkEnd w:id="7165"/>
      <w:bookmarkEnd w:id="7166"/>
      <w:bookmarkEnd w:id="7167"/>
      <w:bookmarkEnd w:id="7168"/>
      <w:bookmarkEnd w:id="7169"/>
      <w:bookmarkEnd w:id="7170"/>
      <w:bookmarkEnd w:id="7171"/>
      <w:bookmarkEnd w:id="7172"/>
      <w:bookmarkEnd w:id="7173"/>
      <w:bookmarkEnd w:id="7174"/>
      <w:bookmarkEnd w:id="7175"/>
      <w:bookmarkEnd w:id="7176"/>
      <w:bookmarkEnd w:id="7177"/>
      <w:bookmarkEnd w:id="7178"/>
      <w:bookmarkEnd w:id="7179"/>
      <w:bookmarkEnd w:id="7180"/>
      <w:bookmarkEnd w:id="7181"/>
      <w:bookmarkEnd w:id="7182"/>
      <w:bookmarkEnd w:id="7183"/>
      <w:bookmarkEnd w:id="7184"/>
      <w:bookmarkEnd w:id="7185"/>
      <w:bookmarkEnd w:id="7186"/>
      <w:bookmarkEnd w:id="7187"/>
      <w:bookmarkEnd w:id="7188"/>
      <w:bookmarkEnd w:id="7189"/>
      <w:bookmarkEnd w:id="7190"/>
      <w:bookmarkEnd w:id="7191"/>
      <w:bookmarkEnd w:id="7192"/>
      <w:bookmarkEnd w:id="7193"/>
      <w:bookmarkEnd w:id="7194"/>
      <w:bookmarkEnd w:id="7195"/>
      <w:bookmarkEnd w:id="7196"/>
      <w:bookmarkEnd w:id="7197"/>
      <w:bookmarkEnd w:id="7198"/>
      <w:bookmarkEnd w:id="7199"/>
      <w:bookmarkEnd w:id="7200"/>
      <w:bookmarkEnd w:id="7201"/>
      <w:bookmarkEnd w:id="7202"/>
      <w:bookmarkEnd w:id="7203"/>
      <w:bookmarkEnd w:id="7204"/>
      <w:bookmarkEnd w:id="7205"/>
      <w:bookmarkEnd w:id="7206"/>
      <w:bookmarkEnd w:id="7207"/>
      <w:bookmarkEnd w:id="7208"/>
      <w:bookmarkEnd w:id="7209"/>
      <w:bookmarkEnd w:id="7210"/>
      <w:bookmarkEnd w:id="7211"/>
      <w:bookmarkEnd w:id="7212"/>
      <w:bookmarkEnd w:id="7213"/>
      <w:bookmarkEnd w:id="7214"/>
      <w:bookmarkEnd w:id="7215"/>
      <w:bookmarkEnd w:id="7216"/>
      <w:bookmarkEnd w:id="7217"/>
      <w:bookmarkEnd w:id="7218"/>
      <w:bookmarkEnd w:id="7219"/>
      <w:bookmarkEnd w:id="7220"/>
      <w:bookmarkEnd w:id="7221"/>
      <w:bookmarkEnd w:id="7222"/>
      <w:bookmarkEnd w:id="7223"/>
      <w:bookmarkEnd w:id="7224"/>
      <w:bookmarkEnd w:id="7225"/>
      <w:bookmarkEnd w:id="7226"/>
      <w:bookmarkEnd w:id="7227"/>
      <w:bookmarkEnd w:id="7228"/>
      <w:bookmarkEnd w:id="7229"/>
      <w:bookmarkEnd w:id="7230"/>
      <w:bookmarkEnd w:id="7231"/>
      <w:bookmarkEnd w:id="7232"/>
      <w:bookmarkEnd w:id="7233"/>
      <w:bookmarkEnd w:id="7234"/>
      <w:bookmarkEnd w:id="7235"/>
      <w:bookmarkEnd w:id="7236"/>
      <w:bookmarkEnd w:id="7237"/>
      <w:bookmarkEnd w:id="7238"/>
      <w:bookmarkEnd w:id="7239"/>
      <w:bookmarkEnd w:id="7240"/>
      <w:bookmarkEnd w:id="7241"/>
      <w:bookmarkEnd w:id="7242"/>
      <w:bookmarkEnd w:id="7243"/>
      <w:bookmarkEnd w:id="7244"/>
      <w:bookmarkEnd w:id="7245"/>
      <w:bookmarkEnd w:id="7246"/>
      <w:bookmarkEnd w:id="7247"/>
      <w:bookmarkEnd w:id="7248"/>
      <w:bookmarkEnd w:id="7249"/>
      <w:bookmarkEnd w:id="7250"/>
      <w:bookmarkEnd w:id="7251"/>
      <w:bookmarkEnd w:id="7252"/>
      <w:bookmarkEnd w:id="7253"/>
      <w:bookmarkEnd w:id="7254"/>
      <w:bookmarkEnd w:id="7255"/>
      <w:bookmarkEnd w:id="7256"/>
      <w:bookmarkEnd w:id="7257"/>
      <w:bookmarkEnd w:id="7258"/>
      <w:bookmarkEnd w:id="7259"/>
      <w:bookmarkEnd w:id="7260"/>
      <w:bookmarkEnd w:id="7261"/>
      <w:bookmarkEnd w:id="7262"/>
      <w:bookmarkEnd w:id="7263"/>
      <w:bookmarkEnd w:id="7264"/>
      <w:bookmarkEnd w:id="7265"/>
      <w:bookmarkEnd w:id="7266"/>
      <w:bookmarkEnd w:id="7267"/>
      <w:bookmarkEnd w:id="7268"/>
      <w:bookmarkEnd w:id="7269"/>
      <w:bookmarkEnd w:id="7270"/>
      <w:bookmarkEnd w:id="7271"/>
      <w:bookmarkEnd w:id="7272"/>
      <w:bookmarkEnd w:id="7273"/>
      <w:bookmarkEnd w:id="7274"/>
      <w:bookmarkEnd w:id="7275"/>
      <w:bookmarkEnd w:id="7276"/>
      <w:bookmarkEnd w:id="7277"/>
      <w:bookmarkEnd w:id="7278"/>
      <w:bookmarkEnd w:id="7279"/>
      <w:bookmarkEnd w:id="7280"/>
      <w:bookmarkEnd w:id="7281"/>
      <w:bookmarkEnd w:id="7282"/>
      <w:bookmarkEnd w:id="7283"/>
      <w:bookmarkEnd w:id="7284"/>
      <w:bookmarkEnd w:id="7285"/>
      <w:bookmarkEnd w:id="7286"/>
      <w:bookmarkEnd w:id="7287"/>
      <w:bookmarkEnd w:id="7288"/>
      <w:bookmarkEnd w:id="7289"/>
      <w:bookmarkEnd w:id="7290"/>
      <w:bookmarkEnd w:id="7291"/>
      <w:bookmarkEnd w:id="7292"/>
      <w:bookmarkEnd w:id="7293"/>
      <w:bookmarkEnd w:id="7294"/>
      <w:bookmarkEnd w:id="7295"/>
      <w:bookmarkEnd w:id="7296"/>
      <w:bookmarkEnd w:id="7297"/>
      <w:bookmarkEnd w:id="7298"/>
      <w:bookmarkEnd w:id="7299"/>
      <w:bookmarkEnd w:id="7300"/>
      <w:bookmarkEnd w:id="7301"/>
      <w:bookmarkEnd w:id="7302"/>
      <w:bookmarkEnd w:id="7303"/>
      <w:bookmarkEnd w:id="7304"/>
      <w:bookmarkEnd w:id="7305"/>
      <w:bookmarkEnd w:id="7306"/>
      <w:bookmarkEnd w:id="7307"/>
      <w:bookmarkEnd w:id="7308"/>
      <w:bookmarkEnd w:id="7309"/>
      <w:bookmarkEnd w:id="7310"/>
      <w:bookmarkEnd w:id="7311"/>
      <w:bookmarkEnd w:id="7312"/>
      <w:bookmarkEnd w:id="7313"/>
      <w:bookmarkEnd w:id="7314"/>
      <w:bookmarkEnd w:id="7315"/>
      <w:bookmarkEnd w:id="7316"/>
      <w:bookmarkEnd w:id="7317"/>
      <w:bookmarkEnd w:id="7318"/>
      <w:bookmarkEnd w:id="7319"/>
      <w:bookmarkEnd w:id="7320"/>
      <w:bookmarkEnd w:id="7321"/>
      <w:bookmarkEnd w:id="7322"/>
      <w:bookmarkEnd w:id="7323"/>
      <w:bookmarkEnd w:id="7324"/>
      <w:bookmarkEnd w:id="7325"/>
      <w:bookmarkEnd w:id="7326"/>
      <w:bookmarkEnd w:id="7327"/>
      <w:bookmarkEnd w:id="7328"/>
      <w:bookmarkEnd w:id="7329"/>
      <w:bookmarkEnd w:id="7330"/>
      <w:bookmarkEnd w:id="7331"/>
      <w:bookmarkEnd w:id="7332"/>
      <w:bookmarkEnd w:id="7333"/>
      <w:bookmarkEnd w:id="7334"/>
      <w:bookmarkEnd w:id="7335"/>
      <w:bookmarkEnd w:id="7336"/>
      <w:bookmarkEnd w:id="7337"/>
      <w:bookmarkEnd w:id="7338"/>
      <w:bookmarkEnd w:id="7339"/>
      <w:bookmarkEnd w:id="7340"/>
      <w:bookmarkEnd w:id="7341"/>
      <w:bookmarkEnd w:id="7342"/>
      <w:bookmarkEnd w:id="7343"/>
      <w:bookmarkEnd w:id="7344"/>
      <w:bookmarkEnd w:id="7345"/>
      <w:bookmarkEnd w:id="7346"/>
      <w:bookmarkEnd w:id="7347"/>
      <w:bookmarkEnd w:id="7348"/>
      <w:bookmarkEnd w:id="7349"/>
      <w:bookmarkEnd w:id="7350"/>
      <w:bookmarkEnd w:id="7351"/>
      <w:bookmarkEnd w:id="7352"/>
      <w:bookmarkEnd w:id="7353"/>
      <w:bookmarkEnd w:id="7354"/>
      <w:bookmarkEnd w:id="7355"/>
      <w:bookmarkEnd w:id="7356"/>
      <w:bookmarkEnd w:id="7357"/>
      <w:bookmarkEnd w:id="7358"/>
      <w:bookmarkEnd w:id="7359"/>
      <w:bookmarkEnd w:id="7360"/>
      <w:bookmarkEnd w:id="7361"/>
      <w:bookmarkEnd w:id="7362"/>
      <w:bookmarkEnd w:id="7363"/>
      <w:bookmarkEnd w:id="7364"/>
      <w:bookmarkEnd w:id="7365"/>
      <w:bookmarkEnd w:id="7366"/>
      <w:bookmarkEnd w:id="7367"/>
      <w:bookmarkEnd w:id="7368"/>
      <w:bookmarkEnd w:id="7369"/>
      <w:bookmarkEnd w:id="7370"/>
      <w:bookmarkEnd w:id="7371"/>
      <w:bookmarkEnd w:id="7372"/>
      <w:bookmarkEnd w:id="7373"/>
      <w:bookmarkEnd w:id="7374"/>
      <w:bookmarkEnd w:id="7375"/>
      <w:bookmarkEnd w:id="7376"/>
      <w:bookmarkEnd w:id="7377"/>
      <w:bookmarkEnd w:id="7378"/>
      <w:bookmarkEnd w:id="7379"/>
      <w:bookmarkEnd w:id="7380"/>
      <w:bookmarkEnd w:id="7381"/>
      <w:bookmarkEnd w:id="7382"/>
      <w:bookmarkEnd w:id="7383"/>
      <w:bookmarkEnd w:id="7384"/>
      <w:bookmarkEnd w:id="7385"/>
      <w:bookmarkEnd w:id="7386"/>
      <w:bookmarkEnd w:id="7387"/>
      <w:bookmarkEnd w:id="7388"/>
      <w:bookmarkEnd w:id="7389"/>
      <w:bookmarkEnd w:id="7390"/>
      <w:bookmarkEnd w:id="7391"/>
      <w:bookmarkEnd w:id="7392"/>
      <w:bookmarkEnd w:id="7393"/>
      <w:bookmarkEnd w:id="7394"/>
      <w:bookmarkEnd w:id="7395"/>
      <w:bookmarkEnd w:id="7396"/>
      <w:bookmarkEnd w:id="7397"/>
      <w:bookmarkEnd w:id="7398"/>
      <w:bookmarkEnd w:id="7399"/>
      <w:bookmarkEnd w:id="7400"/>
      <w:bookmarkEnd w:id="7401"/>
      <w:bookmarkEnd w:id="7402"/>
      <w:bookmarkEnd w:id="7403"/>
      <w:bookmarkEnd w:id="7404"/>
      <w:bookmarkEnd w:id="7405"/>
      <w:bookmarkEnd w:id="7406"/>
      <w:bookmarkEnd w:id="7407"/>
      <w:bookmarkEnd w:id="7408"/>
      <w:bookmarkEnd w:id="7409"/>
      <w:bookmarkEnd w:id="7410"/>
      <w:bookmarkEnd w:id="7411"/>
      <w:bookmarkEnd w:id="7412"/>
      <w:bookmarkEnd w:id="7413"/>
      <w:bookmarkEnd w:id="7414"/>
      <w:bookmarkEnd w:id="7415"/>
      <w:bookmarkEnd w:id="7416"/>
      <w:bookmarkEnd w:id="7417"/>
      <w:bookmarkEnd w:id="7418"/>
      <w:bookmarkEnd w:id="7419"/>
      <w:bookmarkEnd w:id="7420"/>
      <w:bookmarkEnd w:id="7421"/>
      <w:bookmarkEnd w:id="7422"/>
      <w:bookmarkEnd w:id="7423"/>
      <w:bookmarkEnd w:id="7424"/>
      <w:bookmarkEnd w:id="7425"/>
      <w:bookmarkEnd w:id="7426"/>
      <w:bookmarkEnd w:id="7427"/>
      <w:bookmarkEnd w:id="7428"/>
      <w:bookmarkEnd w:id="7429"/>
      <w:bookmarkEnd w:id="7430"/>
      <w:bookmarkEnd w:id="7431"/>
      <w:bookmarkEnd w:id="7432"/>
      <w:bookmarkEnd w:id="7433"/>
      <w:bookmarkEnd w:id="7434"/>
      <w:bookmarkEnd w:id="7435"/>
      <w:bookmarkEnd w:id="7436"/>
      <w:bookmarkEnd w:id="7437"/>
      <w:bookmarkEnd w:id="7438"/>
      <w:bookmarkEnd w:id="7439"/>
      <w:bookmarkEnd w:id="7440"/>
      <w:bookmarkEnd w:id="7441"/>
      <w:bookmarkEnd w:id="7442"/>
      <w:bookmarkEnd w:id="7443"/>
      <w:bookmarkEnd w:id="7444"/>
      <w:bookmarkEnd w:id="7445"/>
      <w:bookmarkEnd w:id="7446"/>
      <w:bookmarkEnd w:id="7447"/>
      <w:bookmarkEnd w:id="7448"/>
      <w:bookmarkEnd w:id="7449"/>
      <w:bookmarkEnd w:id="7450"/>
      <w:bookmarkEnd w:id="7451"/>
      <w:bookmarkEnd w:id="7452"/>
      <w:bookmarkEnd w:id="7453"/>
      <w:bookmarkEnd w:id="7454"/>
      <w:bookmarkEnd w:id="7455"/>
      <w:bookmarkEnd w:id="7456"/>
      <w:bookmarkEnd w:id="7457"/>
      <w:bookmarkEnd w:id="7458"/>
      <w:bookmarkEnd w:id="7459"/>
      <w:bookmarkEnd w:id="7460"/>
      <w:bookmarkEnd w:id="7461"/>
      <w:bookmarkEnd w:id="7462"/>
      <w:bookmarkEnd w:id="7463"/>
      <w:bookmarkEnd w:id="7464"/>
      <w:bookmarkEnd w:id="7465"/>
      <w:bookmarkEnd w:id="7466"/>
      <w:bookmarkEnd w:id="7467"/>
      <w:bookmarkEnd w:id="7468"/>
      <w:bookmarkEnd w:id="7469"/>
      <w:bookmarkEnd w:id="7470"/>
      <w:bookmarkEnd w:id="7471"/>
      <w:bookmarkEnd w:id="7472"/>
      <w:bookmarkEnd w:id="7473"/>
      <w:bookmarkEnd w:id="7474"/>
      <w:bookmarkEnd w:id="7475"/>
      <w:bookmarkEnd w:id="7476"/>
      <w:bookmarkEnd w:id="7477"/>
      <w:bookmarkEnd w:id="7478"/>
      <w:bookmarkEnd w:id="7479"/>
      <w:bookmarkEnd w:id="7480"/>
      <w:bookmarkEnd w:id="7481"/>
      <w:bookmarkEnd w:id="7482"/>
      <w:bookmarkEnd w:id="7483"/>
      <w:bookmarkEnd w:id="7484"/>
      <w:bookmarkEnd w:id="7485"/>
      <w:bookmarkEnd w:id="7486"/>
      <w:bookmarkEnd w:id="7487"/>
      <w:bookmarkEnd w:id="7488"/>
      <w:bookmarkEnd w:id="7489"/>
      <w:bookmarkEnd w:id="7490"/>
      <w:bookmarkEnd w:id="7491"/>
      <w:bookmarkEnd w:id="7492"/>
      <w:bookmarkEnd w:id="7493"/>
      <w:bookmarkEnd w:id="7494"/>
      <w:bookmarkEnd w:id="7495"/>
      <w:bookmarkEnd w:id="7496"/>
      <w:bookmarkEnd w:id="7497"/>
      <w:bookmarkEnd w:id="7498"/>
      <w:bookmarkEnd w:id="7499"/>
      <w:bookmarkEnd w:id="7500"/>
      <w:bookmarkEnd w:id="7501"/>
      <w:bookmarkEnd w:id="7502"/>
      <w:bookmarkEnd w:id="7503"/>
      <w:bookmarkEnd w:id="7504"/>
      <w:bookmarkEnd w:id="7505"/>
      <w:bookmarkEnd w:id="7506"/>
      <w:bookmarkEnd w:id="7507"/>
      <w:bookmarkEnd w:id="7508"/>
      <w:bookmarkEnd w:id="7509"/>
      <w:bookmarkEnd w:id="7510"/>
      <w:bookmarkEnd w:id="7511"/>
      <w:bookmarkEnd w:id="7512"/>
      <w:bookmarkEnd w:id="7513"/>
      <w:bookmarkEnd w:id="7514"/>
      <w:bookmarkEnd w:id="7515"/>
      <w:bookmarkEnd w:id="7516"/>
      <w:bookmarkEnd w:id="7517"/>
      <w:bookmarkEnd w:id="7518"/>
      <w:bookmarkEnd w:id="7519"/>
      <w:bookmarkEnd w:id="7520"/>
      <w:bookmarkEnd w:id="7521"/>
      <w:bookmarkEnd w:id="7522"/>
      <w:bookmarkEnd w:id="7523"/>
      <w:bookmarkEnd w:id="7524"/>
      <w:bookmarkEnd w:id="7525"/>
      <w:bookmarkEnd w:id="7526"/>
      <w:bookmarkEnd w:id="7527"/>
      <w:bookmarkEnd w:id="7528"/>
      <w:bookmarkEnd w:id="7529"/>
      <w:bookmarkEnd w:id="7530"/>
      <w:bookmarkEnd w:id="7531"/>
      <w:bookmarkEnd w:id="7532"/>
      <w:bookmarkEnd w:id="7533"/>
      <w:bookmarkEnd w:id="7534"/>
      <w:bookmarkEnd w:id="7535"/>
      <w:bookmarkEnd w:id="7536"/>
      <w:bookmarkEnd w:id="7537"/>
      <w:bookmarkEnd w:id="7538"/>
      <w:bookmarkEnd w:id="7539"/>
      <w:bookmarkEnd w:id="7540"/>
      <w:bookmarkEnd w:id="7541"/>
      <w:bookmarkEnd w:id="7542"/>
      <w:bookmarkEnd w:id="7543"/>
      <w:bookmarkEnd w:id="7544"/>
      <w:bookmarkEnd w:id="7545"/>
      <w:bookmarkEnd w:id="7546"/>
      <w:bookmarkEnd w:id="7547"/>
      <w:bookmarkEnd w:id="7548"/>
      <w:bookmarkEnd w:id="7549"/>
      <w:bookmarkEnd w:id="7550"/>
      <w:bookmarkEnd w:id="7551"/>
      <w:bookmarkEnd w:id="7552"/>
      <w:bookmarkEnd w:id="7553"/>
      <w:bookmarkEnd w:id="7554"/>
      <w:bookmarkEnd w:id="7555"/>
      <w:bookmarkEnd w:id="7556"/>
      <w:bookmarkEnd w:id="7557"/>
      <w:bookmarkEnd w:id="7558"/>
      <w:bookmarkEnd w:id="7559"/>
      <w:bookmarkEnd w:id="7560"/>
      <w:bookmarkEnd w:id="7561"/>
      <w:bookmarkEnd w:id="7562"/>
      <w:bookmarkEnd w:id="7563"/>
      <w:bookmarkEnd w:id="7564"/>
      <w:bookmarkEnd w:id="7565"/>
      <w:bookmarkEnd w:id="7566"/>
      <w:bookmarkEnd w:id="7567"/>
      <w:bookmarkEnd w:id="7568"/>
      <w:bookmarkEnd w:id="7569"/>
      <w:bookmarkEnd w:id="7570"/>
      <w:bookmarkEnd w:id="7571"/>
      <w:bookmarkEnd w:id="7572"/>
      <w:bookmarkEnd w:id="7573"/>
      <w:bookmarkEnd w:id="7574"/>
      <w:bookmarkEnd w:id="7575"/>
      <w:bookmarkEnd w:id="7576"/>
      <w:bookmarkEnd w:id="7577"/>
      <w:bookmarkEnd w:id="7578"/>
      <w:bookmarkEnd w:id="7579"/>
      <w:bookmarkEnd w:id="7580"/>
      <w:bookmarkEnd w:id="7581"/>
      <w:bookmarkEnd w:id="7582"/>
      <w:bookmarkEnd w:id="7583"/>
      <w:bookmarkEnd w:id="7584"/>
      <w:bookmarkEnd w:id="7585"/>
      <w:bookmarkEnd w:id="7586"/>
      <w:bookmarkEnd w:id="7587"/>
      <w:bookmarkEnd w:id="7588"/>
      <w:bookmarkEnd w:id="7589"/>
      <w:bookmarkEnd w:id="7590"/>
      <w:bookmarkEnd w:id="7591"/>
      <w:bookmarkEnd w:id="7592"/>
      <w:bookmarkEnd w:id="7593"/>
      <w:bookmarkEnd w:id="7594"/>
      <w:bookmarkEnd w:id="7595"/>
      <w:bookmarkEnd w:id="7596"/>
      <w:bookmarkEnd w:id="7597"/>
      <w:bookmarkEnd w:id="7598"/>
      <w:bookmarkEnd w:id="7599"/>
      <w:bookmarkEnd w:id="7600"/>
      <w:bookmarkEnd w:id="7601"/>
      <w:bookmarkEnd w:id="7602"/>
      <w:bookmarkEnd w:id="7603"/>
      <w:bookmarkEnd w:id="7604"/>
      <w:bookmarkEnd w:id="7605"/>
      <w:bookmarkEnd w:id="7606"/>
      <w:bookmarkEnd w:id="7607"/>
      <w:bookmarkEnd w:id="7608"/>
      <w:bookmarkEnd w:id="7609"/>
      <w:bookmarkEnd w:id="7610"/>
      <w:bookmarkEnd w:id="7611"/>
      <w:bookmarkEnd w:id="7612"/>
      <w:bookmarkEnd w:id="7613"/>
      <w:bookmarkEnd w:id="7614"/>
      <w:bookmarkEnd w:id="7615"/>
      <w:bookmarkEnd w:id="7616"/>
      <w:bookmarkEnd w:id="7617"/>
      <w:bookmarkEnd w:id="7618"/>
      <w:bookmarkEnd w:id="7619"/>
      <w:bookmarkEnd w:id="7620"/>
      <w:bookmarkEnd w:id="7621"/>
      <w:bookmarkEnd w:id="7622"/>
      <w:bookmarkEnd w:id="7623"/>
      <w:bookmarkEnd w:id="7624"/>
      <w:bookmarkEnd w:id="7625"/>
      <w:bookmarkEnd w:id="7626"/>
      <w:bookmarkEnd w:id="7627"/>
      <w:bookmarkEnd w:id="7628"/>
      <w:bookmarkEnd w:id="7629"/>
      <w:bookmarkEnd w:id="7630"/>
      <w:bookmarkEnd w:id="7631"/>
      <w:bookmarkEnd w:id="7632"/>
      <w:bookmarkEnd w:id="7633"/>
      <w:bookmarkEnd w:id="7634"/>
      <w:bookmarkEnd w:id="7635"/>
      <w:bookmarkEnd w:id="7636"/>
      <w:bookmarkEnd w:id="7637"/>
      <w:bookmarkEnd w:id="7638"/>
      <w:bookmarkEnd w:id="7639"/>
      <w:bookmarkEnd w:id="7640"/>
      <w:bookmarkEnd w:id="7641"/>
      <w:bookmarkEnd w:id="7642"/>
      <w:bookmarkEnd w:id="7643"/>
      <w:bookmarkEnd w:id="7644"/>
      <w:bookmarkEnd w:id="7645"/>
      <w:bookmarkEnd w:id="7646"/>
      <w:bookmarkEnd w:id="7647"/>
      <w:bookmarkEnd w:id="7648"/>
      <w:bookmarkEnd w:id="7649"/>
      <w:bookmarkEnd w:id="7650"/>
      <w:bookmarkEnd w:id="7651"/>
      <w:bookmarkEnd w:id="7652"/>
      <w:bookmarkEnd w:id="7653"/>
      <w:bookmarkEnd w:id="7654"/>
      <w:bookmarkEnd w:id="7655"/>
      <w:bookmarkEnd w:id="7656"/>
      <w:bookmarkEnd w:id="7657"/>
      <w:bookmarkEnd w:id="7658"/>
      <w:bookmarkEnd w:id="7659"/>
      <w:bookmarkEnd w:id="7660"/>
      <w:bookmarkEnd w:id="7661"/>
      <w:bookmarkEnd w:id="7662"/>
      <w:bookmarkEnd w:id="7663"/>
      <w:bookmarkEnd w:id="7664"/>
      <w:bookmarkEnd w:id="7665"/>
      <w:bookmarkEnd w:id="7666"/>
      <w:bookmarkEnd w:id="7667"/>
      <w:bookmarkEnd w:id="7668"/>
      <w:bookmarkEnd w:id="7669"/>
      <w:bookmarkEnd w:id="7670"/>
      <w:bookmarkEnd w:id="7671"/>
      <w:bookmarkEnd w:id="7672"/>
      <w:bookmarkEnd w:id="7673"/>
      <w:bookmarkEnd w:id="7674"/>
      <w:bookmarkEnd w:id="7675"/>
      <w:bookmarkEnd w:id="7676"/>
      <w:bookmarkEnd w:id="7677"/>
      <w:bookmarkEnd w:id="7678"/>
      <w:bookmarkEnd w:id="7679"/>
      <w:bookmarkEnd w:id="7680"/>
      <w:bookmarkEnd w:id="7681"/>
      <w:bookmarkEnd w:id="7682"/>
      <w:bookmarkEnd w:id="7683"/>
      <w:bookmarkEnd w:id="7684"/>
      <w:bookmarkEnd w:id="7685"/>
      <w:bookmarkEnd w:id="7686"/>
      <w:bookmarkEnd w:id="7687"/>
      <w:bookmarkEnd w:id="7688"/>
      <w:bookmarkEnd w:id="7689"/>
      <w:bookmarkEnd w:id="7690"/>
      <w:bookmarkEnd w:id="7691"/>
      <w:bookmarkEnd w:id="7692"/>
      <w:bookmarkEnd w:id="7693"/>
      <w:bookmarkEnd w:id="7694"/>
      <w:bookmarkEnd w:id="7695"/>
      <w:bookmarkEnd w:id="7696"/>
      <w:bookmarkEnd w:id="7697"/>
      <w:bookmarkEnd w:id="7698"/>
      <w:bookmarkEnd w:id="7699"/>
      <w:bookmarkEnd w:id="7700"/>
      <w:bookmarkEnd w:id="7701"/>
      <w:bookmarkEnd w:id="7702"/>
      <w:bookmarkEnd w:id="7703"/>
      <w:bookmarkEnd w:id="7704"/>
      <w:bookmarkEnd w:id="7705"/>
      <w:bookmarkEnd w:id="7706"/>
      <w:bookmarkEnd w:id="7707"/>
      <w:bookmarkEnd w:id="7708"/>
      <w:bookmarkEnd w:id="7709"/>
      <w:bookmarkEnd w:id="7710"/>
      <w:bookmarkEnd w:id="7711"/>
      <w:bookmarkEnd w:id="7712"/>
      <w:bookmarkEnd w:id="7713"/>
      <w:bookmarkEnd w:id="7714"/>
      <w:bookmarkEnd w:id="7715"/>
      <w:bookmarkEnd w:id="7716"/>
      <w:bookmarkEnd w:id="7717"/>
      <w:bookmarkEnd w:id="7718"/>
      <w:bookmarkEnd w:id="7719"/>
      <w:bookmarkEnd w:id="7720"/>
      <w:bookmarkEnd w:id="7721"/>
      <w:bookmarkEnd w:id="7722"/>
      <w:bookmarkEnd w:id="7723"/>
      <w:bookmarkEnd w:id="7724"/>
      <w:bookmarkEnd w:id="7725"/>
      <w:bookmarkEnd w:id="7726"/>
      <w:bookmarkEnd w:id="7727"/>
      <w:bookmarkEnd w:id="7728"/>
      <w:bookmarkEnd w:id="7729"/>
      <w:bookmarkEnd w:id="7730"/>
      <w:bookmarkEnd w:id="7731"/>
      <w:bookmarkEnd w:id="7732"/>
      <w:bookmarkEnd w:id="7733"/>
      <w:bookmarkEnd w:id="7734"/>
      <w:bookmarkEnd w:id="7735"/>
      <w:bookmarkEnd w:id="7736"/>
      <w:bookmarkEnd w:id="7737"/>
      <w:bookmarkEnd w:id="7738"/>
      <w:bookmarkEnd w:id="7739"/>
      <w:bookmarkEnd w:id="7740"/>
      <w:bookmarkEnd w:id="7741"/>
      <w:bookmarkEnd w:id="7742"/>
      <w:bookmarkEnd w:id="7743"/>
      <w:bookmarkEnd w:id="7744"/>
      <w:bookmarkEnd w:id="7745"/>
      <w:bookmarkEnd w:id="7746"/>
      <w:bookmarkEnd w:id="7747"/>
      <w:bookmarkEnd w:id="7748"/>
      <w:bookmarkEnd w:id="7749"/>
      <w:bookmarkEnd w:id="7750"/>
      <w:bookmarkEnd w:id="7751"/>
      <w:bookmarkEnd w:id="7752"/>
      <w:bookmarkEnd w:id="7753"/>
      <w:bookmarkEnd w:id="7754"/>
      <w:bookmarkEnd w:id="7755"/>
      <w:bookmarkEnd w:id="7756"/>
      <w:bookmarkEnd w:id="7757"/>
      <w:bookmarkEnd w:id="7758"/>
      <w:bookmarkEnd w:id="7759"/>
      <w:bookmarkEnd w:id="7760"/>
      <w:bookmarkEnd w:id="7761"/>
      <w:bookmarkEnd w:id="7762"/>
      <w:bookmarkEnd w:id="7763"/>
      <w:bookmarkEnd w:id="7764"/>
      <w:bookmarkEnd w:id="7765"/>
      <w:bookmarkEnd w:id="7766"/>
      <w:bookmarkEnd w:id="7767"/>
      <w:bookmarkEnd w:id="7768"/>
      <w:bookmarkEnd w:id="7769"/>
      <w:bookmarkEnd w:id="7770"/>
      <w:bookmarkEnd w:id="7771"/>
      <w:bookmarkEnd w:id="7772"/>
      <w:bookmarkEnd w:id="7773"/>
      <w:bookmarkEnd w:id="7774"/>
      <w:bookmarkEnd w:id="7775"/>
      <w:bookmarkEnd w:id="7776"/>
      <w:bookmarkEnd w:id="7777"/>
      <w:bookmarkEnd w:id="7778"/>
      <w:bookmarkEnd w:id="7779"/>
      <w:bookmarkEnd w:id="7780"/>
      <w:bookmarkEnd w:id="7781"/>
      <w:bookmarkEnd w:id="7782"/>
      <w:bookmarkEnd w:id="7783"/>
      <w:bookmarkEnd w:id="7784"/>
      <w:bookmarkEnd w:id="7785"/>
      <w:bookmarkEnd w:id="7786"/>
      <w:bookmarkEnd w:id="7787"/>
      <w:bookmarkEnd w:id="7788"/>
      <w:bookmarkEnd w:id="7789"/>
      <w:bookmarkEnd w:id="7790"/>
      <w:bookmarkEnd w:id="7791"/>
      <w:bookmarkEnd w:id="7792"/>
      <w:bookmarkEnd w:id="7793"/>
      <w:bookmarkEnd w:id="7794"/>
      <w:bookmarkEnd w:id="7795"/>
      <w:bookmarkEnd w:id="7796"/>
      <w:bookmarkEnd w:id="7797"/>
      <w:bookmarkEnd w:id="7798"/>
      <w:bookmarkEnd w:id="7799"/>
      <w:bookmarkEnd w:id="7800"/>
      <w:bookmarkEnd w:id="7801"/>
      <w:bookmarkEnd w:id="7802"/>
      <w:bookmarkEnd w:id="7803"/>
      <w:bookmarkEnd w:id="7804"/>
      <w:bookmarkEnd w:id="7805"/>
      <w:bookmarkEnd w:id="7806"/>
      <w:bookmarkEnd w:id="7807"/>
      <w:bookmarkEnd w:id="7808"/>
      <w:bookmarkEnd w:id="7809"/>
      <w:bookmarkEnd w:id="7810"/>
      <w:bookmarkEnd w:id="7811"/>
      <w:bookmarkEnd w:id="7812"/>
      <w:bookmarkEnd w:id="7813"/>
      <w:bookmarkEnd w:id="7814"/>
      <w:bookmarkEnd w:id="7815"/>
      <w:bookmarkEnd w:id="7816"/>
      <w:r>
        <w:t>Fair value determination: Non-financial physical assets</w:t>
      </w:r>
      <w:bookmarkEnd w:id="7817"/>
      <w:bookmarkEnd w:id="7818"/>
      <w:bookmarkEnd w:id="7819"/>
      <w:bookmarkEnd w:id="7820"/>
      <w:bookmarkEnd w:id="7821"/>
      <w:r w:rsidR="00817435">
        <w:t xml:space="preserve"> </w:t>
      </w:r>
      <w:r w:rsidR="00817435" w:rsidRPr="00E51206">
        <w:rPr>
          <w:color w:val="C00000"/>
          <w:sz w:val="20"/>
          <w:szCs w:val="22"/>
        </w:rPr>
        <w:t>[REVISED]</w:t>
      </w:r>
    </w:p>
    <w:p w14:paraId="31F27406" w14:textId="4EA3F268" w:rsidR="004312AB" w:rsidRDefault="00511B0A" w:rsidP="007D536F">
      <w:pPr>
        <w:pStyle w:val="Caption"/>
      </w:pPr>
      <w:r>
        <w:t>Valuation</w:t>
      </w:r>
      <w:r w:rsidR="00212362">
        <w:t xml:space="preserve"> techniques and </w:t>
      </w:r>
      <w:r w:rsidR="003B3E66">
        <w:t>significant assumptions</w:t>
      </w:r>
      <w:r w:rsidR="00212362">
        <w:t xml:space="preserve"> </w:t>
      </w:r>
      <w:r w:rsidR="00521EB3">
        <w:t>of n</w:t>
      </w:r>
      <w:r w:rsidR="004312AB">
        <w:t>on-</w:t>
      </w:r>
      <w:r w:rsidR="00CE6D6C">
        <w:rPr>
          <w:rFonts w:hint="eastAsia"/>
          <w:lang w:eastAsia="zh-CN"/>
        </w:rPr>
        <w:t>f</w:t>
      </w:r>
      <w:r w:rsidR="004312AB">
        <w:t xml:space="preserve">inancial physical assets measured at fair value </w:t>
      </w:r>
    </w:p>
    <w:p w14:paraId="038AD521" w14:textId="666429FE" w:rsidR="000A605B" w:rsidRPr="00E10CD7" w:rsidRDefault="0007383E" w:rsidP="00912012">
      <w:pPr>
        <w:pStyle w:val="Normalbold"/>
        <w:rPr>
          <w:rFonts w:eastAsia="SimSun"/>
          <w:b w:val="0"/>
          <w:spacing w:val="0"/>
        </w:rPr>
      </w:pPr>
      <w:r>
        <w:rPr>
          <w:rFonts w:eastAsia="SimSun"/>
          <w:b w:val="0"/>
          <w:spacing w:val="0"/>
        </w:rPr>
        <w:t>AASB </w:t>
      </w:r>
      <w:r w:rsidR="00912012" w:rsidRPr="00D74B72">
        <w:rPr>
          <w:rFonts w:eastAsia="SimSun"/>
          <w:b w:val="0"/>
          <w:spacing w:val="0"/>
        </w:rPr>
        <w:t xml:space="preserve">2022-10 </w:t>
      </w:r>
      <w:r w:rsidR="00912012" w:rsidRPr="00D74B72">
        <w:rPr>
          <w:rFonts w:eastAsia="SimSun"/>
          <w:b w:val="0"/>
          <w:i/>
          <w:iCs/>
          <w:spacing w:val="0"/>
        </w:rPr>
        <w:t>Amendments to Australian Accounting Standards – Fair Value Measurement of Non-Financial Assets of Not-for-Profit Public Sector Entities</w:t>
      </w:r>
      <w:r w:rsidR="00912012" w:rsidRPr="00D74B72">
        <w:rPr>
          <w:rFonts w:eastAsia="SimSun"/>
          <w:b w:val="0"/>
          <w:spacing w:val="0"/>
        </w:rPr>
        <w:t xml:space="preserve"> amended </w:t>
      </w:r>
      <w:r>
        <w:rPr>
          <w:rFonts w:eastAsia="SimSun"/>
          <w:b w:val="0"/>
          <w:spacing w:val="0"/>
        </w:rPr>
        <w:t>AASB </w:t>
      </w:r>
      <w:r w:rsidR="00912012" w:rsidRPr="00D74B72">
        <w:rPr>
          <w:rFonts w:eastAsia="SimSun"/>
          <w:b w:val="0"/>
          <w:spacing w:val="0"/>
        </w:rPr>
        <w:t xml:space="preserve">13 </w:t>
      </w:r>
      <w:r w:rsidR="00912012" w:rsidRPr="00D74B72">
        <w:rPr>
          <w:rFonts w:eastAsia="SimSun"/>
          <w:b w:val="0"/>
          <w:i/>
          <w:iCs/>
          <w:spacing w:val="0"/>
        </w:rPr>
        <w:t>Fair Value Measurement</w:t>
      </w:r>
      <w:r w:rsidR="00912012" w:rsidRPr="00D74B72">
        <w:rPr>
          <w:rFonts w:eastAsia="SimSun"/>
          <w:b w:val="0"/>
          <w:spacing w:val="0"/>
        </w:rPr>
        <w:t xml:space="preserve"> by adding Appendix F </w:t>
      </w:r>
      <w:r w:rsidR="00912012" w:rsidRPr="00D74B72">
        <w:rPr>
          <w:rFonts w:eastAsia="SimSun"/>
          <w:b w:val="0"/>
          <w:i/>
          <w:iCs/>
          <w:spacing w:val="0"/>
        </w:rPr>
        <w:t>Australian implementation guidance for not-for-profit public sector entities</w:t>
      </w:r>
      <w:r w:rsidR="00912012" w:rsidRPr="00D74B72">
        <w:rPr>
          <w:rFonts w:eastAsia="SimSun"/>
          <w:b w:val="0"/>
          <w:spacing w:val="0"/>
        </w:rPr>
        <w:t xml:space="preserve">. Appendix F explains and illustrates the application of the principles in </w:t>
      </w:r>
      <w:r>
        <w:rPr>
          <w:rFonts w:eastAsia="SimSun"/>
          <w:b w:val="0"/>
          <w:spacing w:val="0"/>
        </w:rPr>
        <w:t>AASB </w:t>
      </w:r>
      <w:r w:rsidR="00912012" w:rsidRPr="00D74B72">
        <w:rPr>
          <w:rFonts w:eastAsia="SimSun"/>
          <w:b w:val="0"/>
          <w:spacing w:val="0"/>
        </w:rPr>
        <w:t xml:space="preserve">13 on developing unobservable inputs and the application of the cost approach. </w:t>
      </w:r>
      <w:r w:rsidR="00912012" w:rsidRPr="00024678">
        <w:rPr>
          <w:rFonts w:eastAsia="SimSun"/>
          <w:b w:val="0"/>
          <w:spacing w:val="0"/>
        </w:rPr>
        <w:t>These clarifications are mandatorily applicable annual reporting periods beginning on or after 1 January 2024</w:t>
      </w:r>
      <w:r w:rsidR="00912012">
        <w:rPr>
          <w:rFonts w:eastAsia="SimSun" w:hint="eastAsia"/>
          <w:b w:val="0"/>
          <w:spacing w:val="0"/>
          <w:lang w:eastAsia="zh-CN"/>
        </w:rPr>
        <w:t>.</w:t>
      </w:r>
      <w:r w:rsidR="000A605B">
        <w:rPr>
          <w:rFonts w:eastAsia="SimSun" w:hint="eastAsia"/>
          <w:spacing w:val="0"/>
          <w:lang w:eastAsia="zh-CN"/>
        </w:rPr>
        <w:t xml:space="preserve"> </w:t>
      </w:r>
      <w:r w:rsidR="000A605B" w:rsidRPr="00E10CD7">
        <w:rPr>
          <w:rFonts w:eastAsia="SimSun"/>
          <w:b w:val="0"/>
          <w:spacing w:val="0"/>
        </w:rPr>
        <w:t xml:space="preserve">FRD 103 permits Victorian public sector entities to apply Appendix F of </w:t>
      </w:r>
      <w:r>
        <w:rPr>
          <w:rFonts w:eastAsia="SimSun"/>
          <w:b w:val="0"/>
          <w:spacing w:val="0"/>
        </w:rPr>
        <w:t>AASB </w:t>
      </w:r>
      <w:r w:rsidR="000A605B" w:rsidRPr="00E10CD7">
        <w:rPr>
          <w:rFonts w:eastAsia="SimSun"/>
          <w:b w:val="0"/>
          <w:spacing w:val="0"/>
        </w:rPr>
        <w:t>13 in their next scheduled formal asset revaluation or interim revaluation process (whichever is earlier).</w:t>
      </w:r>
    </w:p>
    <w:p w14:paraId="68FD135B" w14:textId="324FC4FC" w:rsidR="00912012" w:rsidRPr="00E10CD7" w:rsidRDefault="000A605B" w:rsidP="00912012">
      <w:pPr>
        <w:pStyle w:val="Normalbold"/>
        <w:rPr>
          <w:rFonts w:eastAsia="SimHei"/>
          <w:b w:val="0"/>
          <w:lang w:eastAsia="zh-CN"/>
        </w:rPr>
      </w:pPr>
      <w:r w:rsidRPr="00E51206">
        <w:rPr>
          <w:rFonts w:eastAsia="SimSun"/>
          <w:b w:val="0"/>
          <w:spacing w:val="0"/>
        </w:rPr>
        <w:t>The last</w:t>
      </w:r>
      <w:r w:rsidR="00764D8E" w:rsidRPr="00E51206">
        <w:rPr>
          <w:rFonts w:eastAsia="SimSun"/>
          <w:b w:val="0"/>
          <w:spacing w:val="0"/>
        </w:rPr>
        <w:t xml:space="preserve"> scheduled full</w:t>
      </w:r>
      <w:r w:rsidR="00413393" w:rsidRPr="00E51206">
        <w:rPr>
          <w:rFonts w:eastAsia="SimSun"/>
          <w:b w:val="0"/>
          <w:spacing w:val="0"/>
        </w:rPr>
        <w:t xml:space="preserve"> independent valuation of </w:t>
      </w:r>
      <w:r w:rsidR="00C96F79" w:rsidRPr="00E51206">
        <w:rPr>
          <w:rFonts w:eastAsia="SimSun"/>
          <w:b w:val="0"/>
          <w:spacing w:val="0"/>
        </w:rPr>
        <w:t>all</w:t>
      </w:r>
      <w:r w:rsidR="00413393" w:rsidRPr="00E51206">
        <w:rPr>
          <w:rFonts w:eastAsia="SimSun"/>
          <w:b w:val="0"/>
          <w:spacing w:val="0"/>
        </w:rPr>
        <w:t xml:space="preserve"> TV’s non-financial physical assets</w:t>
      </w:r>
      <w:r w:rsidR="00764D8E" w:rsidRPr="00E51206">
        <w:rPr>
          <w:rFonts w:eastAsia="SimSun"/>
          <w:b w:val="0"/>
          <w:spacing w:val="0"/>
        </w:rPr>
        <w:t xml:space="preserve"> </w:t>
      </w:r>
      <w:proofErr w:type="gramStart"/>
      <w:r w:rsidR="00C054A2" w:rsidRPr="00E51206">
        <w:rPr>
          <w:rFonts w:eastAsia="SimSun"/>
          <w:b w:val="0"/>
          <w:spacing w:val="0"/>
        </w:rPr>
        <w:t>were</w:t>
      </w:r>
      <w:proofErr w:type="gramEnd"/>
      <w:r w:rsidR="00C054A2" w:rsidRPr="00E51206">
        <w:rPr>
          <w:rFonts w:eastAsia="SimSun"/>
          <w:b w:val="0"/>
          <w:spacing w:val="0"/>
        </w:rPr>
        <w:t xml:space="preserve"> </w:t>
      </w:r>
      <w:r w:rsidRPr="00E51206">
        <w:rPr>
          <w:rFonts w:eastAsia="SimSun"/>
          <w:b w:val="0"/>
          <w:spacing w:val="0"/>
        </w:rPr>
        <w:t>performed by VGV in 20X0.</w:t>
      </w:r>
      <w:r w:rsidR="00DB6166" w:rsidRPr="00E51206">
        <w:rPr>
          <w:rFonts w:eastAsia="SimSun"/>
          <w:b w:val="0"/>
          <w:spacing w:val="0"/>
        </w:rPr>
        <w:t xml:space="preserve"> </w:t>
      </w:r>
      <w:r w:rsidR="0055259A" w:rsidRPr="00893D97">
        <w:rPr>
          <w:rFonts w:eastAsia="SimSun"/>
          <w:b w:val="0"/>
          <w:color w:val="4472C4" w:themeColor="accent1"/>
          <w:spacing w:val="0"/>
        </w:rPr>
        <w:t>[E</w:t>
      </w:r>
      <w:r w:rsidR="0055259A" w:rsidRPr="003565D5">
        <w:rPr>
          <w:rFonts w:eastAsia="SimSun"/>
          <w:b w:val="0"/>
          <w:color w:val="4472C4" w:themeColor="accent1"/>
          <w:spacing w:val="0"/>
        </w:rPr>
        <w:t>ntities should disclose the effective date of revaluation and the fact whether an independent valuer was involved during the current financial period].</w:t>
      </w:r>
      <w:r w:rsidR="0055259A" w:rsidRPr="00D74B72">
        <w:rPr>
          <w:color w:val="00B0F0"/>
        </w:rPr>
        <w:t xml:space="preserve"> </w:t>
      </w:r>
      <w:r w:rsidR="00395041" w:rsidRPr="00E10CD7">
        <w:rPr>
          <w:rStyle w:val="Reference"/>
          <w:b w:val="0"/>
          <w:bCs/>
        </w:rPr>
        <w:t>[</w:t>
      </w:r>
      <w:r w:rsidR="0007383E">
        <w:rPr>
          <w:rStyle w:val="Reference"/>
          <w:b w:val="0"/>
          <w:bCs/>
        </w:rPr>
        <w:t>AASB </w:t>
      </w:r>
      <w:r w:rsidR="00395041" w:rsidRPr="00E10CD7">
        <w:rPr>
          <w:rStyle w:val="Reference"/>
          <w:b w:val="0"/>
          <w:bCs/>
        </w:rPr>
        <w:t>1060.136 (a), (b)]</w:t>
      </w:r>
      <w:r w:rsidR="00DB6166">
        <w:rPr>
          <w:rFonts w:eastAsia="SimHei" w:hint="eastAsia"/>
          <w:b w:val="0"/>
          <w:bCs/>
          <w:lang w:eastAsia="zh-CN"/>
        </w:rPr>
        <w:t xml:space="preserve"> Annual fair value assessment</w:t>
      </w:r>
      <w:r w:rsidR="00C054A2">
        <w:rPr>
          <w:rFonts w:eastAsia="SimHei"/>
          <w:b w:val="0"/>
          <w:bCs/>
          <w:lang w:eastAsia="zh-CN"/>
        </w:rPr>
        <w:t>s</w:t>
      </w:r>
      <w:r w:rsidR="00DB6166">
        <w:rPr>
          <w:rFonts w:eastAsia="SimHei" w:hint="eastAsia"/>
          <w:b w:val="0"/>
          <w:bCs/>
          <w:lang w:eastAsia="zh-CN"/>
        </w:rPr>
        <w:t xml:space="preserve"> for 30 J</w:t>
      </w:r>
      <w:r w:rsidR="00DB6166">
        <w:rPr>
          <w:rFonts w:eastAsia="SimHei"/>
          <w:b w:val="0"/>
          <w:bCs/>
          <w:lang w:eastAsia="zh-CN"/>
        </w:rPr>
        <w:t>u</w:t>
      </w:r>
      <w:r w:rsidR="00DB6166">
        <w:rPr>
          <w:rFonts w:eastAsia="SimHei" w:hint="eastAsia"/>
          <w:b w:val="0"/>
          <w:bCs/>
          <w:lang w:eastAsia="zh-CN"/>
        </w:rPr>
        <w:t xml:space="preserve">ne 20X2 using VGV indices </w:t>
      </w:r>
      <w:r w:rsidR="00E805E8">
        <w:rPr>
          <w:rFonts w:eastAsia="SimHei"/>
          <w:b w:val="0"/>
          <w:bCs/>
          <w:lang w:eastAsia="zh-CN"/>
        </w:rPr>
        <w:t>did</w:t>
      </w:r>
      <w:r w:rsidR="00E805E8">
        <w:rPr>
          <w:rFonts w:eastAsia="SimHei" w:hint="eastAsia"/>
          <w:b w:val="0"/>
          <w:bCs/>
          <w:lang w:eastAsia="zh-CN"/>
        </w:rPr>
        <w:t xml:space="preserve"> </w:t>
      </w:r>
      <w:r w:rsidR="00DB6166">
        <w:rPr>
          <w:rFonts w:eastAsia="SimHei" w:hint="eastAsia"/>
          <w:b w:val="0"/>
          <w:bCs/>
          <w:lang w:eastAsia="zh-CN"/>
        </w:rPr>
        <w:t xml:space="preserve">not </w:t>
      </w:r>
      <w:r w:rsidR="00E805E8">
        <w:rPr>
          <w:rFonts w:eastAsia="SimHei"/>
          <w:b w:val="0"/>
          <w:bCs/>
          <w:lang w:eastAsia="zh-CN"/>
        </w:rPr>
        <w:t xml:space="preserve">give rise to </w:t>
      </w:r>
      <w:r w:rsidR="00DB6166">
        <w:rPr>
          <w:rFonts w:eastAsia="SimHei"/>
          <w:b w:val="0"/>
          <w:bCs/>
          <w:lang w:eastAsia="zh-CN"/>
        </w:rPr>
        <w:t>materia</w:t>
      </w:r>
      <w:r w:rsidR="00DB6166">
        <w:rPr>
          <w:rFonts w:eastAsia="SimHei" w:hint="eastAsia"/>
          <w:b w:val="0"/>
          <w:bCs/>
          <w:lang w:eastAsia="zh-CN"/>
        </w:rPr>
        <w:t>l changes in</w:t>
      </w:r>
      <w:r w:rsidR="00E805E8">
        <w:rPr>
          <w:rFonts w:eastAsia="SimHei"/>
          <w:b w:val="0"/>
          <w:bCs/>
          <w:lang w:eastAsia="zh-CN"/>
        </w:rPr>
        <w:t xml:space="preserve"> the</w:t>
      </w:r>
      <w:r w:rsidR="00DB6166">
        <w:rPr>
          <w:rFonts w:eastAsia="SimHei" w:hint="eastAsia"/>
          <w:b w:val="0"/>
          <w:bCs/>
          <w:lang w:eastAsia="zh-CN"/>
        </w:rPr>
        <w:t xml:space="preserve"> value. </w:t>
      </w:r>
      <w:r w:rsidR="008F7ED4">
        <w:rPr>
          <w:rFonts w:eastAsia="SimHei"/>
          <w:b w:val="0"/>
          <w:bCs/>
          <w:lang w:eastAsia="zh-CN"/>
        </w:rPr>
        <w:t>In accordance with FRD</w:t>
      </w:r>
      <w:r w:rsidR="00B4141E">
        <w:rPr>
          <w:rFonts w:eastAsia="SimHei"/>
          <w:b w:val="0"/>
          <w:bCs/>
          <w:lang w:eastAsia="zh-CN"/>
        </w:rPr>
        <w:t> </w:t>
      </w:r>
      <w:r w:rsidR="008F7ED4">
        <w:rPr>
          <w:rFonts w:eastAsia="SimHei"/>
          <w:b w:val="0"/>
          <w:bCs/>
          <w:lang w:eastAsia="zh-CN"/>
        </w:rPr>
        <w:t xml:space="preserve">103, </w:t>
      </w:r>
      <w:r w:rsidR="00395041">
        <w:rPr>
          <w:rFonts w:eastAsia="SimHei" w:hint="eastAsia"/>
          <w:b w:val="0"/>
          <w:bCs/>
          <w:lang w:eastAsia="zh-CN"/>
        </w:rPr>
        <w:t>TV</w:t>
      </w:r>
      <w:r w:rsidR="00395041" w:rsidRPr="00395041">
        <w:rPr>
          <w:rFonts w:eastAsia="SimHei"/>
          <w:b w:val="0"/>
          <w:bCs/>
          <w:lang w:eastAsia="zh-CN"/>
        </w:rPr>
        <w:t xml:space="preserve"> </w:t>
      </w:r>
      <w:r w:rsidR="008F7ED4">
        <w:rPr>
          <w:rFonts w:eastAsia="SimHei"/>
          <w:b w:val="0"/>
          <w:bCs/>
          <w:lang w:eastAsia="zh-CN"/>
        </w:rPr>
        <w:t>will</w:t>
      </w:r>
      <w:r w:rsidR="00395041" w:rsidRPr="00395041">
        <w:rPr>
          <w:rFonts w:eastAsia="SimHei"/>
          <w:b w:val="0"/>
          <w:bCs/>
          <w:lang w:eastAsia="zh-CN"/>
        </w:rPr>
        <w:t xml:space="preserve"> </w:t>
      </w:r>
      <w:r w:rsidR="00C054A2">
        <w:rPr>
          <w:rFonts w:eastAsia="SimHei"/>
          <w:b w:val="0"/>
          <w:bCs/>
          <w:lang w:eastAsia="zh-CN"/>
        </w:rPr>
        <w:t>apply</w:t>
      </w:r>
      <w:r w:rsidR="00C054A2" w:rsidRPr="00395041">
        <w:rPr>
          <w:rFonts w:eastAsia="SimHei"/>
          <w:b w:val="0"/>
          <w:bCs/>
          <w:lang w:eastAsia="zh-CN"/>
        </w:rPr>
        <w:t xml:space="preserve"> </w:t>
      </w:r>
      <w:r w:rsidR="00395041" w:rsidRPr="00395041">
        <w:rPr>
          <w:rFonts w:eastAsia="SimHei"/>
          <w:b w:val="0"/>
          <w:bCs/>
          <w:lang w:eastAsia="zh-CN"/>
        </w:rPr>
        <w:t xml:space="preserve">Appendix F </w:t>
      </w:r>
      <w:r w:rsidR="00C054A2">
        <w:rPr>
          <w:rFonts w:eastAsia="SimHei"/>
          <w:b w:val="0"/>
          <w:bCs/>
          <w:lang w:eastAsia="zh-CN"/>
        </w:rPr>
        <w:t xml:space="preserve">of AASB 13 prospectively </w:t>
      </w:r>
      <w:r w:rsidR="00395041" w:rsidRPr="00395041">
        <w:rPr>
          <w:rFonts w:eastAsia="SimHei"/>
          <w:b w:val="0"/>
          <w:bCs/>
          <w:lang w:eastAsia="zh-CN"/>
        </w:rPr>
        <w:t xml:space="preserve">in </w:t>
      </w:r>
      <w:r w:rsidR="00C022B5">
        <w:rPr>
          <w:rFonts w:eastAsia="SimHei" w:hint="eastAsia"/>
          <w:b w:val="0"/>
          <w:bCs/>
          <w:lang w:eastAsia="zh-CN"/>
        </w:rPr>
        <w:t xml:space="preserve">its </w:t>
      </w:r>
      <w:r w:rsidR="00395041" w:rsidRPr="00395041">
        <w:rPr>
          <w:rFonts w:eastAsia="SimHei"/>
          <w:b w:val="0"/>
          <w:bCs/>
          <w:lang w:eastAsia="zh-CN"/>
        </w:rPr>
        <w:t xml:space="preserve">next scheduled formal revaluation </w:t>
      </w:r>
      <w:r w:rsidR="002947D4">
        <w:rPr>
          <w:rFonts w:eastAsia="SimHei" w:hint="eastAsia"/>
          <w:b w:val="0"/>
          <w:bCs/>
          <w:lang w:eastAsia="zh-CN"/>
        </w:rPr>
        <w:t>in 20X5</w:t>
      </w:r>
      <w:r w:rsidR="00395041" w:rsidRPr="00395041">
        <w:rPr>
          <w:rFonts w:eastAsia="SimHei"/>
          <w:b w:val="0"/>
          <w:bCs/>
          <w:lang w:eastAsia="zh-CN"/>
        </w:rPr>
        <w:t xml:space="preserve"> or interim revaluation process</w:t>
      </w:r>
      <w:r w:rsidR="00B4141E">
        <w:rPr>
          <w:rFonts w:eastAsia="SimHei"/>
          <w:b w:val="0"/>
          <w:bCs/>
          <w:lang w:eastAsia="zh-CN"/>
        </w:rPr>
        <w:t xml:space="preserve"> (whichever is earlier)</w:t>
      </w:r>
      <w:r w:rsidR="005A4AA1">
        <w:rPr>
          <w:rFonts w:eastAsia="SimHei"/>
          <w:b w:val="0"/>
          <w:bCs/>
          <w:lang w:eastAsia="zh-CN"/>
        </w:rPr>
        <w:t>.</w:t>
      </w:r>
      <w:r w:rsidR="00537948">
        <w:rPr>
          <w:rStyle w:val="FootnoteReference"/>
          <w:rFonts w:eastAsia="SimHei"/>
          <w:b w:val="0"/>
          <w:bCs/>
          <w:lang w:eastAsia="zh-CN"/>
        </w:rPr>
        <w:footnoteReference w:id="2"/>
      </w:r>
      <w:r w:rsidR="00FF52EC">
        <w:rPr>
          <w:rFonts w:eastAsia="SimHei" w:hint="eastAsia"/>
          <w:b w:val="0"/>
          <w:bCs/>
          <w:lang w:eastAsia="zh-CN"/>
        </w:rPr>
        <w:t xml:space="preserve"> </w:t>
      </w:r>
      <w:r w:rsidR="00011BC6" w:rsidRPr="00D74B72">
        <w:rPr>
          <w:rStyle w:val="Reference"/>
          <w:b w:val="0"/>
          <w:bCs/>
        </w:rPr>
        <w:t>[</w:t>
      </w:r>
      <w:r w:rsidR="00011BC6">
        <w:rPr>
          <w:rStyle w:val="Reference"/>
          <w:rFonts w:eastAsia="SimHei" w:hint="eastAsia"/>
          <w:b w:val="0"/>
          <w:bCs/>
          <w:lang w:eastAsia="zh-CN"/>
        </w:rPr>
        <w:t>FRD 103.4.5A</w:t>
      </w:r>
      <w:r w:rsidR="002416FE">
        <w:rPr>
          <w:rStyle w:val="Reference"/>
          <w:rFonts w:eastAsia="SimHei"/>
          <w:b w:val="0"/>
          <w:bCs/>
          <w:lang w:eastAsia="zh-CN"/>
        </w:rPr>
        <w:t>]</w:t>
      </w:r>
      <w:r w:rsidR="00E805E8">
        <w:rPr>
          <w:rStyle w:val="Reference"/>
          <w:rFonts w:eastAsia="SimHei"/>
          <w:b w:val="0"/>
          <w:bCs/>
          <w:lang w:eastAsia="zh-CN"/>
        </w:rPr>
        <w:t xml:space="preserve"> </w:t>
      </w:r>
      <w:r w:rsidR="00E805E8" w:rsidRPr="003565D5">
        <w:rPr>
          <w:rFonts w:eastAsia="SimSun"/>
          <w:b w:val="0"/>
          <w:color w:val="4472C4" w:themeColor="accent1"/>
          <w:spacing w:val="0"/>
        </w:rPr>
        <w:t>[Entities</w:t>
      </w:r>
      <w:r w:rsidR="00C054A2">
        <w:rPr>
          <w:rFonts w:eastAsia="SimSun"/>
          <w:b w:val="0"/>
          <w:color w:val="4472C4" w:themeColor="accent1"/>
          <w:spacing w:val="0"/>
        </w:rPr>
        <w:t xml:space="preserve"> to tailor as appropriate depending on their next scheduled formal revaluation for the relevant asset classes based on the nature of assets held.</w:t>
      </w:r>
      <w:r w:rsidR="00893D97">
        <w:rPr>
          <w:rFonts w:eastAsia="SimSun"/>
          <w:b w:val="0"/>
          <w:color w:val="4472C4" w:themeColor="accent1"/>
          <w:spacing w:val="0"/>
        </w:rPr>
        <w:t xml:space="preserve"> Refer to </w:t>
      </w:r>
      <w:r w:rsidR="00D71964">
        <w:rPr>
          <w:rFonts w:eastAsia="SimSun"/>
          <w:b w:val="0"/>
          <w:color w:val="4472C4" w:themeColor="accent1"/>
          <w:spacing w:val="0"/>
        </w:rPr>
        <w:t>guidance section below for sample disclosures.</w:t>
      </w:r>
      <w:r w:rsidR="00C054A2">
        <w:rPr>
          <w:rFonts w:eastAsia="SimSun"/>
          <w:b w:val="0"/>
          <w:color w:val="4472C4" w:themeColor="accent1"/>
          <w:spacing w:val="0"/>
        </w:rPr>
        <w:t>]</w:t>
      </w:r>
    </w:p>
    <w:p w14:paraId="1F82B9FA" w14:textId="0AB9056C" w:rsidR="00234583" w:rsidRDefault="00764D8E" w:rsidP="00DC39DE">
      <w:pPr>
        <w:rPr>
          <w:b/>
          <w:bCs/>
        </w:rPr>
      </w:pPr>
      <w:r>
        <w:t xml:space="preserve">For all assets measured at fair value, </w:t>
      </w:r>
      <w:r>
        <w:rPr>
          <w:rFonts w:hint="eastAsia"/>
          <w:lang w:eastAsia="zh-CN"/>
        </w:rPr>
        <w:t xml:space="preserve">TV considers </w:t>
      </w:r>
      <w:r>
        <w:t>the current use is the highest and best use.</w:t>
      </w:r>
    </w:p>
    <w:p w14:paraId="2FFB9247" w14:textId="6099E3DA" w:rsidR="003719CD" w:rsidRDefault="003719CD" w:rsidP="00DC39DE">
      <w:r w:rsidRPr="00A57232">
        <w:rPr>
          <w:b/>
          <w:bCs/>
        </w:rPr>
        <w:t>Non-specialised land</w:t>
      </w:r>
      <w:r w:rsidR="0057655E">
        <w:rPr>
          <w:rFonts w:hint="eastAsia"/>
          <w:b/>
          <w:bCs/>
          <w:lang w:eastAsia="zh-CN"/>
        </w:rPr>
        <w:t xml:space="preserve"> and</w:t>
      </w:r>
      <w:r w:rsidRPr="00A57232">
        <w:rPr>
          <w:b/>
          <w:bCs/>
        </w:rPr>
        <w:t xml:space="preserve"> non-specialised buildings </w:t>
      </w:r>
      <w:r>
        <w:t xml:space="preserve">are valued using the market approach, whereby assets are compared to recent comparable sales or sales of comparable assets that are considered to have nominal value. </w:t>
      </w:r>
      <w:r w:rsidR="002C7429">
        <w:t>Valuation of the assets was determined by analysing comparable sales and allowing for share, size, topography, location and other relevant factors specific to the asset being valued. From this analysis, an appropriate rate per square metre has been applied to the subject asset.</w:t>
      </w:r>
      <w:r w:rsidR="0055259A" w:rsidRPr="0055259A">
        <w:rPr>
          <w:rStyle w:val="Reference"/>
        </w:rPr>
        <w:t xml:space="preserve"> </w:t>
      </w:r>
      <w:r w:rsidR="0055259A" w:rsidRPr="00A57232">
        <w:rPr>
          <w:rStyle w:val="Reference"/>
        </w:rPr>
        <w:t>[</w:t>
      </w:r>
      <w:r w:rsidR="0007383E">
        <w:rPr>
          <w:rStyle w:val="Reference"/>
        </w:rPr>
        <w:t>AASB </w:t>
      </w:r>
      <w:r w:rsidR="0055259A" w:rsidRPr="00A57232">
        <w:rPr>
          <w:rStyle w:val="Reference"/>
        </w:rPr>
        <w:t>1</w:t>
      </w:r>
      <w:r w:rsidR="0055259A">
        <w:rPr>
          <w:rStyle w:val="Reference"/>
        </w:rPr>
        <w:t>060.136(c)</w:t>
      </w:r>
      <w:r w:rsidR="0055259A" w:rsidRPr="00A57232">
        <w:rPr>
          <w:rStyle w:val="Reference"/>
        </w:rPr>
        <w:t>]</w:t>
      </w:r>
    </w:p>
    <w:p w14:paraId="2F8C3A1E" w14:textId="3944B909" w:rsidR="003719CD" w:rsidRDefault="009F6320" w:rsidP="00DC39DE">
      <w:r>
        <w:rPr>
          <w:b/>
          <w:bCs/>
        </w:rPr>
        <w:t xml:space="preserve">Cultural assets </w:t>
      </w:r>
      <w:r w:rsidR="00E21A63">
        <w:t xml:space="preserve">are </w:t>
      </w:r>
      <w:r w:rsidR="002C7429">
        <w:t>valued using the market approach</w:t>
      </w:r>
      <w:r w:rsidR="003719CD">
        <w:t xml:space="preserve">, </w:t>
      </w:r>
      <w:r w:rsidR="002C7429">
        <w:t xml:space="preserve">whereby </w:t>
      </w:r>
      <w:r w:rsidR="003719CD">
        <w:t xml:space="preserve">valuation of the assets is determined by a comparison to similar examples of the artist’s work in existence throughout Australia and research on recent prices paid for similar examples offered at auction or through art galleries. </w:t>
      </w:r>
      <w:r w:rsidR="007847F5" w:rsidRPr="00A57232">
        <w:rPr>
          <w:rStyle w:val="Reference"/>
        </w:rPr>
        <w:t>[</w:t>
      </w:r>
      <w:r w:rsidR="0007383E">
        <w:rPr>
          <w:rStyle w:val="Reference"/>
        </w:rPr>
        <w:t>AASB </w:t>
      </w:r>
      <w:r w:rsidR="007847F5" w:rsidRPr="00A57232">
        <w:rPr>
          <w:rStyle w:val="Reference"/>
        </w:rPr>
        <w:t>1</w:t>
      </w:r>
      <w:r w:rsidR="007847F5">
        <w:rPr>
          <w:rStyle w:val="Reference"/>
        </w:rPr>
        <w:t>060.136(c)</w:t>
      </w:r>
      <w:r w:rsidR="007847F5" w:rsidRPr="00A57232">
        <w:rPr>
          <w:rStyle w:val="Reference"/>
        </w:rPr>
        <w:t>]</w:t>
      </w:r>
    </w:p>
    <w:p w14:paraId="23919BEE" w14:textId="4D70AA99" w:rsidR="003719CD" w:rsidRDefault="003719CD" w:rsidP="00DC39DE">
      <w:r w:rsidRPr="00A57232">
        <w:rPr>
          <w:b/>
          <w:bCs/>
        </w:rPr>
        <w:t>Plant and equipment</w:t>
      </w:r>
      <w:r w:rsidR="006221EC">
        <w:rPr>
          <w:b/>
          <w:bCs/>
        </w:rPr>
        <w:t xml:space="preserve"> </w:t>
      </w:r>
      <w:proofErr w:type="gramStart"/>
      <w:r>
        <w:t>is</w:t>
      </w:r>
      <w:proofErr w:type="gramEnd"/>
      <w:r>
        <w:t xml:space="preserve"> held at fair value. When plant and equipment is specialised in use, such that it is rarely sold, fair value is determined using the current replacement cost method.</w:t>
      </w:r>
      <w:r w:rsidR="004021FA">
        <w:t xml:space="preserve"> </w:t>
      </w:r>
      <w:r w:rsidR="0025625C" w:rsidRPr="00A57232">
        <w:rPr>
          <w:rStyle w:val="Reference"/>
        </w:rPr>
        <w:t>[</w:t>
      </w:r>
      <w:r w:rsidR="0007383E">
        <w:rPr>
          <w:rStyle w:val="Reference"/>
        </w:rPr>
        <w:t>AASB </w:t>
      </w:r>
      <w:r w:rsidR="0025625C" w:rsidRPr="00A57232">
        <w:rPr>
          <w:rStyle w:val="Reference"/>
        </w:rPr>
        <w:t>1</w:t>
      </w:r>
      <w:r w:rsidR="0025625C">
        <w:rPr>
          <w:rStyle w:val="Reference"/>
        </w:rPr>
        <w:t>060.136(c)</w:t>
      </w:r>
      <w:r w:rsidR="0025625C" w:rsidRPr="00A57232">
        <w:rPr>
          <w:rStyle w:val="Reference"/>
        </w:rPr>
        <w:t>]</w:t>
      </w:r>
    </w:p>
    <w:p w14:paraId="558E4C56" w14:textId="0ACC5F86" w:rsidR="00A641F7" w:rsidRDefault="003719CD" w:rsidP="00DC39DE">
      <w:pPr>
        <w:rPr>
          <w:rStyle w:val="Reference"/>
        </w:rPr>
      </w:pPr>
      <w:r w:rsidRPr="00A57232">
        <w:rPr>
          <w:b/>
          <w:bCs/>
        </w:rPr>
        <w:t>Vehicles</w:t>
      </w:r>
      <w:r>
        <w:t xml:space="preserve"> are valued using the current replacement cost method. </w:t>
      </w:r>
      <w:r w:rsidR="00807A3C">
        <w:t>TV</w:t>
      </w:r>
      <w:r>
        <w:t xml:space="preserve"> acquires new vehicles and at times disposes of them before the end of their economic life. The process of acquisition, use and disposal in the market is managed by experienced fleet managers in </w:t>
      </w:r>
      <w:r w:rsidR="00807A3C">
        <w:t>TV</w:t>
      </w:r>
      <w:r>
        <w:t xml:space="preserve"> who set relevant depreciation rates during use to reflect the utilisation of the vehicles.</w:t>
      </w:r>
      <w:r w:rsidR="002B49C4" w:rsidRPr="002B49C4">
        <w:rPr>
          <w:rStyle w:val="Reference"/>
        </w:rPr>
        <w:t xml:space="preserve"> </w:t>
      </w:r>
      <w:r w:rsidR="002B49C4" w:rsidRPr="00A57232">
        <w:rPr>
          <w:rStyle w:val="Reference"/>
        </w:rPr>
        <w:t>[</w:t>
      </w:r>
      <w:r w:rsidR="0007383E">
        <w:rPr>
          <w:rStyle w:val="Reference"/>
        </w:rPr>
        <w:t>AASB </w:t>
      </w:r>
      <w:r w:rsidR="002B49C4" w:rsidRPr="00A57232">
        <w:rPr>
          <w:rStyle w:val="Reference"/>
        </w:rPr>
        <w:t>1</w:t>
      </w:r>
      <w:r w:rsidR="002B49C4">
        <w:rPr>
          <w:rStyle w:val="Reference"/>
        </w:rPr>
        <w:t>060.136(c)</w:t>
      </w:r>
      <w:r w:rsidR="002B49C4" w:rsidRPr="00A57232">
        <w:rPr>
          <w:rStyle w:val="Reference"/>
        </w:rPr>
        <w:t>]</w:t>
      </w:r>
      <w:r w:rsidR="00A641F7">
        <w:rPr>
          <w:rStyle w:val="Reference"/>
        </w:rPr>
        <w:t xml:space="preserve"> </w:t>
      </w:r>
    </w:p>
    <w:p w14:paraId="7227EC99" w14:textId="0F81C383" w:rsidR="003719CD" w:rsidRDefault="003719CD" w:rsidP="00DC39DE">
      <w:r w:rsidRPr="00A57232">
        <w:rPr>
          <w:b/>
          <w:bCs/>
        </w:rPr>
        <w:t>Specialised land and specialised buildings</w:t>
      </w:r>
      <w:r w:rsidR="008B6923">
        <w:rPr>
          <w:b/>
          <w:bCs/>
        </w:rPr>
        <w:t xml:space="preserve"> (</w:t>
      </w:r>
      <w:r w:rsidR="00C63374">
        <w:rPr>
          <w:b/>
          <w:bCs/>
        </w:rPr>
        <w:t xml:space="preserve">excluding </w:t>
      </w:r>
      <w:r w:rsidR="008B6923">
        <w:rPr>
          <w:b/>
          <w:bCs/>
        </w:rPr>
        <w:t>right-of</w:t>
      </w:r>
      <w:r w:rsidR="006221EC">
        <w:rPr>
          <w:b/>
          <w:bCs/>
        </w:rPr>
        <w:t>-use assets)</w:t>
      </w:r>
      <w:r>
        <w:t xml:space="preserve">: The market approach is also used for specialised land, although is adjusted for the community service obligation (CSO) to reflect the specialised nature of the land being valued. </w:t>
      </w:r>
      <w:r w:rsidR="00C306E6" w:rsidRPr="00A57232">
        <w:rPr>
          <w:rStyle w:val="Reference"/>
        </w:rPr>
        <w:t>[</w:t>
      </w:r>
      <w:r w:rsidR="0007383E">
        <w:rPr>
          <w:rStyle w:val="Reference"/>
        </w:rPr>
        <w:t>AASB </w:t>
      </w:r>
      <w:r w:rsidR="00C306E6" w:rsidRPr="00A57232">
        <w:rPr>
          <w:rStyle w:val="Reference"/>
        </w:rPr>
        <w:t>1</w:t>
      </w:r>
      <w:r w:rsidR="00C306E6">
        <w:rPr>
          <w:rStyle w:val="Reference"/>
        </w:rPr>
        <w:t>060.136(c)</w:t>
      </w:r>
      <w:r w:rsidR="00C306E6" w:rsidRPr="00A57232">
        <w:rPr>
          <w:rStyle w:val="Reference"/>
        </w:rPr>
        <w:t>]</w:t>
      </w:r>
    </w:p>
    <w:p w14:paraId="00ACAAFD" w14:textId="386DC38C" w:rsidR="003719CD" w:rsidRDefault="003719CD" w:rsidP="00DC39DE">
      <w:r>
        <w:t xml:space="preserve">The CSO adjustment reflects the valuer’s assessment of the impact of restrictions associated with an asset to the extent that is also equally applicable to market participants. This approach is </w:t>
      </w:r>
      <w:r w:rsidR="004F47BC">
        <w:t>considering</w:t>
      </w:r>
      <w:r>
        <w:t xml:space="preserve"> the highest and best use consideration required for fair value measurement and </w:t>
      </w:r>
      <w:proofErr w:type="gramStart"/>
      <w:r>
        <w:t>takes into account</w:t>
      </w:r>
      <w:proofErr w:type="gramEnd"/>
      <w:r>
        <w:t xml:space="preserve"> the use of the asset that is physically possible, legally permissible, and financially feasible. </w:t>
      </w:r>
      <w:r w:rsidR="001245A7" w:rsidRPr="00A57232">
        <w:rPr>
          <w:rStyle w:val="Reference"/>
        </w:rPr>
        <w:t>[</w:t>
      </w:r>
      <w:r w:rsidR="0007383E">
        <w:rPr>
          <w:rStyle w:val="Reference"/>
        </w:rPr>
        <w:t>AASB </w:t>
      </w:r>
      <w:r w:rsidR="001245A7" w:rsidRPr="00A57232">
        <w:rPr>
          <w:rStyle w:val="Reference"/>
        </w:rPr>
        <w:t>1</w:t>
      </w:r>
      <w:r w:rsidR="001245A7">
        <w:rPr>
          <w:rStyle w:val="Reference"/>
        </w:rPr>
        <w:t>060.136(c)</w:t>
      </w:r>
      <w:r w:rsidR="001245A7" w:rsidRPr="00A57232">
        <w:rPr>
          <w:rStyle w:val="Reference"/>
        </w:rPr>
        <w:t>]</w:t>
      </w:r>
    </w:p>
    <w:p w14:paraId="7B2853B2" w14:textId="65F3AD6C" w:rsidR="003719CD" w:rsidRDefault="003719CD" w:rsidP="00DC39DE">
      <w:r>
        <w:t>For</w:t>
      </w:r>
      <w:r w:rsidR="00BF6C6E">
        <w:t xml:space="preserve"> </w:t>
      </w:r>
      <w:r w:rsidR="00807A3C">
        <w:t>TV</w:t>
      </w:r>
      <w:r>
        <w:t xml:space="preserve">’s specialised buildings, the current replacement cost method is used, adjusting for the associated depreciations. </w:t>
      </w:r>
      <w:r w:rsidR="001245A7" w:rsidRPr="00A57232">
        <w:rPr>
          <w:rStyle w:val="Reference"/>
        </w:rPr>
        <w:t>[</w:t>
      </w:r>
      <w:r w:rsidR="0007383E">
        <w:rPr>
          <w:rStyle w:val="Reference"/>
        </w:rPr>
        <w:t>AASB </w:t>
      </w:r>
      <w:r w:rsidR="001245A7" w:rsidRPr="00A57232">
        <w:rPr>
          <w:rStyle w:val="Reference"/>
        </w:rPr>
        <w:t>1</w:t>
      </w:r>
      <w:r w:rsidR="001245A7">
        <w:rPr>
          <w:rStyle w:val="Reference"/>
        </w:rPr>
        <w:t>060.136(c)</w:t>
      </w:r>
      <w:r w:rsidR="001245A7" w:rsidRPr="00A57232">
        <w:rPr>
          <w:rStyle w:val="Reference"/>
        </w:rPr>
        <w:t>]</w:t>
      </w:r>
    </w:p>
    <w:p w14:paraId="4E447FE5" w14:textId="5050EF1C" w:rsidR="003719CD" w:rsidRDefault="003719CD" w:rsidP="002A0038">
      <w:r>
        <w:t xml:space="preserve">Description of significant </w:t>
      </w:r>
      <w:r w:rsidR="00071544">
        <w:t xml:space="preserve">assumptions applied to fair value measurement </w:t>
      </w:r>
      <w:r w:rsidRPr="00A57232">
        <w:rPr>
          <w:rStyle w:val="Reference"/>
        </w:rPr>
        <w:t>[</w:t>
      </w:r>
      <w:r w:rsidR="00BA0937">
        <w:rPr>
          <w:rStyle w:val="Reference"/>
        </w:rPr>
        <w:t>AASB</w:t>
      </w:r>
      <w:r w:rsidR="00DC267D">
        <w:rPr>
          <w:rStyle w:val="Reference"/>
        </w:rPr>
        <w:t xml:space="preserve"> </w:t>
      </w:r>
      <w:r w:rsidR="00BA0937">
        <w:rPr>
          <w:rStyle w:val="Reference"/>
        </w:rPr>
        <w:t>1060.</w:t>
      </w:r>
      <w:r w:rsidR="00B2048E">
        <w:rPr>
          <w:rStyle w:val="Reference"/>
        </w:rPr>
        <w:t>136(c)</w:t>
      </w:r>
      <w:r w:rsidRPr="00A57232">
        <w:rPr>
          <w:rStyle w:val="Reference"/>
        </w:rPr>
        <w:t>]</w:t>
      </w:r>
      <w:bookmarkStart w:id="7822" w:name="unobservable_lv3_valuations"/>
      <w:bookmarkEnd w:id="7822"/>
    </w:p>
    <w:tbl>
      <w:tblPr>
        <w:tblStyle w:val="DTFTextTable"/>
        <w:tblW w:w="9630" w:type="dxa"/>
        <w:tblInd w:w="-5" w:type="dxa"/>
        <w:tblBorders>
          <w:top w:val="single" w:sz="4" w:space="0" w:color="auto"/>
          <w:left w:val="single" w:sz="4" w:space="0" w:color="auto"/>
          <w:bottom w:val="single" w:sz="4" w:space="0" w:color="auto"/>
          <w:right w:val="single" w:sz="4" w:space="0" w:color="auto"/>
        </w:tblBorders>
        <w:tblLayout w:type="fixed"/>
        <w:tblLook w:val="06A0" w:firstRow="1" w:lastRow="0" w:firstColumn="1" w:lastColumn="0" w:noHBand="1" w:noVBand="1"/>
      </w:tblPr>
      <w:tblGrid>
        <w:gridCol w:w="2160"/>
        <w:gridCol w:w="2250"/>
        <w:gridCol w:w="2812"/>
        <w:gridCol w:w="2408"/>
      </w:tblGrid>
      <w:tr w:rsidR="005B677B" w:rsidRPr="00940E38" w14:paraId="32A4A362" w14:textId="4BEC1BA6" w:rsidTr="00C8530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60" w:type="dxa"/>
            <w:tcBorders>
              <w:top w:val="single" w:sz="4" w:space="0" w:color="auto"/>
              <w:bottom w:val="nil"/>
              <w:right w:val="single" w:sz="4" w:space="0" w:color="auto"/>
            </w:tcBorders>
          </w:tcPr>
          <w:p w14:paraId="34EB5BAB" w14:textId="09992034" w:rsidR="00E26085" w:rsidRPr="00940E38" w:rsidRDefault="0054242A" w:rsidP="007D536F">
            <w:fldSimple w:instr="DOCPROPERTY  YearPrevious  \* MERGEFORMAT">
              <w:r>
                <w:t>20X1</w:t>
              </w:r>
            </w:fldSimple>
            <w:r w:rsidR="00E26085">
              <w:t xml:space="preserve"> </w:t>
            </w:r>
            <w:r w:rsidR="00E26085" w:rsidRPr="00940E38">
              <w:t xml:space="preserve">and </w:t>
            </w:r>
            <w:r w:rsidR="00E26085">
              <w:fldChar w:fldCharType="begin"/>
            </w:r>
            <w:r w:rsidR="00E26085">
              <w:rPr>
                <w:bCs w:val="0"/>
                <w:i w:val="0"/>
              </w:rPr>
              <w:instrText xml:space="preserve"> DOCPROPERTY  YearCurrent  \* MERGEFORMAT </w:instrText>
            </w:r>
            <w:r w:rsidR="00E26085">
              <w:fldChar w:fldCharType="separate"/>
            </w:r>
            <w:r>
              <w:rPr>
                <w:bCs w:val="0"/>
                <w:i w:val="0"/>
              </w:rPr>
              <w:t>20X2</w:t>
            </w:r>
            <w:r w:rsidR="00E26085">
              <w:fldChar w:fldCharType="end"/>
            </w:r>
          </w:p>
        </w:tc>
        <w:tc>
          <w:tcPr>
            <w:tcW w:w="2250" w:type="dxa"/>
            <w:tcBorders>
              <w:top w:val="single" w:sz="4" w:space="0" w:color="auto"/>
              <w:left w:val="single" w:sz="4" w:space="0" w:color="auto"/>
              <w:bottom w:val="nil"/>
              <w:right w:val="single" w:sz="4" w:space="0" w:color="auto"/>
            </w:tcBorders>
          </w:tcPr>
          <w:p w14:paraId="4428830A" w14:textId="77777777" w:rsidR="00E26085" w:rsidRPr="00940E38" w:rsidRDefault="00E26085" w:rsidP="007D536F">
            <w:pPr>
              <w:cnfStyle w:val="100000000000" w:firstRow="1" w:lastRow="0" w:firstColumn="0" w:lastColumn="0" w:oddVBand="0" w:evenVBand="0" w:oddHBand="0" w:evenHBand="0" w:firstRowFirstColumn="0" w:firstRowLastColumn="0" w:lastRowFirstColumn="0" w:lastRowLastColumn="0"/>
            </w:pPr>
            <w:r w:rsidRPr="00940E38">
              <w:t xml:space="preserve">Valuation technique </w:t>
            </w:r>
            <w:r w:rsidRPr="00940E38">
              <w:rPr>
                <w:vertAlign w:val="superscript"/>
              </w:rPr>
              <w:t>(a)</w:t>
            </w:r>
          </w:p>
        </w:tc>
        <w:tc>
          <w:tcPr>
            <w:tcW w:w="2812" w:type="dxa"/>
            <w:tcBorders>
              <w:top w:val="single" w:sz="4" w:space="0" w:color="auto"/>
              <w:left w:val="single" w:sz="4" w:space="0" w:color="auto"/>
              <w:bottom w:val="nil"/>
              <w:right w:val="single" w:sz="4" w:space="0" w:color="auto"/>
            </w:tcBorders>
          </w:tcPr>
          <w:p w14:paraId="61380141" w14:textId="486F2DD4" w:rsidR="00E26085" w:rsidRPr="00940E38" w:rsidRDefault="00E26085" w:rsidP="007D536F">
            <w:pPr>
              <w:cnfStyle w:val="100000000000" w:firstRow="1" w:lastRow="0" w:firstColumn="0" w:lastColumn="0" w:oddVBand="0" w:evenVBand="0" w:oddHBand="0" w:evenHBand="0" w:firstRowFirstColumn="0" w:firstRowLastColumn="0" w:lastRowFirstColumn="0" w:lastRowLastColumn="0"/>
            </w:pPr>
            <w:r w:rsidRPr="00940E38">
              <w:t xml:space="preserve">Significant </w:t>
            </w:r>
            <w:r w:rsidRPr="00940E38">
              <w:br/>
            </w:r>
            <w:r w:rsidR="006F3CFA">
              <w:t>assumption</w:t>
            </w:r>
            <w:r w:rsidRPr="00940E38">
              <w:t xml:space="preserve"> </w:t>
            </w:r>
            <w:r w:rsidRPr="00940E38">
              <w:rPr>
                <w:vertAlign w:val="superscript"/>
              </w:rPr>
              <w:t>(a)</w:t>
            </w:r>
          </w:p>
        </w:tc>
        <w:tc>
          <w:tcPr>
            <w:tcW w:w="2408" w:type="dxa"/>
            <w:tcBorders>
              <w:left w:val="single" w:sz="4" w:space="0" w:color="auto"/>
            </w:tcBorders>
          </w:tcPr>
          <w:p w14:paraId="3C9506A9" w14:textId="77777777" w:rsidR="00E26085" w:rsidRPr="00940E38" w:rsidRDefault="00E26085" w:rsidP="007D536F">
            <w:pPr>
              <w:cnfStyle w:val="100000000000" w:firstRow="1" w:lastRow="0" w:firstColumn="0" w:lastColumn="0" w:oddVBand="0" w:evenVBand="0" w:oddHBand="0" w:evenHBand="0" w:firstRowFirstColumn="0" w:firstRowLastColumn="0" w:lastRowFirstColumn="0" w:lastRowLastColumn="0"/>
            </w:pPr>
            <w:r w:rsidRPr="00940E38">
              <w:t xml:space="preserve">Range </w:t>
            </w:r>
            <w:r w:rsidRPr="00940E38">
              <w:br/>
              <w:t xml:space="preserve">(weighted average) </w:t>
            </w:r>
            <w:r w:rsidRPr="00940E38">
              <w:rPr>
                <w:vertAlign w:val="superscript"/>
              </w:rPr>
              <w:t>(a)</w:t>
            </w:r>
          </w:p>
        </w:tc>
      </w:tr>
      <w:tr w:rsidR="008A7C36" w:rsidRPr="00940E38" w14:paraId="7A2BA7C7" w14:textId="33F477A9" w:rsidTr="00C8530A">
        <w:tc>
          <w:tcPr>
            <w:cnfStyle w:val="001000000000" w:firstRow="0" w:lastRow="0" w:firstColumn="1" w:lastColumn="0" w:oddVBand="0" w:evenVBand="0" w:oddHBand="0" w:evenHBand="0" w:firstRowFirstColumn="0" w:firstRowLastColumn="0" w:lastRowFirstColumn="0" w:lastRowLastColumn="0"/>
            <w:tcW w:w="2160" w:type="dxa"/>
            <w:tcBorders>
              <w:top w:val="nil"/>
              <w:bottom w:val="nil"/>
              <w:right w:val="single" w:sz="4" w:space="0" w:color="auto"/>
            </w:tcBorders>
          </w:tcPr>
          <w:p w14:paraId="711CC323" w14:textId="77777777" w:rsidR="00E26085" w:rsidRPr="00940E38" w:rsidRDefault="00E26085" w:rsidP="007D536F">
            <w:pPr>
              <w:spacing w:before="40" w:after="40"/>
              <w:rPr>
                <w:rFonts w:cstheme="majorHAnsi"/>
                <w:b w:val="0"/>
                <w:sz w:val="17"/>
              </w:rPr>
            </w:pPr>
            <w:r w:rsidRPr="00940E38">
              <w:rPr>
                <w:rFonts w:cstheme="majorHAnsi"/>
                <w:sz w:val="17"/>
              </w:rPr>
              <w:t>Specialised land</w:t>
            </w:r>
          </w:p>
        </w:tc>
        <w:tc>
          <w:tcPr>
            <w:tcW w:w="2250" w:type="dxa"/>
            <w:tcBorders>
              <w:top w:val="nil"/>
              <w:left w:val="single" w:sz="4" w:space="0" w:color="auto"/>
              <w:bottom w:val="nil"/>
              <w:right w:val="single" w:sz="4" w:space="0" w:color="auto"/>
            </w:tcBorders>
          </w:tcPr>
          <w:p w14:paraId="7776FC10" w14:textId="77777777" w:rsidR="00E26085" w:rsidRPr="00940E38" w:rsidRDefault="00E26085" w:rsidP="007D536F">
            <w:pPr>
              <w:spacing w:before="40" w:after="40"/>
              <w:cnfStyle w:val="000000000000" w:firstRow="0" w:lastRow="0" w:firstColumn="0" w:lastColumn="0" w:oddVBand="0" w:evenVBand="0" w:oddHBand="0" w:evenHBand="0" w:firstRowFirstColumn="0" w:firstRowLastColumn="0" w:lastRowFirstColumn="0" w:lastRowLastColumn="0"/>
              <w:rPr>
                <w:rFonts w:cstheme="majorHAnsi"/>
                <w:sz w:val="17"/>
              </w:rPr>
            </w:pPr>
            <w:r w:rsidRPr="00940E38">
              <w:rPr>
                <w:rFonts w:cstheme="majorHAnsi"/>
                <w:sz w:val="17"/>
              </w:rPr>
              <w:t>Market approach</w:t>
            </w:r>
          </w:p>
        </w:tc>
        <w:tc>
          <w:tcPr>
            <w:tcW w:w="2812" w:type="dxa"/>
            <w:tcBorders>
              <w:top w:val="nil"/>
              <w:left w:val="single" w:sz="4" w:space="0" w:color="auto"/>
              <w:bottom w:val="nil"/>
              <w:right w:val="single" w:sz="4" w:space="0" w:color="auto"/>
            </w:tcBorders>
          </w:tcPr>
          <w:p w14:paraId="2AB0F6D0" w14:textId="77777777" w:rsidR="00E26085" w:rsidRPr="00940E38" w:rsidRDefault="00E26085" w:rsidP="007D536F">
            <w:pPr>
              <w:spacing w:before="40" w:after="40"/>
              <w:cnfStyle w:val="000000000000" w:firstRow="0" w:lastRow="0" w:firstColumn="0" w:lastColumn="0" w:oddVBand="0" w:evenVBand="0" w:oddHBand="0" w:evenHBand="0" w:firstRowFirstColumn="0" w:firstRowLastColumn="0" w:lastRowFirstColumn="0" w:lastRowLastColumn="0"/>
              <w:rPr>
                <w:rFonts w:cstheme="majorHAnsi"/>
                <w:sz w:val="17"/>
              </w:rPr>
            </w:pPr>
            <w:r w:rsidRPr="00940E38">
              <w:rPr>
                <w:rFonts w:cstheme="majorHAnsi"/>
                <w:sz w:val="17"/>
              </w:rPr>
              <w:t>Community service obligation (CSO) adjustment</w:t>
            </w:r>
          </w:p>
        </w:tc>
        <w:tc>
          <w:tcPr>
            <w:tcW w:w="2408" w:type="dxa"/>
            <w:tcBorders>
              <w:left w:val="single" w:sz="4" w:space="0" w:color="auto"/>
            </w:tcBorders>
          </w:tcPr>
          <w:p w14:paraId="61F94CEC" w14:textId="77777777" w:rsidR="00E26085" w:rsidRPr="00940E38" w:rsidRDefault="00E26085" w:rsidP="007D536F">
            <w:pPr>
              <w:spacing w:before="40" w:after="40"/>
              <w:cnfStyle w:val="000000000000" w:firstRow="0" w:lastRow="0" w:firstColumn="0" w:lastColumn="0" w:oddVBand="0" w:evenVBand="0" w:oddHBand="0" w:evenHBand="0" w:firstRowFirstColumn="0" w:firstRowLastColumn="0" w:lastRowFirstColumn="0" w:lastRowLastColumn="0"/>
              <w:rPr>
                <w:rFonts w:cstheme="majorHAnsi"/>
                <w:sz w:val="17"/>
              </w:rPr>
            </w:pPr>
            <w:r w:rsidRPr="00940E38">
              <w:rPr>
                <w:rFonts w:cstheme="majorHAnsi"/>
                <w:sz w:val="17"/>
              </w:rPr>
              <w:t>50-70</w:t>
            </w:r>
            <w:r>
              <w:rPr>
                <w:rFonts w:cstheme="majorHAnsi"/>
                <w:sz w:val="17"/>
              </w:rPr>
              <w:t xml:space="preserve"> per cent</w:t>
            </w:r>
            <w:r w:rsidRPr="00940E38">
              <w:rPr>
                <w:rFonts w:cstheme="majorHAnsi"/>
                <w:sz w:val="17"/>
              </w:rPr>
              <w:t xml:space="preserve"> </w:t>
            </w:r>
          </w:p>
          <w:p w14:paraId="3408DEE3" w14:textId="77777777" w:rsidR="00E26085" w:rsidRPr="00940E38" w:rsidRDefault="00E26085" w:rsidP="007D536F">
            <w:pPr>
              <w:spacing w:before="40" w:after="40"/>
              <w:cnfStyle w:val="000000000000" w:firstRow="0" w:lastRow="0" w:firstColumn="0" w:lastColumn="0" w:oddVBand="0" w:evenVBand="0" w:oddHBand="0" w:evenHBand="0" w:firstRowFirstColumn="0" w:firstRowLastColumn="0" w:lastRowFirstColumn="0" w:lastRowLastColumn="0"/>
              <w:rPr>
                <w:rFonts w:cstheme="majorHAnsi"/>
                <w:sz w:val="17"/>
              </w:rPr>
            </w:pPr>
            <w:r w:rsidRPr="00940E38">
              <w:rPr>
                <w:rFonts w:cstheme="majorHAnsi"/>
                <w:sz w:val="17"/>
              </w:rPr>
              <w:t>(60</w:t>
            </w:r>
            <w:r>
              <w:rPr>
                <w:rFonts w:cstheme="majorHAnsi"/>
                <w:sz w:val="17"/>
              </w:rPr>
              <w:t xml:space="preserve"> per cent</w:t>
            </w:r>
            <w:r w:rsidRPr="00940E38">
              <w:rPr>
                <w:rFonts w:cstheme="majorHAnsi"/>
                <w:sz w:val="17"/>
              </w:rPr>
              <w:t xml:space="preserve">) </w:t>
            </w:r>
            <w:r w:rsidRPr="00940E38">
              <w:rPr>
                <w:rFonts w:cstheme="majorHAnsi"/>
                <w:sz w:val="17"/>
                <w:vertAlign w:val="superscript"/>
              </w:rPr>
              <w:t>(b)</w:t>
            </w:r>
          </w:p>
        </w:tc>
      </w:tr>
      <w:tr w:rsidR="008A7C36" w:rsidRPr="00940E38" w14:paraId="4A4AA184" w14:textId="0229D0B1" w:rsidTr="00C8530A">
        <w:tc>
          <w:tcPr>
            <w:cnfStyle w:val="001000000000" w:firstRow="0" w:lastRow="0" w:firstColumn="1" w:lastColumn="0" w:oddVBand="0" w:evenVBand="0" w:oddHBand="0" w:evenHBand="0" w:firstRowFirstColumn="0" w:firstRowLastColumn="0" w:lastRowFirstColumn="0" w:lastRowLastColumn="0"/>
            <w:tcW w:w="2160" w:type="dxa"/>
            <w:tcBorders>
              <w:top w:val="nil"/>
              <w:bottom w:val="nil"/>
              <w:right w:val="single" w:sz="4" w:space="0" w:color="auto"/>
            </w:tcBorders>
          </w:tcPr>
          <w:p w14:paraId="77D08416" w14:textId="77777777" w:rsidR="00E26085" w:rsidRPr="00940E38" w:rsidRDefault="00E26085" w:rsidP="007D536F">
            <w:pPr>
              <w:spacing w:before="40" w:after="40"/>
              <w:rPr>
                <w:rFonts w:cstheme="majorHAnsi"/>
                <w:b w:val="0"/>
                <w:sz w:val="17"/>
              </w:rPr>
            </w:pPr>
            <w:r w:rsidRPr="00940E38">
              <w:rPr>
                <w:rFonts w:cstheme="majorHAnsi"/>
                <w:sz w:val="17"/>
              </w:rPr>
              <w:t>Specialised buildings</w:t>
            </w:r>
          </w:p>
        </w:tc>
        <w:tc>
          <w:tcPr>
            <w:tcW w:w="2250" w:type="dxa"/>
            <w:tcBorders>
              <w:top w:val="nil"/>
              <w:left w:val="single" w:sz="4" w:space="0" w:color="auto"/>
              <w:bottom w:val="nil"/>
              <w:right w:val="single" w:sz="4" w:space="0" w:color="auto"/>
            </w:tcBorders>
          </w:tcPr>
          <w:p w14:paraId="15683781" w14:textId="77777777" w:rsidR="00E26085" w:rsidRPr="00940E38" w:rsidRDefault="00E26085" w:rsidP="007D536F">
            <w:pPr>
              <w:spacing w:before="40" w:after="40"/>
              <w:cnfStyle w:val="000000000000" w:firstRow="0" w:lastRow="0" w:firstColumn="0" w:lastColumn="0" w:oddVBand="0" w:evenVBand="0" w:oddHBand="0" w:evenHBand="0" w:firstRowFirstColumn="0" w:firstRowLastColumn="0" w:lastRowFirstColumn="0" w:lastRowLastColumn="0"/>
            </w:pPr>
            <w:r w:rsidRPr="00940E38">
              <w:rPr>
                <w:rFonts w:cstheme="majorHAnsi"/>
                <w:sz w:val="17"/>
              </w:rPr>
              <w:t>Current replacement cost</w:t>
            </w:r>
          </w:p>
        </w:tc>
        <w:tc>
          <w:tcPr>
            <w:tcW w:w="2812" w:type="dxa"/>
            <w:tcBorders>
              <w:top w:val="nil"/>
              <w:left w:val="single" w:sz="4" w:space="0" w:color="auto"/>
              <w:bottom w:val="nil"/>
              <w:right w:val="single" w:sz="4" w:space="0" w:color="auto"/>
            </w:tcBorders>
          </w:tcPr>
          <w:p w14:paraId="5A261EE9" w14:textId="77777777" w:rsidR="00E26085" w:rsidRPr="00940E38" w:rsidRDefault="00E26085" w:rsidP="007D536F">
            <w:pPr>
              <w:spacing w:before="40" w:after="40"/>
              <w:cnfStyle w:val="000000000000" w:firstRow="0" w:lastRow="0" w:firstColumn="0" w:lastColumn="0" w:oddVBand="0" w:evenVBand="0" w:oddHBand="0" w:evenHBand="0" w:firstRowFirstColumn="0" w:firstRowLastColumn="0" w:lastRowFirstColumn="0" w:lastRowLastColumn="0"/>
              <w:rPr>
                <w:rFonts w:cstheme="majorHAnsi"/>
                <w:sz w:val="17"/>
              </w:rPr>
            </w:pPr>
            <w:r w:rsidRPr="00940E38">
              <w:rPr>
                <w:rFonts w:cstheme="majorHAnsi"/>
                <w:sz w:val="17"/>
              </w:rPr>
              <w:t>Direct cost per square metre</w:t>
            </w:r>
          </w:p>
        </w:tc>
        <w:tc>
          <w:tcPr>
            <w:tcW w:w="2408" w:type="dxa"/>
            <w:tcBorders>
              <w:left w:val="single" w:sz="4" w:space="0" w:color="auto"/>
            </w:tcBorders>
          </w:tcPr>
          <w:p w14:paraId="037CC2B0" w14:textId="77777777" w:rsidR="00E26085" w:rsidRPr="00940E38" w:rsidRDefault="00E26085" w:rsidP="007D536F">
            <w:pPr>
              <w:spacing w:before="40" w:after="40"/>
              <w:cnfStyle w:val="000000000000" w:firstRow="0" w:lastRow="0" w:firstColumn="0" w:lastColumn="0" w:oddVBand="0" w:evenVBand="0" w:oddHBand="0" w:evenHBand="0" w:firstRowFirstColumn="0" w:firstRowLastColumn="0" w:lastRowFirstColumn="0" w:lastRowLastColumn="0"/>
              <w:rPr>
                <w:rFonts w:cstheme="majorHAnsi"/>
                <w:sz w:val="17"/>
                <w:vertAlign w:val="superscript"/>
              </w:rPr>
            </w:pPr>
            <w:r w:rsidRPr="00940E38">
              <w:rPr>
                <w:rFonts w:cstheme="majorHAnsi"/>
                <w:sz w:val="17"/>
              </w:rPr>
              <w:t>$1 000-$1 500/m</w:t>
            </w:r>
            <w:r w:rsidRPr="00940E38">
              <w:rPr>
                <w:rFonts w:cstheme="majorHAnsi"/>
                <w:sz w:val="17"/>
                <w:vertAlign w:val="superscript"/>
              </w:rPr>
              <w:t>2</w:t>
            </w:r>
          </w:p>
          <w:p w14:paraId="64459EF2" w14:textId="77777777" w:rsidR="00E26085" w:rsidRPr="00940E38" w:rsidRDefault="00E26085" w:rsidP="007D536F">
            <w:pPr>
              <w:spacing w:before="40" w:after="40"/>
              <w:cnfStyle w:val="000000000000" w:firstRow="0" w:lastRow="0" w:firstColumn="0" w:lastColumn="0" w:oddVBand="0" w:evenVBand="0" w:oddHBand="0" w:evenHBand="0" w:firstRowFirstColumn="0" w:firstRowLastColumn="0" w:lastRowFirstColumn="0" w:lastRowLastColumn="0"/>
              <w:rPr>
                <w:rFonts w:cstheme="majorHAnsi"/>
                <w:sz w:val="17"/>
              </w:rPr>
            </w:pPr>
            <w:r w:rsidRPr="00940E38">
              <w:rPr>
                <w:rFonts w:cstheme="majorHAnsi"/>
                <w:sz w:val="17"/>
              </w:rPr>
              <w:t>($1 300)</w:t>
            </w:r>
          </w:p>
        </w:tc>
      </w:tr>
      <w:tr w:rsidR="008A7C36" w:rsidRPr="00940E38" w14:paraId="6248A292" w14:textId="0B5920E1" w:rsidTr="00C8530A">
        <w:tc>
          <w:tcPr>
            <w:cnfStyle w:val="001000000000" w:firstRow="0" w:lastRow="0" w:firstColumn="1" w:lastColumn="0" w:oddVBand="0" w:evenVBand="0" w:oddHBand="0" w:evenHBand="0" w:firstRowFirstColumn="0" w:firstRowLastColumn="0" w:lastRowFirstColumn="0" w:lastRowLastColumn="0"/>
            <w:tcW w:w="2160" w:type="dxa"/>
            <w:tcBorders>
              <w:top w:val="nil"/>
              <w:bottom w:val="nil"/>
              <w:right w:val="single" w:sz="4" w:space="0" w:color="auto"/>
            </w:tcBorders>
          </w:tcPr>
          <w:p w14:paraId="2C231E1F" w14:textId="77777777" w:rsidR="00E26085" w:rsidRPr="00940E38" w:rsidRDefault="00E26085" w:rsidP="007D536F">
            <w:pPr>
              <w:spacing w:before="40" w:after="40"/>
              <w:rPr>
                <w:rFonts w:cstheme="majorHAnsi"/>
                <w:b w:val="0"/>
                <w:sz w:val="17"/>
              </w:rPr>
            </w:pPr>
          </w:p>
        </w:tc>
        <w:tc>
          <w:tcPr>
            <w:tcW w:w="2250" w:type="dxa"/>
            <w:tcBorders>
              <w:top w:val="nil"/>
              <w:left w:val="single" w:sz="4" w:space="0" w:color="auto"/>
              <w:bottom w:val="nil"/>
              <w:right w:val="single" w:sz="4" w:space="0" w:color="auto"/>
            </w:tcBorders>
          </w:tcPr>
          <w:p w14:paraId="5A474495" w14:textId="77777777" w:rsidR="00E26085" w:rsidRPr="00940E38" w:rsidRDefault="00E26085" w:rsidP="007D536F">
            <w:pPr>
              <w:spacing w:before="40" w:after="40"/>
              <w:cnfStyle w:val="000000000000" w:firstRow="0" w:lastRow="0" w:firstColumn="0" w:lastColumn="0" w:oddVBand="0" w:evenVBand="0" w:oddHBand="0" w:evenHBand="0" w:firstRowFirstColumn="0" w:firstRowLastColumn="0" w:lastRowFirstColumn="0" w:lastRowLastColumn="0"/>
              <w:rPr>
                <w:rFonts w:cstheme="majorHAnsi"/>
                <w:sz w:val="17"/>
              </w:rPr>
            </w:pPr>
          </w:p>
        </w:tc>
        <w:tc>
          <w:tcPr>
            <w:tcW w:w="2812" w:type="dxa"/>
            <w:tcBorders>
              <w:top w:val="nil"/>
              <w:left w:val="single" w:sz="4" w:space="0" w:color="auto"/>
              <w:bottom w:val="nil"/>
              <w:right w:val="single" w:sz="4" w:space="0" w:color="auto"/>
            </w:tcBorders>
          </w:tcPr>
          <w:p w14:paraId="7B1EE03E" w14:textId="77777777" w:rsidR="00E26085" w:rsidRPr="00940E38" w:rsidRDefault="00E26085" w:rsidP="007D536F">
            <w:pPr>
              <w:spacing w:before="40" w:after="40"/>
              <w:cnfStyle w:val="000000000000" w:firstRow="0" w:lastRow="0" w:firstColumn="0" w:lastColumn="0" w:oddVBand="0" w:evenVBand="0" w:oddHBand="0" w:evenHBand="0" w:firstRowFirstColumn="0" w:firstRowLastColumn="0" w:lastRowFirstColumn="0" w:lastRowLastColumn="0"/>
              <w:rPr>
                <w:rFonts w:cstheme="majorHAnsi"/>
                <w:sz w:val="17"/>
              </w:rPr>
            </w:pPr>
            <w:r w:rsidRPr="00940E38">
              <w:rPr>
                <w:rFonts w:cstheme="majorHAnsi"/>
                <w:sz w:val="17"/>
              </w:rPr>
              <w:t>Useful life of specialised buildings</w:t>
            </w:r>
          </w:p>
        </w:tc>
        <w:tc>
          <w:tcPr>
            <w:tcW w:w="2408" w:type="dxa"/>
            <w:tcBorders>
              <w:left w:val="single" w:sz="4" w:space="0" w:color="auto"/>
            </w:tcBorders>
          </w:tcPr>
          <w:p w14:paraId="6A8D9BBD" w14:textId="77777777" w:rsidR="00E26085" w:rsidRPr="00940E38" w:rsidRDefault="00E26085" w:rsidP="007D536F">
            <w:pPr>
              <w:spacing w:before="40" w:after="40"/>
              <w:cnfStyle w:val="000000000000" w:firstRow="0" w:lastRow="0" w:firstColumn="0" w:lastColumn="0" w:oddVBand="0" w:evenVBand="0" w:oddHBand="0" w:evenHBand="0" w:firstRowFirstColumn="0" w:firstRowLastColumn="0" w:lastRowFirstColumn="0" w:lastRowLastColumn="0"/>
              <w:rPr>
                <w:rFonts w:cstheme="majorHAnsi"/>
                <w:sz w:val="17"/>
              </w:rPr>
            </w:pPr>
            <w:r w:rsidRPr="00940E38">
              <w:rPr>
                <w:rFonts w:cstheme="majorHAnsi"/>
                <w:sz w:val="17"/>
              </w:rPr>
              <w:t xml:space="preserve">30-60 years </w:t>
            </w:r>
          </w:p>
          <w:p w14:paraId="559C8D2E" w14:textId="77777777" w:rsidR="00E26085" w:rsidRPr="00940E38" w:rsidRDefault="00E26085" w:rsidP="007D536F">
            <w:pPr>
              <w:spacing w:before="40" w:after="40"/>
              <w:cnfStyle w:val="000000000000" w:firstRow="0" w:lastRow="0" w:firstColumn="0" w:lastColumn="0" w:oddVBand="0" w:evenVBand="0" w:oddHBand="0" w:evenHBand="0" w:firstRowFirstColumn="0" w:firstRowLastColumn="0" w:lastRowFirstColumn="0" w:lastRowLastColumn="0"/>
              <w:rPr>
                <w:rFonts w:cstheme="majorHAnsi"/>
                <w:sz w:val="17"/>
              </w:rPr>
            </w:pPr>
            <w:r w:rsidRPr="00940E38">
              <w:rPr>
                <w:rFonts w:cstheme="majorHAnsi"/>
                <w:sz w:val="17"/>
              </w:rPr>
              <w:t>(45 years)</w:t>
            </w:r>
          </w:p>
        </w:tc>
      </w:tr>
      <w:tr w:rsidR="008A7C36" w:rsidRPr="00940E38" w14:paraId="7974ABAA" w14:textId="35140567" w:rsidTr="00C8530A">
        <w:tc>
          <w:tcPr>
            <w:cnfStyle w:val="001000000000" w:firstRow="0" w:lastRow="0" w:firstColumn="1" w:lastColumn="0" w:oddVBand="0" w:evenVBand="0" w:oddHBand="0" w:evenHBand="0" w:firstRowFirstColumn="0" w:firstRowLastColumn="0" w:lastRowFirstColumn="0" w:lastRowLastColumn="0"/>
            <w:tcW w:w="2160" w:type="dxa"/>
            <w:tcBorders>
              <w:top w:val="nil"/>
              <w:bottom w:val="nil"/>
              <w:right w:val="single" w:sz="4" w:space="0" w:color="auto"/>
            </w:tcBorders>
          </w:tcPr>
          <w:p w14:paraId="360EDA19" w14:textId="77777777" w:rsidR="00E26085" w:rsidRPr="00940E38" w:rsidRDefault="00E26085" w:rsidP="007D536F">
            <w:pPr>
              <w:spacing w:before="40" w:after="40"/>
              <w:rPr>
                <w:rFonts w:cstheme="majorHAnsi"/>
                <w:b w:val="0"/>
                <w:sz w:val="17"/>
              </w:rPr>
            </w:pPr>
            <w:r w:rsidRPr="00940E38">
              <w:rPr>
                <w:rFonts w:cstheme="majorHAnsi"/>
                <w:sz w:val="17"/>
              </w:rPr>
              <w:t>Vehicles</w:t>
            </w:r>
          </w:p>
        </w:tc>
        <w:tc>
          <w:tcPr>
            <w:tcW w:w="2250" w:type="dxa"/>
            <w:tcBorders>
              <w:top w:val="nil"/>
              <w:left w:val="single" w:sz="4" w:space="0" w:color="auto"/>
              <w:bottom w:val="nil"/>
              <w:right w:val="single" w:sz="4" w:space="0" w:color="auto"/>
            </w:tcBorders>
          </w:tcPr>
          <w:p w14:paraId="72D1CE37" w14:textId="77777777" w:rsidR="00E26085" w:rsidRPr="00940E38" w:rsidRDefault="00E26085" w:rsidP="007D536F">
            <w:pPr>
              <w:spacing w:before="40" w:after="40"/>
              <w:cnfStyle w:val="000000000000" w:firstRow="0" w:lastRow="0" w:firstColumn="0" w:lastColumn="0" w:oddVBand="0" w:evenVBand="0" w:oddHBand="0" w:evenHBand="0" w:firstRowFirstColumn="0" w:firstRowLastColumn="0" w:lastRowFirstColumn="0" w:lastRowLastColumn="0"/>
            </w:pPr>
            <w:r w:rsidRPr="00940E38">
              <w:rPr>
                <w:rFonts w:cstheme="majorHAnsi"/>
                <w:sz w:val="17"/>
              </w:rPr>
              <w:t>Current replacement cost</w:t>
            </w:r>
          </w:p>
        </w:tc>
        <w:tc>
          <w:tcPr>
            <w:tcW w:w="2812" w:type="dxa"/>
            <w:tcBorders>
              <w:top w:val="nil"/>
              <w:left w:val="single" w:sz="4" w:space="0" w:color="auto"/>
              <w:bottom w:val="nil"/>
              <w:right w:val="single" w:sz="4" w:space="0" w:color="auto"/>
            </w:tcBorders>
          </w:tcPr>
          <w:p w14:paraId="75E10BB7" w14:textId="77777777" w:rsidR="00E26085" w:rsidRPr="00940E38" w:rsidRDefault="00E26085" w:rsidP="007D536F">
            <w:pPr>
              <w:spacing w:before="40" w:after="40"/>
              <w:cnfStyle w:val="000000000000" w:firstRow="0" w:lastRow="0" w:firstColumn="0" w:lastColumn="0" w:oddVBand="0" w:evenVBand="0" w:oddHBand="0" w:evenHBand="0" w:firstRowFirstColumn="0" w:firstRowLastColumn="0" w:lastRowFirstColumn="0" w:lastRowLastColumn="0"/>
              <w:rPr>
                <w:rFonts w:cstheme="majorHAnsi"/>
                <w:sz w:val="17"/>
              </w:rPr>
            </w:pPr>
            <w:r w:rsidRPr="00940E38">
              <w:rPr>
                <w:rFonts w:cstheme="majorHAnsi"/>
                <w:sz w:val="17"/>
              </w:rPr>
              <w:t>Cost per unit</w:t>
            </w:r>
          </w:p>
        </w:tc>
        <w:tc>
          <w:tcPr>
            <w:tcW w:w="2408" w:type="dxa"/>
            <w:tcBorders>
              <w:left w:val="single" w:sz="4" w:space="0" w:color="auto"/>
            </w:tcBorders>
          </w:tcPr>
          <w:p w14:paraId="558B4F82" w14:textId="77777777" w:rsidR="00E26085" w:rsidRPr="00940E38" w:rsidRDefault="00E26085" w:rsidP="007D536F">
            <w:pPr>
              <w:spacing w:before="40" w:after="40"/>
              <w:cnfStyle w:val="000000000000" w:firstRow="0" w:lastRow="0" w:firstColumn="0" w:lastColumn="0" w:oddVBand="0" w:evenVBand="0" w:oddHBand="0" w:evenHBand="0" w:firstRowFirstColumn="0" w:firstRowLastColumn="0" w:lastRowFirstColumn="0" w:lastRowLastColumn="0"/>
              <w:rPr>
                <w:rFonts w:cstheme="majorHAnsi"/>
                <w:sz w:val="17"/>
              </w:rPr>
            </w:pPr>
            <w:r w:rsidRPr="00940E38">
              <w:rPr>
                <w:rFonts w:cstheme="majorHAnsi"/>
                <w:sz w:val="17"/>
              </w:rPr>
              <w:t>$9 000-$10 000 per unit</w:t>
            </w:r>
          </w:p>
          <w:p w14:paraId="5C761AF2" w14:textId="77777777" w:rsidR="00E26085" w:rsidRPr="00940E38" w:rsidRDefault="00E26085" w:rsidP="007D536F">
            <w:pPr>
              <w:spacing w:before="40" w:after="40"/>
              <w:cnfStyle w:val="000000000000" w:firstRow="0" w:lastRow="0" w:firstColumn="0" w:lastColumn="0" w:oddVBand="0" w:evenVBand="0" w:oddHBand="0" w:evenHBand="0" w:firstRowFirstColumn="0" w:firstRowLastColumn="0" w:lastRowFirstColumn="0" w:lastRowLastColumn="0"/>
              <w:rPr>
                <w:rFonts w:cstheme="majorHAnsi"/>
                <w:sz w:val="17"/>
              </w:rPr>
            </w:pPr>
            <w:r w:rsidRPr="00940E38">
              <w:rPr>
                <w:rFonts w:cstheme="majorHAnsi"/>
                <w:sz w:val="17"/>
              </w:rPr>
              <w:t>($9 500 per unit)</w:t>
            </w:r>
          </w:p>
        </w:tc>
      </w:tr>
      <w:tr w:rsidR="008A7C36" w:rsidRPr="00940E38" w14:paraId="6362A4C8" w14:textId="451BEA28" w:rsidTr="00C8530A">
        <w:tc>
          <w:tcPr>
            <w:cnfStyle w:val="001000000000" w:firstRow="0" w:lastRow="0" w:firstColumn="1" w:lastColumn="0" w:oddVBand="0" w:evenVBand="0" w:oddHBand="0" w:evenHBand="0" w:firstRowFirstColumn="0" w:firstRowLastColumn="0" w:lastRowFirstColumn="0" w:lastRowLastColumn="0"/>
            <w:tcW w:w="2160" w:type="dxa"/>
            <w:tcBorders>
              <w:top w:val="nil"/>
              <w:bottom w:val="nil"/>
              <w:right w:val="single" w:sz="4" w:space="0" w:color="auto"/>
            </w:tcBorders>
          </w:tcPr>
          <w:p w14:paraId="0BEA9F08" w14:textId="77777777" w:rsidR="00E26085" w:rsidRPr="00940E38" w:rsidRDefault="00E26085" w:rsidP="007D536F">
            <w:pPr>
              <w:spacing w:before="40" w:after="40"/>
              <w:rPr>
                <w:rFonts w:cstheme="majorHAnsi"/>
                <w:b w:val="0"/>
                <w:sz w:val="17"/>
              </w:rPr>
            </w:pPr>
          </w:p>
        </w:tc>
        <w:tc>
          <w:tcPr>
            <w:tcW w:w="2250" w:type="dxa"/>
            <w:tcBorders>
              <w:top w:val="nil"/>
              <w:left w:val="single" w:sz="4" w:space="0" w:color="auto"/>
              <w:bottom w:val="nil"/>
              <w:right w:val="single" w:sz="4" w:space="0" w:color="auto"/>
            </w:tcBorders>
          </w:tcPr>
          <w:p w14:paraId="42E3BC90" w14:textId="77777777" w:rsidR="00E26085" w:rsidRPr="00940E38" w:rsidRDefault="00E26085" w:rsidP="007D536F">
            <w:pPr>
              <w:spacing w:before="40" w:after="40"/>
              <w:cnfStyle w:val="000000000000" w:firstRow="0" w:lastRow="0" w:firstColumn="0" w:lastColumn="0" w:oddVBand="0" w:evenVBand="0" w:oddHBand="0" w:evenHBand="0" w:firstRowFirstColumn="0" w:firstRowLastColumn="0" w:lastRowFirstColumn="0" w:lastRowLastColumn="0"/>
              <w:rPr>
                <w:rFonts w:cstheme="majorHAnsi"/>
                <w:sz w:val="17"/>
              </w:rPr>
            </w:pPr>
          </w:p>
        </w:tc>
        <w:tc>
          <w:tcPr>
            <w:tcW w:w="2812" w:type="dxa"/>
            <w:tcBorders>
              <w:top w:val="nil"/>
              <w:left w:val="single" w:sz="4" w:space="0" w:color="auto"/>
              <w:bottom w:val="nil"/>
              <w:right w:val="single" w:sz="4" w:space="0" w:color="auto"/>
            </w:tcBorders>
          </w:tcPr>
          <w:p w14:paraId="35C5C52B" w14:textId="77777777" w:rsidR="00E26085" w:rsidRPr="00940E38" w:rsidRDefault="00E26085" w:rsidP="007D536F">
            <w:pPr>
              <w:spacing w:before="40" w:after="40"/>
              <w:cnfStyle w:val="000000000000" w:firstRow="0" w:lastRow="0" w:firstColumn="0" w:lastColumn="0" w:oddVBand="0" w:evenVBand="0" w:oddHBand="0" w:evenHBand="0" w:firstRowFirstColumn="0" w:firstRowLastColumn="0" w:lastRowFirstColumn="0" w:lastRowLastColumn="0"/>
              <w:rPr>
                <w:rFonts w:cstheme="majorHAnsi"/>
                <w:sz w:val="17"/>
              </w:rPr>
            </w:pPr>
            <w:r w:rsidRPr="00940E38">
              <w:rPr>
                <w:rFonts w:cstheme="majorHAnsi"/>
                <w:sz w:val="17"/>
              </w:rPr>
              <w:t>Useful life of vehicles</w:t>
            </w:r>
          </w:p>
        </w:tc>
        <w:tc>
          <w:tcPr>
            <w:tcW w:w="2408" w:type="dxa"/>
            <w:tcBorders>
              <w:left w:val="single" w:sz="4" w:space="0" w:color="auto"/>
            </w:tcBorders>
          </w:tcPr>
          <w:p w14:paraId="7F29C8D3" w14:textId="77777777" w:rsidR="00E26085" w:rsidRPr="00940E38" w:rsidRDefault="00E26085" w:rsidP="007D536F">
            <w:pPr>
              <w:spacing w:before="40" w:after="40"/>
              <w:cnfStyle w:val="000000000000" w:firstRow="0" w:lastRow="0" w:firstColumn="0" w:lastColumn="0" w:oddVBand="0" w:evenVBand="0" w:oddHBand="0" w:evenHBand="0" w:firstRowFirstColumn="0" w:firstRowLastColumn="0" w:lastRowFirstColumn="0" w:lastRowLastColumn="0"/>
              <w:rPr>
                <w:rFonts w:cstheme="majorHAnsi"/>
                <w:sz w:val="17"/>
              </w:rPr>
            </w:pPr>
            <w:r w:rsidRPr="00940E38">
              <w:rPr>
                <w:rFonts w:cstheme="majorHAnsi"/>
                <w:sz w:val="17"/>
              </w:rPr>
              <w:t xml:space="preserve">3-5 years </w:t>
            </w:r>
          </w:p>
          <w:p w14:paraId="010A4E6D" w14:textId="77777777" w:rsidR="00E26085" w:rsidRPr="00940E38" w:rsidRDefault="00E26085" w:rsidP="007D536F">
            <w:pPr>
              <w:spacing w:before="40" w:after="40"/>
              <w:cnfStyle w:val="000000000000" w:firstRow="0" w:lastRow="0" w:firstColumn="0" w:lastColumn="0" w:oddVBand="0" w:evenVBand="0" w:oddHBand="0" w:evenHBand="0" w:firstRowFirstColumn="0" w:firstRowLastColumn="0" w:lastRowFirstColumn="0" w:lastRowLastColumn="0"/>
              <w:rPr>
                <w:rFonts w:cstheme="majorHAnsi"/>
                <w:sz w:val="17"/>
              </w:rPr>
            </w:pPr>
            <w:r w:rsidRPr="00940E38">
              <w:rPr>
                <w:rFonts w:cstheme="majorHAnsi"/>
                <w:sz w:val="17"/>
              </w:rPr>
              <w:t>(3 years)</w:t>
            </w:r>
          </w:p>
        </w:tc>
      </w:tr>
      <w:tr w:rsidR="008A7C36" w:rsidRPr="00940E38" w14:paraId="2E78621B" w14:textId="12E8C6A2" w:rsidTr="00C8530A">
        <w:tc>
          <w:tcPr>
            <w:cnfStyle w:val="001000000000" w:firstRow="0" w:lastRow="0" w:firstColumn="1" w:lastColumn="0" w:oddVBand="0" w:evenVBand="0" w:oddHBand="0" w:evenHBand="0" w:firstRowFirstColumn="0" w:firstRowLastColumn="0" w:lastRowFirstColumn="0" w:lastRowLastColumn="0"/>
            <w:tcW w:w="2160" w:type="dxa"/>
            <w:tcBorders>
              <w:top w:val="nil"/>
              <w:bottom w:val="nil"/>
              <w:right w:val="single" w:sz="4" w:space="0" w:color="auto"/>
            </w:tcBorders>
          </w:tcPr>
          <w:p w14:paraId="5A5865DA" w14:textId="77777777" w:rsidR="00E26085" w:rsidRPr="00940E38" w:rsidRDefault="00E26085" w:rsidP="007D536F">
            <w:pPr>
              <w:spacing w:before="40" w:after="40"/>
              <w:rPr>
                <w:rFonts w:cstheme="majorHAnsi"/>
                <w:b w:val="0"/>
                <w:sz w:val="17"/>
              </w:rPr>
            </w:pPr>
            <w:r w:rsidRPr="00940E38">
              <w:rPr>
                <w:rFonts w:cstheme="majorHAnsi"/>
                <w:sz w:val="17"/>
              </w:rPr>
              <w:t>Plant and equipment</w:t>
            </w:r>
          </w:p>
        </w:tc>
        <w:tc>
          <w:tcPr>
            <w:tcW w:w="2250" w:type="dxa"/>
            <w:tcBorders>
              <w:top w:val="nil"/>
              <w:left w:val="single" w:sz="4" w:space="0" w:color="auto"/>
              <w:bottom w:val="nil"/>
              <w:right w:val="single" w:sz="4" w:space="0" w:color="auto"/>
            </w:tcBorders>
          </w:tcPr>
          <w:p w14:paraId="0C484AF1" w14:textId="77777777" w:rsidR="00E26085" w:rsidRPr="00940E38" w:rsidRDefault="00E26085" w:rsidP="007D536F">
            <w:pPr>
              <w:spacing w:before="40" w:after="40"/>
              <w:cnfStyle w:val="000000000000" w:firstRow="0" w:lastRow="0" w:firstColumn="0" w:lastColumn="0" w:oddVBand="0" w:evenVBand="0" w:oddHBand="0" w:evenHBand="0" w:firstRowFirstColumn="0" w:firstRowLastColumn="0" w:lastRowFirstColumn="0" w:lastRowLastColumn="0"/>
            </w:pPr>
            <w:r w:rsidRPr="00940E38">
              <w:rPr>
                <w:rFonts w:cstheme="majorHAnsi"/>
                <w:sz w:val="17"/>
              </w:rPr>
              <w:t>Current replacement cost</w:t>
            </w:r>
          </w:p>
        </w:tc>
        <w:tc>
          <w:tcPr>
            <w:tcW w:w="2812" w:type="dxa"/>
            <w:tcBorders>
              <w:top w:val="nil"/>
              <w:left w:val="single" w:sz="4" w:space="0" w:color="auto"/>
              <w:bottom w:val="nil"/>
              <w:right w:val="single" w:sz="4" w:space="0" w:color="auto"/>
            </w:tcBorders>
          </w:tcPr>
          <w:p w14:paraId="4C6FC4DC" w14:textId="77777777" w:rsidR="00E26085" w:rsidRPr="00940E38" w:rsidRDefault="00E26085" w:rsidP="007D536F">
            <w:pPr>
              <w:spacing w:before="40" w:after="40"/>
              <w:cnfStyle w:val="000000000000" w:firstRow="0" w:lastRow="0" w:firstColumn="0" w:lastColumn="0" w:oddVBand="0" w:evenVBand="0" w:oddHBand="0" w:evenHBand="0" w:firstRowFirstColumn="0" w:firstRowLastColumn="0" w:lastRowFirstColumn="0" w:lastRowLastColumn="0"/>
              <w:rPr>
                <w:rFonts w:cstheme="majorHAnsi"/>
                <w:sz w:val="17"/>
              </w:rPr>
            </w:pPr>
            <w:r w:rsidRPr="00940E38">
              <w:rPr>
                <w:rFonts w:cstheme="majorHAnsi"/>
                <w:sz w:val="17"/>
              </w:rPr>
              <w:t>Cost per unit</w:t>
            </w:r>
          </w:p>
        </w:tc>
        <w:tc>
          <w:tcPr>
            <w:tcW w:w="2408" w:type="dxa"/>
            <w:tcBorders>
              <w:left w:val="single" w:sz="4" w:space="0" w:color="auto"/>
            </w:tcBorders>
          </w:tcPr>
          <w:p w14:paraId="76E0066F" w14:textId="77777777" w:rsidR="00E26085" w:rsidRPr="00940E38" w:rsidRDefault="00E26085" w:rsidP="007D536F">
            <w:pPr>
              <w:spacing w:before="40" w:after="40"/>
              <w:cnfStyle w:val="000000000000" w:firstRow="0" w:lastRow="0" w:firstColumn="0" w:lastColumn="0" w:oddVBand="0" w:evenVBand="0" w:oddHBand="0" w:evenHBand="0" w:firstRowFirstColumn="0" w:firstRowLastColumn="0" w:lastRowFirstColumn="0" w:lastRowLastColumn="0"/>
              <w:rPr>
                <w:rFonts w:cstheme="majorHAnsi"/>
                <w:sz w:val="17"/>
              </w:rPr>
            </w:pPr>
            <w:r w:rsidRPr="00940E38">
              <w:rPr>
                <w:rFonts w:cstheme="majorHAnsi"/>
                <w:sz w:val="17"/>
              </w:rPr>
              <w:t xml:space="preserve">$3 000-$4 000 per unit </w:t>
            </w:r>
          </w:p>
          <w:p w14:paraId="0B63BA5A" w14:textId="77777777" w:rsidR="00E26085" w:rsidRPr="00940E38" w:rsidRDefault="00E26085" w:rsidP="007D536F">
            <w:pPr>
              <w:spacing w:before="40" w:after="40"/>
              <w:cnfStyle w:val="000000000000" w:firstRow="0" w:lastRow="0" w:firstColumn="0" w:lastColumn="0" w:oddVBand="0" w:evenVBand="0" w:oddHBand="0" w:evenHBand="0" w:firstRowFirstColumn="0" w:firstRowLastColumn="0" w:lastRowFirstColumn="0" w:lastRowLastColumn="0"/>
              <w:rPr>
                <w:rFonts w:cstheme="majorHAnsi"/>
                <w:sz w:val="17"/>
              </w:rPr>
            </w:pPr>
            <w:r w:rsidRPr="00940E38">
              <w:rPr>
                <w:rFonts w:cstheme="majorHAnsi"/>
                <w:sz w:val="17"/>
              </w:rPr>
              <w:t>($3 500 per unit)</w:t>
            </w:r>
          </w:p>
        </w:tc>
      </w:tr>
      <w:tr w:rsidR="008A7C36" w:rsidRPr="00940E38" w14:paraId="113D17E0" w14:textId="35EFEED8" w:rsidTr="00C8530A">
        <w:tc>
          <w:tcPr>
            <w:cnfStyle w:val="001000000000" w:firstRow="0" w:lastRow="0" w:firstColumn="1" w:lastColumn="0" w:oddVBand="0" w:evenVBand="0" w:oddHBand="0" w:evenHBand="0" w:firstRowFirstColumn="0" w:firstRowLastColumn="0" w:lastRowFirstColumn="0" w:lastRowLastColumn="0"/>
            <w:tcW w:w="2160" w:type="dxa"/>
            <w:tcBorders>
              <w:top w:val="nil"/>
              <w:bottom w:val="single" w:sz="4" w:space="0" w:color="auto"/>
              <w:right w:val="single" w:sz="4" w:space="0" w:color="auto"/>
            </w:tcBorders>
          </w:tcPr>
          <w:p w14:paraId="5B58741B" w14:textId="77777777" w:rsidR="007947C1" w:rsidRPr="00940E38" w:rsidRDefault="007947C1" w:rsidP="007D536F">
            <w:pPr>
              <w:spacing w:before="40" w:after="40"/>
              <w:rPr>
                <w:rFonts w:cstheme="majorHAnsi"/>
                <w:b w:val="0"/>
                <w:sz w:val="17"/>
              </w:rPr>
            </w:pPr>
          </w:p>
        </w:tc>
        <w:tc>
          <w:tcPr>
            <w:tcW w:w="2250" w:type="dxa"/>
            <w:tcBorders>
              <w:top w:val="nil"/>
              <w:left w:val="single" w:sz="4" w:space="0" w:color="auto"/>
              <w:bottom w:val="single" w:sz="4" w:space="0" w:color="auto"/>
              <w:right w:val="single" w:sz="4" w:space="0" w:color="auto"/>
            </w:tcBorders>
          </w:tcPr>
          <w:p w14:paraId="6B6B28E4" w14:textId="77777777" w:rsidR="00E26085" w:rsidRPr="00940E38" w:rsidRDefault="00E26085" w:rsidP="007D536F">
            <w:pPr>
              <w:spacing w:before="40" w:after="40"/>
              <w:cnfStyle w:val="000000000000" w:firstRow="0" w:lastRow="0" w:firstColumn="0" w:lastColumn="0" w:oddVBand="0" w:evenVBand="0" w:oddHBand="0" w:evenHBand="0" w:firstRowFirstColumn="0" w:firstRowLastColumn="0" w:lastRowFirstColumn="0" w:lastRowLastColumn="0"/>
              <w:rPr>
                <w:rFonts w:cstheme="majorHAnsi"/>
                <w:sz w:val="17"/>
              </w:rPr>
            </w:pPr>
          </w:p>
        </w:tc>
        <w:tc>
          <w:tcPr>
            <w:tcW w:w="2812" w:type="dxa"/>
            <w:tcBorders>
              <w:top w:val="nil"/>
              <w:left w:val="single" w:sz="4" w:space="0" w:color="auto"/>
              <w:bottom w:val="single" w:sz="4" w:space="0" w:color="auto"/>
              <w:right w:val="single" w:sz="4" w:space="0" w:color="auto"/>
            </w:tcBorders>
          </w:tcPr>
          <w:p w14:paraId="090CA10D" w14:textId="3088606F" w:rsidR="00F8154E" w:rsidRPr="00940E38" w:rsidRDefault="00E26085" w:rsidP="007D536F">
            <w:pPr>
              <w:spacing w:before="40" w:after="40"/>
              <w:cnfStyle w:val="000000000000" w:firstRow="0" w:lastRow="0" w:firstColumn="0" w:lastColumn="0" w:oddVBand="0" w:evenVBand="0" w:oddHBand="0" w:evenHBand="0" w:firstRowFirstColumn="0" w:firstRowLastColumn="0" w:lastRowFirstColumn="0" w:lastRowLastColumn="0"/>
              <w:rPr>
                <w:rFonts w:cstheme="majorHAnsi"/>
                <w:sz w:val="17"/>
              </w:rPr>
            </w:pPr>
            <w:r w:rsidRPr="00940E38">
              <w:rPr>
                <w:rFonts w:cstheme="majorHAnsi"/>
                <w:sz w:val="17"/>
              </w:rPr>
              <w:t>Useful life of plant and equipment</w:t>
            </w:r>
          </w:p>
        </w:tc>
        <w:tc>
          <w:tcPr>
            <w:tcW w:w="2408" w:type="dxa"/>
            <w:tcBorders>
              <w:left w:val="single" w:sz="4" w:space="0" w:color="auto"/>
            </w:tcBorders>
          </w:tcPr>
          <w:p w14:paraId="448B2AB1" w14:textId="611E8362" w:rsidR="00E26085" w:rsidRPr="00940E38" w:rsidRDefault="00E26085" w:rsidP="007D536F">
            <w:pPr>
              <w:spacing w:before="40" w:after="40"/>
              <w:cnfStyle w:val="000000000000" w:firstRow="0" w:lastRow="0" w:firstColumn="0" w:lastColumn="0" w:oddVBand="0" w:evenVBand="0" w:oddHBand="0" w:evenHBand="0" w:firstRowFirstColumn="0" w:firstRowLastColumn="0" w:lastRowFirstColumn="0" w:lastRowLastColumn="0"/>
              <w:rPr>
                <w:rFonts w:cstheme="majorHAnsi"/>
                <w:sz w:val="17"/>
              </w:rPr>
            </w:pPr>
            <w:r w:rsidRPr="00940E38">
              <w:rPr>
                <w:rFonts w:cstheme="majorHAnsi"/>
                <w:sz w:val="17"/>
              </w:rPr>
              <w:t xml:space="preserve">5-10 years </w:t>
            </w:r>
          </w:p>
          <w:p w14:paraId="29F1A045" w14:textId="77777777" w:rsidR="00E26085" w:rsidRPr="00940E38" w:rsidRDefault="00E26085" w:rsidP="007D536F">
            <w:pPr>
              <w:spacing w:before="40" w:after="40"/>
              <w:cnfStyle w:val="000000000000" w:firstRow="0" w:lastRow="0" w:firstColumn="0" w:lastColumn="0" w:oddVBand="0" w:evenVBand="0" w:oddHBand="0" w:evenHBand="0" w:firstRowFirstColumn="0" w:firstRowLastColumn="0" w:lastRowFirstColumn="0" w:lastRowLastColumn="0"/>
              <w:rPr>
                <w:rFonts w:cstheme="majorHAnsi"/>
                <w:sz w:val="17"/>
              </w:rPr>
            </w:pPr>
            <w:r w:rsidRPr="00940E38">
              <w:rPr>
                <w:rFonts w:cstheme="majorHAnsi"/>
                <w:sz w:val="17"/>
              </w:rPr>
              <w:t>(7 years)</w:t>
            </w:r>
          </w:p>
        </w:tc>
      </w:tr>
    </w:tbl>
    <w:p w14:paraId="4229F825" w14:textId="77777777" w:rsidR="003719CD" w:rsidRDefault="003719CD" w:rsidP="007D536F">
      <w:pPr>
        <w:pStyle w:val="Note"/>
      </w:pPr>
      <w:r>
        <w:t>Notes:</w:t>
      </w:r>
    </w:p>
    <w:p w14:paraId="5F2180F3" w14:textId="59BBB333" w:rsidR="003719CD" w:rsidRPr="00A57232" w:rsidRDefault="003719CD" w:rsidP="007D536F">
      <w:pPr>
        <w:pStyle w:val="Note"/>
        <w:rPr>
          <w:rStyle w:val="Guidance"/>
        </w:rPr>
      </w:pPr>
      <w:r>
        <w:t>(a)</w:t>
      </w:r>
      <w:r>
        <w:tab/>
      </w:r>
      <w:r w:rsidRPr="00A57232">
        <w:rPr>
          <w:rStyle w:val="Guidance"/>
        </w:rPr>
        <w:t xml:space="preserve">[Illustrations on the valuation techniques and significant </w:t>
      </w:r>
      <w:r w:rsidR="0033556E">
        <w:rPr>
          <w:rStyle w:val="Guidance"/>
        </w:rPr>
        <w:t xml:space="preserve">assumptions and </w:t>
      </w:r>
      <w:r w:rsidRPr="00A57232">
        <w:rPr>
          <w:rStyle w:val="Guidance"/>
        </w:rPr>
        <w:t>unobservable inputs are indicative and should not be directly used without consultation with entities’ independent valuer</w:t>
      </w:r>
      <w:r w:rsidR="009B7D31">
        <w:rPr>
          <w:rStyle w:val="Guidance"/>
        </w:rPr>
        <w:t>]</w:t>
      </w:r>
      <w:r w:rsidRPr="00A57232">
        <w:rPr>
          <w:rStyle w:val="Guidance"/>
        </w:rPr>
        <w:t xml:space="preserve">. </w:t>
      </w:r>
    </w:p>
    <w:p w14:paraId="426F36B8" w14:textId="376E3048" w:rsidR="003719CD" w:rsidRDefault="003719CD" w:rsidP="00E10CD7">
      <w:pPr>
        <w:pStyle w:val="Note"/>
      </w:pPr>
      <w:r>
        <w:t>(b)</w:t>
      </w:r>
      <w:r>
        <w:tab/>
        <w:t xml:space="preserve">CSO adjustments ranging from 50 per cent to 70 per cent were applied to reduce the market approach value for </w:t>
      </w:r>
      <w:r w:rsidR="00C51D04">
        <w:t>TV</w:t>
      </w:r>
      <w:r>
        <w:t>’s specialised land, with the weighted average 60 per cent reduction applied.</w:t>
      </w:r>
    </w:p>
    <w:p w14:paraId="6B59F473" w14:textId="77777777" w:rsidR="00AA512A" w:rsidRDefault="00AA512A" w:rsidP="00E10CD7">
      <w:pPr>
        <w:pStyle w:val="Note"/>
      </w:pPr>
    </w:p>
    <w:p w14:paraId="3F931297" w14:textId="5F546C78" w:rsidR="003719CD" w:rsidRDefault="003719CD" w:rsidP="007D536F">
      <w:pPr>
        <w:pStyle w:val="GuidanceBlockHeading"/>
      </w:pPr>
      <w:bookmarkStart w:id="7823" w:name="_Toc179815637"/>
      <w:bookmarkStart w:id="7824" w:name="_Toc179821337"/>
      <w:bookmarkStart w:id="7825" w:name="_Toc179827037"/>
      <w:r>
        <w:t>Guidance – Fair value determination: Non-financial physical assets</w:t>
      </w:r>
      <w:bookmarkEnd w:id="7823"/>
      <w:bookmarkEnd w:id="7824"/>
      <w:bookmarkEnd w:id="7825"/>
      <w:r>
        <w:t xml:space="preserve"> </w:t>
      </w:r>
      <w:r w:rsidR="00254EEA">
        <w:t>[REVISED]</w:t>
      </w:r>
    </w:p>
    <w:p w14:paraId="56D3C090" w14:textId="77777777" w:rsidR="00DC5E3C" w:rsidRPr="00DC5E3C" w:rsidRDefault="00DC5E3C" w:rsidP="002A0038">
      <w:pPr>
        <w:spacing w:before="120" w:after="0"/>
        <w:rPr>
          <w:color w:val="4472C4" w:themeColor="accent1"/>
        </w:rPr>
      </w:pPr>
      <w:r w:rsidRPr="00DC5E3C">
        <w:rPr>
          <w:color w:val="4472C4" w:themeColor="accent1"/>
        </w:rPr>
        <w:t>If items of property, plant and equipment are stated at revalued amounts, an entity shall disclose the following:</w:t>
      </w:r>
    </w:p>
    <w:p w14:paraId="148F3F77" w14:textId="4BF1EE12" w:rsidR="00DC5E3C" w:rsidRPr="002A0038" w:rsidRDefault="00165BA0" w:rsidP="002A0038">
      <w:pPr>
        <w:pStyle w:val="ListParagraph"/>
        <w:numPr>
          <w:ilvl w:val="0"/>
          <w:numId w:val="357"/>
        </w:numPr>
        <w:spacing w:before="40" w:line="264" w:lineRule="auto"/>
        <w:ind w:left="357" w:hanging="357"/>
        <w:rPr>
          <w:color w:val="4472C4" w:themeColor="accent1"/>
        </w:rPr>
      </w:pPr>
      <w:r>
        <w:rPr>
          <w:color w:val="4472C4" w:themeColor="accent1"/>
        </w:rPr>
        <w:t>T</w:t>
      </w:r>
      <w:r w:rsidR="00DC5E3C" w:rsidRPr="002A0038">
        <w:rPr>
          <w:color w:val="4472C4" w:themeColor="accent1"/>
        </w:rPr>
        <w:t>he effective date of the revaluation</w:t>
      </w:r>
    </w:p>
    <w:p w14:paraId="568261F7" w14:textId="1B470DC5" w:rsidR="00DC5E3C" w:rsidRPr="002A0038" w:rsidRDefault="00165BA0" w:rsidP="002A0038">
      <w:pPr>
        <w:pStyle w:val="ListParagraph"/>
        <w:numPr>
          <w:ilvl w:val="0"/>
          <w:numId w:val="357"/>
        </w:numPr>
        <w:spacing w:before="40" w:line="264" w:lineRule="auto"/>
        <w:ind w:left="357" w:hanging="357"/>
        <w:rPr>
          <w:color w:val="4472C4" w:themeColor="accent1"/>
        </w:rPr>
      </w:pPr>
      <w:r>
        <w:rPr>
          <w:color w:val="4472C4" w:themeColor="accent1"/>
        </w:rPr>
        <w:t>W</w:t>
      </w:r>
      <w:r w:rsidR="00DC5E3C" w:rsidRPr="002A0038">
        <w:rPr>
          <w:color w:val="4472C4" w:themeColor="accent1"/>
        </w:rPr>
        <w:t>hether an independent valuer was involved</w:t>
      </w:r>
    </w:p>
    <w:p w14:paraId="771B7548" w14:textId="0FE80141" w:rsidR="00A65608" w:rsidRPr="00A65608" w:rsidRDefault="00165BA0" w:rsidP="00A65608">
      <w:pPr>
        <w:pStyle w:val="ListParagraph"/>
        <w:numPr>
          <w:ilvl w:val="0"/>
          <w:numId w:val="357"/>
        </w:numPr>
        <w:spacing w:before="40" w:line="264" w:lineRule="auto"/>
        <w:ind w:left="357" w:hanging="357"/>
        <w:rPr>
          <w:color w:val="4472C4" w:themeColor="accent1"/>
        </w:rPr>
      </w:pPr>
      <w:r>
        <w:rPr>
          <w:color w:val="4472C4" w:themeColor="accent1"/>
        </w:rPr>
        <w:t>T</w:t>
      </w:r>
      <w:r w:rsidR="00DC5E3C" w:rsidRPr="002A0038">
        <w:rPr>
          <w:color w:val="4472C4" w:themeColor="accent1"/>
        </w:rPr>
        <w:t>he methods and significant assumptions applied in estimating the items’ fair values</w:t>
      </w:r>
    </w:p>
    <w:p w14:paraId="24C236AE" w14:textId="5284E76A" w:rsidR="003719CD" w:rsidRDefault="00A65608" w:rsidP="00E10CD7">
      <w:pPr>
        <w:pStyle w:val="ListParagraph"/>
        <w:ind w:left="357" w:hanging="357"/>
        <w:rPr>
          <w:rStyle w:val="Reference"/>
        </w:rPr>
      </w:pPr>
      <w:r>
        <w:rPr>
          <w:color w:val="4472C4" w:themeColor="accent1"/>
        </w:rPr>
        <w:t>(d)</w:t>
      </w:r>
      <w:r w:rsidR="00C8530A">
        <w:rPr>
          <w:color w:val="4472C4" w:themeColor="accent1"/>
        </w:rPr>
        <w:tab/>
      </w:r>
      <w:r w:rsidR="00165BA0">
        <w:rPr>
          <w:color w:val="4472C4" w:themeColor="accent1"/>
        </w:rPr>
        <w:t>T</w:t>
      </w:r>
      <w:r w:rsidR="00DC5E3C" w:rsidRPr="002A0038">
        <w:rPr>
          <w:color w:val="4472C4" w:themeColor="accent1"/>
        </w:rPr>
        <w:t>he revaluation surplus, indicating the</w:t>
      </w:r>
      <w:r w:rsidR="00380A22">
        <w:rPr>
          <w:color w:val="4472C4" w:themeColor="accent1"/>
        </w:rPr>
        <w:t xml:space="preserve"> c</w:t>
      </w:r>
      <w:r w:rsidR="00380A22" w:rsidRPr="00380A22">
        <w:rPr>
          <w:color w:val="4472C4" w:themeColor="accent1"/>
        </w:rPr>
        <w:t>hange for the period and any restrictions on the distribution</w:t>
      </w:r>
      <w:r w:rsidR="00380A22">
        <w:rPr>
          <w:color w:val="4472C4" w:themeColor="accent1"/>
        </w:rPr>
        <w:t xml:space="preserve"> </w:t>
      </w:r>
      <w:r w:rsidR="00380A22" w:rsidRPr="002A0038">
        <w:rPr>
          <w:color w:val="4472C4" w:themeColor="accent1"/>
        </w:rPr>
        <w:t>of the balance to shareholders.</w:t>
      </w:r>
      <w:r w:rsidR="00BA0937">
        <w:rPr>
          <w:color w:val="4472C4" w:themeColor="accent1"/>
        </w:rPr>
        <w:t xml:space="preserve"> </w:t>
      </w:r>
      <w:r w:rsidR="00BA0937" w:rsidRPr="005865C6">
        <w:rPr>
          <w:rStyle w:val="Reference"/>
        </w:rPr>
        <w:t>[</w:t>
      </w:r>
      <w:r w:rsidR="0007383E">
        <w:rPr>
          <w:rStyle w:val="Reference"/>
        </w:rPr>
        <w:t>AASB </w:t>
      </w:r>
      <w:r w:rsidR="00BA0937" w:rsidRPr="005865C6">
        <w:rPr>
          <w:rStyle w:val="Reference"/>
        </w:rPr>
        <w:t>1060</w:t>
      </w:r>
      <w:r w:rsidR="00BA0937">
        <w:rPr>
          <w:rStyle w:val="Reference"/>
        </w:rPr>
        <w:t>.136</w:t>
      </w:r>
      <w:r w:rsidR="00BA0937" w:rsidRPr="005865C6">
        <w:rPr>
          <w:rStyle w:val="Reference"/>
        </w:rPr>
        <w:t>]</w:t>
      </w:r>
    </w:p>
    <w:p w14:paraId="03B93897" w14:textId="77777777" w:rsidR="00D71964" w:rsidRDefault="00D71964" w:rsidP="00D71964">
      <w:pPr>
        <w:rPr>
          <w:rStyle w:val="Guidance"/>
        </w:rPr>
      </w:pPr>
      <w:r>
        <w:rPr>
          <w:rStyle w:val="Guidance"/>
        </w:rPr>
        <w:t xml:space="preserve">AASB 2022-10 applies prospectively (in the same way as a change in accounting estimates). In accordance with paragraphs 37-40, of AASB 108 </w:t>
      </w:r>
      <w:r>
        <w:rPr>
          <w:rStyle w:val="Guidance"/>
          <w:i/>
          <w:iCs/>
        </w:rPr>
        <w:t>Accounting Policies, Changes in Accounting Estimates and Errors</w:t>
      </w:r>
      <w:r>
        <w:rPr>
          <w:rStyle w:val="Guidance"/>
        </w:rPr>
        <w:t xml:space="preserve">, prospective application would require an entity to: </w:t>
      </w:r>
    </w:p>
    <w:p w14:paraId="73BC9C85" w14:textId="4FAEAE51" w:rsidR="00D71964" w:rsidRDefault="00D71964" w:rsidP="00D71964">
      <w:pPr>
        <w:pStyle w:val="ListParagraph"/>
        <w:numPr>
          <w:ilvl w:val="0"/>
          <w:numId w:val="404"/>
        </w:numPr>
        <w:rPr>
          <w:rStyle w:val="Guidance"/>
        </w:rPr>
      </w:pPr>
      <w:r>
        <w:rPr>
          <w:rStyle w:val="Guidance"/>
        </w:rPr>
        <w:t>recognise any change in asset values by adjusting the carrying amount of the affected assets and equity items (e.g. the corresponding revaluation reserve or profit or loss as appropriate) in the period of the change</w:t>
      </w:r>
    </w:p>
    <w:p w14:paraId="25CD85D7" w14:textId="77777777" w:rsidR="00D71964" w:rsidRDefault="00D71964" w:rsidP="00D71964">
      <w:pPr>
        <w:pStyle w:val="ListParagraph"/>
        <w:numPr>
          <w:ilvl w:val="0"/>
          <w:numId w:val="404"/>
        </w:numPr>
        <w:rPr>
          <w:rStyle w:val="Guidance"/>
        </w:rPr>
      </w:pPr>
      <w:r>
        <w:rPr>
          <w:rStyle w:val="Guidance"/>
        </w:rPr>
        <w:t xml:space="preserve">disclose the nature and amount of the change in asset values that has an effect in the current period or is expected to have an effect in future periods, except for the disclosure of the effect on future periods when it is impracticable to estimate that effect. </w:t>
      </w:r>
      <w:r w:rsidRPr="00944CB1">
        <w:rPr>
          <w:rStyle w:val="Reference"/>
        </w:rPr>
        <w:t xml:space="preserve">[AASB </w:t>
      </w:r>
      <w:proofErr w:type="gramStart"/>
      <w:r w:rsidRPr="00944CB1">
        <w:rPr>
          <w:rStyle w:val="Reference"/>
        </w:rPr>
        <w:t>13.BC</w:t>
      </w:r>
      <w:proofErr w:type="gramEnd"/>
      <w:r w:rsidRPr="00944CB1">
        <w:rPr>
          <w:rStyle w:val="Reference"/>
        </w:rPr>
        <w:t>263-266]</w:t>
      </w:r>
    </w:p>
    <w:p w14:paraId="7215BECD" w14:textId="77777777" w:rsidR="00D71964" w:rsidRDefault="00D71964" w:rsidP="00E51206">
      <w:pPr>
        <w:pageBreakBefore/>
        <w:rPr>
          <w:rStyle w:val="Guidance"/>
        </w:rPr>
      </w:pPr>
      <w:r>
        <w:rPr>
          <w:rStyle w:val="Guidance"/>
        </w:rPr>
        <w:t>Refer to sample disclosures below which have been included for guidance.</w:t>
      </w:r>
    </w:p>
    <w:tbl>
      <w:tblPr>
        <w:tblW w:w="0" w:type="auto"/>
        <w:tblBorders>
          <w:top w:val="single" w:sz="6" w:space="0" w:color="4472C4" w:themeColor="accent1"/>
          <w:left w:val="single" w:sz="6" w:space="0" w:color="4472C4" w:themeColor="accent1"/>
          <w:bottom w:val="single" w:sz="6" w:space="0" w:color="4472C4" w:themeColor="accent1"/>
          <w:right w:val="single" w:sz="6" w:space="0" w:color="4472C4" w:themeColor="accent1"/>
          <w:insideH w:val="single" w:sz="6" w:space="0" w:color="4472C4" w:themeColor="accent1"/>
          <w:insideV w:val="single" w:sz="6" w:space="0" w:color="4472C4" w:themeColor="accent1"/>
        </w:tblBorders>
        <w:tblLook w:val="04A0" w:firstRow="1" w:lastRow="0" w:firstColumn="1" w:lastColumn="0" w:noHBand="0" w:noVBand="1"/>
      </w:tblPr>
      <w:tblGrid>
        <w:gridCol w:w="3322"/>
        <w:gridCol w:w="6300"/>
      </w:tblGrid>
      <w:tr w:rsidR="00D71964" w:rsidRPr="0090351C" w14:paraId="5F842DB9" w14:textId="77777777" w:rsidTr="00A83BFF">
        <w:trPr>
          <w:cantSplit/>
          <w:tblHeader/>
        </w:trPr>
        <w:tc>
          <w:tcPr>
            <w:tcW w:w="3322" w:type="dxa"/>
            <w:shd w:val="clear" w:color="auto" w:fill="4472C4" w:themeFill="accent1"/>
          </w:tcPr>
          <w:p w14:paraId="4745C425" w14:textId="77777777" w:rsidR="00D71964" w:rsidRPr="00E51206" w:rsidRDefault="00D71964" w:rsidP="00A83BFF">
            <w:pPr>
              <w:rPr>
                <w:rStyle w:val="Guidance"/>
                <w:i/>
                <w:iCs/>
                <w:color w:val="FFFFFF" w:themeColor="background1"/>
                <w:szCs w:val="20"/>
              </w:rPr>
            </w:pPr>
            <w:r w:rsidRPr="00E51206">
              <w:rPr>
                <w:rStyle w:val="Guidance"/>
                <w:i/>
                <w:iCs/>
                <w:color w:val="FFFFFF" w:themeColor="background1"/>
                <w:szCs w:val="20"/>
              </w:rPr>
              <w:t>Scenario</w:t>
            </w:r>
          </w:p>
        </w:tc>
        <w:tc>
          <w:tcPr>
            <w:tcW w:w="6300" w:type="dxa"/>
            <w:shd w:val="clear" w:color="auto" w:fill="4472C4" w:themeFill="accent1"/>
          </w:tcPr>
          <w:p w14:paraId="5A829B14" w14:textId="77777777" w:rsidR="00D71964" w:rsidRPr="00E51206" w:rsidRDefault="00D71964" w:rsidP="00A83BFF">
            <w:pPr>
              <w:rPr>
                <w:rStyle w:val="Guidance"/>
                <w:i/>
                <w:iCs/>
                <w:color w:val="FFFFFF" w:themeColor="background1"/>
                <w:szCs w:val="20"/>
              </w:rPr>
            </w:pPr>
            <w:r w:rsidRPr="00E51206">
              <w:rPr>
                <w:rStyle w:val="Guidance"/>
                <w:i/>
                <w:iCs/>
                <w:color w:val="FFFFFF" w:themeColor="background1"/>
                <w:szCs w:val="20"/>
              </w:rPr>
              <w:t>Sample disclosure</w:t>
            </w:r>
          </w:p>
        </w:tc>
      </w:tr>
      <w:tr w:rsidR="00D71964" w:rsidRPr="0090351C" w14:paraId="3CB39B56" w14:textId="77777777" w:rsidTr="00A83BFF">
        <w:trPr>
          <w:cantSplit/>
        </w:trPr>
        <w:tc>
          <w:tcPr>
            <w:tcW w:w="3322" w:type="dxa"/>
          </w:tcPr>
          <w:p w14:paraId="6CDAFBC7" w14:textId="5B0B7D19" w:rsidR="00D71964" w:rsidRPr="003909CA" w:rsidRDefault="00D71964" w:rsidP="00A83BFF">
            <w:pPr>
              <w:spacing w:before="40" w:after="40" w:line="252" w:lineRule="auto"/>
              <w:rPr>
                <w:rStyle w:val="Guidance"/>
              </w:rPr>
            </w:pPr>
            <w:r w:rsidRPr="003909CA">
              <w:rPr>
                <w:rStyle w:val="Guidance"/>
              </w:rPr>
              <w:t xml:space="preserve">Scenario 1 – The </w:t>
            </w:r>
            <w:r>
              <w:rPr>
                <w:rStyle w:val="Guidance"/>
              </w:rPr>
              <w:t>entity</w:t>
            </w:r>
            <w:r w:rsidRPr="003909CA">
              <w:rPr>
                <w:rStyle w:val="Guidance"/>
              </w:rPr>
              <w:t xml:space="preserve"> applied AASB 2022-10 in the current period with no material impact</w:t>
            </w:r>
          </w:p>
        </w:tc>
        <w:tc>
          <w:tcPr>
            <w:tcW w:w="6300" w:type="dxa"/>
          </w:tcPr>
          <w:p w14:paraId="27F9FEE0" w14:textId="0C726B47" w:rsidR="00D71964" w:rsidRPr="003909CA" w:rsidRDefault="00D71964" w:rsidP="00A83BFF">
            <w:pPr>
              <w:spacing w:before="40" w:after="40" w:line="252" w:lineRule="auto"/>
              <w:rPr>
                <w:rStyle w:val="Guidance"/>
              </w:rPr>
            </w:pPr>
            <w:r w:rsidRPr="00432865">
              <w:rPr>
                <w:rStyle w:val="Guidance"/>
              </w:rPr>
              <w:t xml:space="preserve">The </w:t>
            </w:r>
            <w:r>
              <w:rPr>
                <w:rStyle w:val="Guidance"/>
              </w:rPr>
              <w:t>entity</w:t>
            </w:r>
            <w:r w:rsidRPr="00432865">
              <w:rPr>
                <w:rStyle w:val="Guidance"/>
              </w:rPr>
              <w:t xml:space="preserve"> applied </w:t>
            </w:r>
            <w:r w:rsidRPr="003909CA">
              <w:rPr>
                <w:rStyle w:val="Guidance"/>
              </w:rPr>
              <w:t xml:space="preserve">AASB </w:t>
            </w:r>
            <w:r w:rsidRPr="00432865">
              <w:rPr>
                <w:rStyle w:val="Guidance"/>
              </w:rPr>
              <w:t>2022-10</w:t>
            </w:r>
            <w:r w:rsidRPr="003909CA">
              <w:rPr>
                <w:rStyle w:val="Guidance"/>
              </w:rPr>
              <w:t>, including Appendix F of AASB 13 and the requirements of FRD 103 prospectively as part of the current scheduled formal revaluation process. There was no material impact to the financial statements.</w:t>
            </w:r>
          </w:p>
        </w:tc>
      </w:tr>
      <w:tr w:rsidR="00D71964" w:rsidRPr="0090351C" w14:paraId="496C2E77" w14:textId="77777777" w:rsidTr="00A83BFF">
        <w:trPr>
          <w:cantSplit/>
        </w:trPr>
        <w:tc>
          <w:tcPr>
            <w:tcW w:w="3322" w:type="dxa"/>
          </w:tcPr>
          <w:p w14:paraId="515B026A" w14:textId="1BA75166" w:rsidR="00D71964" w:rsidRPr="003909CA" w:rsidRDefault="00D71964" w:rsidP="00A83BFF">
            <w:pPr>
              <w:spacing w:before="40" w:after="40" w:line="252" w:lineRule="auto"/>
              <w:rPr>
                <w:rStyle w:val="Guidance"/>
              </w:rPr>
            </w:pPr>
            <w:r w:rsidRPr="003909CA">
              <w:rPr>
                <w:rStyle w:val="Guidance"/>
              </w:rPr>
              <w:t xml:space="preserve">Scenario 2 – The </w:t>
            </w:r>
            <w:r>
              <w:rPr>
                <w:rStyle w:val="Guidance"/>
              </w:rPr>
              <w:t>entity</w:t>
            </w:r>
            <w:r w:rsidRPr="003909CA">
              <w:rPr>
                <w:rStyle w:val="Guidance"/>
              </w:rPr>
              <w:t xml:space="preserve"> applied AASB 2022-10 in the current period resulting in a material impact </w:t>
            </w:r>
          </w:p>
        </w:tc>
        <w:tc>
          <w:tcPr>
            <w:tcW w:w="6300" w:type="dxa"/>
          </w:tcPr>
          <w:p w14:paraId="2B7883FC" w14:textId="4E21ABBA" w:rsidR="00D71964" w:rsidRPr="003909CA" w:rsidRDefault="00D71964" w:rsidP="00A83BFF">
            <w:pPr>
              <w:spacing w:before="40" w:after="40" w:line="252" w:lineRule="auto"/>
              <w:rPr>
                <w:rStyle w:val="Guidance"/>
              </w:rPr>
            </w:pPr>
            <w:r w:rsidRPr="003909CA">
              <w:rPr>
                <w:rStyle w:val="Guidance"/>
              </w:rPr>
              <w:t xml:space="preserve">The </w:t>
            </w:r>
            <w:r>
              <w:rPr>
                <w:rStyle w:val="Guidance"/>
              </w:rPr>
              <w:t>entity</w:t>
            </w:r>
            <w:r w:rsidRPr="003909CA">
              <w:rPr>
                <w:rStyle w:val="Guidance"/>
              </w:rPr>
              <w:t xml:space="preserve"> applied AASB 2022-10, including Appendix F of AASB 13 and the requirements of FRD 103 prospectively as part of the current scheduled formal revaluation process. This resulted in an increase of $650</w:t>
            </w:r>
            <w:r w:rsidR="00A27921">
              <w:rPr>
                <w:rStyle w:val="Guidance"/>
              </w:rPr>
              <w:t xml:space="preserve"> </w:t>
            </w:r>
            <w:r w:rsidRPr="003909CA">
              <w:rPr>
                <w:rStyle w:val="Guidance"/>
              </w:rPr>
              <w:t>m</w:t>
            </w:r>
            <w:r w:rsidR="00A27921">
              <w:rPr>
                <w:rStyle w:val="Guidance"/>
              </w:rPr>
              <w:t>illion</w:t>
            </w:r>
            <w:r w:rsidRPr="003909CA">
              <w:rPr>
                <w:rStyle w:val="Guidance"/>
              </w:rPr>
              <w:t xml:space="preserve"> in the property, plant and equipment balance and physical asset revaluation surplus in the current period. </w:t>
            </w:r>
          </w:p>
        </w:tc>
      </w:tr>
      <w:tr w:rsidR="00D71964" w:rsidRPr="0090351C" w14:paraId="1B43D985" w14:textId="77777777" w:rsidTr="00A83BFF">
        <w:trPr>
          <w:cantSplit/>
        </w:trPr>
        <w:tc>
          <w:tcPr>
            <w:tcW w:w="3322" w:type="dxa"/>
          </w:tcPr>
          <w:p w14:paraId="563F75DA" w14:textId="16EE9A2A" w:rsidR="00D71964" w:rsidRPr="003909CA" w:rsidRDefault="00D71964" w:rsidP="00A83BFF">
            <w:pPr>
              <w:spacing w:before="40" w:after="40" w:line="252" w:lineRule="auto"/>
              <w:rPr>
                <w:rStyle w:val="Guidance"/>
              </w:rPr>
            </w:pPr>
            <w:r w:rsidRPr="003909CA">
              <w:rPr>
                <w:rStyle w:val="Guidance"/>
              </w:rPr>
              <w:t xml:space="preserve">Scenario 3 – The </w:t>
            </w:r>
            <w:r>
              <w:rPr>
                <w:rStyle w:val="Guidance"/>
              </w:rPr>
              <w:t>entity</w:t>
            </w:r>
            <w:r w:rsidRPr="003909CA">
              <w:rPr>
                <w:rStyle w:val="Guidance"/>
              </w:rPr>
              <w:t xml:space="preserve"> will apply AASB 2022-10 in future years in accordance with FRD 103</w:t>
            </w:r>
          </w:p>
        </w:tc>
        <w:tc>
          <w:tcPr>
            <w:tcW w:w="6300" w:type="dxa"/>
          </w:tcPr>
          <w:p w14:paraId="5B99183E" w14:textId="61609E6B" w:rsidR="00D71964" w:rsidRPr="003909CA" w:rsidRDefault="00D71964" w:rsidP="00A83BFF">
            <w:pPr>
              <w:spacing w:before="40" w:after="40" w:line="252" w:lineRule="auto"/>
              <w:rPr>
                <w:rStyle w:val="Guidance"/>
              </w:rPr>
            </w:pPr>
            <w:r w:rsidRPr="003909CA">
              <w:rPr>
                <w:rStyle w:val="Guidance"/>
              </w:rPr>
              <w:t xml:space="preserve">In accordance with FRD 103, the </w:t>
            </w:r>
            <w:r>
              <w:rPr>
                <w:rStyle w:val="Guidance"/>
              </w:rPr>
              <w:t>entity</w:t>
            </w:r>
            <w:r w:rsidRPr="003909CA">
              <w:rPr>
                <w:rStyle w:val="Guidance"/>
              </w:rPr>
              <w:t xml:space="preserve"> will apply Appendix F of AASB</w:t>
            </w:r>
            <w:r>
              <w:rPr>
                <w:rStyle w:val="Guidance"/>
              </w:rPr>
              <w:t> </w:t>
            </w:r>
            <w:r w:rsidRPr="003909CA">
              <w:rPr>
                <w:rStyle w:val="Guidance"/>
              </w:rPr>
              <w:t>13 prospectively in its next scheduled formal revaluation in 20X5 or interim revaluation process (whichever is earlier). [Depending on the assessment of the impacts of the amendment, entities should disclose the estimated impact. In case the impact is not known or reasonably estimable, a statement to that effect].</w:t>
            </w:r>
          </w:p>
        </w:tc>
      </w:tr>
      <w:bookmarkEnd w:id="4408"/>
    </w:tbl>
    <w:p w14:paraId="34BE377D" w14:textId="77777777" w:rsidR="00042EB5" w:rsidRPr="002A0038" w:rsidRDefault="00042EB5" w:rsidP="00042EB5">
      <w:pPr>
        <w:spacing w:before="120" w:after="0"/>
        <w:rPr>
          <w:rStyle w:val="Guidance"/>
          <w:b/>
          <w:bCs/>
        </w:rPr>
      </w:pPr>
    </w:p>
    <w:p w14:paraId="00637A60" w14:textId="77777777" w:rsidR="00042EB5" w:rsidRDefault="00042EB5" w:rsidP="00042EB5">
      <w:pPr>
        <w:pStyle w:val="GuidanceEnd"/>
        <w:pBdr>
          <w:top w:val="single" w:sz="36" w:space="0" w:color="4472C4" w:themeColor="accent1"/>
        </w:pBdr>
      </w:pPr>
    </w:p>
    <w:p w14:paraId="22DB9E1A" w14:textId="2A9B258D" w:rsidR="00785F6D" w:rsidRPr="00785F6D" w:rsidRDefault="00785F6D" w:rsidP="00785F6D">
      <w:pPr>
        <w:pStyle w:val="GuidanceEnd"/>
        <w:rPr>
          <w:rStyle w:val="Guidance"/>
          <w:color w:val="auto"/>
        </w:rPr>
      </w:pPr>
      <w:r w:rsidRPr="00785F6D">
        <w:rPr>
          <w:rStyle w:val="Guidance"/>
          <w:color w:val="auto"/>
        </w:rPr>
        <w:br w:type="page"/>
      </w:r>
    </w:p>
    <w:p w14:paraId="782A7283" w14:textId="145E5A98" w:rsidR="003719CD" w:rsidRDefault="003719CD" w:rsidP="007762BE">
      <w:pPr>
        <w:pStyle w:val="Heading1numbered"/>
      </w:pPr>
      <w:bookmarkStart w:id="7826" w:name="_Toc179809954"/>
      <w:bookmarkStart w:id="7827" w:name="_Toc179815638"/>
      <w:bookmarkStart w:id="7828" w:name="_Toc179821338"/>
      <w:bookmarkStart w:id="7829" w:name="_Toc179827038"/>
      <w:bookmarkStart w:id="7830" w:name="_Toc179832683"/>
      <w:bookmarkStart w:id="7831" w:name="_Toc179864213"/>
      <w:bookmarkStart w:id="7832" w:name="_Toc179866857"/>
      <w:bookmarkStart w:id="7833" w:name="_Toc179870504"/>
      <w:bookmarkStart w:id="7834" w:name="_Toc179874897"/>
      <w:bookmarkStart w:id="7835" w:name="_Toc179879290"/>
      <w:bookmarkStart w:id="7836" w:name="_Toc179809955"/>
      <w:bookmarkStart w:id="7837" w:name="_Toc179815639"/>
      <w:bookmarkStart w:id="7838" w:name="_Toc179821339"/>
      <w:bookmarkStart w:id="7839" w:name="_Toc179827039"/>
      <w:bookmarkStart w:id="7840" w:name="_Toc179832684"/>
      <w:bookmarkStart w:id="7841" w:name="_Toc179864214"/>
      <w:bookmarkStart w:id="7842" w:name="_Toc179866858"/>
      <w:bookmarkStart w:id="7843" w:name="_Toc179870505"/>
      <w:bookmarkStart w:id="7844" w:name="_Toc179874898"/>
      <w:bookmarkStart w:id="7845" w:name="_Toc179879291"/>
      <w:bookmarkStart w:id="7846" w:name="_Toc179809956"/>
      <w:bookmarkStart w:id="7847" w:name="_Toc179815640"/>
      <w:bookmarkStart w:id="7848" w:name="_Toc179821340"/>
      <w:bookmarkStart w:id="7849" w:name="_Toc179827040"/>
      <w:bookmarkStart w:id="7850" w:name="_Toc179832685"/>
      <w:bookmarkStart w:id="7851" w:name="_Toc179864215"/>
      <w:bookmarkStart w:id="7852" w:name="_Toc179866859"/>
      <w:bookmarkStart w:id="7853" w:name="_Toc179870506"/>
      <w:bookmarkStart w:id="7854" w:name="_Toc179874899"/>
      <w:bookmarkStart w:id="7855" w:name="_Toc179879292"/>
      <w:bookmarkStart w:id="7856" w:name="_Toc179809957"/>
      <w:bookmarkStart w:id="7857" w:name="_Toc179815641"/>
      <w:bookmarkStart w:id="7858" w:name="_Toc179821341"/>
      <w:bookmarkStart w:id="7859" w:name="_Toc179827041"/>
      <w:bookmarkStart w:id="7860" w:name="_Toc179832686"/>
      <w:bookmarkStart w:id="7861" w:name="_Toc179864216"/>
      <w:bookmarkStart w:id="7862" w:name="_Toc179866860"/>
      <w:bookmarkStart w:id="7863" w:name="_Toc179870507"/>
      <w:bookmarkStart w:id="7864" w:name="_Toc179874900"/>
      <w:bookmarkStart w:id="7865" w:name="_Toc179879293"/>
      <w:bookmarkStart w:id="7866" w:name="_Toc179809958"/>
      <w:bookmarkStart w:id="7867" w:name="_Toc179815642"/>
      <w:bookmarkStart w:id="7868" w:name="_Toc179821342"/>
      <w:bookmarkStart w:id="7869" w:name="_Toc179827042"/>
      <w:bookmarkStart w:id="7870" w:name="_Toc179832687"/>
      <w:bookmarkStart w:id="7871" w:name="_Toc179864217"/>
      <w:bookmarkStart w:id="7872" w:name="_Toc179866861"/>
      <w:bookmarkStart w:id="7873" w:name="_Toc179870508"/>
      <w:bookmarkStart w:id="7874" w:name="_Toc179874901"/>
      <w:bookmarkStart w:id="7875" w:name="_Toc179879294"/>
      <w:bookmarkStart w:id="7876" w:name="_Toc179809959"/>
      <w:bookmarkStart w:id="7877" w:name="_Toc179815643"/>
      <w:bookmarkStart w:id="7878" w:name="_Toc179821343"/>
      <w:bookmarkStart w:id="7879" w:name="_Toc179827043"/>
      <w:bookmarkStart w:id="7880" w:name="_Toc179832688"/>
      <w:bookmarkStart w:id="7881" w:name="_Toc179864218"/>
      <w:bookmarkStart w:id="7882" w:name="_Toc179866862"/>
      <w:bookmarkStart w:id="7883" w:name="_Toc179870509"/>
      <w:bookmarkStart w:id="7884" w:name="_Toc179874902"/>
      <w:bookmarkStart w:id="7885" w:name="_Toc179879295"/>
      <w:bookmarkStart w:id="7886" w:name="_Toc179809960"/>
      <w:bookmarkStart w:id="7887" w:name="_Toc179815644"/>
      <w:bookmarkStart w:id="7888" w:name="_Toc179821344"/>
      <w:bookmarkStart w:id="7889" w:name="_Toc179827044"/>
      <w:bookmarkStart w:id="7890" w:name="_Toc179832689"/>
      <w:bookmarkStart w:id="7891" w:name="_Toc179864219"/>
      <w:bookmarkStart w:id="7892" w:name="_Toc179866863"/>
      <w:bookmarkStart w:id="7893" w:name="_Toc179870510"/>
      <w:bookmarkStart w:id="7894" w:name="_Toc179874903"/>
      <w:bookmarkStart w:id="7895" w:name="_Toc179879296"/>
      <w:bookmarkStart w:id="7896" w:name="_Toc179809961"/>
      <w:bookmarkStart w:id="7897" w:name="_Toc179815645"/>
      <w:bookmarkStart w:id="7898" w:name="_Toc179821345"/>
      <w:bookmarkStart w:id="7899" w:name="_Toc179827045"/>
      <w:bookmarkStart w:id="7900" w:name="_Toc179832690"/>
      <w:bookmarkStart w:id="7901" w:name="_Toc179864220"/>
      <w:bookmarkStart w:id="7902" w:name="_Toc179866864"/>
      <w:bookmarkStart w:id="7903" w:name="_Toc179870511"/>
      <w:bookmarkStart w:id="7904" w:name="_Toc179874904"/>
      <w:bookmarkStart w:id="7905" w:name="_Toc179879297"/>
      <w:bookmarkStart w:id="7906" w:name="_Toc179809962"/>
      <w:bookmarkStart w:id="7907" w:name="_Toc179815646"/>
      <w:bookmarkStart w:id="7908" w:name="_Toc179821346"/>
      <w:bookmarkStart w:id="7909" w:name="_Toc179827046"/>
      <w:bookmarkStart w:id="7910" w:name="_Toc179832691"/>
      <w:bookmarkStart w:id="7911" w:name="_Toc179864221"/>
      <w:bookmarkStart w:id="7912" w:name="_Toc179866865"/>
      <w:bookmarkStart w:id="7913" w:name="_Toc179870512"/>
      <w:bookmarkStart w:id="7914" w:name="_Toc179874905"/>
      <w:bookmarkStart w:id="7915" w:name="_Toc179879298"/>
      <w:bookmarkStart w:id="7916" w:name="_Toc179809963"/>
      <w:bookmarkStart w:id="7917" w:name="_Toc179815647"/>
      <w:bookmarkStart w:id="7918" w:name="_Toc179821347"/>
      <w:bookmarkStart w:id="7919" w:name="_Toc179827047"/>
      <w:bookmarkStart w:id="7920" w:name="_Toc179832692"/>
      <w:bookmarkStart w:id="7921" w:name="_Toc179864222"/>
      <w:bookmarkStart w:id="7922" w:name="_Toc179866866"/>
      <w:bookmarkStart w:id="7923" w:name="_Toc179870513"/>
      <w:bookmarkStart w:id="7924" w:name="_Toc179874906"/>
      <w:bookmarkStart w:id="7925" w:name="_Toc179879299"/>
      <w:bookmarkStart w:id="7926" w:name="_Toc179809964"/>
      <w:bookmarkStart w:id="7927" w:name="_Toc179815648"/>
      <w:bookmarkStart w:id="7928" w:name="_Toc179821348"/>
      <w:bookmarkStart w:id="7929" w:name="_Toc179827048"/>
      <w:bookmarkStart w:id="7930" w:name="_Toc179832693"/>
      <w:bookmarkStart w:id="7931" w:name="_Toc179864223"/>
      <w:bookmarkStart w:id="7932" w:name="_Toc179866867"/>
      <w:bookmarkStart w:id="7933" w:name="_Toc179870514"/>
      <w:bookmarkStart w:id="7934" w:name="_Toc179874907"/>
      <w:bookmarkStart w:id="7935" w:name="_Toc179879300"/>
      <w:bookmarkStart w:id="7936" w:name="_Toc179809965"/>
      <w:bookmarkStart w:id="7937" w:name="_Toc179815649"/>
      <w:bookmarkStart w:id="7938" w:name="_Toc179821349"/>
      <w:bookmarkStart w:id="7939" w:name="_Toc179827049"/>
      <w:bookmarkStart w:id="7940" w:name="_Toc179832694"/>
      <w:bookmarkStart w:id="7941" w:name="_Toc179864224"/>
      <w:bookmarkStart w:id="7942" w:name="_Toc179866868"/>
      <w:bookmarkStart w:id="7943" w:name="_Toc179870515"/>
      <w:bookmarkStart w:id="7944" w:name="_Toc179874908"/>
      <w:bookmarkStart w:id="7945" w:name="_Toc179879301"/>
      <w:bookmarkStart w:id="7946" w:name="_Toc179809966"/>
      <w:bookmarkStart w:id="7947" w:name="_Toc179815650"/>
      <w:bookmarkStart w:id="7948" w:name="_Toc179821350"/>
      <w:bookmarkStart w:id="7949" w:name="_Toc179827050"/>
      <w:bookmarkStart w:id="7950" w:name="_Toc179832695"/>
      <w:bookmarkStart w:id="7951" w:name="_Toc179864225"/>
      <w:bookmarkStart w:id="7952" w:name="_Toc179866869"/>
      <w:bookmarkStart w:id="7953" w:name="_Toc179870516"/>
      <w:bookmarkStart w:id="7954" w:name="_Toc179874909"/>
      <w:bookmarkStart w:id="7955" w:name="_Toc179879302"/>
      <w:bookmarkStart w:id="7956" w:name="_Toc179809967"/>
      <w:bookmarkStart w:id="7957" w:name="_Toc179815651"/>
      <w:bookmarkStart w:id="7958" w:name="_Toc179821351"/>
      <w:bookmarkStart w:id="7959" w:name="_Toc179827051"/>
      <w:bookmarkStart w:id="7960" w:name="_Toc179832696"/>
      <w:bookmarkStart w:id="7961" w:name="_Toc179864226"/>
      <w:bookmarkStart w:id="7962" w:name="_Toc179866870"/>
      <w:bookmarkStart w:id="7963" w:name="_Toc179870517"/>
      <w:bookmarkStart w:id="7964" w:name="_Toc179874910"/>
      <w:bookmarkStart w:id="7965" w:name="_Toc179879303"/>
      <w:bookmarkStart w:id="7966" w:name="_Toc179809968"/>
      <w:bookmarkStart w:id="7967" w:name="_Toc179815652"/>
      <w:bookmarkStart w:id="7968" w:name="_Toc179821352"/>
      <w:bookmarkStart w:id="7969" w:name="_Toc179827052"/>
      <w:bookmarkStart w:id="7970" w:name="_Toc179832697"/>
      <w:bookmarkStart w:id="7971" w:name="_Toc179864227"/>
      <w:bookmarkStart w:id="7972" w:name="_Toc179866871"/>
      <w:bookmarkStart w:id="7973" w:name="_Toc179870518"/>
      <w:bookmarkStart w:id="7974" w:name="_Toc179874911"/>
      <w:bookmarkStart w:id="7975" w:name="_Toc179879304"/>
      <w:bookmarkStart w:id="7976" w:name="_Toc179809969"/>
      <w:bookmarkStart w:id="7977" w:name="_Toc179815653"/>
      <w:bookmarkStart w:id="7978" w:name="_Toc179821353"/>
      <w:bookmarkStart w:id="7979" w:name="_Toc179827053"/>
      <w:bookmarkStart w:id="7980" w:name="_Toc179832698"/>
      <w:bookmarkStart w:id="7981" w:name="_Toc179864228"/>
      <w:bookmarkStart w:id="7982" w:name="_Toc179866872"/>
      <w:bookmarkStart w:id="7983" w:name="_Toc179870519"/>
      <w:bookmarkStart w:id="7984" w:name="_Toc179874912"/>
      <w:bookmarkStart w:id="7985" w:name="_Toc179879305"/>
      <w:bookmarkStart w:id="7986" w:name="_Toc179809970"/>
      <w:bookmarkStart w:id="7987" w:name="_Toc179815654"/>
      <w:bookmarkStart w:id="7988" w:name="_Toc179821354"/>
      <w:bookmarkStart w:id="7989" w:name="_Toc179827054"/>
      <w:bookmarkStart w:id="7990" w:name="_Toc179832699"/>
      <w:bookmarkStart w:id="7991" w:name="_Toc179864229"/>
      <w:bookmarkStart w:id="7992" w:name="_Toc179866873"/>
      <w:bookmarkStart w:id="7993" w:name="_Toc179870520"/>
      <w:bookmarkStart w:id="7994" w:name="_Toc179874913"/>
      <w:bookmarkStart w:id="7995" w:name="_Toc179879306"/>
      <w:bookmarkStart w:id="7996" w:name="_Toc179809971"/>
      <w:bookmarkStart w:id="7997" w:name="_Toc179815655"/>
      <w:bookmarkStart w:id="7998" w:name="_Toc179821355"/>
      <w:bookmarkStart w:id="7999" w:name="_Toc179827055"/>
      <w:bookmarkStart w:id="8000" w:name="_Toc179832700"/>
      <w:bookmarkStart w:id="8001" w:name="_Toc179864230"/>
      <w:bookmarkStart w:id="8002" w:name="_Toc179866874"/>
      <w:bookmarkStart w:id="8003" w:name="_Toc179870521"/>
      <w:bookmarkStart w:id="8004" w:name="_Toc179874914"/>
      <w:bookmarkStart w:id="8005" w:name="_Toc179879307"/>
      <w:bookmarkStart w:id="8006" w:name="_Toc179809972"/>
      <w:bookmarkStart w:id="8007" w:name="_Toc179815656"/>
      <w:bookmarkStart w:id="8008" w:name="_Toc179821356"/>
      <w:bookmarkStart w:id="8009" w:name="_Toc179827056"/>
      <w:bookmarkStart w:id="8010" w:name="_Toc179832701"/>
      <w:bookmarkStart w:id="8011" w:name="_Toc179864231"/>
      <w:bookmarkStart w:id="8012" w:name="_Toc179866875"/>
      <w:bookmarkStart w:id="8013" w:name="_Toc179870522"/>
      <w:bookmarkStart w:id="8014" w:name="_Toc179874915"/>
      <w:bookmarkStart w:id="8015" w:name="_Toc179879308"/>
      <w:bookmarkStart w:id="8016" w:name="_Toc179809973"/>
      <w:bookmarkStart w:id="8017" w:name="_Toc179815657"/>
      <w:bookmarkStart w:id="8018" w:name="_Toc179821357"/>
      <w:bookmarkStart w:id="8019" w:name="_Toc179827057"/>
      <w:bookmarkStart w:id="8020" w:name="_Toc179832702"/>
      <w:bookmarkStart w:id="8021" w:name="_Toc179864232"/>
      <w:bookmarkStart w:id="8022" w:name="_Toc179866876"/>
      <w:bookmarkStart w:id="8023" w:name="_Toc179870523"/>
      <w:bookmarkStart w:id="8024" w:name="_Toc179874916"/>
      <w:bookmarkStart w:id="8025" w:name="_Toc179879309"/>
      <w:bookmarkStart w:id="8026" w:name="_Toc179809974"/>
      <w:bookmarkStart w:id="8027" w:name="_Toc179815658"/>
      <w:bookmarkStart w:id="8028" w:name="_Toc179821358"/>
      <w:bookmarkStart w:id="8029" w:name="_Toc179827058"/>
      <w:bookmarkStart w:id="8030" w:name="_Toc179832703"/>
      <w:bookmarkStart w:id="8031" w:name="_Toc179864233"/>
      <w:bookmarkStart w:id="8032" w:name="_Toc179866877"/>
      <w:bookmarkStart w:id="8033" w:name="_Toc179870524"/>
      <w:bookmarkStart w:id="8034" w:name="_Toc179874917"/>
      <w:bookmarkStart w:id="8035" w:name="_Toc179879310"/>
      <w:bookmarkStart w:id="8036" w:name="_Toc179809975"/>
      <w:bookmarkStart w:id="8037" w:name="_Toc179815659"/>
      <w:bookmarkStart w:id="8038" w:name="_Toc179821359"/>
      <w:bookmarkStart w:id="8039" w:name="_Toc179827059"/>
      <w:bookmarkStart w:id="8040" w:name="_Toc179832704"/>
      <w:bookmarkStart w:id="8041" w:name="_Toc179864234"/>
      <w:bookmarkStart w:id="8042" w:name="_Toc179866878"/>
      <w:bookmarkStart w:id="8043" w:name="_Toc179870525"/>
      <w:bookmarkStart w:id="8044" w:name="_Toc179874918"/>
      <w:bookmarkStart w:id="8045" w:name="_Toc179879311"/>
      <w:bookmarkStart w:id="8046" w:name="_Toc179809976"/>
      <w:bookmarkStart w:id="8047" w:name="_Toc179815660"/>
      <w:bookmarkStart w:id="8048" w:name="_Toc179821360"/>
      <w:bookmarkStart w:id="8049" w:name="_Toc179827060"/>
      <w:bookmarkStart w:id="8050" w:name="_Toc179832705"/>
      <w:bookmarkStart w:id="8051" w:name="_Toc179864235"/>
      <w:bookmarkStart w:id="8052" w:name="_Toc179866879"/>
      <w:bookmarkStart w:id="8053" w:name="_Toc179870526"/>
      <w:bookmarkStart w:id="8054" w:name="_Toc179874919"/>
      <w:bookmarkStart w:id="8055" w:name="_Toc179879312"/>
      <w:bookmarkStart w:id="8056" w:name="_Toc179809977"/>
      <w:bookmarkStart w:id="8057" w:name="_Toc179815661"/>
      <w:bookmarkStart w:id="8058" w:name="_Toc179821361"/>
      <w:bookmarkStart w:id="8059" w:name="_Toc179827061"/>
      <w:bookmarkStart w:id="8060" w:name="_Toc179832706"/>
      <w:bookmarkStart w:id="8061" w:name="_Toc179864236"/>
      <w:bookmarkStart w:id="8062" w:name="_Toc179866880"/>
      <w:bookmarkStart w:id="8063" w:name="_Toc179870527"/>
      <w:bookmarkStart w:id="8064" w:name="_Toc179874920"/>
      <w:bookmarkStart w:id="8065" w:name="_Toc179879313"/>
      <w:bookmarkStart w:id="8066" w:name="_Toc179809978"/>
      <w:bookmarkStart w:id="8067" w:name="_Toc179815662"/>
      <w:bookmarkStart w:id="8068" w:name="_Toc179821362"/>
      <w:bookmarkStart w:id="8069" w:name="_Toc179827062"/>
      <w:bookmarkStart w:id="8070" w:name="_Toc179832707"/>
      <w:bookmarkStart w:id="8071" w:name="_Toc179864237"/>
      <w:bookmarkStart w:id="8072" w:name="_Toc179866881"/>
      <w:bookmarkStart w:id="8073" w:name="_Toc179870528"/>
      <w:bookmarkStart w:id="8074" w:name="_Toc179874921"/>
      <w:bookmarkStart w:id="8075" w:name="_Toc179879314"/>
      <w:bookmarkStart w:id="8076" w:name="_Toc179809979"/>
      <w:bookmarkStart w:id="8077" w:name="_Toc179815663"/>
      <w:bookmarkStart w:id="8078" w:name="_Toc179821363"/>
      <w:bookmarkStart w:id="8079" w:name="_Toc179827063"/>
      <w:bookmarkStart w:id="8080" w:name="_Toc179832708"/>
      <w:bookmarkStart w:id="8081" w:name="_Toc179864238"/>
      <w:bookmarkStart w:id="8082" w:name="_Toc179866882"/>
      <w:bookmarkStart w:id="8083" w:name="_Toc179870529"/>
      <w:bookmarkStart w:id="8084" w:name="_Toc179874922"/>
      <w:bookmarkStart w:id="8085" w:name="_Toc179879315"/>
      <w:bookmarkStart w:id="8086" w:name="_Toc179809980"/>
      <w:bookmarkStart w:id="8087" w:name="_Toc179815664"/>
      <w:bookmarkStart w:id="8088" w:name="_Toc179821364"/>
      <w:bookmarkStart w:id="8089" w:name="_Toc179827064"/>
      <w:bookmarkStart w:id="8090" w:name="_Toc179832709"/>
      <w:bookmarkStart w:id="8091" w:name="_Toc179864239"/>
      <w:bookmarkStart w:id="8092" w:name="_Toc179866883"/>
      <w:bookmarkStart w:id="8093" w:name="_Toc179870530"/>
      <w:bookmarkStart w:id="8094" w:name="_Toc179874923"/>
      <w:bookmarkStart w:id="8095" w:name="_Toc179879316"/>
      <w:bookmarkStart w:id="8096" w:name="_Toc179809981"/>
      <w:bookmarkStart w:id="8097" w:name="_Toc179815665"/>
      <w:bookmarkStart w:id="8098" w:name="_Toc179821365"/>
      <w:bookmarkStart w:id="8099" w:name="_Toc179827065"/>
      <w:bookmarkStart w:id="8100" w:name="_Toc179832710"/>
      <w:bookmarkStart w:id="8101" w:name="_Toc179864240"/>
      <w:bookmarkStart w:id="8102" w:name="_Toc179866884"/>
      <w:bookmarkStart w:id="8103" w:name="_Toc179870531"/>
      <w:bookmarkStart w:id="8104" w:name="_Toc179874924"/>
      <w:bookmarkStart w:id="8105" w:name="_Toc179879317"/>
      <w:bookmarkStart w:id="8106" w:name="_Toc179809982"/>
      <w:bookmarkStart w:id="8107" w:name="_Toc179815666"/>
      <w:bookmarkStart w:id="8108" w:name="_Toc179821366"/>
      <w:bookmarkStart w:id="8109" w:name="_Toc179827066"/>
      <w:bookmarkStart w:id="8110" w:name="_Toc179832711"/>
      <w:bookmarkStart w:id="8111" w:name="_Toc179864241"/>
      <w:bookmarkStart w:id="8112" w:name="_Toc179866885"/>
      <w:bookmarkStart w:id="8113" w:name="_Toc179870532"/>
      <w:bookmarkStart w:id="8114" w:name="_Toc179874925"/>
      <w:bookmarkStart w:id="8115" w:name="_Toc179879318"/>
      <w:bookmarkStart w:id="8116" w:name="_Toc179809983"/>
      <w:bookmarkStart w:id="8117" w:name="_Toc179815667"/>
      <w:bookmarkStart w:id="8118" w:name="_Toc179821367"/>
      <w:bookmarkStart w:id="8119" w:name="_Toc179827067"/>
      <w:bookmarkStart w:id="8120" w:name="_Toc179832712"/>
      <w:bookmarkStart w:id="8121" w:name="_Toc179864242"/>
      <w:bookmarkStart w:id="8122" w:name="_Toc179866886"/>
      <w:bookmarkStart w:id="8123" w:name="_Toc179870533"/>
      <w:bookmarkStart w:id="8124" w:name="_Toc179874926"/>
      <w:bookmarkStart w:id="8125" w:name="_Toc179879319"/>
      <w:bookmarkStart w:id="8126" w:name="_Toc179809984"/>
      <w:bookmarkStart w:id="8127" w:name="_Toc179815668"/>
      <w:bookmarkStart w:id="8128" w:name="_Toc179821368"/>
      <w:bookmarkStart w:id="8129" w:name="_Toc179827068"/>
      <w:bookmarkStart w:id="8130" w:name="_Toc179832713"/>
      <w:bookmarkStart w:id="8131" w:name="_Toc179864243"/>
      <w:bookmarkStart w:id="8132" w:name="_Toc179866887"/>
      <w:bookmarkStart w:id="8133" w:name="_Toc179870534"/>
      <w:bookmarkStart w:id="8134" w:name="_Toc179874927"/>
      <w:bookmarkStart w:id="8135" w:name="_Toc179879320"/>
      <w:bookmarkStart w:id="8136" w:name="_Toc179809985"/>
      <w:bookmarkStart w:id="8137" w:name="_Toc179815669"/>
      <w:bookmarkStart w:id="8138" w:name="_Toc179821369"/>
      <w:bookmarkStart w:id="8139" w:name="_Toc179827069"/>
      <w:bookmarkStart w:id="8140" w:name="_Toc179832714"/>
      <w:bookmarkStart w:id="8141" w:name="_Toc179864244"/>
      <w:bookmarkStart w:id="8142" w:name="_Toc179866888"/>
      <w:bookmarkStart w:id="8143" w:name="_Toc179870535"/>
      <w:bookmarkStart w:id="8144" w:name="_Toc179874928"/>
      <w:bookmarkStart w:id="8145" w:name="_Toc179879321"/>
      <w:bookmarkStart w:id="8146" w:name="_Toc179809986"/>
      <w:bookmarkStart w:id="8147" w:name="_Toc179815670"/>
      <w:bookmarkStart w:id="8148" w:name="_Toc179821370"/>
      <w:bookmarkStart w:id="8149" w:name="_Toc179827070"/>
      <w:bookmarkStart w:id="8150" w:name="_Toc179832715"/>
      <w:bookmarkStart w:id="8151" w:name="_Toc179864245"/>
      <w:bookmarkStart w:id="8152" w:name="_Toc179866889"/>
      <w:bookmarkStart w:id="8153" w:name="_Toc179870536"/>
      <w:bookmarkStart w:id="8154" w:name="_Toc179874929"/>
      <w:bookmarkStart w:id="8155" w:name="_Toc179879322"/>
      <w:bookmarkStart w:id="8156" w:name="_Toc179809987"/>
      <w:bookmarkStart w:id="8157" w:name="_Toc179815671"/>
      <w:bookmarkStart w:id="8158" w:name="_Toc179821371"/>
      <w:bookmarkStart w:id="8159" w:name="_Toc179827071"/>
      <w:bookmarkStart w:id="8160" w:name="_Toc179832716"/>
      <w:bookmarkStart w:id="8161" w:name="_Toc179864246"/>
      <w:bookmarkStart w:id="8162" w:name="_Toc179866890"/>
      <w:bookmarkStart w:id="8163" w:name="_Toc179870537"/>
      <w:bookmarkStart w:id="8164" w:name="_Toc179874930"/>
      <w:bookmarkStart w:id="8165" w:name="_Toc179879323"/>
      <w:bookmarkStart w:id="8166" w:name="_Toc179809988"/>
      <w:bookmarkStart w:id="8167" w:name="_Toc179815672"/>
      <w:bookmarkStart w:id="8168" w:name="_Toc179821372"/>
      <w:bookmarkStart w:id="8169" w:name="_Toc179827072"/>
      <w:bookmarkStart w:id="8170" w:name="_Toc179832717"/>
      <w:bookmarkStart w:id="8171" w:name="_Toc179864247"/>
      <w:bookmarkStart w:id="8172" w:name="_Toc179866891"/>
      <w:bookmarkStart w:id="8173" w:name="_Toc179870538"/>
      <w:bookmarkStart w:id="8174" w:name="_Toc179874931"/>
      <w:bookmarkStart w:id="8175" w:name="_Toc179879324"/>
      <w:bookmarkStart w:id="8176" w:name="_Toc179809989"/>
      <w:bookmarkStart w:id="8177" w:name="_Toc179815673"/>
      <w:bookmarkStart w:id="8178" w:name="_Toc179821373"/>
      <w:bookmarkStart w:id="8179" w:name="_Toc179827073"/>
      <w:bookmarkStart w:id="8180" w:name="_Toc179832718"/>
      <w:bookmarkStart w:id="8181" w:name="_Toc179864248"/>
      <w:bookmarkStart w:id="8182" w:name="_Toc179866892"/>
      <w:bookmarkStart w:id="8183" w:name="_Toc179870539"/>
      <w:bookmarkStart w:id="8184" w:name="_Toc179874932"/>
      <w:bookmarkStart w:id="8185" w:name="_Toc179879325"/>
      <w:bookmarkStart w:id="8186" w:name="_Toc179809990"/>
      <w:bookmarkStart w:id="8187" w:name="_Toc179815674"/>
      <w:bookmarkStart w:id="8188" w:name="_Toc179821374"/>
      <w:bookmarkStart w:id="8189" w:name="_Toc179827074"/>
      <w:bookmarkStart w:id="8190" w:name="_Toc179832719"/>
      <w:bookmarkStart w:id="8191" w:name="_Toc179864249"/>
      <w:bookmarkStart w:id="8192" w:name="_Toc179866893"/>
      <w:bookmarkStart w:id="8193" w:name="_Toc179870540"/>
      <w:bookmarkStart w:id="8194" w:name="_Toc179874933"/>
      <w:bookmarkStart w:id="8195" w:name="_Toc179879326"/>
      <w:bookmarkStart w:id="8196" w:name="_Toc179809991"/>
      <w:bookmarkStart w:id="8197" w:name="_Toc179815675"/>
      <w:bookmarkStart w:id="8198" w:name="_Toc179821375"/>
      <w:bookmarkStart w:id="8199" w:name="_Toc179827075"/>
      <w:bookmarkStart w:id="8200" w:name="_Toc179832720"/>
      <w:bookmarkStart w:id="8201" w:name="_Toc179864250"/>
      <w:bookmarkStart w:id="8202" w:name="_Toc179866894"/>
      <w:bookmarkStart w:id="8203" w:name="_Toc179870541"/>
      <w:bookmarkStart w:id="8204" w:name="_Toc179874934"/>
      <w:bookmarkStart w:id="8205" w:name="_Toc179879327"/>
      <w:bookmarkStart w:id="8206" w:name="_Toc179809992"/>
      <w:bookmarkStart w:id="8207" w:name="_Toc179815676"/>
      <w:bookmarkStart w:id="8208" w:name="_Toc179821376"/>
      <w:bookmarkStart w:id="8209" w:name="_Toc179827076"/>
      <w:bookmarkStart w:id="8210" w:name="_Toc179832721"/>
      <w:bookmarkStart w:id="8211" w:name="_Toc179864251"/>
      <w:bookmarkStart w:id="8212" w:name="_Toc179866895"/>
      <w:bookmarkStart w:id="8213" w:name="_Toc179870542"/>
      <w:bookmarkStart w:id="8214" w:name="_Toc179874935"/>
      <w:bookmarkStart w:id="8215" w:name="_Toc179879328"/>
      <w:bookmarkStart w:id="8216" w:name="_Toc179809993"/>
      <w:bookmarkStart w:id="8217" w:name="_Toc179815677"/>
      <w:bookmarkStart w:id="8218" w:name="_Toc179821377"/>
      <w:bookmarkStart w:id="8219" w:name="_Toc179827077"/>
      <w:bookmarkStart w:id="8220" w:name="_Toc179832722"/>
      <w:bookmarkStart w:id="8221" w:name="_Toc179864252"/>
      <w:bookmarkStart w:id="8222" w:name="_Toc179866896"/>
      <w:bookmarkStart w:id="8223" w:name="_Toc179870543"/>
      <w:bookmarkStart w:id="8224" w:name="_Toc179874936"/>
      <w:bookmarkStart w:id="8225" w:name="_Toc179879329"/>
      <w:bookmarkStart w:id="8226" w:name="_Toc179809994"/>
      <w:bookmarkStart w:id="8227" w:name="_Toc179815678"/>
      <w:bookmarkStart w:id="8228" w:name="_Toc179821378"/>
      <w:bookmarkStart w:id="8229" w:name="_Toc179827078"/>
      <w:bookmarkStart w:id="8230" w:name="_Toc179832723"/>
      <w:bookmarkStart w:id="8231" w:name="_Toc179864253"/>
      <w:bookmarkStart w:id="8232" w:name="_Toc179866897"/>
      <w:bookmarkStart w:id="8233" w:name="_Toc179870544"/>
      <w:bookmarkStart w:id="8234" w:name="_Toc179874937"/>
      <w:bookmarkStart w:id="8235" w:name="_Toc179879330"/>
      <w:bookmarkStart w:id="8236" w:name="_Toc179809995"/>
      <w:bookmarkStart w:id="8237" w:name="_Toc179815679"/>
      <w:bookmarkStart w:id="8238" w:name="_Toc179821379"/>
      <w:bookmarkStart w:id="8239" w:name="_Toc179827079"/>
      <w:bookmarkStart w:id="8240" w:name="_Toc179832724"/>
      <w:bookmarkStart w:id="8241" w:name="_Toc179864254"/>
      <w:bookmarkStart w:id="8242" w:name="_Toc179866898"/>
      <w:bookmarkStart w:id="8243" w:name="_Toc179870545"/>
      <w:bookmarkStart w:id="8244" w:name="_Toc179874938"/>
      <w:bookmarkStart w:id="8245" w:name="_Toc179879331"/>
      <w:bookmarkStart w:id="8246" w:name="_Toc179809996"/>
      <w:bookmarkStart w:id="8247" w:name="_Toc179815680"/>
      <w:bookmarkStart w:id="8248" w:name="_Toc179821380"/>
      <w:bookmarkStart w:id="8249" w:name="_Toc179827080"/>
      <w:bookmarkStart w:id="8250" w:name="_Toc179832725"/>
      <w:bookmarkStart w:id="8251" w:name="_Toc179864255"/>
      <w:bookmarkStart w:id="8252" w:name="_Toc179866899"/>
      <w:bookmarkStart w:id="8253" w:name="_Toc179870546"/>
      <w:bookmarkStart w:id="8254" w:name="_Toc179874939"/>
      <w:bookmarkStart w:id="8255" w:name="_Toc179879332"/>
      <w:bookmarkStart w:id="8256" w:name="_Toc179809997"/>
      <w:bookmarkStart w:id="8257" w:name="_Toc179815681"/>
      <w:bookmarkStart w:id="8258" w:name="_Toc179821381"/>
      <w:bookmarkStart w:id="8259" w:name="_Toc179827081"/>
      <w:bookmarkStart w:id="8260" w:name="_Toc179832726"/>
      <w:bookmarkStart w:id="8261" w:name="_Toc179864256"/>
      <w:bookmarkStart w:id="8262" w:name="_Toc179866900"/>
      <w:bookmarkStart w:id="8263" w:name="_Toc179870547"/>
      <w:bookmarkStart w:id="8264" w:name="_Toc179874940"/>
      <w:bookmarkStart w:id="8265" w:name="_Toc179879333"/>
      <w:bookmarkStart w:id="8266" w:name="_Toc179809998"/>
      <w:bookmarkStart w:id="8267" w:name="_Toc179815682"/>
      <w:bookmarkStart w:id="8268" w:name="_Toc179821382"/>
      <w:bookmarkStart w:id="8269" w:name="_Toc179827082"/>
      <w:bookmarkStart w:id="8270" w:name="_Toc179832727"/>
      <w:bookmarkStart w:id="8271" w:name="_Toc179864257"/>
      <w:bookmarkStart w:id="8272" w:name="_Toc179866901"/>
      <w:bookmarkStart w:id="8273" w:name="_Toc179870548"/>
      <w:bookmarkStart w:id="8274" w:name="_Toc179874941"/>
      <w:bookmarkStart w:id="8275" w:name="_Toc179879334"/>
      <w:bookmarkStart w:id="8276" w:name="_Toc179809999"/>
      <w:bookmarkStart w:id="8277" w:name="_Toc179815683"/>
      <w:bookmarkStart w:id="8278" w:name="_Toc179821383"/>
      <w:bookmarkStart w:id="8279" w:name="_Toc179827083"/>
      <w:bookmarkStart w:id="8280" w:name="_Toc179832728"/>
      <w:bookmarkStart w:id="8281" w:name="_Toc179864258"/>
      <w:bookmarkStart w:id="8282" w:name="_Toc179866902"/>
      <w:bookmarkStart w:id="8283" w:name="_Toc179870549"/>
      <w:bookmarkStart w:id="8284" w:name="_Toc179874942"/>
      <w:bookmarkStart w:id="8285" w:name="_Toc179879335"/>
      <w:bookmarkStart w:id="8286" w:name="_Toc179810000"/>
      <w:bookmarkStart w:id="8287" w:name="_Toc179815684"/>
      <w:bookmarkStart w:id="8288" w:name="_Toc179821384"/>
      <w:bookmarkStart w:id="8289" w:name="_Toc179827084"/>
      <w:bookmarkStart w:id="8290" w:name="_Toc179832729"/>
      <w:bookmarkStart w:id="8291" w:name="_Toc179864259"/>
      <w:bookmarkStart w:id="8292" w:name="_Toc179866903"/>
      <w:bookmarkStart w:id="8293" w:name="_Toc179870550"/>
      <w:bookmarkStart w:id="8294" w:name="_Toc179874943"/>
      <w:bookmarkStart w:id="8295" w:name="_Toc179879336"/>
      <w:bookmarkStart w:id="8296" w:name="_Toc179810001"/>
      <w:bookmarkStart w:id="8297" w:name="_Toc179815685"/>
      <w:bookmarkStart w:id="8298" w:name="_Toc179821385"/>
      <w:bookmarkStart w:id="8299" w:name="_Toc179827085"/>
      <w:bookmarkStart w:id="8300" w:name="_Toc179832730"/>
      <w:bookmarkStart w:id="8301" w:name="_Toc179864260"/>
      <w:bookmarkStart w:id="8302" w:name="_Toc179866904"/>
      <w:bookmarkStart w:id="8303" w:name="_Toc179870551"/>
      <w:bookmarkStart w:id="8304" w:name="_Toc179874944"/>
      <w:bookmarkStart w:id="8305" w:name="_Toc179879337"/>
      <w:bookmarkStart w:id="8306" w:name="_Toc179810002"/>
      <w:bookmarkStart w:id="8307" w:name="_Toc179815686"/>
      <w:bookmarkStart w:id="8308" w:name="_Toc179821386"/>
      <w:bookmarkStart w:id="8309" w:name="_Toc179827086"/>
      <w:bookmarkStart w:id="8310" w:name="_Toc179832731"/>
      <w:bookmarkStart w:id="8311" w:name="_Toc179864261"/>
      <w:bookmarkStart w:id="8312" w:name="_Toc179866905"/>
      <w:bookmarkStart w:id="8313" w:name="_Toc179870552"/>
      <w:bookmarkStart w:id="8314" w:name="_Toc179874945"/>
      <w:bookmarkStart w:id="8315" w:name="_Toc179879338"/>
      <w:bookmarkStart w:id="8316" w:name="_Toc179810003"/>
      <w:bookmarkStart w:id="8317" w:name="_Toc179815687"/>
      <w:bookmarkStart w:id="8318" w:name="_Toc179821387"/>
      <w:bookmarkStart w:id="8319" w:name="_Toc179827087"/>
      <w:bookmarkStart w:id="8320" w:name="_Toc179832732"/>
      <w:bookmarkStart w:id="8321" w:name="_Toc179864262"/>
      <w:bookmarkStart w:id="8322" w:name="_Toc179866906"/>
      <w:bookmarkStart w:id="8323" w:name="_Toc179870553"/>
      <w:bookmarkStart w:id="8324" w:name="_Toc179874946"/>
      <w:bookmarkStart w:id="8325" w:name="_Toc179879339"/>
      <w:bookmarkStart w:id="8326" w:name="_Toc179810004"/>
      <w:bookmarkStart w:id="8327" w:name="_Toc179815688"/>
      <w:bookmarkStart w:id="8328" w:name="_Toc179821388"/>
      <w:bookmarkStart w:id="8329" w:name="_Toc179827088"/>
      <w:bookmarkStart w:id="8330" w:name="_Toc179832733"/>
      <w:bookmarkStart w:id="8331" w:name="_Toc179864263"/>
      <w:bookmarkStart w:id="8332" w:name="_Toc179866907"/>
      <w:bookmarkStart w:id="8333" w:name="_Toc179870554"/>
      <w:bookmarkStart w:id="8334" w:name="_Toc179874947"/>
      <w:bookmarkStart w:id="8335" w:name="_Toc179879340"/>
      <w:bookmarkStart w:id="8336" w:name="_Toc179810005"/>
      <w:bookmarkStart w:id="8337" w:name="_Toc179815689"/>
      <w:bookmarkStart w:id="8338" w:name="_Toc179821389"/>
      <w:bookmarkStart w:id="8339" w:name="_Toc179827089"/>
      <w:bookmarkStart w:id="8340" w:name="_Toc179832734"/>
      <w:bookmarkStart w:id="8341" w:name="_Toc179864264"/>
      <w:bookmarkStart w:id="8342" w:name="_Toc179866908"/>
      <w:bookmarkStart w:id="8343" w:name="_Toc179870555"/>
      <w:bookmarkStart w:id="8344" w:name="_Toc179874948"/>
      <w:bookmarkStart w:id="8345" w:name="_Toc179879341"/>
      <w:bookmarkStart w:id="8346" w:name="_Toc179810006"/>
      <w:bookmarkStart w:id="8347" w:name="_Toc179815690"/>
      <w:bookmarkStart w:id="8348" w:name="_Toc179821390"/>
      <w:bookmarkStart w:id="8349" w:name="_Toc179827090"/>
      <w:bookmarkStart w:id="8350" w:name="_Toc179832735"/>
      <w:bookmarkStart w:id="8351" w:name="_Toc179864265"/>
      <w:bookmarkStart w:id="8352" w:name="_Toc179866909"/>
      <w:bookmarkStart w:id="8353" w:name="_Toc179870556"/>
      <w:bookmarkStart w:id="8354" w:name="_Toc179874949"/>
      <w:bookmarkStart w:id="8355" w:name="_Toc179879342"/>
      <w:bookmarkStart w:id="8356" w:name="_Toc179810007"/>
      <w:bookmarkStart w:id="8357" w:name="_Toc179815691"/>
      <w:bookmarkStart w:id="8358" w:name="_Toc179821391"/>
      <w:bookmarkStart w:id="8359" w:name="_Toc179827091"/>
      <w:bookmarkStart w:id="8360" w:name="_Toc179832736"/>
      <w:bookmarkStart w:id="8361" w:name="_Toc179864266"/>
      <w:bookmarkStart w:id="8362" w:name="_Toc179866910"/>
      <w:bookmarkStart w:id="8363" w:name="_Toc179870557"/>
      <w:bookmarkStart w:id="8364" w:name="_Toc179874950"/>
      <w:bookmarkStart w:id="8365" w:name="_Toc179879343"/>
      <w:bookmarkStart w:id="8366" w:name="_Toc179810008"/>
      <w:bookmarkStart w:id="8367" w:name="_Toc179815692"/>
      <w:bookmarkStart w:id="8368" w:name="_Toc179821392"/>
      <w:bookmarkStart w:id="8369" w:name="_Toc179827092"/>
      <w:bookmarkStart w:id="8370" w:name="_Toc179832737"/>
      <w:bookmarkStart w:id="8371" w:name="_Toc179864267"/>
      <w:bookmarkStart w:id="8372" w:name="_Toc179866911"/>
      <w:bookmarkStart w:id="8373" w:name="_Toc179870558"/>
      <w:bookmarkStart w:id="8374" w:name="_Toc179874951"/>
      <w:bookmarkStart w:id="8375" w:name="_Toc179879344"/>
      <w:bookmarkStart w:id="8376" w:name="_Toc179810009"/>
      <w:bookmarkStart w:id="8377" w:name="_Toc179815693"/>
      <w:bookmarkStart w:id="8378" w:name="_Toc179821393"/>
      <w:bookmarkStart w:id="8379" w:name="_Toc179827093"/>
      <w:bookmarkStart w:id="8380" w:name="_Toc179832738"/>
      <w:bookmarkStart w:id="8381" w:name="_Toc179864268"/>
      <w:bookmarkStart w:id="8382" w:name="_Toc179866912"/>
      <w:bookmarkStart w:id="8383" w:name="_Toc179870559"/>
      <w:bookmarkStart w:id="8384" w:name="_Toc179874952"/>
      <w:bookmarkStart w:id="8385" w:name="_Toc179879345"/>
      <w:bookmarkStart w:id="8386" w:name="_Toc179810010"/>
      <w:bookmarkStart w:id="8387" w:name="_Toc179815694"/>
      <w:bookmarkStart w:id="8388" w:name="_Toc179821394"/>
      <w:bookmarkStart w:id="8389" w:name="_Toc179827094"/>
      <w:bookmarkStart w:id="8390" w:name="_Toc179832739"/>
      <w:bookmarkStart w:id="8391" w:name="_Toc179864269"/>
      <w:bookmarkStart w:id="8392" w:name="_Toc179866913"/>
      <w:bookmarkStart w:id="8393" w:name="_Toc179870560"/>
      <w:bookmarkStart w:id="8394" w:name="_Toc179874953"/>
      <w:bookmarkStart w:id="8395" w:name="_Toc179879346"/>
      <w:bookmarkStart w:id="8396" w:name="_Toc179810011"/>
      <w:bookmarkStart w:id="8397" w:name="_Toc179815695"/>
      <w:bookmarkStart w:id="8398" w:name="_Toc179821395"/>
      <w:bookmarkStart w:id="8399" w:name="_Toc179827095"/>
      <w:bookmarkStart w:id="8400" w:name="_Toc179832740"/>
      <w:bookmarkStart w:id="8401" w:name="_Toc179864270"/>
      <w:bookmarkStart w:id="8402" w:name="_Toc179866914"/>
      <w:bookmarkStart w:id="8403" w:name="_Toc179870561"/>
      <w:bookmarkStart w:id="8404" w:name="_Toc179874954"/>
      <w:bookmarkStart w:id="8405" w:name="_Toc179879347"/>
      <w:bookmarkStart w:id="8406" w:name="_Toc179810012"/>
      <w:bookmarkStart w:id="8407" w:name="_Toc179815696"/>
      <w:bookmarkStart w:id="8408" w:name="_Toc179821396"/>
      <w:bookmarkStart w:id="8409" w:name="_Toc179827096"/>
      <w:bookmarkStart w:id="8410" w:name="_Toc179832741"/>
      <w:bookmarkStart w:id="8411" w:name="_Toc179864271"/>
      <w:bookmarkStart w:id="8412" w:name="_Toc179866915"/>
      <w:bookmarkStart w:id="8413" w:name="_Toc179870562"/>
      <w:bookmarkStart w:id="8414" w:name="_Toc179874955"/>
      <w:bookmarkStart w:id="8415" w:name="_Toc179879348"/>
      <w:bookmarkStart w:id="8416" w:name="_Toc179810013"/>
      <w:bookmarkStart w:id="8417" w:name="_Toc179815697"/>
      <w:bookmarkStart w:id="8418" w:name="_Toc179821397"/>
      <w:bookmarkStart w:id="8419" w:name="_Toc179827097"/>
      <w:bookmarkStart w:id="8420" w:name="_Toc179832742"/>
      <w:bookmarkStart w:id="8421" w:name="_Toc179864272"/>
      <w:bookmarkStart w:id="8422" w:name="_Toc179866916"/>
      <w:bookmarkStart w:id="8423" w:name="_Toc179870563"/>
      <w:bookmarkStart w:id="8424" w:name="_Toc179874956"/>
      <w:bookmarkStart w:id="8425" w:name="_Toc179879349"/>
      <w:bookmarkStart w:id="8426" w:name="_Toc179810014"/>
      <w:bookmarkStart w:id="8427" w:name="_Toc179815698"/>
      <w:bookmarkStart w:id="8428" w:name="_Toc179821398"/>
      <w:bookmarkStart w:id="8429" w:name="_Toc179827098"/>
      <w:bookmarkStart w:id="8430" w:name="_Toc179832743"/>
      <w:bookmarkStart w:id="8431" w:name="_Toc179864273"/>
      <w:bookmarkStart w:id="8432" w:name="_Toc179866917"/>
      <w:bookmarkStart w:id="8433" w:name="_Toc179870564"/>
      <w:bookmarkStart w:id="8434" w:name="_Toc179874957"/>
      <w:bookmarkStart w:id="8435" w:name="_Toc179879350"/>
      <w:bookmarkStart w:id="8436" w:name="_Toc179810015"/>
      <w:bookmarkStart w:id="8437" w:name="_Toc179815699"/>
      <w:bookmarkStart w:id="8438" w:name="_Toc179821399"/>
      <w:bookmarkStart w:id="8439" w:name="_Toc179827099"/>
      <w:bookmarkStart w:id="8440" w:name="_Toc179832744"/>
      <w:bookmarkStart w:id="8441" w:name="_Toc179864274"/>
      <w:bookmarkStart w:id="8442" w:name="_Toc179866918"/>
      <w:bookmarkStart w:id="8443" w:name="_Toc179870565"/>
      <w:bookmarkStart w:id="8444" w:name="_Toc179874958"/>
      <w:bookmarkStart w:id="8445" w:name="_Toc179879351"/>
      <w:bookmarkStart w:id="8446" w:name="_Toc179810016"/>
      <w:bookmarkStart w:id="8447" w:name="_Toc179815700"/>
      <w:bookmarkStart w:id="8448" w:name="_Toc179821400"/>
      <w:bookmarkStart w:id="8449" w:name="_Toc179827100"/>
      <w:bookmarkStart w:id="8450" w:name="_Toc179832745"/>
      <w:bookmarkStart w:id="8451" w:name="_Toc179864275"/>
      <w:bookmarkStart w:id="8452" w:name="_Toc179866919"/>
      <w:bookmarkStart w:id="8453" w:name="_Toc179870566"/>
      <w:bookmarkStart w:id="8454" w:name="_Toc179874959"/>
      <w:bookmarkStart w:id="8455" w:name="_Toc179879352"/>
      <w:bookmarkStart w:id="8456" w:name="_Toc179810017"/>
      <w:bookmarkStart w:id="8457" w:name="_Toc179815701"/>
      <w:bookmarkStart w:id="8458" w:name="_Toc179821401"/>
      <w:bookmarkStart w:id="8459" w:name="_Toc179827101"/>
      <w:bookmarkStart w:id="8460" w:name="_Toc179832746"/>
      <w:bookmarkStart w:id="8461" w:name="_Toc179864276"/>
      <w:bookmarkStart w:id="8462" w:name="_Toc179866920"/>
      <w:bookmarkStart w:id="8463" w:name="_Toc179870567"/>
      <w:bookmarkStart w:id="8464" w:name="_Toc179874960"/>
      <w:bookmarkStart w:id="8465" w:name="_Toc179879353"/>
      <w:bookmarkStart w:id="8466" w:name="_Toc179810018"/>
      <w:bookmarkStart w:id="8467" w:name="_Toc179815702"/>
      <w:bookmarkStart w:id="8468" w:name="_Toc179821402"/>
      <w:bookmarkStart w:id="8469" w:name="_Toc179827102"/>
      <w:bookmarkStart w:id="8470" w:name="_Toc179832747"/>
      <w:bookmarkStart w:id="8471" w:name="_Toc179864277"/>
      <w:bookmarkStart w:id="8472" w:name="_Toc179866921"/>
      <w:bookmarkStart w:id="8473" w:name="_Toc179870568"/>
      <w:bookmarkStart w:id="8474" w:name="_Toc179874961"/>
      <w:bookmarkStart w:id="8475" w:name="_Toc179879354"/>
      <w:bookmarkStart w:id="8476" w:name="_Toc179810019"/>
      <w:bookmarkStart w:id="8477" w:name="_Toc179815703"/>
      <w:bookmarkStart w:id="8478" w:name="_Toc179821403"/>
      <w:bookmarkStart w:id="8479" w:name="_Toc179827103"/>
      <w:bookmarkStart w:id="8480" w:name="_Toc179832748"/>
      <w:bookmarkStart w:id="8481" w:name="_Toc179864278"/>
      <w:bookmarkStart w:id="8482" w:name="_Toc179866922"/>
      <w:bookmarkStart w:id="8483" w:name="_Toc179870569"/>
      <w:bookmarkStart w:id="8484" w:name="_Toc179874962"/>
      <w:bookmarkStart w:id="8485" w:name="_Toc179879355"/>
      <w:bookmarkStart w:id="8486" w:name="_Toc179810020"/>
      <w:bookmarkStart w:id="8487" w:name="_Toc179815704"/>
      <w:bookmarkStart w:id="8488" w:name="_Toc179821404"/>
      <w:bookmarkStart w:id="8489" w:name="_Toc179827104"/>
      <w:bookmarkStart w:id="8490" w:name="_Toc179832749"/>
      <w:bookmarkStart w:id="8491" w:name="_Toc179864279"/>
      <w:bookmarkStart w:id="8492" w:name="_Toc179866923"/>
      <w:bookmarkStart w:id="8493" w:name="_Toc179870570"/>
      <w:bookmarkStart w:id="8494" w:name="_Toc179874963"/>
      <w:bookmarkStart w:id="8495" w:name="_Toc179879356"/>
      <w:bookmarkStart w:id="8496" w:name="_Toc179810021"/>
      <w:bookmarkStart w:id="8497" w:name="_Toc179815705"/>
      <w:bookmarkStart w:id="8498" w:name="_Toc179821405"/>
      <w:bookmarkStart w:id="8499" w:name="_Toc179827105"/>
      <w:bookmarkStart w:id="8500" w:name="_Toc179832750"/>
      <w:bookmarkStart w:id="8501" w:name="_Toc179864280"/>
      <w:bookmarkStart w:id="8502" w:name="_Toc179866924"/>
      <w:bookmarkStart w:id="8503" w:name="_Toc179870571"/>
      <w:bookmarkStart w:id="8504" w:name="_Toc179874964"/>
      <w:bookmarkStart w:id="8505" w:name="_Toc179879357"/>
      <w:bookmarkStart w:id="8506" w:name="_Toc179810022"/>
      <w:bookmarkStart w:id="8507" w:name="_Toc179815706"/>
      <w:bookmarkStart w:id="8508" w:name="_Toc179821406"/>
      <w:bookmarkStart w:id="8509" w:name="_Toc179827106"/>
      <w:bookmarkStart w:id="8510" w:name="_Toc179832751"/>
      <w:bookmarkStart w:id="8511" w:name="_Toc179864281"/>
      <w:bookmarkStart w:id="8512" w:name="_Toc179866925"/>
      <w:bookmarkStart w:id="8513" w:name="_Toc179870572"/>
      <w:bookmarkStart w:id="8514" w:name="_Toc179874965"/>
      <w:bookmarkStart w:id="8515" w:name="_Toc179879358"/>
      <w:bookmarkStart w:id="8516" w:name="_Toc179810023"/>
      <w:bookmarkStart w:id="8517" w:name="_Toc179815707"/>
      <w:bookmarkStart w:id="8518" w:name="_Toc179821407"/>
      <w:bookmarkStart w:id="8519" w:name="_Toc179827107"/>
      <w:bookmarkStart w:id="8520" w:name="_Toc179832752"/>
      <w:bookmarkStart w:id="8521" w:name="_Toc179864282"/>
      <w:bookmarkStart w:id="8522" w:name="_Toc179866926"/>
      <w:bookmarkStart w:id="8523" w:name="_Toc179870573"/>
      <w:bookmarkStart w:id="8524" w:name="_Toc179874966"/>
      <w:bookmarkStart w:id="8525" w:name="_Toc179879359"/>
      <w:bookmarkStart w:id="8526" w:name="_Toc179810024"/>
      <w:bookmarkStart w:id="8527" w:name="_Toc179815708"/>
      <w:bookmarkStart w:id="8528" w:name="_Toc179821408"/>
      <w:bookmarkStart w:id="8529" w:name="_Toc179827108"/>
      <w:bookmarkStart w:id="8530" w:name="_Toc179832753"/>
      <w:bookmarkStart w:id="8531" w:name="_Toc179864283"/>
      <w:bookmarkStart w:id="8532" w:name="_Toc179866927"/>
      <w:bookmarkStart w:id="8533" w:name="_Toc179870574"/>
      <w:bookmarkStart w:id="8534" w:name="_Toc179874967"/>
      <w:bookmarkStart w:id="8535" w:name="_Toc179879360"/>
      <w:bookmarkStart w:id="8536" w:name="_Toc179810025"/>
      <w:bookmarkStart w:id="8537" w:name="_Toc179815709"/>
      <w:bookmarkStart w:id="8538" w:name="_Toc179821409"/>
      <w:bookmarkStart w:id="8539" w:name="_Toc179827109"/>
      <w:bookmarkStart w:id="8540" w:name="_Toc179832754"/>
      <w:bookmarkStart w:id="8541" w:name="_Toc179864284"/>
      <w:bookmarkStart w:id="8542" w:name="_Toc179866928"/>
      <w:bookmarkStart w:id="8543" w:name="_Toc179870575"/>
      <w:bookmarkStart w:id="8544" w:name="_Toc179874968"/>
      <w:bookmarkStart w:id="8545" w:name="_Toc179879361"/>
      <w:bookmarkStart w:id="8546" w:name="_Toc179810026"/>
      <w:bookmarkStart w:id="8547" w:name="_Toc179815710"/>
      <w:bookmarkStart w:id="8548" w:name="_Toc179821410"/>
      <w:bookmarkStart w:id="8549" w:name="_Toc179827110"/>
      <w:bookmarkStart w:id="8550" w:name="_Toc179832755"/>
      <w:bookmarkStart w:id="8551" w:name="_Toc179864285"/>
      <w:bookmarkStart w:id="8552" w:name="_Toc179866929"/>
      <w:bookmarkStart w:id="8553" w:name="_Toc179870576"/>
      <w:bookmarkStart w:id="8554" w:name="_Toc179874969"/>
      <w:bookmarkStart w:id="8555" w:name="_Toc179879362"/>
      <w:bookmarkStart w:id="8556" w:name="_Toc179810027"/>
      <w:bookmarkStart w:id="8557" w:name="_Toc179815711"/>
      <w:bookmarkStart w:id="8558" w:name="_Toc179821411"/>
      <w:bookmarkStart w:id="8559" w:name="_Toc179827111"/>
      <w:bookmarkStart w:id="8560" w:name="_Toc179832756"/>
      <w:bookmarkStart w:id="8561" w:name="_Toc179864286"/>
      <w:bookmarkStart w:id="8562" w:name="_Toc179866930"/>
      <w:bookmarkStart w:id="8563" w:name="_Toc179870577"/>
      <w:bookmarkStart w:id="8564" w:name="_Toc179874970"/>
      <w:bookmarkStart w:id="8565" w:name="_Toc179879363"/>
      <w:bookmarkStart w:id="8566" w:name="_Toc179810028"/>
      <w:bookmarkStart w:id="8567" w:name="_Toc179815712"/>
      <w:bookmarkStart w:id="8568" w:name="_Toc179821412"/>
      <w:bookmarkStart w:id="8569" w:name="_Toc179827112"/>
      <w:bookmarkStart w:id="8570" w:name="_Toc179832757"/>
      <w:bookmarkStart w:id="8571" w:name="_Toc179864287"/>
      <w:bookmarkStart w:id="8572" w:name="_Toc179866931"/>
      <w:bookmarkStart w:id="8573" w:name="_Toc179870578"/>
      <w:bookmarkStart w:id="8574" w:name="_Toc179874971"/>
      <w:bookmarkStart w:id="8575" w:name="_Toc179879364"/>
      <w:bookmarkStart w:id="8576" w:name="_Toc179810029"/>
      <w:bookmarkStart w:id="8577" w:name="_Toc179815713"/>
      <w:bookmarkStart w:id="8578" w:name="_Toc179821413"/>
      <w:bookmarkStart w:id="8579" w:name="_Toc179827113"/>
      <w:bookmarkStart w:id="8580" w:name="_Toc179832758"/>
      <w:bookmarkStart w:id="8581" w:name="_Toc179864288"/>
      <w:bookmarkStart w:id="8582" w:name="_Toc179866932"/>
      <w:bookmarkStart w:id="8583" w:name="_Toc179870579"/>
      <w:bookmarkStart w:id="8584" w:name="_Toc179874972"/>
      <w:bookmarkStart w:id="8585" w:name="_Toc179879365"/>
      <w:bookmarkStart w:id="8586" w:name="_Toc179810030"/>
      <w:bookmarkStart w:id="8587" w:name="_Toc179815714"/>
      <w:bookmarkStart w:id="8588" w:name="_Toc179821414"/>
      <w:bookmarkStart w:id="8589" w:name="_Toc179827114"/>
      <w:bookmarkStart w:id="8590" w:name="_Toc179832759"/>
      <w:bookmarkStart w:id="8591" w:name="_Toc179864289"/>
      <w:bookmarkStart w:id="8592" w:name="_Toc179866933"/>
      <w:bookmarkStart w:id="8593" w:name="_Toc179870580"/>
      <w:bookmarkStart w:id="8594" w:name="_Toc179874973"/>
      <w:bookmarkStart w:id="8595" w:name="_Toc179879366"/>
      <w:bookmarkStart w:id="8596" w:name="_Toc179810031"/>
      <w:bookmarkStart w:id="8597" w:name="_Toc179815715"/>
      <w:bookmarkStart w:id="8598" w:name="_Toc179821415"/>
      <w:bookmarkStart w:id="8599" w:name="_Toc179827115"/>
      <w:bookmarkStart w:id="8600" w:name="_Toc179832760"/>
      <w:bookmarkStart w:id="8601" w:name="_Toc179864290"/>
      <w:bookmarkStart w:id="8602" w:name="_Toc179866934"/>
      <w:bookmarkStart w:id="8603" w:name="_Toc179870581"/>
      <w:bookmarkStart w:id="8604" w:name="_Toc179874974"/>
      <w:bookmarkStart w:id="8605" w:name="_Toc179879367"/>
      <w:bookmarkStart w:id="8606" w:name="_Toc179810032"/>
      <w:bookmarkStart w:id="8607" w:name="_Toc179815716"/>
      <w:bookmarkStart w:id="8608" w:name="_Toc179821416"/>
      <w:bookmarkStart w:id="8609" w:name="_Toc179827116"/>
      <w:bookmarkStart w:id="8610" w:name="_Toc179832761"/>
      <w:bookmarkStart w:id="8611" w:name="_Toc179864291"/>
      <w:bookmarkStart w:id="8612" w:name="_Toc179866935"/>
      <w:bookmarkStart w:id="8613" w:name="_Toc179870582"/>
      <w:bookmarkStart w:id="8614" w:name="_Toc179874975"/>
      <w:bookmarkStart w:id="8615" w:name="_Toc179879368"/>
      <w:bookmarkStart w:id="8616" w:name="_Toc179810033"/>
      <w:bookmarkStart w:id="8617" w:name="_Toc179815717"/>
      <w:bookmarkStart w:id="8618" w:name="_Toc179821417"/>
      <w:bookmarkStart w:id="8619" w:name="_Toc179827117"/>
      <w:bookmarkStart w:id="8620" w:name="_Toc179832762"/>
      <w:bookmarkStart w:id="8621" w:name="_Toc179864292"/>
      <w:bookmarkStart w:id="8622" w:name="_Toc179866936"/>
      <w:bookmarkStart w:id="8623" w:name="_Toc179870583"/>
      <w:bookmarkStart w:id="8624" w:name="_Toc179874976"/>
      <w:bookmarkStart w:id="8625" w:name="_Toc179879369"/>
      <w:bookmarkStart w:id="8626" w:name="_Toc179810034"/>
      <w:bookmarkStart w:id="8627" w:name="_Toc179815718"/>
      <w:bookmarkStart w:id="8628" w:name="_Toc179821418"/>
      <w:bookmarkStart w:id="8629" w:name="_Toc179827118"/>
      <w:bookmarkStart w:id="8630" w:name="_Toc179832763"/>
      <w:bookmarkStart w:id="8631" w:name="_Toc179864293"/>
      <w:bookmarkStart w:id="8632" w:name="_Toc179866937"/>
      <w:bookmarkStart w:id="8633" w:name="_Toc179870584"/>
      <w:bookmarkStart w:id="8634" w:name="_Toc179874977"/>
      <w:bookmarkStart w:id="8635" w:name="_Toc179879370"/>
      <w:bookmarkStart w:id="8636" w:name="_Toc179810035"/>
      <w:bookmarkStart w:id="8637" w:name="_Toc179815719"/>
      <w:bookmarkStart w:id="8638" w:name="_Toc179821419"/>
      <w:bookmarkStart w:id="8639" w:name="_Toc179827119"/>
      <w:bookmarkStart w:id="8640" w:name="_Toc179832764"/>
      <w:bookmarkStart w:id="8641" w:name="_Toc179864294"/>
      <w:bookmarkStart w:id="8642" w:name="_Toc179866938"/>
      <w:bookmarkStart w:id="8643" w:name="_Toc179870585"/>
      <w:bookmarkStart w:id="8644" w:name="_Toc179874978"/>
      <w:bookmarkStart w:id="8645" w:name="_Toc179879371"/>
      <w:bookmarkStart w:id="8646" w:name="_Toc179810036"/>
      <w:bookmarkStart w:id="8647" w:name="_Toc179815720"/>
      <w:bookmarkStart w:id="8648" w:name="_Toc179821420"/>
      <w:bookmarkStart w:id="8649" w:name="_Toc179827120"/>
      <w:bookmarkStart w:id="8650" w:name="_Toc179832765"/>
      <w:bookmarkStart w:id="8651" w:name="_Toc179864295"/>
      <w:bookmarkStart w:id="8652" w:name="_Toc179866939"/>
      <w:bookmarkStart w:id="8653" w:name="_Toc179870586"/>
      <w:bookmarkStart w:id="8654" w:name="_Toc179874979"/>
      <w:bookmarkStart w:id="8655" w:name="_Toc179879372"/>
      <w:bookmarkStart w:id="8656" w:name="_Toc179810037"/>
      <w:bookmarkStart w:id="8657" w:name="_Toc179815721"/>
      <w:bookmarkStart w:id="8658" w:name="_Toc179821421"/>
      <w:bookmarkStart w:id="8659" w:name="_Toc179827121"/>
      <w:bookmarkStart w:id="8660" w:name="_Toc179832766"/>
      <w:bookmarkStart w:id="8661" w:name="_Toc179864296"/>
      <w:bookmarkStart w:id="8662" w:name="_Toc179866940"/>
      <w:bookmarkStart w:id="8663" w:name="_Toc179870587"/>
      <w:bookmarkStart w:id="8664" w:name="_Toc179874980"/>
      <w:bookmarkStart w:id="8665" w:name="_Toc179879373"/>
      <w:bookmarkStart w:id="8666" w:name="_Toc179810059"/>
      <w:bookmarkStart w:id="8667" w:name="_Toc179815743"/>
      <w:bookmarkStart w:id="8668" w:name="_Toc179821443"/>
      <w:bookmarkStart w:id="8669" w:name="_Toc179827143"/>
      <w:bookmarkStart w:id="8670" w:name="_Toc179832788"/>
      <w:bookmarkStart w:id="8671" w:name="_Toc179864318"/>
      <w:bookmarkStart w:id="8672" w:name="_Toc179866962"/>
      <w:bookmarkStart w:id="8673" w:name="_Toc179870609"/>
      <w:bookmarkStart w:id="8674" w:name="_Toc179875002"/>
      <w:bookmarkStart w:id="8675" w:name="_Toc179879395"/>
      <w:bookmarkStart w:id="8676" w:name="_Toc179810083"/>
      <w:bookmarkStart w:id="8677" w:name="_Toc179815767"/>
      <w:bookmarkStart w:id="8678" w:name="_Toc179821467"/>
      <w:bookmarkStart w:id="8679" w:name="_Toc179827167"/>
      <w:bookmarkStart w:id="8680" w:name="_Toc179832812"/>
      <w:bookmarkStart w:id="8681" w:name="_Toc179864342"/>
      <w:bookmarkStart w:id="8682" w:name="_Toc179866986"/>
      <w:bookmarkStart w:id="8683" w:name="_Toc179870633"/>
      <w:bookmarkStart w:id="8684" w:name="_Toc179875026"/>
      <w:bookmarkStart w:id="8685" w:name="_Toc179879419"/>
      <w:bookmarkStart w:id="8686" w:name="_Toc179810084"/>
      <w:bookmarkStart w:id="8687" w:name="_Toc179815768"/>
      <w:bookmarkStart w:id="8688" w:name="_Toc179821468"/>
      <w:bookmarkStart w:id="8689" w:name="_Toc179827168"/>
      <w:bookmarkStart w:id="8690" w:name="_Toc179832813"/>
      <w:bookmarkStart w:id="8691" w:name="_Toc179864343"/>
      <w:bookmarkStart w:id="8692" w:name="_Toc179866987"/>
      <w:bookmarkStart w:id="8693" w:name="_Toc179870634"/>
      <w:bookmarkStart w:id="8694" w:name="_Toc179875027"/>
      <w:bookmarkStart w:id="8695" w:name="_Toc179879420"/>
      <w:bookmarkStart w:id="8696" w:name="_Toc179810085"/>
      <w:bookmarkStart w:id="8697" w:name="_Toc179815769"/>
      <w:bookmarkStart w:id="8698" w:name="_Toc179821469"/>
      <w:bookmarkStart w:id="8699" w:name="_Toc179827169"/>
      <w:bookmarkStart w:id="8700" w:name="_Toc179832814"/>
      <w:bookmarkStart w:id="8701" w:name="_Toc179864344"/>
      <w:bookmarkStart w:id="8702" w:name="_Toc179866988"/>
      <w:bookmarkStart w:id="8703" w:name="_Toc179870635"/>
      <w:bookmarkStart w:id="8704" w:name="_Toc179875028"/>
      <w:bookmarkStart w:id="8705" w:name="_Toc179879421"/>
      <w:bookmarkStart w:id="8706" w:name="_Toc179810086"/>
      <w:bookmarkStart w:id="8707" w:name="_Toc179815770"/>
      <w:bookmarkStart w:id="8708" w:name="_Toc179821470"/>
      <w:bookmarkStart w:id="8709" w:name="_Toc179827170"/>
      <w:bookmarkStart w:id="8710" w:name="_Toc179832815"/>
      <w:bookmarkStart w:id="8711" w:name="_Toc179864345"/>
      <w:bookmarkStart w:id="8712" w:name="_Toc179866989"/>
      <w:bookmarkStart w:id="8713" w:name="_Toc179870636"/>
      <w:bookmarkStart w:id="8714" w:name="_Toc179875029"/>
      <w:bookmarkStart w:id="8715" w:name="_Toc179879422"/>
      <w:bookmarkStart w:id="8716" w:name="_Toc179810087"/>
      <w:bookmarkStart w:id="8717" w:name="_Toc179815771"/>
      <w:bookmarkStart w:id="8718" w:name="_Toc179821471"/>
      <w:bookmarkStart w:id="8719" w:name="_Toc179827171"/>
      <w:bookmarkStart w:id="8720" w:name="_Toc179832816"/>
      <w:bookmarkStart w:id="8721" w:name="_Toc179864346"/>
      <w:bookmarkStart w:id="8722" w:name="_Toc179866990"/>
      <w:bookmarkStart w:id="8723" w:name="_Toc179870637"/>
      <w:bookmarkStart w:id="8724" w:name="_Toc179875030"/>
      <w:bookmarkStart w:id="8725" w:name="_Toc179879423"/>
      <w:bookmarkStart w:id="8726" w:name="_Toc179810088"/>
      <w:bookmarkStart w:id="8727" w:name="_Toc179815772"/>
      <w:bookmarkStart w:id="8728" w:name="_Toc179821472"/>
      <w:bookmarkStart w:id="8729" w:name="_Toc179827172"/>
      <w:bookmarkStart w:id="8730" w:name="_Toc179832817"/>
      <w:bookmarkStart w:id="8731" w:name="_Toc179864347"/>
      <w:bookmarkStart w:id="8732" w:name="_Toc179866991"/>
      <w:bookmarkStart w:id="8733" w:name="_Toc179870638"/>
      <w:bookmarkStart w:id="8734" w:name="_Toc179875031"/>
      <w:bookmarkStart w:id="8735" w:name="_Toc179879424"/>
      <w:bookmarkStart w:id="8736" w:name="_Toc179810089"/>
      <w:bookmarkStart w:id="8737" w:name="_Toc179815773"/>
      <w:bookmarkStart w:id="8738" w:name="_Toc179821473"/>
      <w:bookmarkStart w:id="8739" w:name="_Toc179827173"/>
      <w:bookmarkStart w:id="8740" w:name="_Toc179832818"/>
      <w:bookmarkStart w:id="8741" w:name="_Toc179864348"/>
      <w:bookmarkStart w:id="8742" w:name="_Toc179866992"/>
      <w:bookmarkStart w:id="8743" w:name="_Toc179870639"/>
      <w:bookmarkStart w:id="8744" w:name="_Toc179875032"/>
      <w:bookmarkStart w:id="8745" w:name="_Toc179879425"/>
      <w:bookmarkStart w:id="8746" w:name="_Toc179810090"/>
      <w:bookmarkStart w:id="8747" w:name="_Toc179815774"/>
      <w:bookmarkStart w:id="8748" w:name="_Toc179821474"/>
      <w:bookmarkStart w:id="8749" w:name="_Toc179827174"/>
      <w:bookmarkStart w:id="8750" w:name="_Toc179832819"/>
      <w:bookmarkStart w:id="8751" w:name="_Toc179864349"/>
      <w:bookmarkStart w:id="8752" w:name="_Toc179866993"/>
      <w:bookmarkStart w:id="8753" w:name="_Toc179870640"/>
      <w:bookmarkStart w:id="8754" w:name="_Toc179875033"/>
      <w:bookmarkStart w:id="8755" w:name="_Toc179879426"/>
      <w:bookmarkStart w:id="8756" w:name="_Toc179810091"/>
      <w:bookmarkStart w:id="8757" w:name="_Toc179815775"/>
      <w:bookmarkStart w:id="8758" w:name="_Toc179821475"/>
      <w:bookmarkStart w:id="8759" w:name="_Toc179827175"/>
      <w:bookmarkStart w:id="8760" w:name="_Toc179832820"/>
      <w:bookmarkStart w:id="8761" w:name="_Toc179864350"/>
      <w:bookmarkStart w:id="8762" w:name="_Toc179866994"/>
      <w:bookmarkStart w:id="8763" w:name="_Toc179870641"/>
      <w:bookmarkStart w:id="8764" w:name="_Toc179875034"/>
      <w:bookmarkStart w:id="8765" w:name="_Toc179879427"/>
      <w:bookmarkStart w:id="8766" w:name="_Toc179810092"/>
      <w:bookmarkStart w:id="8767" w:name="_Toc179815776"/>
      <w:bookmarkStart w:id="8768" w:name="_Toc179821476"/>
      <w:bookmarkStart w:id="8769" w:name="_Toc179827176"/>
      <w:bookmarkStart w:id="8770" w:name="_Toc179832821"/>
      <w:bookmarkStart w:id="8771" w:name="_Toc179864351"/>
      <w:bookmarkStart w:id="8772" w:name="_Toc179866995"/>
      <w:bookmarkStart w:id="8773" w:name="_Toc179870642"/>
      <w:bookmarkStart w:id="8774" w:name="_Toc179875035"/>
      <w:bookmarkStart w:id="8775" w:name="_Toc179879428"/>
      <w:bookmarkStart w:id="8776" w:name="_Toc179810093"/>
      <w:bookmarkStart w:id="8777" w:name="_Toc179815777"/>
      <w:bookmarkStart w:id="8778" w:name="_Toc179821477"/>
      <w:bookmarkStart w:id="8779" w:name="_Toc179827177"/>
      <w:bookmarkStart w:id="8780" w:name="_Toc179832822"/>
      <w:bookmarkStart w:id="8781" w:name="_Toc179864352"/>
      <w:bookmarkStart w:id="8782" w:name="_Toc179866996"/>
      <w:bookmarkStart w:id="8783" w:name="_Toc179870643"/>
      <w:bookmarkStart w:id="8784" w:name="_Toc179875036"/>
      <w:bookmarkStart w:id="8785" w:name="_Toc179879429"/>
      <w:bookmarkStart w:id="8786" w:name="_Toc179810094"/>
      <w:bookmarkStart w:id="8787" w:name="_Toc179815778"/>
      <w:bookmarkStart w:id="8788" w:name="_Toc179821478"/>
      <w:bookmarkStart w:id="8789" w:name="_Toc179827178"/>
      <w:bookmarkStart w:id="8790" w:name="_Toc179832823"/>
      <w:bookmarkStart w:id="8791" w:name="_Toc179864353"/>
      <w:bookmarkStart w:id="8792" w:name="_Toc179866997"/>
      <w:bookmarkStart w:id="8793" w:name="_Toc179870644"/>
      <w:bookmarkStart w:id="8794" w:name="_Toc179875037"/>
      <w:bookmarkStart w:id="8795" w:name="_Toc179879430"/>
      <w:bookmarkStart w:id="8796" w:name="_Toc179810095"/>
      <w:bookmarkStart w:id="8797" w:name="_Toc179815779"/>
      <w:bookmarkStart w:id="8798" w:name="_Toc179821479"/>
      <w:bookmarkStart w:id="8799" w:name="_Toc179827179"/>
      <w:bookmarkStart w:id="8800" w:name="_Toc179832824"/>
      <w:bookmarkStart w:id="8801" w:name="_Toc179864354"/>
      <w:bookmarkStart w:id="8802" w:name="_Toc179866998"/>
      <w:bookmarkStart w:id="8803" w:name="_Toc179870645"/>
      <w:bookmarkStart w:id="8804" w:name="_Toc179875038"/>
      <w:bookmarkStart w:id="8805" w:name="_Toc179879431"/>
      <w:bookmarkStart w:id="8806" w:name="_Toc179810096"/>
      <w:bookmarkStart w:id="8807" w:name="_Toc179815780"/>
      <w:bookmarkStart w:id="8808" w:name="_Toc179821480"/>
      <w:bookmarkStart w:id="8809" w:name="_Toc179827180"/>
      <w:bookmarkStart w:id="8810" w:name="_Toc179832825"/>
      <w:bookmarkStart w:id="8811" w:name="_Toc179864355"/>
      <w:bookmarkStart w:id="8812" w:name="_Toc179866999"/>
      <w:bookmarkStart w:id="8813" w:name="_Toc179870646"/>
      <w:bookmarkStart w:id="8814" w:name="_Toc179875039"/>
      <w:bookmarkStart w:id="8815" w:name="_Toc179879432"/>
      <w:bookmarkStart w:id="8816" w:name="_Toc179810097"/>
      <w:bookmarkStart w:id="8817" w:name="_Toc179815781"/>
      <w:bookmarkStart w:id="8818" w:name="_Toc179821481"/>
      <w:bookmarkStart w:id="8819" w:name="_Toc179827181"/>
      <w:bookmarkStart w:id="8820" w:name="_Toc179832826"/>
      <w:bookmarkStart w:id="8821" w:name="_Toc179864356"/>
      <w:bookmarkStart w:id="8822" w:name="_Toc179867000"/>
      <w:bookmarkStart w:id="8823" w:name="_Toc179870647"/>
      <w:bookmarkStart w:id="8824" w:name="_Toc179875040"/>
      <w:bookmarkStart w:id="8825" w:name="_Toc179879433"/>
      <w:bookmarkStart w:id="8826" w:name="_Toc179810098"/>
      <w:bookmarkStart w:id="8827" w:name="_Toc179815782"/>
      <w:bookmarkStart w:id="8828" w:name="_Toc179821482"/>
      <w:bookmarkStart w:id="8829" w:name="_Toc179827182"/>
      <w:bookmarkStart w:id="8830" w:name="_Toc179832827"/>
      <w:bookmarkStart w:id="8831" w:name="_Toc179864357"/>
      <w:bookmarkStart w:id="8832" w:name="_Toc179867001"/>
      <w:bookmarkStart w:id="8833" w:name="_Toc179870648"/>
      <w:bookmarkStart w:id="8834" w:name="_Toc179875041"/>
      <w:bookmarkStart w:id="8835" w:name="_Toc179879434"/>
      <w:bookmarkStart w:id="8836" w:name="_Toc179810113"/>
      <w:bookmarkStart w:id="8837" w:name="_Toc179815797"/>
      <w:bookmarkStart w:id="8838" w:name="_Toc179821497"/>
      <w:bookmarkStart w:id="8839" w:name="_Toc179827197"/>
      <w:bookmarkStart w:id="8840" w:name="_Toc179832842"/>
      <w:bookmarkStart w:id="8841" w:name="_Toc179864372"/>
      <w:bookmarkStart w:id="8842" w:name="_Toc179867016"/>
      <w:bookmarkStart w:id="8843" w:name="_Toc179870663"/>
      <w:bookmarkStart w:id="8844" w:name="_Toc179875056"/>
      <w:bookmarkStart w:id="8845" w:name="_Toc179879449"/>
      <w:bookmarkStart w:id="8846" w:name="_Toc179810114"/>
      <w:bookmarkStart w:id="8847" w:name="_Toc179815798"/>
      <w:bookmarkStart w:id="8848" w:name="_Toc179821498"/>
      <w:bookmarkStart w:id="8849" w:name="_Toc179827198"/>
      <w:bookmarkStart w:id="8850" w:name="_Toc179832843"/>
      <w:bookmarkStart w:id="8851" w:name="_Toc179864373"/>
      <w:bookmarkStart w:id="8852" w:name="_Toc179867017"/>
      <w:bookmarkStart w:id="8853" w:name="_Toc179870664"/>
      <w:bookmarkStart w:id="8854" w:name="_Toc179875057"/>
      <w:bookmarkStart w:id="8855" w:name="_Toc179879450"/>
      <w:bookmarkStart w:id="8856" w:name="_Toc179810115"/>
      <w:bookmarkStart w:id="8857" w:name="_Toc179815799"/>
      <w:bookmarkStart w:id="8858" w:name="_Toc179821499"/>
      <w:bookmarkStart w:id="8859" w:name="_Toc179827199"/>
      <w:bookmarkStart w:id="8860" w:name="_Toc179832844"/>
      <w:bookmarkStart w:id="8861" w:name="_Toc179864374"/>
      <w:bookmarkStart w:id="8862" w:name="_Toc179867018"/>
      <w:bookmarkStart w:id="8863" w:name="_Toc179870665"/>
      <w:bookmarkStart w:id="8864" w:name="_Toc179875058"/>
      <w:bookmarkStart w:id="8865" w:name="_Toc179879451"/>
      <w:bookmarkStart w:id="8866" w:name="_Toc179810116"/>
      <w:bookmarkStart w:id="8867" w:name="_Toc179815800"/>
      <w:bookmarkStart w:id="8868" w:name="_Toc179821500"/>
      <w:bookmarkStart w:id="8869" w:name="_Toc179827200"/>
      <w:bookmarkStart w:id="8870" w:name="_Toc179832845"/>
      <w:bookmarkStart w:id="8871" w:name="_Toc179864375"/>
      <w:bookmarkStart w:id="8872" w:name="_Toc179867019"/>
      <w:bookmarkStart w:id="8873" w:name="_Toc179870666"/>
      <w:bookmarkStart w:id="8874" w:name="_Toc179875059"/>
      <w:bookmarkStart w:id="8875" w:name="_Toc179879452"/>
      <w:bookmarkStart w:id="8876" w:name="_Toc179810117"/>
      <w:bookmarkStart w:id="8877" w:name="_Toc179815801"/>
      <w:bookmarkStart w:id="8878" w:name="_Toc179821501"/>
      <w:bookmarkStart w:id="8879" w:name="_Toc179827201"/>
      <w:bookmarkStart w:id="8880" w:name="_Toc179832846"/>
      <w:bookmarkStart w:id="8881" w:name="_Toc179864376"/>
      <w:bookmarkStart w:id="8882" w:name="_Toc179867020"/>
      <w:bookmarkStart w:id="8883" w:name="_Toc179870667"/>
      <w:bookmarkStart w:id="8884" w:name="_Toc179875060"/>
      <w:bookmarkStart w:id="8885" w:name="_Toc179879453"/>
      <w:bookmarkStart w:id="8886" w:name="_Toc179810139"/>
      <w:bookmarkStart w:id="8887" w:name="_Toc179815823"/>
      <w:bookmarkStart w:id="8888" w:name="_Toc179821523"/>
      <w:bookmarkStart w:id="8889" w:name="_Toc179827223"/>
      <w:bookmarkStart w:id="8890" w:name="_Toc179832868"/>
      <w:bookmarkStart w:id="8891" w:name="_Toc179864398"/>
      <w:bookmarkStart w:id="8892" w:name="_Toc179867042"/>
      <w:bookmarkStart w:id="8893" w:name="_Toc179870689"/>
      <w:bookmarkStart w:id="8894" w:name="_Toc179875082"/>
      <w:bookmarkStart w:id="8895" w:name="_Toc179879475"/>
      <w:bookmarkStart w:id="8896" w:name="_Toc179810163"/>
      <w:bookmarkStart w:id="8897" w:name="_Toc179815847"/>
      <w:bookmarkStart w:id="8898" w:name="_Toc179821547"/>
      <w:bookmarkStart w:id="8899" w:name="_Toc179827247"/>
      <w:bookmarkStart w:id="8900" w:name="_Toc179832892"/>
      <w:bookmarkStart w:id="8901" w:name="_Toc179864422"/>
      <w:bookmarkStart w:id="8902" w:name="_Toc179867066"/>
      <w:bookmarkStart w:id="8903" w:name="_Toc179870713"/>
      <w:bookmarkStart w:id="8904" w:name="_Toc179875106"/>
      <w:bookmarkStart w:id="8905" w:name="_Toc179879499"/>
      <w:bookmarkStart w:id="8906" w:name="_Toc179810164"/>
      <w:bookmarkStart w:id="8907" w:name="_Toc179815848"/>
      <w:bookmarkStart w:id="8908" w:name="_Toc179821548"/>
      <w:bookmarkStart w:id="8909" w:name="_Toc179827248"/>
      <w:bookmarkStart w:id="8910" w:name="_Toc179832893"/>
      <w:bookmarkStart w:id="8911" w:name="_Toc179864423"/>
      <w:bookmarkStart w:id="8912" w:name="_Toc179867067"/>
      <w:bookmarkStart w:id="8913" w:name="_Toc179870714"/>
      <w:bookmarkStart w:id="8914" w:name="_Toc179875107"/>
      <w:bookmarkStart w:id="8915" w:name="_Toc179879500"/>
      <w:bookmarkStart w:id="8916" w:name="_Toc179810165"/>
      <w:bookmarkStart w:id="8917" w:name="_Toc179815849"/>
      <w:bookmarkStart w:id="8918" w:name="_Toc179821549"/>
      <w:bookmarkStart w:id="8919" w:name="_Toc179827249"/>
      <w:bookmarkStart w:id="8920" w:name="_Toc179832894"/>
      <w:bookmarkStart w:id="8921" w:name="_Toc179864424"/>
      <w:bookmarkStart w:id="8922" w:name="_Toc179867068"/>
      <w:bookmarkStart w:id="8923" w:name="_Toc179870715"/>
      <w:bookmarkStart w:id="8924" w:name="_Toc179875108"/>
      <w:bookmarkStart w:id="8925" w:name="_Toc179879501"/>
      <w:bookmarkStart w:id="8926" w:name="_Toc179810166"/>
      <w:bookmarkStart w:id="8927" w:name="_Toc179815850"/>
      <w:bookmarkStart w:id="8928" w:name="_Toc179821550"/>
      <w:bookmarkStart w:id="8929" w:name="_Toc179827250"/>
      <w:bookmarkStart w:id="8930" w:name="_Toc179832895"/>
      <w:bookmarkStart w:id="8931" w:name="_Toc179864425"/>
      <w:bookmarkStart w:id="8932" w:name="_Toc179867069"/>
      <w:bookmarkStart w:id="8933" w:name="_Toc179870716"/>
      <w:bookmarkStart w:id="8934" w:name="_Toc179875109"/>
      <w:bookmarkStart w:id="8935" w:name="_Toc179879502"/>
      <w:bookmarkStart w:id="8936" w:name="_Toc179810167"/>
      <w:bookmarkStart w:id="8937" w:name="_Toc179815851"/>
      <w:bookmarkStart w:id="8938" w:name="_Toc179821551"/>
      <w:bookmarkStart w:id="8939" w:name="_Toc179827251"/>
      <w:bookmarkStart w:id="8940" w:name="_Toc179832896"/>
      <w:bookmarkStart w:id="8941" w:name="_Toc179864426"/>
      <w:bookmarkStart w:id="8942" w:name="_Toc179867070"/>
      <w:bookmarkStart w:id="8943" w:name="_Toc179870717"/>
      <w:bookmarkStart w:id="8944" w:name="_Toc179875110"/>
      <w:bookmarkStart w:id="8945" w:name="_Toc179879503"/>
      <w:bookmarkStart w:id="8946" w:name="_Toc179810168"/>
      <w:bookmarkStart w:id="8947" w:name="_Toc179815852"/>
      <w:bookmarkStart w:id="8948" w:name="_Toc179821552"/>
      <w:bookmarkStart w:id="8949" w:name="_Toc179827252"/>
      <w:bookmarkStart w:id="8950" w:name="_Toc179832897"/>
      <w:bookmarkStart w:id="8951" w:name="_Toc179864427"/>
      <w:bookmarkStart w:id="8952" w:name="_Toc179867071"/>
      <w:bookmarkStart w:id="8953" w:name="_Toc179870718"/>
      <w:bookmarkStart w:id="8954" w:name="_Toc179875111"/>
      <w:bookmarkStart w:id="8955" w:name="_Toc179879504"/>
      <w:bookmarkStart w:id="8956" w:name="_Toc179810169"/>
      <w:bookmarkStart w:id="8957" w:name="_Toc179815853"/>
      <w:bookmarkStart w:id="8958" w:name="_Toc179821553"/>
      <w:bookmarkStart w:id="8959" w:name="_Toc179827253"/>
      <w:bookmarkStart w:id="8960" w:name="_Toc179832898"/>
      <w:bookmarkStart w:id="8961" w:name="_Toc179864428"/>
      <w:bookmarkStart w:id="8962" w:name="_Toc179867072"/>
      <w:bookmarkStart w:id="8963" w:name="_Toc179870719"/>
      <w:bookmarkStart w:id="8964" w:name="_Toc179875112"/>
      <w:bookmarkStart w:id="8965" w:name="_Toc179879505"/>
      <w:bookmarkStart w:id="8966" w:name="_Toc179810170"/>
      <w:bookmarkStart w:id="8967" w:name="_Toc179815854"/>
      <w:bookmarkStart w:id="8968" w:name="_Toc179821554"/>
      <w:bookmarkStart w:id="8969" w:name="_Toc179827254"/>
      <w:bookmarkStart w:id="8970" w:name="_Toc179832899"/>
      <w:bookmarkStart w:id="8971" w:name="_Toc179864429"/>
      <w:bookmarkStart w:id="8972" w:name="_Toc179867073"/>
      <w:bookmarkStart w:id="8973" w:name="_Toc179870720"/>
      <w:bookmarkStart w:id="8974" w:name="_Toc179875113"/>
      <w:bookmarkStart w:id="8975" w:name="_Toc179879506"/>
      <w:bookmarkStart w:id="8976" w:name="_Toc179810171"/>
      <w:bookmarkStart w:id="8977" w:name="_Toc179815855"/>
      <w:bookmarkStart w:id="8978" w:name="_Toc179821555"/>
      <w:bookmarkStart w:id="8979" w:name="_Toc179827255"/>
      <w:bookmarkStart w:id="8980" w:name="_Toc179832900"/>
      <w:bookmarkStart w:id="8981" w:name="_Toc179864430"/>
      <w:bookmarkStart w:id="8982" w:name="_Toc179867074"/>
      <w:bookmarkStart w:id="8983" w:name="_Toc179870721"/>
      <w:bookmarkStart w:id="8984" w:name="_Toc179875114"/>
      <w:bookmarkStart w:id="8985" w:name="_Toc179879507"/>
      <w:bookmarkStart w:id="8986" w:name="_Toc179815856"/>
      <w:bookmarkStart w:id="8987" w:name="_Toc179821556"/>
      <w:bookmarkStart w:id="8988" w:name="_Toc179827256"/>
      <w:bookmarkStart w:id="8989" w:name="_Toc179832901"/>
      <w:bookmarkStart w:id="8990" w:name="_Toc179864431"/>
      <w:bookmarkStart w:id="8991" w:name="_Toc179870722"/>
      <w:bookmarkStart w:id="8992" w:name="_Toc179875115"/>
      <w:bookmarkStart w:id="8993" w:name="_Toc179879508"/>
      <w:bookmarkStart w:id="8994" w:name="_Toc179880280"/>
      <w:bookmarkStart w:id="8995" w:name="_Toc179880330"/>
      <w:bookmarkStart w:id="8996" w:name="Section_8"/>
      <w:bookmarkEnd w:id="7826"/>
      <w:bookmarkEnd w:id="7827"/>
      <w:bookmarkEnd w:id="7828"/>
      <w:bookmarkEnd w:id="7829"/>
      <w:bookmarkEnd w:id="7830"/>
      <w:bookmarkEnd w:id="7831"/>
      <w:bookmarkEnd w:id="7832"/>
      <w:bookmarkEnd w:id="7833"/>
      <w:bookmarkEnd w:id="7834"/>
      <w:bookmarkEnd w:id="7835"/>
      <w:bookmarkEnd w:id="7836"/>
      <w:bookmarkEnd w:id="7837"/>
      <w:bookmarkEnd w:id="7838"/>
      <w:bookmarkEnd w:id="7839"/>
      <w:bookmarkEnd w:id="7840"/>
      <w:bookmarkEnd w:id="7841"/>
      <w:bookmarkEnd w:id="7842"/>
      <w:bookmarkEnd w:id="7843"/>
      <w:bookmarkEnd w:id="7844"/>
      <w:bookmarkEnd w:id="7845"/>
      <w:bookmarkEnd w:id="7846"/>
      <w:bookmarkEnd w:id="7847"/>
      <w:bookmarkEnd w:id="7848"/>
      <w:bookmarkEnd w:id="7849"/>
      <w:bookmarkEnd w:id="7850"/>
      <w:bookmarkEnd w:id="7851"/>
      <w:bookmarkEnd w:id="7852"/>
      <w:bookmarkEnd w:id="7853"/>
      <w:bookmarkEnd w:id="7854"/>
      <w:bookmarkEnd w:id="7855"/>
      <w:bookmarkEnd w:id="7856"/>
      <w:bookmarkEnd w:id="7857"/>
      <w:bookmarkEnd w:id="7858"/>
      <w:bookmarkEnd w:id="7859"/>
      <w:bookmarkEnd w:id="7860"/>
      <w:bookmarkEnd w:id="7861"/>
      <w:bookmarkEnd w:id="7862"/>
      <w:bookmarkEnd w:id="7863"/>
      <w:bookmarkEnd w:id="7864"/>
      <w:bookmarkEnd w:id="7865"/>
      <w:bookmarkEnd w:id="7866"/>
      <w:bookmarkEnd w:id="7867"/>
      <w:bookmarkEnd w:id="7868"/>
      <w:bookmarkEnd w:id="7869"/>
      <w:bookmarkEnd w:id="7870"/>
      <w:bookmarkEnd w:id="7871"/>
      <w:bookmarkEnd w:id="7872"/>
      <w:bookmarkEnd w:id="7873"/>
      <w:bookmarkEnd w:id="7874"/>
      <w:bookmarkEnd w:id="7875"/>
      <w:bookmarkEnd w:id="7876"/>
      <w:bookmarkEnd w:id="7877"/>
      <w:bookmarkEnd w:id="7878"/>
      <w:bookmarkEnd w:id="7879"/>
      <w:bookmarkEnd w:id="7880"/>
      <w:bookmarkEnd w:id="7881"/>
      <w:bookmarkEnd w:id="7882"/>
      <w:bookmarkEnd w:id="7883"/>
      <w:bookmarkEnd w:id="7884"/>
      <w:bookmarkEnd w:id="7885"/>
      <w:bookmarkEnd w:id="7886"/>
      <w:bookmarkEnd w:id="7887"/>
      <w:bookmarkEnd w:id="7888"/>
      <w:bookmarkEnd w:id="7889"/>
      <w:bookmarkEnd w:id="7890"/>
      <w:bookmarkEnd w:id="7891"/>
      <w:bookmarkEnd w:id="7892"/>
      <w:bookmarkEnd w:id="7893"/>
      <w:bookmarkEnd w:id="7894"/>
      <w:bookmarkEnd w:id="7895"/>
      <w:bookmarkEnd w:id="7896"/>
      <w:bookmarkEnd w:id="7897"/>
      <w:bookmarkEnd w:id="7898"/>
      <w:bookmarkEnd w:id="7899"/>
      <w:bookmarkEnd w:id="7900"/>
      <w:bookmarkEnd w:id="7901"/>
      <w:bookmarkEnd w:id="7902"/>
      <w:bookmarkEnd w:id="7903"/>
      <w:bookmarkEnd w:id="7904"/>
      <w:bookmarkEnd w:id="7905"/>
      <w:bookmarkEnd w:id="7906"/>
      <w:bookmarkEnd w:id="7907"/>
      <w:bookmarkEnd w:id="7908"/>
      <w:bookmarkEnd w:id="7909"/>
      <w:bookmarkEnd w:id="7910"/>
      <w:bookmarkEnd w:id="7911"/>
      <w:bookmarkEnd w:id="7912"/>
      <w:bookmarkEnd w:id="7913"/>
      <w:bookmarkEnd w:id="7914"/>
      <w:bookmarkEnd w:id="7915"/>
      <w:bookmarkEnd w:id="7916"/>
      <w:bookmarkEnd w:id="7917"/>
      <w:bookmarkEnd w:id="7918"/>
      <w:bookmarkEnd w:id="7919"/>
      <w:bookmarkEnd w:id="7920"/>
      <w:bookmarkEnd w:id="7921"/>
      <w:bookmarkEnd w:id="7922"/>
      <w:bookmarkEnd w:id="7923"/>
      <w:bookmarkEnd w:id="7924"/>
      <w:bookmarkEnd w:id="7925"/>
      <w:bookmarkEnd w:id="7926"/>
      <w:bookmarkEnd w:id="7927"/>
      <w:bookmarkEnd w:id="7928"/>
      <w:bookmarkEnd w:id="7929"/>
      <w:bookmarkEnd w:id="7930"/>
      <w:bookmarkEnd w:id="7931"/>
      <w:bookmarkEnd w:id="7932"/>
      <w:bookmarkEnd w:id="7933"/>
      <w:bookmarkEnd w:id="7934"/>
      <w:bookmarkEnd w:id="7935"/>
      <w:bookmarkEnd w:id="7936"/>
      <w:bookmarkEnd w:id="7937"/>
      <w:bookmarkEnd w:id="7938"/>
      <w:bookmarkEnd w:id="7939"/>
      <w:bookmarkEnd w:id="7940"/>
      <w:bookmarkEnd w:id="7941"/>
      <w:bookmarkEnd w:id="7942"/>
      <w:bookmarkEnd w:id="7943"/>
      <w:bookmarkEnd w:id="7944"/>
      <w:bookmarkEnd w:id="7945"/>
      <w:bookmarkEnd w:id="7946"/>
      <w:bookmarkEnd w:id="7947"/>
      <w:bookmarkEnd w:id="7948"/>
      <w:bookmarkEnd w:id="7949"/>
      <w:bookmarkEnd w:id="7950"/>
      <w:bookmarkEnd w:id="7951"/>
      <w:bookmarkEnd w:id="7952"/>
      <w:bookmarkEnd w:id="7953"/>
      <w:bookmarkEnd w:id="7954"/>
      <w:bookmarkEnd w:id="7955"/>
      <w:bookmarkEnd w:id="7956"/>
      <w:bookmarkEnd w:id="7957"/>
      <w:bookmarkEnd w:id="7958"/>
      <w:bookmarkEnd w:id="7959"/>
      <w:bookmarkEnd w:id="7960"/>
      <w:bookmarkEnd w:id="7961"/>
      <w:bookmarkEnd w:id="7962"/>
      <w:bookmarkEnd w:id="7963"/>
      <w:bookmarkEnd w:id="7964"/>
      <w:bookmarkEnd w:id="7965"/>
      <w:bookmarkEnd w:id="7966"/>
      <w:bookmarkEnd w:id="7967"/>
      <w:bookmarkEnd w:id="7968"/>
      <w:bookmarkEnd w:id="7969"/>
      <w:bookmarkEnd w:id="7970"/>
      <w:bookmarkEnd w:id="7971"/>
      <w:bookmarkEnd w:id="7972"/>
      <w:bookmarkEnd w:id="7973"/>
      <w:bookmarkEnd w:id="7974"/>
      <w:bookmarkEnd w:id="7975"/>
      <w:bookmarkEnd w:id="7976"/>
      <w:bookmarkEnd w:id="7977"/>
      <w:bookmarkEnd w:id="7978"/>
      <w:bookmarkEnd w:id="7979"/>
      <w:bookmarkEnd w:id="7980"/>
      <w:bookmarkEnd w:id="7981"/>
      <w:bookmarkEnd w:id="7982"/>
      <w:bookmarkEnd w:id="7983"/>
      <w:bookmarkEnd w:id="7984"/>
      <w:bookmarkEnd w:id="7985"/>
      <w:bookmarkEnd w:id="7986"/>
      <w:bookmarkEnd w:id="7987"/>
      <w:bookmarkEnd w:id="7988"/>
      <w:bookmarkEnd w:id="7989"/>
      <w:bookmarkEnd w:id="7990"/>
      <w:bookmarkEnd w:id="7991"/>
      <w:bookmarkEnd w:id="7992"/>
      <w:bookmarkEnd w:id="7993"/>
      <w:bookmarkEnd w:id="7994"/>
      <w:bookmarkEnd w:id="7995"/>
      <w:bookmarkEnd w:id="7996"/>
      <w:bookmarkEnd w:id="7997"/>
      <w:bookmarkEnd w:id="7998"/>
      <w:bookmarkEnd w:id="7999"/>
      <w:bookmarkEnd w:id="8000"/>
      <w:bookmarkEnd w:id="8001"/>
      <w:bookmarkEnd w:id="8002"/>
      <w:bookmarkEnd w:id="8003"/>
      <w:bookmarkEnd w:id="8004"/>
      <w:bookmarkEnd w:id="8005"/>
      <w:bookmarkEnd w:id="8006"/>
      <w:bookmarkEnd w:id="8007"/>
      <w:bookmarkEnd w:id="8008"/>
      <w:bookmarkEnd w:id="8009"/>
      <w:bookmarkEnd w:id="8010"/>
      <w:bookmarkEnd w:id="8011"/>
      <w:bookmarkEnd w:id="8012"/>
      <w:bookmarkEnd w:id="8013"/>
      <w:bookmarkEnd w:id="8014"/>
      <w:bookmarkEnd w:id="8015"/>
      <w:bookmarkEnd w:id="8016"/>
      <w:bookmarkEnd w:id="8017"/>
      <w:bookmarkEnd w:id="8018"/>
      <w:bookmarkEnd w:id="8019"/>
      <w:bookmarkEnd w:id="8020"/>
      <w:bookmarkEnd w:id="8021"/>
      <w:bookmarkEnd w:id="8022"/>
      <w:bookmarkEnd w:id="8023"/>
      <w:bookmarkEnd w:id="8024"/>
      <w:bookmarkEnd w:id="8025"/>
      <w:bookmarkEnd w:id="8026"/>
      <w:bookmarkEnd w:id="8027"/>
      <w:bookmarkEnd w:id="8028"/>
      <w:bookmarkEnd w:id="8029"/>
      <w:bookmarkEnd w:id="8030"/>
      <w:bookmarkEnd w:id="8031"/>
      <w:bookmarkEnd w:id="8032"/>
      <w:bookmarkEnd w:id="8033"/>
      <w:bookmarkEnd w:id="8034"/>
      <w:bookmarkEnd w:id="8035"/>
      <w:bookmarkEnd w:id="8036"/>
      <w:bookmarkEnd w:id="8037"/>
      <w:bookmarkEnd w:id="8038"/>
      <w:bookmarkEnd w:id="8039"/>
      <w:bookmarkEnd w:id="8040"/>
      <w:bookmarkEnd w:id="8041"/>
      <w:bookmarkEnd w:id="8042"/>
      <w:bookmarkEnd w:id="8043"/>
      <w:bookmarkEnd w:id="8044"/>
      <w:bookmarkEnd w:id="8045"/>
      <w:bookmarkEnd w:id="8046"/>
      <w:bookmarkEnd w:id="8047"/>
      <w:bookmarkEnd w:id="8048"/>
      <w:bookmarkEnd w:id="8049"/>
      <w:bookmarkEnd w:id="8050"/>
      <w:bookmarkEnd w:id="8051"/>
      <w:bookmarkEnd w:id="8052"/>
      <w:bookmarkEnd w:id="8053"/>
      <w:bookmarkEnd w:id="8054"/>
      <w:bookmarkEnd w:id="8055"/>
      <w:bookmarkEnd w:id="8056"/>
      <w:bookmarkEnd w:id="8057"/>
      <w:bookmarkEnd w:id="8058"/>
      <w:bookmarkEnd w:id="8059"/>
      <w:bookmarkEnd w:id="8060"/>
      <w:bookmarkEnd w:id="8061"/>
      <w:bookmarkEnd w:id="8062"/>
      <w:bookmarkEnd w:id="8063"/>
      <w:bookmarkEnd w:id="8064"/>
      <w:bookmarkEnd w:id="8065"/>
      <w:bookmarkEnd w:id="8066"/>
      <w:bookmarkEnd w:id="8067"/>
      <w:bookmarkEnd w:id="8068"/>
      <w:bookmarkEnd w:id="8069"/>
      <w:bookmarkEnd w:id="8070"/>
      <w:bookmarkEnd w:id="8071"/>
      <w:bookmarkEnd w:id="8072"/>
      <w:bookmarkEnd w:id="8073"/>
      <w:bookmarkEnd w:id="8074"/>
      <w:bookmarkEnd w:id="8075"/>
      <w:bookmarkEnd w:id="8076"/>
      <w:bookmarkEnd w:id="8077"/>
      <w:bookmarkEnd w:id="8078"/>
      <w:bookmarkEnd w:id="8079"/>
      <w:bookmarkEnd w:id="8080"/>
      <w:bookmarkEnd w:id="8081"/>
      <w:bookmarkEnd w:id="8082"/>
      <w:bookmarkEnd w:id="8083"/>
      <w:bookmarkEnd w:id="8084"/>
      <w:bookmarkEnd w:id="8085"/>
      <w:bookmarkEnd w:id="8086"/>
      <w:bookmarkEnd w:id="8087"/>
      <w:bookmarkEnd w:id="8088"/>
      <w:bookmarkEnd w:id="8089"/>
      <w:bookmarkEnd w:id="8090"/>
      <w:bookmarkEnd w:id="8091"/>
      <w:bookmarkEnd w:id="8092"/>
      <w:bookmarkEnd w:id="8093"/>
      <w:bookmarkEnd w:id="8094"/>
      <w:bookmarkEnd w:id="8095"/>
      <w:bookmarkEnd w:id="8096"/>
      <w:bookmarkEnd w:id="8097"/>
      <w:bookmarkEnd w:id="8098"/>
      <w:bookmarkEnd w:id="8099"/>
      <w:bookmarkEnd w:id="8100"/>
      <w:bookmarkEnd w:id="8101"/>
      <w:bookmarkEnd w:id="8102"/>
      <w:bookmarkEnd w:id="8103"/>
      <w:bookmarkEnd w:id="8104"/>
      <w:bookmarkEnd w:id="8105"/>
      <w:bookmarkEnd w:id="8106"/>
      <w:bookmarkEnd w:id="8107"/>
      <w:bookmarkEnd w:id="8108"/>
      <w:bookmarkEnd w:id="8109"/>
      <w:bookmarkEnd w:id="8110"/>
      <w:bookmarkEnd w:id="8111"/>
      <w:bookmarkEnd w:id="8112"/>
      <w:bookmarkEnd w:id="8113"/>
      <w:bookmarkEnd w:id="8114"/>
      <w:bookmarkEnd w:id="8115"/>
      <w:bookmarkEnd w:id="8116"/>
      <w:bookmarkEnd w:id="8117"/>
      <w:bookmarkEnd w:id="8118"/>
      <w:bookmarkEnd w:id="8119"/>
      <w:bookmarkEnd w:id="8120"/>
      <w:bookmarkEnd w:id="8121"/>
      <w:bookmarkEnd w:id="8122"/>
      <w:bookmarkEnd w:id="8123"/>
      <w:bookmarkEnd w:id="8124"/>
      <w:bookmarkEnd w:id="8125"/>
      <w:bookmarkEnd w:id="8126"/>
      <w:bookmarkEnd w:id="8127"/>
      <w:bookmarkEnd w:id="8128"/>
      <w:bookmarkEnd w:id="8129"/>
      <w:bookmarkEnd w:id="8130"/>
      <w:bookmarkEnd w:id="8131"/>
      <w:bookmarkEnd w:id="8132"/>
      <w:bookmarkEnd w:id="8133"/>
      <w:bookmarkEnd w:id="8134"/>
      <w:bookmarkEnd w:id="8135"/>
      <w:bookmarkEnd w:id="8136"/>
      <w:bookmarkEnd w:id="8137"/>
      <w:bookmarkEnd w:id="8138"/>
      <w:bookmarkEnd w:id="8139"/>
      <w:bookmarkEnd w:id="8140"/>
      <w:bookmarkEnd w:id="8141"/>
      <w:bookmarkEnd w:id="8142"/>
      <w:bookmarkEnd w:id="8143"/>
      <w:bookmarkEnd w:id="8144"/>
      <w:bookmarkEnd w:id="8145"/>
      <w:bookmarkEnd w:id="8146"/>
      <w:bookmarkEnd w:id="8147"/>
      <w:bookmarkEnd w:id="8148"/>
      <w:bookmarkEnd w:id="8149"/>
      <w:bookmarkEnd w:id="8150"/>
      <w:bookmarkEnd w:id="8151"/>
      <w:bookmarkEnd w:id="8152"/>
      <w:bookmarkEnd w:id="8153"/>
      <w:bookmarkEnd w:id="8154"/>
      <w:bookmarkEnd w:id="8155"/>
      <w:bookmarkEnd w:id="8156"/>
      <w:bookmarkEnd w:id="8157"/>
      <w:bookmarkEnd w:id="8158"/>
      <w:bookmarkEnd w:id="8159"/>
      <w:bookmarkEnd w:id="8160"/>
      <w:bookmarkEnd w:id="8161"/>
      <w:bookmarkEnd w:id="8162"/>
      <w:bookmarkEnd w:id="8163"/>
      <w:bookmarkEnd w:id="8164"/>
      <w:bookmarkEnd w:id="8165"/>
      <w:bookmarkEnd w:id="8166"/>
      <w:bookmarkEnd w:id="8167"/>
      <w:bookmarkEnd w:id="8168"/>
      <w:bookmarkEnd w:id="8169"/>
      <w:bookmarkEnd w:id="8170"/>
      <w:bookmarkEnd w:id="8171"/>
      <w:bookmarkEnd w:id="8172"/>
      <w:bookmarkEnd w:id="8173"/>
      <w:bookmarkEnd w:id="8174"/>
      <w:bookmarkEnd w:id="8175"/>
      <w:bookmarkEnd w:id="8176"/>
      <w:bookmarkEnd w:id="8177"/>
      <w:bookmarkEnd w:id="8178"/>
      <w:bookmarkEnd w:id="8179"/>
      <w:bookmarkEnd w:id="8180"/>
      <w:bookmarkEnd w:id="8181"/>
      <w:bookmarkEnd w:id="8182"/>
      <w:bookmarkEnd w:id="8183"/>
      <w:bookmarkEnd w:id="8184"/>
      <w:bookmarkEnd w:id="8185"/>
      <w:bookmarkEnd w:id="8186"/>
      <w:bookmarkEnd w:id="8187"/>
      <w:bookmarkEnd w:id="8188"/>
      <w:bookmarkEnd w:id="8189"/>
      <w:bookmarkEnd w:id="8190"/>
      <w:bookmarkEnd w:id="8191"/>
      <w:bookmarkEnd w:id="8192"/>
      <w:bookmarkEnd w:id="8193"/>
      <w:bookmarkEnd w:id="8194"/>
      <w:bookmarkEnd w:id="8195"/>
      <w:bookmarkEnd w:id="8196"/>
      <w:bookmarkEnd w:id="8197"/>
      <w:bookmarkEnd w:id="8198"/>
      <w:bookmarkEnd w:id="8199"/>
      <w:bookmarkEnd w:id="8200"/>
      <w:bookmarkEnd w:id="8201"/>
      <w:bookmarkEnd w:id="8202"/>
      <w:bookmarkEnd w:id="8203"/>
      <w:bookmarkEnd w:id="8204"/>
      <w:bookmarkEnd w:id="8205"/>
      <w:bookmarkEnd w:id="8206"/>
      <w:bookmarkEnd w:id="8207"/>
      <w:bookmarkEnd w:id="8208"/>
      <w:bookmarkEnd w:id="8209"/>
      <w:bookmarkEnd w:id="8210"/>
      <w:bookmarkEnd w:id="8211"/>
      <w:bookmarkEnd w:id="8212"/>
      <w:bookmarkEnd w:id="8213"/>
      <w:bookmarkEnd w:id="8214"/>
      <w:bookmarkEnd w:id="8215"/>
      <w:bookmarkEnd w:id="8216"/>
      <w:bookmarkEnd w:id="8217"/>
      <w:bookmarkEnd w:id="8218"/>
      <w:bookmarkEnd w:id="8219"/>
      <w:bookmarkEnd w:id="8220"/>
      <w:bookmarkEnd w:id="8221"/>
      <w:bookmarkEnd w:id="8222"/>
      <w:bookmarkEnd w:id="8223"/>
      <w:bookmarkEnd w:id="8224"/>
      <w:bookmarkEnd w:id="8225"/>
      <w:bookmarkEnd w:id="8226"/>
      <w:bookmarkEnd w:id="8227"/>
      <w:bookmarkEnd w:id="8228"/>
      <w:bookmarkEnd w:id="8229"/>
      <w:bookmarkEnd w:id="8230"/>
      <w:bookmarkEnd w:id="8231"/>
      <w:bookmarkEnd w:id="8232"/>
      <w:bookmarkEnd w:id="8233"/>
      <w:bookmarkEnd w:id="8234"/>
      <w:bookmarkEnd w:id="8235"/>
      <w:bookmarkEnd w:id="8236"/>
      <w:bookmarkEnd w:id="8237"/>
      <w:bookmarkEnd w:id="8238"/>
      <w:bookmarkEnd w:id="8239"/>
      <w:bookmarkEnd w:id="8240"/>
      <w:bookmarkEnd w:id="8241"/>
      <w:bookmarkEnd w:id="8242"/>
      <w:bookmarkEnd w:id="8243"/>
      <w:bookmarkEnd w:id="8244"/>
      <w:bookmarkEnd w:id="8245"/>
      <w:bookmarkEnd w:id="8246"/>
      <w:bookmarkEnd w:id="8247"/>
      <w:bookmarkEnd w:id="8248"/>
      <w:bookmarkEnd w:id="8249"/>
      <w:bookmarkEnd w:id="8250"/>
      <w:bookmarkEnd w:id="8251"/>
      <w:bookmarkEnd w:id="8252"/>
      <w:bookmarkEnd w:id="8253"/>
      <w:bookmarkEnd w:id="8254"/>
      <w:bookmarkEnd w:id="8255"/>
      <w:bookmarkEnd w:id="8256"/>
      <w:bookmarkEnd w:id="8257"/>
      <w:bookmarkEnd w:id="8258"/>
      <w:bookmarkEnd w:id="8259"/>
      <w:bookmarkEnd w:id="8260"/>
      <w:bookmarkEnd w:id="8261"/>
      <w:bookmarkEnd w:id="8262"/>
      <w:bookmarkEnd w:id="8263"/>
      <w:bookmarkEnd w:id="8264"/>
      <w:bookmarkEnd w:id="8265"/>
      <w:bookmarkEnd w:id="8266"/>
      <w:bookmarkEnd w:id="8267"/>
      <w:bookmarkEnd w:id="8268"/>
      <w:bookmarkEnd w:id="8269"/>
      <w:bookmarkEnd w:id="8270"/>
      <w:bookmarkEnd w:id="8271"/>
      <w:bookmarkEnd w:id="8272"/>
      <w:bookmarkEnd w:id="8273"/>
      <w:bookmarkEnd w:id="8274"/>
      <w:bookmarkEnd w:id="8275"/>
      <w:bookmarkEnd w:id="8276"/>
      <w:bookmarkEnd w:id="8277"/>
      <w:bookmarkEnd w:id="8278"/>
      <w:bookmarkEnd w:id="8279"/>
      <w:bookmarkEnd w:id="8280"/>
      <w:bookmarkEnd w:id="8281"/>
      <w:bookmarkEnd w:id="8282"/>
      <w:bookmarkEnd w:id="8283"/>
      <w:bookmarkEnd w:id="8284"/>
      <w:bookmarkEnd w:id="8285"/>
      <w:bookmarkEnd w:id="8286"/>
      <w:bookmarkEnd w:id="8287"/>
      <w:bookmarkEnd w:id="8288"/>
      <w:bookmarkEnd w:id="8289"/>
      <w:bookmarkEnd w:id="8290"/>
      <w:bookmarkEnd w:id="8291"/>
      <w:bookmarkEnd w:id="8292"/>
      <w:bookmarkEnd w:id="8293"/>
      <w:bookmarkEnd w:id="8294"/>
      <w:bookmarkEnd w:id="8295"/>
      <w:bookmarkEnd w:id="8296"/>
      <w:bookmarkEnd w:id="8297"/>
      <w:bookmarkEnd w:id="8298"/>
      <w:bookmarkEnd w:id="8299"/>
      <w:bookmarkEnd w:id="8300"/>
      <w:bookmarkEnd w:id="8301"/>
      <w:bookmarkEnd w:id="8302"/>
      <w:bookmarkEnd w:id="8303"/>
      <w:bookmarkEnd w:id="8304"/>
      <w:bookmarkEnd w:id="8305"/>
      <w:bookmarkEnd w:id="8306"/>
      <w:bookmarkEnd w:id="8307"/>
      <w:bookmarkEnd w:id="8308"/>
      <w:bookmarkEnd w:id="8309"/>
      <w:bookmarkEnd w:id="8310"/>
      <w:bookmarkEnd w:id="8311"/>
      <w:bookmarkEnd w:id="8312"/>
      <w:bookmarkEnd w:id="8313"/>
      <w:bookmarkEnd w:id="8314"/>
      <w:bookmarkEnd w:id="8315"/>
      <w:bookmarkEnd w:id="8316"/>
      <w:bookmarkEnd w:id="8317"/>
      <w:bookmarkEnd w:id="8318"/>
      <w:bookmarkEnd w:id="8319"/>
      <w:bookmarkEnd w:id="8320"/>
      <w:bookmarkEnd w:id="8321"/>
      <w:bookmarkEnd w:id="8322"/>
      <w:bookmarkEnd w:id="8323"/>
      <w:bookmarkEnd w:id="8324"/>
      <w:bookmarkEnd w:id="8325"/>
      <w:bookmarkEnd w:id="8326"/>
      <w:bookmarkEnd w:id="8327"/>
      <w:bookmarkEnd w:id="8328"/>
      <w:bookmarkEnd w:id="8329"/>
      <w:bookmarkEnd w:id="8330"/>
      <w:bookmarkEnd w:id="8331"/>
      <w:bookmarkEnd w:id="8332"/>
      <w:bookmarkEnd w:id="8333"/>
      <w:bookmarkEnd w:id="8334"/>
      <w:bookmarkEnd w:id="8335"/>
      <w:bookmarkEnd w:id="8336"/>
      <w:bookmarkEnd w:id="8337"/>
      <w:bookmarkEnd w:id="8338"/>
      <w:bookmarkEnd w:id="8339"/>
      <w:bookmarkEnd w:id="8340"/>
      <w:bookmarkEnd w:id="8341"/>
      <w:bookmarkEnd w:id="8342"/>
      <w:bookmarkEnd w:id="8343"/>
      <w:bookmarkEnd w:id="8344"/>
      <w:bookmarkEnd w:id="8345"/>
      <w:bookmarkEnd w:id="8346"/>
      <w:bookmarkEnd w:id="8347"/>
      <w:bookmarkEnd w:id="8348"/>
      <w:bookmarkEnd w:id="8349"/>
      <w:bookmarkEnd w:id="8350"/>
      <w:bookmarkEnd w:id="8351"/>
      <w:bookmarkEnd w:id="8352"/>
      <w:bookmarkEnd w:id="8353"/>
      <w:bookmarkEnd w:id="8354"/>
      <w:bookmarkEnd w:id="8355"/>
      <w:bookmarkEnd w:id="8356"/>
      <w:bookmarkEnd w:id="8357"/>
      <w:bookmarkEnd w:id="8358"/>
      <w:bookmarkEnd w:id="8359"/>
      <w:bookmarkEnd w:id="8360"/>
      <w:bookmarkEnd w:id="8361"/>
      <w:bookmarkEnd w:id="8362"/>
      <w:bookmarkEnd w:id="8363"/>
      <w:bookmarkEnd w:id="8364"/>
      <w:bookmarkEnd w:id="8365"/>
      <w:bookmarkEnd w:id="8366"/>
      <w:bookmarkEnd w:id="8367"/>
      <w:bookmarkEnd w:id="8368"/>
      <w:bookmarkEnd w:id="8369"/>
      <w:bookmarkEnd w:id="8370"/>
      <w:bookmarkEnd w:id="8371"/>
      <w:bookmarkEnd w:id="8372"/>
      <w:bookmarkEnd w:id="8373"/>
      <w:bookmarkEnd w:id="8374"/>
      <w:bookmarkEnd w:id="8375"/>
      <w:bookmarkEnd w:id="8376"/>
      <w:bookmarkEnd w:id="8377"/>
      <w:bookmarkEnd w:id="8378"/>
      <w:bookmarkEnd w:id="8379"/>
      <w:bookmarkEnd w:id="8380"/>
      <w:bookmarkEnd w:id="8381"/>
      <w:bookmarkEnd w:id="8382"/>
      <w:bookmarkEnd w:id="8383"/>
      <w:bookmarkEnd w:id="8384"/>
      <w:bookmarkEnd w:id="8385"/>
      <w:bookmarkEnd w:id="8386"/>
      <w:bookmarkEnd w:id="8387"/>
      <w:bookmarkEnd w:id="8388"/>
      <w:bookmarkEnd w:id="8389"/>
      <w:bookmarkEnd w:id="8390"/>
      <w:bookmarkEnd w:id="8391"/>
      <w:bookmarkEnd w:id="8392"/>
      <w:bookmarkEnd w:id="8393"/>
      <w:bookmarkEnd w:id="8394"/>
      <w:bookmarkEnd w:id="8395"/>
      <w:bookmarkEnd w:id="8396"/>
      <w:bookmarkEnd w:id="8397"/>
      <w:bookmarkEnd w:id="8398"/>
      <w:bookmarkEnd w:id="8399"/>
      <w:bookmarkEnd w:id="8400"/>
      <w:bookmarkEnd w:id="8401"/>
      <w:bookmarkEnd w:id="8402"/>
      <w:bookmarkEnd w:id="8403"/>
      <w:bookmarkEnd w:id="8404"/>
      <w:bookmarkEnd w:id="8405"/>
      <w:bookmarkEnd w:id="8406"/>
      <w:bookmarkEnd w:id="8407"/>
      <w:bookmarkEnd w:id="8408"/>
      <w:bookmarkEnd w:id="8409"/>
      <w:bookmarkEnd w:id="8410"/>
      <w:bookmarkEnd w:id="8411"/>
      <w:bookmarkEnd w:id="8412"/>
      <w:bookmarkEnd w:id="8413"/>
      <w:bookmarkEnd w:id="8414"/>
      <w:bookmarkEnd w:id="8415"/>
      <w:bookmarkEnd w:id="8416"/>
      <w:bookmarkEnd w:id="8417"/>
      <w:bookmarkEnd w:id="8418"/>
      <w:bookmarkEnd w:id="8419"/>
      <w:bookmarkEnd w:id="8420"/>
      <w:bookmarkEnd w:id="8421"/>
      <w:bookmarkEnd w:id="8422"/>
      <w:bookmarkEnd w:id="8423"/>
      <w:bookmarkEnd w:id="8424"/>
      <w:bookmarkEnd w:id="8425"/>
      <w:bookmarkEnd w:id="8426"/>
      <w:bookmarkEnd w:id="8427"/>
      <w:bookmarkEnd w:id="8428"/>
      <w:bookmarkEnd w:id="8429"/>
      <w:bookmarkEnd w:id="8430"/>
      <w:bookmarkEnd w:id="8431"/>
      <w:bookmarkEnd w:id="8432"/>
      <w:bookmarkEnd w:id="8433"/>
      <w:bookmarkEnd w:id="8434"/>
      <w:bookmarkEnd w:id="8435"/>
      <w:bookmarkEnd w:id="8436"/>
      <w:bookmarkEnd w:id="8437"/>
      <w:bookmarkEnd w:id="8438"/>
      <w:bookmarkEnd w:id="8439"/>
      <w:bookmarkEnd w:id="8440"/>
      <w:bookmarkEnd w:id="8441"/>
      <w:bookmarkEnd w:id="8442"/>
      <w:bookmarkEnd w:id="8443"/>
      <w:bookmarkEnd w:id="8444"/>
      <w:bookmarkEnd w:id="8445"/>
      <w:bookmarkEnd w:id="8446"/>
      <w:bookmarkEnd w:id="8447"/>
      <w:bookmarkEnd w:id="8448"/>
      <w:bookmarkEnd w:id="8449"/>
      <w:bookmarkEnd w:id="8450"/>
      <w:bookmarkEnd w:id="8451"/>
      <w:bookmarkEnd w:id="8452"/>
      <w:bookmarkEnd w:id="8453"/>
      <w:bookmarkEnd w:id="8454"/>
      <w:bookmarkEnd w:id="8455"/>
      <w:bookmarkEnd w:id="8456"/>
      <w:bookmarkEnd w:id="8457"/>
      <w:bookmarkEnd w:id="8458"/>
      <w:bookmarkEnd w:id="8459"/>
      <w:bookmarkEnd w:id="8460"/>
      <w:bookmarkEnd w:id="8461"/>
      <w:bookmarkEnd w:id="8462"/>
      <w:bookmarkEnd w:id="8463"/>
      <w:bookmarkEnd w:id="8464"/>
      <w:bookmarkEnd w:id="8465"/>
      <w:bookmarkEnd w:id="8466"/>
      <w:bookmarkEnd w:id="8467"/>
      <w:bookmarkEnd w:id="8468"/>
      <w:bookmarkEnd w:id="8469"/>
      <w:bookmarkEnd w:id="8470"/>
      <w:bookmarkEnd w:id="8471"/>
      <w:bookmarkEnd w:id="8472"/>
      <w:bookmarkEnd w:id="8473"/>
      <w:bookmarkEnd w:id="8474"/>
      <w:bookmarkEnd w:id="8475"/>
      <w:bookmarkEnd w:id="8476"/>
      <w:bookmarkEnd w:id="8477"/>
      <w:bookmarkEnd w:id="8478"/>
      <w:bookmarkEnd w:id="8479"/>
      <w:bookmarkEnd w:id="8480"/>
      <w:bookmarkEnd w:id="8481"/>
      <w:bookmarkEnd w:id="8482"/>
      <w:bookmarkEnd w:id="8483"/>
      <w:bookmarkEnd w:id="8484"/>
      <w:bookmarkEnd w:id="8485"/>
      <w:bookmarkEnd w:id="8486"/>
      <w:bookmarkEnd w:id="8487"/>
      <w:bookmarkEnd w:id="8488"/>
      <w:bookmarkEnd w:id="8489"/>
      <w:bookmarkEnd w:id="8490"/>
      <w:bookmarkEnd w:id="8491"/>
      <w:bookmarkEnd w:id="8492"/>
      <w:bookmarkEnd w:id="8493"/>
      <w:bookmarkEnd w:id="8494"/>
      <w:bookmarkEnd w:id="8495"/>
      <w:bookmarkEnd w:id="8496"/>
      <w:bookmarkEnd w:id="8497"/>
      <w:bookmarkEnd w:id="8498"/>
      <w:bookmarkEnd w:id="8499"/>
      <w:bookmarkEnd w:id="8500"/>
      <w:bookmarkEnd w:id="8501"/>
      <w:bookmarkEnd w:id="8502"/>
      <w:bookmarkEnd w:id="8503"/>
      <w:bookmarkEnd w:id="8504"/>
      <w:bookmarkEnd w:id="8505"/>
      <w:bookmarkEnd w:id="8506"/>
      <w:bookmarkEnd w:id="8507"/>
      <w:bookmarkEnd w:id="8508"/>
      <w:bookmarkEnd w:id="8509"/>
      <w:bookmarkEnd w:id="8510"/>
      <w:bookmarkEnd w:id="8511"/>
      <w:bookmarkEnd w:id="8512"/>
      <w:bookmarkEnd w:id="8513"/>
      <w:bookmarkEnd w:id="8514"/>
      <w:bookmarkEnd w:id="8515"/>
      <w:bookmarkEnd w:id="8516"/>
      <w:bookmarkEnd w:id="8517"/>
      <w:bookmarkEnd w:id="8518"/>
      <w:bookmarkEnd w:id="8519"/>
      <w:bookmarkEnd w:id="8520"/>
      <w:bookmarkEnd w:id="8521"/>
      <w:bookmarkEnd w:id="8522"/>
      <w:bookmarkEnd w:id="8523"/>
      <w:bookmarkEnd w:id="8524"/>
      <w:bookmarkEnd w:id="8525"/>
      <w:bookmarkEnd w:id="8526"/>
      <w:bookmarkEnd w:id="8527"/>
      <w:bookmarkEnd w:id="8528"/>
      <w:bookmarkEnd w:id="8529"/>
      <w:bookmarkEnd w:id="8530"/>
      <w:bookmarkEnd w:id="8531"/>
      <w:bookmarkEnd w:id="8532"/>
      <w:bookmarkEnd w:id="8533"/>
      <w:bookmarkEnd w:id="8534"/>
      <w:bookmarkEnd w:id="8535"/>
      <w:bookmarkEnd w:id="8536"/>
      <w:bookmarkEnd w:id="8537"/>
      <w:bookmarkEnd w:id="8538"/>
      <w:bookmarkEnd w:id="8539"/>
      <w:bookmarkEnd w:id="8540"/>
      <w:bookmarkEnd w:id="8541"/>
      <w:bookmarkEnd w:id="8542"/>
      <w:bookmarkEnd w:id="8543"/>
      <w:bookmarkEnd w:id="8544"/>
      <w:bookmarkEnd w:id="8545"/>
      <w:bookmarkEnd w:id="8546"/>
      <w:bookmarkEnd w:id="8547"/>
      <w:bookmarkEnd w:id="8548"/>
      <w:bookmarkEnd w:id="8549"/>
      <w:bookmarkEnd w:id="8550"/>
      <w:bookmarkEnd w:id="8551"/>
      <w:bookmarkEnd w:id="8552"/>
      <w:bookmarkEnd w:id="8553"/>
      <w:bookmarkEnd w:id="8554"/>
      <w:bookmarkEnd w:id="8555"/>
      <w:bookmarkEnd w:id="8556"/>
      <w:bookmarkEnd w:id="8557"/>
      <w:bookmarkEnd w:id="8558"/>
      <w:bookmarkEnd w:id="8559"/>
      <w:bookmarkEnd w:id="8560"/>
      <w:bookmarkEnd w:id="8561"/>
      <w:bookmarkEnd w:id="8562"/>
      <w:bookmarkEnd w:id="8563"/>
      <w:bookmarkEnd w:id="8564"/>
      <w:bookmarkEnd w:id="8565"/>
      <w:bookmarkEnd w:id="8566"/>
      <w:bookmarkEnd w:id="8567"/>
      <w:bookmarkEnd w:id="8568"/>
      <w:bookmarkEnd w:id="8569"/>
      <w:bookmarkEnd w:id="8570"/>
      <w:bookmarkEnd w:id="8571"/>
      <w:bookmarkEnd w:id="8572"/>
      <w:bookmarkEnd w:id="8573"/>
      <w:bookmarkEnd w:id="8574"/>
      <w:bookmarkEnd w:id="8575"/>
      <w:bookmarkEnd w:id="8576"/>
      <w:bookmarkEnd w:id="8577"/>
      <w:bookmarkEnd w:id="8578"/>
      <w:bookmarkEnd w:id="8579"/>
      <w:bookmarkEnd w:id="8580"/>
      <w:bookmarkEnd w:id="8581"/>
      <w:bookmarkEnd w:id="8582"/>
      <w:bookmarkEnd w:id="8583"/>
      <w:bookmarkEnd w:id="8584"/>
      <w:bookmarkEnd w:id="8585"/>
      <w:bookmarkEnd w:id="8586"/>
      <w:bookmarkEnd w:id="8587"/>
      <w:bookmarkEnd w:id="8588"/>
      <w:bookmarkEnd w:id="8589"/>
      <w:bookmarkEnd w:id="8590"/>
      <w:bookmarkEnd w:id="8591"/>
      <w:bookmarkEnd w:id="8592"/>
      <w:bookmarkEnd w:id="8593"/>
      <w:bookmarkEnd w:id="8594"/>
      <w:bookmarkEnd w:id="8595"/>
      <w:bookmarkEnd w:id="8596"/>
      <w:bookmarkEnd w:id="8597"/>
      <w:bookmarkEnd w:id="8598"/>
      <w:bookmarkEnd w:id="8599"/>
      <w:bookmarkEnd w:id="8600"/>
      <w:bookmarkEnd w:id="8601"/>
      <w:bookmarkEnd w:id="8602"/>
      <w:bookmarkEnd w:id="8603"/>
      <w:bookmarkEnd w:id="8604"/>
      <w:bookmarkEnd w:id="8605"/>
      <w:bookmarkEnd w:id="8606"/>
      <w:bookmarkEnd w:id="8607"/>
      <w:bookmarkEnd w:id="8608"/>
      <w:bookmarkEnd w:id="8609"/>
      <w:bookmarkEnd w:id="8610"/>
      <w:bookmarkEnd w:id="8611"/>
      <w:bookmarkEnd w:id="8612"/>
      <w:bookmarkEnd w:id="8613"/>
      <w:bookmarkEnd w:id="8614"/>
      <w:bookmarkEnd w:id="8615"/>
      <w:bookmarkEnd w:id="8616"/>
      <w:bookmarkEnd w:id="8617"/>
      <w:bookmarkEnd w:id="8618"/>
      <w:bookmarkEnd w:id="8619"/>
      <w:bookmarkEnd w:id="8620"/>
      <w:bookmarkEnd w:id="8621"/>
      <w:bookmarkEnd w:id="8622"/>
      <w:bookmarkEnd w:id="8623"/>
      <w:bookmarkEnd w:id="8624"/>
      <w:bookmarkEnd w:id="8625"/>
      <w:bookmarkEnd w:id="8626"/>
      <w:bookmarkEnd w:id="8627"/>
      <w:bookmarkEnd w:id="8628"/>
      <w:bookmarkEnd w:id="8629"/>
      <w:bookmarkEnd w:id="8630"/>
      <w:bookmarkEnd w:id="8631"/>
      <w:bookmarkEnd w:id="8632"/>
      <w:bookmarkEnd w:id="8633"/>
      <w:bookmarkEnd w:id="8634"/>
      <w:bookmarkEnd w:id="8635"/>
      <w:bookmarkEnd w:id="8636"/>
      <w:bookmarkEnd w:id="8637"/>
      <w:bookmarkEnd w:id="8638"/>
      <w:bookmarkEnd w:id="8639"/>
      <w:bookmarkEnd w:id="8640"/>
      <w:bookmarkEnd w:id="8641"/>
      <w:bookmarkEnd w:id="8642"/>
      <w:bookmarkEnd w:id="8643"/>
      <w:bookmarkEnd w:id="8644"/>
      <w:bookmarkEnd w:id="8645"/>
      <w:bookmarkEnd w:id="8646"/>
      <w:bookmarkEnd w:id="8647"/>
      <w:bookmarkEnd w:id="8648"/>
      <w:bookmarkEnd w:id="8649"/>
      <w:bookmarkEnd w:id="8650"/>
      <w:bookmarkEnd w:id="8651"/>
      <w:bookmarkEnd w:id="8652"/>
      <w:bookmarkEnd w:id="8653"/>
      <w:bookmarkEnd w:id="8654"/>
      <w:bookmarkEnd w:id="8655"/>
      <w:bookmarkEnd w:id="8656"/>
      <w:bookmarkEnd w:id="8657"/>
      <w:bookmarkEnd w:id="8658"/>
      <w:bookmarkEnd w:id="8659"/>
      <w:bookmarkEnd w:id="8660"/>
      <w:bookmarkEnd w:id="8661"/>
      <w:bookmarkEnd w:id="8662"/>
      <w:bookmarkEnd w:id="8663"/>
      <w:bookmarkEnd w:id="8664"/>
      <w:bookmarkEnd w:id="8665"/>
      <w:bookmarkEnd w:id="8666"/>
      <w:bookmarkEnd w:id="8667"/>
      <w:bookmarkEnd w:id="8668"/>
      <w:bookmarkEnd w:id="8669"/>
      <w:bookmarkEnd w:id="8670"/>
      <w:bookmarkEnd w:id="8671"/>
      <w:bookmarkEnd w:id="8672"/>
      <w:bookmarkEnd w:id="8673"/>
      <w:bookmarkEnd w:id="8674"/>
      <w:bookmarkEnd w:id="8675"/>
      <w:bookmarkEnd w:id="8676"/>
      <w:bookmarkEnd w:id="8677"/>
      <w:bookmarkEnd w:id="8678"/>
      <w:bookmarkEnd w:id="8679"/>
      <w:bookmarkEnd w:id="8680"/>
      <w:bookmarkEnd w:id="8681"/>
      <w:bookmarkEnd w:id="8682"/>
      <w:bookmarkEnd w:id="8683"/>
      <w:bookmarkEnd w:id="8684"/>
      <w:bookmarkEnd w:id="8685"/>
      <w:bookmarkEnd w:id="8686"/>
      <w:bookmarkEnd w:id="8687"/>
      <w:bookmarkEnd w:id="8688"/>
      <w:bookmarkEnd w:id="8689"/>
      <w:bookmarkEnd w:id="8690"/>
      <w:bookmarkEnd w:id="8691"/>
      <w:bookmarkEnd w:id="8692"/>
      <w:bookmarkEnd w:id="8693"/>
      <w:bookmarkEnd w:id="8694"/>
      <w:bookmarkEnd w:id="8695"/>
      <w:bookmarkEnd w:id="8696"/>
      <w:bookmarkEnd w:id="8697"/>
      <w:bookmarkEnd w:id="8698"/>
      <w:bookmarkEnd w:id="8699"/>
      <w:bookmarkEnd w:id="8700"/>
      <w:bookmarkEnd w:id="8701"/>
      <w:bookmarkEnd w:id="8702"/>
      <w:bookmarkEnd w:id="8703"/>
      <w:bookmarkEnd w:id="8704"/>
      <w:bookmarkEnd w:id="8705"/>
      <w:bookmarkEnd w:id="8706"/>
      <w:bookmarkEnd w:id="8707"/>
      <w:bookmarkEnd w:id="8708"/>
      <w:bookmarkEnd w:id="8709"/>
      <w:bookmarkEnd w:id="8710"/>
      <w:bookmarkEnd w:id="8711"/>
      <w:bookmarkEnd w:id="8712"/>
      <w:bookmarkEnd w:id="8713"/>
      <w:bookmarkEnd w:id="8714"/>
      <w:bookmarkEnd w:id="8715"/>
      <w:bookmarkEnd w:id="8716"/>
      <w:bookmarkEnd w:id="8717"/>
      <w:bookmarkEnd w:id="8718"/>
      <w:bookmarkEnd w:id="8719"/>
      <w:bookmarkEnd w:id="8720"/>
      <w:bookmarkEnd w:id="8721"/>
      <w:bookmarkEnd w:id="8722"/>
      <w:bookmarkEnd w:id="8723"/>
      <w:bookmarkEnd w:id="8724"/>
      <w:bookmarkEnd w:id="8725"/>
      <w:bookmarkEnd w:id="8726"/>
      <w:bookmarkEnd w:id="8727"/>
      <w:bookmarkEnd w:id="8728"/>
      <w:bookmarkEnd w:id="8729"/>
      <w:bookmarkEnd w:id="8730"/>
      <w:bookmarkEnd w:id="8731"/>
      <w:bookmarkEnd w:id="8732"/>
      <w:bookmarkEnd w:id="8733"/>
      <w:bookmarkEnd w:id="8734"/>
      <w:bookmarkEnd w:id="8735"/>
      <w:bookmarkEnd w:id="8736"/>
      <w:bookmarkEnd w:id="8737"/>
      <w:bookmarkEnd w:id="8738"/>
      <w:bookmarkEnd w:id="8739"/>
      <w:bookmarkEnd w:id="8740"/>
      <w:bookmarkEnd w:id="8741"/>
      <w:bookmarkEnd w:id="8742"/>
      <w:bookmarkEnd w:id="8743"/>
      <w:bookmarkEnd w:id="8744"/>
      <w:bookmarkEnd w:id="8745"/>
      <w:bookmarkEnd w:id="8746"/>
      <w:bookmarkEnd w:id="8747"/>
      <w:bookmarkEnd w:id="8748"/>
      <w:bookmarkEnd w:id="8749"/>
      <w:bookmarkEnd w:id="8750"/>
      <w:bookmarkEnd w:id="8751"/>
      <w:bookmarkEnd w:id="8752"/>
      <w:bookmarkEnd w:id="8753"/>
      <w:bookmarkEnd w:id="8754"/>
      <w:bookmarkEnd w:id="8755"/>
      <w:bookmarkEnd w:id="8756"/>
      <w:bookmarkEnd w:id="8757"/>
      <w:bookmarkEnd w:id="8758"/>
      <w:bookmarkEnd w:id="8759"/>
      <w:bookmarkEnd w:id="8760"/>
      <w:bookmarkEnd w:id="8761"/>
      <w:bookmarkEnd w:id="8762"/>
      <w:bookmarkEnd w:id="8763"/>
      <w:bookmarkEnd w:id="8764"/>
      <w:bookmarkEnd w:id="8765"/>
      <w:bookmarkEnd w:id="8766"/>
      <w:bookmarkEnd w:id="8767"/>
      <w:bookmarkEnd w:id="8768"/>
      <w:bookmarkEnd w:id="8769"/>
      <w:bookmarkEnd w:id="8770"/>
      <w:bookmarkEnd w:id="8771"/>
      <w:bookmarkEnd w:id="8772"/>
      <w:bookmarkEnd w:id="8773"/>
      <w:bookmarkEnd w:id="8774"/>
      <w:bookmarkEnd w:id="8775"/>
      <w:bookmarkEnd w:id="8776"/>
      <w:bookmarkEnd w:id="8777"/>
      <w:bookmarkEnd w:id="8778"/>
      <w:bookmarkEnd w:id="8779"/>
      <w:bookmarkEnd w:id="8780"/>
      <w:bookmarkEnd w:id="8781"/>
      <w:bookmarkEnd w:id="8782"/>
      <w:bookmarkEnd w:id="8783"/>
      <w:bookmarkEnd w:id="8784"/>
      <w:bookmarkEnd w:id="8785"/>
      <w:bookmarkEnd w:id="8786"/>
      <w:bookmarkEnd w:id="8787"/>
      <w:bookmarkEnd w:id="8788"/>
      <w:bookmarkEnd w:id="8789"/>
      <w:bookmarkEnd w:id="8790"/>
      <w:bookmarkEnd w:id="8791"/>
      <w:bookmarkEnd w:id="8792"/>
      <w:bookmarkEnd w:id="8793"/>
      <w:bookmarkEnd w:id="8794"/>
      <w:bookmarkEnd w:id="8795"/>
      <w:bookmarkEnd w:id="8796"/>
      <w:bookmarkEnd w:id="8797"/>
      <w:bookmarkEnd w:id="8798"/>
      <w:bookmarkEnd w:id="8799"/>
      <w:bookmarkEnd w:id="8800"/>
      <w:bookmarkEnd w:id="8801"/>
      <w:bookmarkEnd w:id="8802"/>
      <w:bookmarkEnd w:id="8803"/>
      <w:bookmarkEnd w:id="8804"/>
      <w:bookmarkEnd w:id="8805"/>
      <w:bookmarkEnd w:id="8806"/>
      <w:bookmarkEnd w:id="8807"/>
      <w:bookmarkEnd w:id="8808"/>
      <w:bookmarkEnd w:id="8809"/>
      <w:bookmarkEnd w:id="8810"/>
      <w:bookmarkEnd w:id="8811"/>
      <w:bookmarkEnd w:id="8812"/>
      <w:bookmarkEnd w:id="8813"/>
      <w:bookmarkEnd w:id="8814"/>
      <w:bookmarkEnd w:id="8815"/>
      <w:bookmarkEnd w:id="8816"/>
      <w:bookmarkEnd w:id="8817"/>
      <w:bookmarkEnd w:id="8818"/>
      <w:bookmarkEnd w:id="8819"/>
      <w:bookmarkEnd w:id="8820"/>
      <w:bookmarkEnd w:id="8821"/>
      <w:bookmarkEnd w:id="8822"/>
      <w:bookmarkEnd w:id="8823"/>
      <w:bookmarkEnd w:id="8824"/>
      <w:bookmarkEnd w:id="8825"/>
      <w:bookmarkEnd w:id="8826"/>
      <w:bookmarkEnd w:id="8827"/>
      <w:bookmarkEnd w:id="8828"/>
      <w:bookmarkEnd w:id="8829"/>
      <w:bookmarkEnd w:id="8830"/>
      <w:bookmarkEnd w:id="8831"/>
      <w:bookmarkEnd w:id="8832"/>
      <w:bookmarkEnd w:id="8833"/>
      <w:bookmarkEnd w:id="8834"/>
      <w:bookmarkEnd w:id="8835"/>
      <w:bookmarkEnd w:id="8836"/>
      <w:bookmarkEnd w:id="8837"/>
      <w:bookmarkEnd w:id="8838"/>
      <w:bookmarkEnd w:id="8839"/>
      <w:bookmarkEnd w:id="8840"/>
      <w:bookmarkEnd w:id="8841"/>
      <w:bookmarkEnd w:id="8842"/>
      <w:bookmarkEnd w:id="8843"/>
      <w:bookmarkEnd w:id="8844"/>
      <w:bookmarkEnd w:id="8845"/>
      <w:bookmarkEnd w:id="8846"/>
      <w:bookmarkEnd w:id="8847"/>
      <w:bookmarkEnd w:id="8848"/>
      <w:bookmarkEnd w:id="8849"/>
      <w:bookmarkEnd w:id="8850"/>
      <w:bookmarkEnd w:id="8851"/>
      <w:bookmarkEnd w:id="8852"/>
      <w:bookmarkEnd w:id="8853"/>
      <w:bookmarkEnd w:id="8854"/>
      <w:bookmarkEnd w:id="8855"/>
      <w:bookmarkEnd w:id="8856"/>
      <w:bookmarkEnd w:id="8857"/>
      <w:bookmarkEnd w:id="8858"/>
      <w:bookmarkEnd w:id="8859"/>
      <w:bookmarkEnd w:id="8860"/>
      <w:bookmarkEnd w:id="8861"/>
      <w:bookmarkEnd w:id="8862"/>
      <w:bookmarkEnd w:id="8863"/>
      <w:bookmarkEnd w:id="8864"/>
      <w:bookmarkEnd w:id="8865"/>
      <w:bookmarkEnd w:id="8866"/>
      <w:bookmarkEnd w:id="8867"/>
      <w:bookmarkEnd w:id="8868"/>
      <w:bookmarkEnd w:id="8869"/>
      <w:bookmarkEnd w:id="8870"/>
      <w:bookmarkEnd w:id="8871"/>
      <w:bookmarkEnd w:id="8872"/>
      <w:bookmarkEnd w:id="8873"/>
      <w:bookmarkEnd w:id="8874"/>
      <w:bookmarkEnd w:id="8875"/>
      <w:bookmarkEnd w:id="8876"/>
      <w:bookmarkEnd w:id="8877"/>
      <w:bookmarkEnd w:id="8878"/>
      <w:bookmarkEnd w:id="8879"/>
      <w:bookmarkEnd w:id="8880"/>
      <w:bookmarkEnd w:id="8881"/>
      <w:bookmarkEnd w:id="8882"/>
      <w:bookmarkEnd w:id="8883"/>
      <w:bookmarkEnd w:id="8884"/>
      <w:bookmarkEnd w:id="8885"/>
      <w:bookmarkEnd w:id="8886"/>
      <w:bookmarkEnd w:id="8887"/>
      <w:bookmarkEnd w:id="8888"/>
      <w:bookmarkEnd w:id="8889"/>
      <w:bookmarkEnd w:id="8890"/>
      <w:bookmarkEnd w:id="8891"/>
      <w:bookmarkEnd w:id="8892"/>
      <w:bookmarkEnd w:id="8893"/>
      <w:bookmarkEnd w:id="8894"/>
      <w:bookmarkEnd w:id="8895"/>
      <w:bookmarkEnd w:id="8896"/>
      <w:bookmarkEnd w:id="8897"/>
      <w:bookmarkEnd w:id="8898"/>
      <w:bookmarkEnd w:id="8899"/>
      <w:bookmarkEnd w:id="8900"/>
      <w:bookmarkEnd w:id="8901"/>
      <w:bookmarkEnd w:id="8902"/>
      <w:bookmarkEnd w:id="8903"/>
      <w:bookmarkEnd w:id="8904"/>
      <w:bookmarkEnd w:id="8905"/>
      <w:bookmarkEnd w:id="8906"/>
      <w:bookmarkEnd w:id="8907"/>
      <w:bookmarkEnd w:id="8908"/>
      <w:bookmarkEnd w:id="8909"/>
      <w:bookmarkEnd w:id="8910"/>
      <w:bookmarkEnd w:id="8911"/>
      <w:bookmarkEnd w:id="8912"/>
      <w:bookmarkEnd w:id="8913"/>
      <w:bookmarkEnd w:id="8914"/>
      <w:bookmarkEnd w:id="8915"/>
      <w:bookmarkEnd w:id="8916"/>
      <w:bookmarkEnd w:id="8917"/>
      <w:bookmarkEnd w:id="8918"/>
      <w:bookmarkEnd w:id="8919"/>
      <w:bookmarkEnd w:id="8920"/>
      <w:bookmarkEnd w:id="8921"/>
      <w:bookmarkEnd w:id="8922"/>
      <w:bookmarkEnd w:id="8923"/>
      <w:bookmarkEnd w:id="8924"/>
      <w:bookmarkEnd w:id="8925"/>
      <w:bookmarkEnd w:id="8926"/>
      <w:bookmarkEnd w:id="8927"/>
      <w:bookmarkEnd w:id="8928"/>
      <w:bookmarkEnd w:id="8929"/>
      <w:bookmarkEnd w:id="8930"/>
      <w:bookmarkEnd w:id="8931"/>
      <w:bookmarkEnd w:id="8932"/>
      <w:bookmarkEnd w:id="8933"/>
      <w:bookmarkEnd w:id="8934"/>
      <w:bookmarkEnd w:id="8935"/>
      <w:bookmarkEnd w:id="8936"/>
      <w:bookmarkEnd w:id="8937"/>
      <w:bookmarkEnd w:id="8938"/>
      <w:bookmarkEnd w:id="8939"/>
      <w:bookmarkEnd w:id="8940"/>
      <w:bookmarkEnd w:id="8941"/>
      <w:bookmarkEnd w:id="8942"/>
      <w:bookmarkEnd w:id="8943"/>
      <w:bookmarkEnd w:id="8944"/>
      <w:bookmarkEnd w:id="8945"/>
      <w:bookmarkEnd w:id="8946"/>
      <w:bookmarkEnd w:id="8947"/>
      <w:bookmarkEnd w:id="8948"/>
      <w:bookmarkEnd w:id="8949"/>
      <w:bookmarkEnd w:id="8950"/>
      <w:bookmarkEnd w:id="8951"/>
      <w:bookmarkEnd w:id="8952"/>
      <w:bookmarkEnd w:id="8953"/>
      <w:bookmarkEnd w:id="8954"/>
      <w:bookmarkEnd w:id="8955"/>
      <w:bookmarkEnd w:id="8956"/>
      <w:bookmarkEnd w:id="8957"/>
      <w:bookmarkEnd w:id="8958"/>
      <w:bookmarkEnd w:id="8959"/>
      <w:bookmarkEnd w:id="8960"/>
      <w:bookmarkEnd w:id="8961"/>
      <w:bookmarkEnd w:id="8962"/>
      <w:bookmarkEnd w:id="8963"/>
      <w:bookmarkEnd w:id="8964"/>
      <w:bookmarkEnd w:id="8965"/>
      <w:bookmarkEnd w:id="8966"/>
      <w:bookmarkEnd w:id="8967"/>
      <w:bookmarkEnd w:id="8968"/>
      <w:bookmarkEnd w:id="8969"/>
      <w:bookmarkEnd w:id="8970"/>
      <w:bookmarkEnd w:id="8971"/>
      <w:bookmarkEnd w:id="8972"/>
      <w:bookmarkEnd w:id="8973"/>
      <w:bookmarkEnd w:id="8974"/>
      <w:bookmarkEnd w:id="8975"/>
      <w:bookmarkEnd w:id="8976"/>
      <w:bookmarkEnd w:id="8977"/>
      <w:bookmarkEnd w:id="8978"/>
      <w:bookmarkEnd w:id="8979"/>
      <w:bookmarkEnd w:id="8980"/>
      <w:bookmarkEnd w:id="8981"/>
      <w:bookmarkEnd w:id="8982"/>
      <w:bookmarkEnd w:id="8983"/>
      <w:bookmarkEnd w:id="8984"/>
      <w:bookmarkEnd w:id="8985"/>
      <w:r>
        <w:t>OTHER DISCLOSURE</w:t>
      </w:r>
      <w:bookmarkEnd w:id="8986"/>
      <w:bookmarkEnd w:id="8987"/>
      <w:bookmarkEnd w:id="8988"/>
      <w:bookmarkEnd w:id="8989"/>
      <w:bookmarkEnd w:id="8990"/>
      <w:bookmarkEnd w:id="8991"/>
      <w:bookmarkEnd w:id="8992"/>
      <w:bookmarkEnd w:id="8993"/>
      <w:bookmarkEnd w:id="8994"/>
      <w:bookmarkEnd w:id="8995"/>
      <w:r w:rsidR="00A44059">
        <w:rPr>
          <w:rFonts w:eastAsia="SimHei" w:hint="eastAsia"/>
          <w:lang w:eastAsia="zh-CN"/>
        </w:rPr>
        <w:t>S</w:t>
      </w:r>
    </w:p>
    <w:p w14:paraId="7CB183BF" w14:textId="77777777" w:rsidR="006843A9" w:rsidRDefault="006843A9" w:rsidP="00DA31C0">
      <w:pPr>
        <w:pStyle w:val="Heading3"/>
        <w:sectPr w:rsidR="006843A9" w:rsidSect="004001B7">
          <w:headerReference w:type="even" r:id="rId113"/>
          <w:headerReference w:type="default" r:id="rId114"/>
          <w:footerReference w:type="even" r:id="rId115"/>
          <w:footerReference w:type="default" r:id="rId116"/>
          <w:headerReference w:type="first" r:id="rId117"/>
          <w:footerReference w:type="first" r:id="rId118"/>
          <w:type w:val="oddPage"/>
          <w:pgSz w:w="11906" w:h="16838" w:code="9"/>
          <w:pgMar w:top="1134" w:right="1134" w:bottom="1134" w:left="1134" w:header="624" w:footer="567" w:gutter="0"/>
          <w:cols w:space="708"/>
          <w:docGrid w:linePitch="360"/>
        </w:sectPr>
      </w:pPr>
      <w:bookmarkStart w:id="8997" w:name="_Toc179815857"/>
      <w:bookmarkStart w:id="8998" w:name="_Toc179821557"/>
      <w:bookmarkStart w:id="8999" w:name="_Toc179827257"/>
      <w:bookmarkStart w:id="9000" w:name="_Toc179832902"/>
      <w:bookmarkStart w:id="9001" w:name="_Toc179864432"/>
    </w:p>
    <w:p w14:paraId="75C41E37" w14:textId="77777777" w:rsidR="00DA31C0" w:rsidRDefault="00DA31C0" w:rsidP="00DA31C0">
      <w:pPr>
        <w:pStyle w:val="Heading3"/>
      </w:pPr>
      <w:r>
        <w:t>Introduction</w:t>
      </w:r>
    </w:p>
    <w:p w14:paraId="7FC827ED" w14:textId="77777777" w:rsidR="00DA31C0" w:rsidRDefault="00DA31C0" w:rsidP="00DA31C0">
      <w:r>
        <w:t>This section includes additional material disclosures required by accounting standards or otherwise, for the understanding of this financial report.</w:t>
      </w:r>
    </w:p>
    <w:p w14:paraId="75C3F072" w14:textId="76FCE3C9" w:rsidR="00DA31C0" w:rsidRDefault="006843A9" w:rsidP="00DA31C0">
      <w:pPr>
        <w:pStyle w:val="Heading3"/>
      </w:pPr>
      <w:bookmarkStart w:id="9002" w:name="_Toc179815858"/>
      <w:bookmarkStart w:id="9003" w:name="_Toc179821558"/>
      <w:bookmarkStart w:id="9004" w:name="_Toc179827258"/>
      <w:bookmarkStart w:id="9005" w:name="_Toc179832903"/>
      <w:bookmarkStart w:id="9006" w:name="_Toc179864433"/>
      <w:r>
        <w:rPr>
          <w:bCs/>
        </w:rPr>
        <w:br w:type="column"/>
      </w:r>
      <w:r w:rsidR="00DA31C0" w:rsidRPr="00C200CC">
        <w:rPr>
          <w:bCs/>
        </w:rPr>
        <w:t>Structure</w:t>
      </w:r>
      <w:bookmarkEnd w:id="9002"/>
      <w:bookmarkEnd w:id="9003"/>
      <w:bookmarkEnd w:id="9004"/>
      <w:bookmarkEnd w:id="9005"/>
      <w:bookmarkEnd w:id="9006"/>
    </w:p>
    <w:p w14:paraId="491CA4F3" w14:textId="025A3889" w:rsidR="005E767C" w:rsidRDefault="005E767C" w:rsidP="005E767C">
      <w:pPr>
        <w:pStyle w:val="TOC9"/>
        <w:rPr>
          <w:noProof/>
          <w:kern w:val="2"/>
          <w:sz w:val="24"/>
          <w:szCs w:val="24"/>
          <w14:ligatures w14:val="standardContextual"/>
        </w:rPr>
      </w:pPr>
      <w:r w:rsidRPr="00940E38">
        <w:fldChar w:fldCharType="begin"/>
      </w:r>
      <w:r w:rsidRPr="00940E38">
        <w:instrText xml:space="preserve"> TOC \h \z \t "Heading 2 </w:instrText>
      </w:r>
      <w:r>
        <w:instrText>numbered</w:instrText>
      </w:r>
      <w:r w:rsidRPr="00940E38">
        <w:instrText>,9" \b Section</w:instrText>
      </w:r>
      <w:r>
        <w:instrText>_8</w:instrText>
      </w:r>
      <w:r w:rsidRPr="00940E38">
        <w:instrText xml:space="preserve"> \* MERGEFORMAT </w:instrText>
      </w:r>
      <w:r w:rsidRPr="00940E38">
        <w:fldChar w:fldCharType="separate"/>
      </w:r>
      <w:hyperlink w:anchor="_Toc222999581" w:history="1">
        <w:r w:rsidRPr="00D953E1">
          <w:rPr>
            <w:rStyle w:val="Hyperlink"/>
            <w:noProof/>
          </w:rPr>
          <w:t>8.1</w:t>
        </w:r>
        <w:r>
          <w:rPr>
            <w:noProof/>
            <w:kern w:val="2"/>
            <w:sz w:val="24"/>
            <w:szCs w:val="24"/>
            <w14:ligatures w14:val="standardContextual"/>
          </w:rPr>
          <w:tab/>
        </w:r>
        <w:r w:rsidRPr="00D953E1">
          <w:rPr>
            <w:rStyle w:val="Hyperlink"/>
            <w:noProof/>
          </w:rPr>
          <w:t>Ex gratia expenses</w:t>
        </w:r>
        <w:r>
          <w:rPr>
            <w:noProof/>
            <w:webHidden/>
          </w:rPr>
          <w:tab/>
        </w:r>
        <w:r>
          <w:rPr>
            <w:noProof/>
            <w:webHidden/>
          </w:rPr>
          <w:fldChar w:fldCharType="begin"/>
        </w:r>
        <w:r>
          <w:rPr>
            <w:noProof/>
            <w:webHidden/>
          </w:rPr>
          <w:instrText xml:space="preserve"> PAGEREF _Toc222999581 \h </w:instrText>
        </w:r>
        <w:r>
          <w:rPr>
            <w:noProof/>
            <w:webHidden/>
          </w:rPr>
        </w:r>
        <w:r>
          <w:rPr>
            <w:noProof/>
            <w:webHidden/>
          </w:rPr>
          <w:fldChar w:fldCharType="separate"/>
        </w:r>
        <w:r w:rsidR="00CA17BE">
          <w:rPr>
            <w:noProof/>
            <w:webHidden/>
          </w:rPr>
          <w:t>60</w:t>
        </w:r>
        <w:r>
          <w:rPr>
            <w:noProof/>
            <w:webHidden/>
          </w:rPr>
          <w:fldChar w:fldCharType="end"/>
        </w:r>
      </w:hyperlink>
    </w:p>
    <w:p w14:paraId="6AF0E766" w14:textId="19D69F9D" w:rsidR="005E767C" w:rsidRDefault="005E767C" w:rsidP="005E767C">
      <w:pPr>
        <w:pStyle w:val="TOC9"/>
        <w:rPr>
          <w:noProof/>
          <w:kern w:val="2"/>
          <w:sz w:val="24"/>
          <w:szCs w:val="24"/>
          <w14:ligatures w14:val="standardContextual"/>
        </w:rPr>
      </w:pPr>
      <w:hyperlink w:anchor="_Toc222999582" w:history="1">
        <w:r w:rsidRPr="00D953E1">
          <w:rPr>
            <w:rStyle w:val="Hyperlink"/>
            <w:noProof/>
          </w:rPr>
          <w:t>8.2</w:t>
        </w:r>
        <w:r>
          <w:rPr>
            <w:noProof/>
            <w:kern w:val="2"/>
            <w:sz w:val="24"/>
            <w:szCs w:val="24"/>
            <w14:ligatures w14:val="standardContextual"/>
          </w:rPr>
          <w:tab/>
        </w:r>
        <w:r w:rsidRPr="00D953E1">
          <w:rPr>
            <w:rStyle w:val="Hyperlink"/>
            <w:noProof/>
          </w:rPr>
          <w:t>Other economic flows included in net result</w:t>
        </w:r>
        <w:r>
          <w:rPr>
            <w:noProof/>
            <w:webHidden/>
          </w:rPr>
          <w:tab/>
        </w:r>
        <w:r>
          <w:rPr>
            <w:noProof/>
            <w:webHidden/>
          </w:rPr>
          <w:fldChar w:fldCharType="begin"/>
        </w:r>
        <w:r>
          <w:rPr>
            <w:noProof/>
            <w:webHidden/>
          </w:rPr>
          <w:instrText xml:space="preserve"> PAGEREF _Toc222999582 \h </w:instrText>
        </w:r>
        <w:r>
          <w:rPr>
            <w:noProof/>
            <w:webHidden/>
          </w:rPr>
        </w:r>
        <w:r>
          <w:rPr>
            <w:noProof/>
            <w:webHidden/>
          </w:rPr>
          <w:fldChar w:fldCharType="separate"/>
        </w:r>
        <w:r w:rsidR="00CA17BE">
          <w:rPr>
            <w:noProof/>
            <w:webHidden/>
          </w:rPr>
          <w:t>61</w:t>
        </w:r>
        <w:r>
          <w:rPr>
            <w:noProof/>
            <w:webHidden/>
          </w:rPr>
          <w:fldChar w:fldCharType="end"/>
        </w:r>
      </w:hyperlink>
    </w:p>
    <w:p w14:paraId="36EA2E30" w14:textId="3FC92465" w:rsidR="005E767C" w:rsidRDefault="005E767C" w:rsidP="005E767C">
      <w:pPr>
        <w:pStyle w:val="TOC9"/>
        <w:rPr>
          <w:noProof/>
          <w:kern w:val="2"/>
          <w:sz w:val="24"/>
          <w:szCs w:val="24"/>
          <w14:ligatures w14:val="standardContextual"/>
        </w:rPr>
      </w:pPr>
      <w:hyperlink w:anchor="_Toc222999583" w:history="1">
        <w:r w:rsidRPr="00D953E1">
          <w:rPr>
            <w:rStyle w:val="Hyperlink"/>
            <w:noProof/>
          </w:rPr>
          <w:t>8.3</w:t>
        </w:r>
        <w:r>
          <w:rPr>
            <w:noProof/>
            <w:kern w:val="2"/>
            <w:sz w:val="24"/>
            <w:szCs w:val="24"/>
            <w14:ligatures w14:val="standardContextual"/>
          </w:rPr>
          <w:tab/>
        </w:r>
        <w:r w:rsidRPr="00D953E1">
          <w:rPr>
            <w:rStyle w:val="Hyperlink"/>
            <w:noProof/>
          </w:rPr>
          <w:t>Changes in accounting policy</w:t>
        </w:r>
        <w:r>
          <w:rPr>
            <w:noProof/>
            <w:webHidden/>
          </w:rPr>
          <w:tab/>
        </w:r>
        <w:r>
          <w:rPr>
            <w:noProof/>
            <w:webHidden/>
          </w:rPr>
          <w:fldChar w:fldCharType="begin"/>
        </w:r>
        <w:r>
          <w:rPr>
            <w:noProof/>
            <w:webHidden/>
          </w:rPr>
          <w:instrText xml:space="preserve"> PAGEREF _Toc222999583 \h </w:instrText>
        </w:r>
        <w:r>
          <w:rPr>
            <w:noProof/>
            <w:webHidden/>
          </w:rPr>
        </w:r>
        <w:r>
          <w:rPr>
            <w:noProof/>
            <w:webHidden/>
          </w:rPr>
          <w:fldChar w:fldCharType="separate"/>
        </w:r>
        <w:r w:rsidR="00CA17BE">
          <w:rPr>
            <w:noProof/>
            <w:webHidden/>
          </w:rPr>
          <w:t>62</w:t>
        </w:r>
        <w:r>
          <w:rPr>
            <w:noProof/>
            <w:webHidden/>
          </w:rPr>
          <w:fldChar w:fldCharType="end"/>
        </w:r>
      </w:hyperlink>
    </w:p>
    <w:p w14:paraId="50FAC446" w14:textId="2EB00556" w:rsidR="005E767C" w:rsidRDefault="005E767C" w:rsidP="005E767C">
      <w:pPr>
        <w:pStyle w:val="TOC9"/>
        <w:rPr>
          <w:noProof/>
          <w:kern w:val="2"/>
          <w:sz w:val="24"/>
          <w:szCs w:val="24"/>
          <w14:ligatures w14:val="standardContextual"/>
        </w:rPr>
      </w:pPr>
      <w:hyperlink w:anchor="_Toc222999584" w:history="1">
        <w:r w:rsidRPr="00D953E1">
          <w:rPr>
            <w:rStyle w:val="Hyperlink"/>
            <w:noProof/>
          </w:rPr>
          <w:t>8.4</w:t>
        </w:r>
        <w:r>
          <w:rPr>
            <w:noProof/>
            <w:kern w:val="2"/>
            <w:sz w:val="24"/>
            <w:szCs w:val="24"/>
            <w14:ligatures w14:val="standardContextual"/>
          </w:rPr>
          <w:tab/>
        </w:r>
        <w:r w:rsidRPr="00D953E1">
          <w:rPr>
            <w:rStyle w:val="Hyperlink"/>
            <w:noProof/>
          </w:rPr>
          <w:t>Responsible persons</w:t>
        </w:r>
        <w:r>
          <w:rPr>
            <w:noProof/>
            <w:webHidden/>
          </w:rPr>
          <w:tab/>
        </w:r>
        <w:r>
          <w:rPr>
            <w:noProof/>
            <w:webHidden/>
          </w:rPr>
          <w:fldChar w:fldCharType="begin"/>
        </w:r>
        <w:r>
          <w:rPr>
            <w:noProof/>
            <w:webHidden/>
          </w:rPr>
          <w:instrText xml:space="preserve"> PAGEREF _Toc222999584 \h </w:instrText>
        </w:r>
        <w:r>
          <w:rPr>
            <w:noProof/>
            <w:webHidden/>
          </w:rPr>
        </w:r>
        <w:r>
          <w:rPr>
            <w:noProof/>
            <w:webHidden/>
          </w:rPr>
          <w:fldChar w:fldCharType="separate"/>
        </w:r>
        <w:r w:rsidR="00CA17BE">
          <w:rPr>
            <w:noProof/>
            <w:webHidden/>
          </w:rPr>
          <w:t>63</w:t>
        </w:r>
        <w:r>
          <w:rPr>
            <w:noProof/>
            <w:webHidden/>
          </w:rPr>
          <w:fldChar w:fldCharType="end"/>
        </w:r>
      </w:hyperlink>
    </w:p>
    <w:p w14:paraId="3F488D4B" w14:textId="3357C7F2" w:rsidR="005E767C" w:rsidRDefault="005E767C" w:rsidP="005E767C">
      <w:pPr>
        <w:pStyle w:val="TOC9"/>
        <w:rPr>
          <w:noProof/>
          <w:kern w:val="2"/>
          <w:sz w:val="24"/>
          <w:szCs w:val="24"/>
          <w14:ligatures w14:val="standardContextual"/>
        </w:rPr>
      </w:pPr>
      <w:hyperlink w:anchor="_Toc222999585" w:history="1">
        <w:r w:rsidRPr="00D953E1">
          <w:rPr>
            <w:rStyle w:val="Hyperlink"/>
            <w:noProof/>
          </w:rPr>
          <w:t>8.5</w:t>
        </w:r>
        <w:r>
          <w:rPr>
            <w:noProof/>
            <w:kern w:val="2"/>
            <w:sz w:val="24"/>
            <w:szCs w:val="24"/>
            <w14:ligatures w14:val="standardContextual"/>
          </w:rPr>
          <w:tab/>
        </w:r>
        <w:r w:rsidRPr="00D953E1">
          <w:rPr>
            <w:rStyle w:val="Hyperlink"/>
            <w:noProof/>
          </w:rPr>
          <w:t>Remuneration of executives</w:t>
        </w:r>
        <w:r>
          <w:rPr>
            <w:noProof/>
            <w:webHidden/>
          </w:rPr>
          <w:tab/>
        </w:r>
        <w:r>
          <w:rPr>
            <w:noProof/>
            <w:webHidden/>
          </w:rPr>
          <w:fldChar w:fldCharType="begin"/>
        </w:r>
        <w:r>
          <w:rPr>
            <w:noProof/>
            <w:webHidden/>
          </w:rPr>
          <w:instrText xml:space="preserve"> PAGEREF _Toc222999585 \h </w:instrText>
        </w:r>
        <w:r>
          <w:rPr>
            <w:noProof/>
            <w:webHidden/>
          </w:rPr>
        </w:r>
        <w:r>
          <w:rPr>
            <w:noProof/>
            <w:webHidden/>
          </w:rPr>
          <w:fldChar w:fldCharType="separate"/>
        </w:r>
        <w:r w:rsidR="00CA17BE">
          <w:rPr>
            <w:noProof/>
            <w:webHidden/>
          </w:rPr>
          <w:t>64</w:t>
        </w:r>
        <w:r>
          <w:rPr>
            <w:noProof/>
            <w:webHidden/>
          </w:rPr>
          <w:fldChar w:fldCharType="end"/>
        </w:r>
      </w:hyperlink>
    </w:p>
    <w:p w14:paraId="5D61443F" w14:textId="4787D50C" w:rsidR="005E767C" w:rsidRDefault="005E767C" w:rsidP="005E767C">
      <w:pPr>
        <w:pStyle w:val="TOC9"/>
        <w:rPr>
          <w:noProof/>
          <w:kern w:val="2"/>
          <w:sz w:val="24"/>
          <w:szCs w:val="24"/>
          <w14:ligatures w14:val="standardContextual"/>
        </w:rPr>
      </w:pPr>
      <w:hyperlink w:anchor="_Toc222999586" w:history="1">
        <w:r w:rsidRPr="00D953E1">
          <w:rPr>
            <w:rStyle w:val="Hyperlink"/>
            <w:noProof/>
          </w:rPr>
          <w:t>8.6</w:t>
        </w:r>
        <w:r>
          <w:rPr>
            <w:noProof/>
            <w:kern w:val="2"/>
            <w:sz w:val="24"/>
            <w:szCs w:val="24"/>
            <w14:ligatures w14:val="standardContextual"/>
          </w:rPr>
          <w:tab/>
        </w:r>
        <w:r w:rsidRPr="00D953E1">
          <w:rPr>
            <w:rStyle w:val="Hyperlink"/>
            <w:noProof/>
          </w:rPr>
          <w:t>Related parties</w:t>
        </w:r>
        <w:r>
          <w:rPr>
            <w:noProof/>
            <w:webHidden/>
          </w:rPr>
          <w:tab/>
        </w:r>
        <w:r>
          <w:rPr>
            <w:noProof/>
            <w:webHidden/>
          </w:rPr>
          <w:fldChar w:fldCharType="begin"/>
        </w:r>
        <w:r>
          <w:rPr>
            <w:noProof/>
            <w:webHidden/>
          </w:rPr>
          <w:instrText xml:space="preserve"> PAGEREF _Toc222999586 \h </w:instrText>
        </w:r>
        <w:r>
          <w:rPr>
            <w:noProof/>
            <w:webHidden/>
          </w:rPr>
        </w:r>
        <w:r>
          <w:rPr>
            <w:noProof/>
            <w:webHidden/>
          </w:rPr>
          <w:fldChar w:fldCharType="separate"/>
        </w:r>
        <w:r w:rsidR="00CA17BE">
          <w:rPr>
            <w:noProof/>
            <w:webHidden/>
          </w:rPr>
          <w:t>65</w:t>
        </w:r>
        <w:r>
          <w:rPr>
            <w:noProof/>
            <w:webHidden/>
          </w:rPr>
          <w:fldChar w:fldCharType="end"/>
        </w:r>
      </w:hyperlink>
    </w:p>
    <w:p w14:paraId="77840218" w14:textId="45793E29" w:rsidR="005E767C" w:rsidRDefault="005E767C" w:rsidP="005E767C">
      <w:pPr>
        <w:pStyle w:val="TOC9"/>
        <w:rPr>
          <w:noProof/>
          <w:kern w:val="2"/>
          <w:sz w:val="24"/>
          <w:szCs w:val="24"/>
          <w14:ligatures w14:val="standardContextual"/>
        </w:rPr>
      </w:pPr>
      <w:hyperlink w:anchor="_Toc222999587" w:history="1">
        <w:r w:rsidRPr="00D953E1">
          <w:rPr>
            <w:rStyle w:val="Hyperlink"/>
            <w:noProof/>
          </w:rPr>
          <w:t>8.7</w:t>
        </w:r>
        <w:r>
          <w:rPr>
            <w:noProof/>
            <w:kern w:val="2"/>
            <w:sz w:val="24"/>
            <w:szCs w:val="24"/>
            <w14:ligatures w14:val="standardContextual"/>
          </w:rPr>
          <w:tab/>
        </w:r>
        <w:r w:rsidRPr="00D953E1">
          <w:rPr>
            <w:rStyle w:val="Hyperlink"/>
            <w:noProof/>
          </w:rPr>
          <w:t>Remuneration of auditors</w:t>
        </w:r>
        <w:r>
          <w:rPr>
            <w:noProof/>
            <w:webHidden/>
          </w:rPr>
          <w:tab/>
        </w:r>
        <w:r>
          <w:rPr>
            <w:noProof/>
            <w:webHidden/>
          </w:rPr>
          <w:fldChar w:fldCharType="begin"/>
        </w:r>
        <w:r>
          <w:rPr>
            <w:noProof/>
            <w:webHidden/>
          </w:rPr>
          <w:instrText xml:space="preserve"> PAGEREF _Toc222999587 \h </w:instrText>
        </w:r>
        <w:r>
          <w:rPr>
            <w:noProof/>
            <w:webHidden/>
          </w:rPr>
        </w:r>
        <w:r>
          <w:rPr>
            <w:noProof/>
            <w:webHidden/>
          </w:rPr>
          <w:fldChar w:fldCharType="separate"/>
        </w:r>
        <w:r w:rsidR="00CA17BE">
          <w:rPr>
            <w:noProof/>
            <w:webHidden/>
          </w:rPr>
          <w:t>67</w:t>
        </w:r>
        <w:r>
          <w:rPr>
            <w:noProof/>
            <w:webHidden/>
          </w:rPr>
          <w:fldChar w:fldCharType="end"/>
        </w:r>
      </w:hyperlink>
    </w:p>
    <w:p w14:paraId="1E51516D" w14:textId="69A8F67F" w:rsidR="005E767C" w:rsidRDefault="005E767C" w:rsidP="005E767C">
      <w:pPr>
        <w:pStyle w:val="TOC9"/>
        <w:rPr>
          <w:noProof/>
          <w:kern w:val="2"/>
          <w:sz w:val="24"/>
          <w:szCs w:val="24"/>
          <w14:ligatures w14:val="standardContextual"/>
        </w:rPr>
      </w:pPr>
      <w:hyperlink w:anchor="_Toc222999588" w:history="1">
        <w:r w:rsidRPr="00D953E1">
          <w:rPr>
            <w:rStyle w:val="Hyperlink"/>
            <w:noProof/>
          </w:rPr>
          <w:t>8.8</w:t>
        </w:r>
        <w:r>
          <w:rPr>
            <w:noProof/>
            <w:kern w:val="2"/>
            <w:sz w:val="24"/>
            <w:szCs w:val="24"/>
            <w14:ligatures w14:val="standardContextual"/>
          </w:rPr>
          <w:tab/>
        </w:r>
        <w:r w:rsidRPr="00D953E1">
          <w:rPr>
            <w:rStyle w:val="Hyperlink"/>
            <w:noProof/>
          </w:rPr>
          <w:t>Subsequent events</w:t>
        </w:r>
        <w:r>
          <w:rPr>
            <w:noProof/>
            <w:webHidden/>
          </w:rPr>
          <w:tab/>
        </w:r>
        <w:r>
          <w:rPr>
            <w:noProof/>
            <w:webHidden/>
          </w:rPr>
          <w:fldChar w:fldCharType="begin"/>
        </w:r>
        <w:r>
          <w:rPr>
            <w:noProof/>
            <w:webHidden/>
          </w:rPr>
          <w:instrText xml:space="preserve"> PAGEREF _Toc222999588 \h </w:instrText>
        </w:r>
        <w:r>
          <w:rPr>
            <w:noProof/>
            <w:webHidden/>
          </w:rPr>
        </w:r>
        <w:r>
          <w:rPr>
            <w:noProof/>
            <w:webHidden/>
          </w:rPr>
          <w:fldChar w:fldCharType="separate"/>
        </w:r>
        <w:r w:rsidR="00CA17BE">
          <w:rPr>
            <w:noProof/>
            <w:webHidden/>
          </w:rPr>
          <w:t>68</w:t>
        </w:r>
        <w:r>
          <w:rPr>
            <w:noProof/>
            <w:webHidden/>
          </w:rPr>
          <w:fldChar w:fldCharType="end"/>
        </w:r>
      </w:hyperlink>
    </w:p>
    <w:p w14:paraId="7A5EFD5B" w14:textId="6E04BE75" w:rsidR="00DA31C0" w:rsidRPr="00DA31C0" w:rsidRDefault="005E767C" w:rsidP="00E51206">
      <w:pPr>
        <w:rPr>
          <w:noProof/>
        </w:rPr>
      </w:pPr>
      <w:r w:rsidRPr="00940E38">
        <w:fldChar w:fldCharType="end"/>
      </w:r>
    </w:p>
    <w:p w14:paraId="3E5326D0" w14:textId="77777777" w:rsidR="00DA31C0" w:rsidRPr="00DA31C0" w:rsidRDefault="00DA31C0" w:rsidP="00DA31C0">
      <w:pPr>
        <w:rPr>
          <w:lang w:eastAsia="zh-CN"/>
        </w:rPr>
      </w:pPr>
    </w:p>
    <w:p w14:paraId="26F09165" w14:textId="77777777" w:rsidR="006843A9" w:rsidRDefault="006843A9" w:rsidP="007762BE">
      <w:pPr>
        <w:pStyle w:val="Heading2numbered"/>
        <w:sectPr w:rsidR="006843A9" w:rsidSect="006843A9">
          <w:type w:val="continuous"/>
          <w:pgSz w:w="11906" w:h="16838" w:code="9"/>
          <w:pgMar w:top="1134" w:right="1134" w:bottom="1134" w:left="1134" w:header="624" w:footer="567" w:gutter="0"/>
          <w:cols w:num="2" w:space="708"/>
          <w:docGrid w:linePitch="360"/>
        </w:sectPr>
      </w:pPr>
      <w:bookmarkStart w:id="9007" w:name="_Toc64983176"/>
      <w:bookmarkStart w:id="9008" w:name="_Toc96709983"/>
      <w:bookmarkStart w:id="9009" w:name="_Toc179815859"/>
      <w:bookmarkStart w:id="9010" w:name="_Toc179821559"/>
      <w:bookmarkStart w:id="9011" w:name="_Toc179827259"/>
      <w:bookmarkStart w:id="9012" w:name="_Toc179832904"/>
      <w:bookmarkStart w:id="9013" w:name="_Toc179864434"/>
      <w:bookmarkStart w:id="9014" w:name="_Toc179870723"/>
      <w:bookmarkStart w:id="9015" w:name="_Toc179875116"/>
      <w:bookmarkStart w:id="9016" w:name="_Toc179879509"/>
      <w:bookmarkStart w:id="9017" w:name="_Toc179880331"/>
      <w:bookmarkStart w:id="9018" w:name="_Toc190333405"/>
      <w:bookmarkEnd w:id="8997"/>
      <w:bookmarkEnd w:id="8998"/>
      <w:bookmarkEnd w:id="8999"/>
      <w:bookmarkEnd w:id="9000"/>
      <w:bookmarkEnd w:id="9001"/>
    </w:p>
    <w:p w14:paraId="2231D2DA" w14:textId="397B9533" w:rsidR="003719CD" w:rsidRDefault="003719CD" w:rsidP="007762BE">
      <w:pPr>
        <w:pStyle w:val="Heading2numbered"/>
      </w:pPr>
      <w:bookmarkStart w:id="9019" w:name="_Toc222999581"/>
      <w:r>
        <w:t xml:space="preserve">Ex gratia expenses </w:t>
      </w:r>
      <w:r w:rsidRPr="00B00B61">
        <w:rPr>
          <w:vertAlign w:val="superscript"/>
        </w:rPr>
        <w:t>(a)</w:t>
      </w:r>
      <w:bookmarkEnd w:id="9007"/>
      <w:bookmarkEnd w:id="9008"/>
      <w:bookmarkEnd w:id="9009"/>
      <w:bookmarkEnd w:id="9010"/>
      <w:bookmarkEnd w:id="9011"/>
      <w:bookmarkEnd w:id="9012"/>
      <w:bookmarkEnd w:id="9013"/>
      <w:bookmarkEnd w:id="9014"/>
      <w:bookmarkEnd w:id="9015"/>
      <w:bookmarkEnd w:id="9016"/>
      <w:bookmarkEnd w:id="9017"/>
      <w:bookmarkEnd w:id="9018"/>
      <w:bookmarkEnd w:id="9019"/>
    </w:p>
    <w:p w14:paraId="6C72BD93" w14:textId="37A792DA" w:rsidR="003719CD" w:rsidRDefault="003719CD" w:rsidP="00DC39DE">
      <w:r>
        <w:t xml:space="preserve">Ex gratia expenses are the voluntary payments of money or other non-monetary benefit (e.g. a write off) that </w:t>
      </w:r>
      <w:r w:rsidR="00532856">
        <w:t xml:space="preserve">are </w:t>
      </w:r>
      <w:r>
        <w:t>not made either to acquire goods, services or other benefits for the entity or to meet a legal liability, or to settle or resolve a possible legal liability of or claim against the entity.</w:t>
      </w:r>
    </w:p>
    <w:p w14:paraId="08DF9C14" w14:textId="77777777" w:rsidR="003719CD" w:rsidRDefault="003719CD" w:rsidP="007D536F">
      <w:pPr>
        <w:pStyle w:val="TableUnits"/>
      </w:pPr>
      <w:r>
        <w:t>($ thousand)</w:t>
      </w:r>
    </w:p>
    <w:tbl>
      <w:tblPr>
        <w:tblStyle w:val="DTFTable"/>
        <w:tblW w:w="9639" w:type="dxa"/>
        <w:tblLayout w:type="fixed"/>
        <w:tblLook w:val="0620" w:firstRow="1" w:lastRow="0" w:firstColumn="0" w:lastColumn="0" w:noHBand="1" w:noVBand="1"/>
      </w:tblPr>
      <w:tblGrid>
        <w:gridCol w:w="1349"/>
        <w:gridCol w:w="6558"/>
        <w:gridCol w:w="866"/>
        <w:gridCol w:w="866"/>
      </w:tblGrid>
      <w:tr w:rsidR="00182709" w14:paraId="357B2B75" w14:textId="77777777" w:rsidTr="002A0038">
        <w:trPr>
          <w:cnfStyle w:val="100000000000" w:firstRow="1" w:lastRow="0" w:firstColumn="0" w:lastColumn="0" w:oddVBand="0" w:evenVBand="0" w:oddHBand="0" w:evenHBand="0" w:firstRowFirstColumn="0" w:firstRowLastColumn="0" w:lastRowFirstColumn="0" w:lastRowLastColumn="0"/>
          <w:tblHeader/>
        </w:trPr>
        <w:tc>
          <w:tcPr>
            <w:tcW w:w="1349" w:type="dxa"/>
            <w:tcBorders>
              <w:top w:val="nil"/>
              <w:bottom w:val="nil"/>
            </w:tcBorders>
            <w:shd w:val="clear" w:color="auto" w:fill="FFFFFF" w:themeFill="background1"/>
          </w:tcPr>
          <w:p w14:paraId="47175FA1" w14:textId="77777777" w:rsidR="00182709" w:rsidRDefault="0044097C">
            <w:pPr>
              <w:keepNext/>
              <w:jc w:val="left"/>
            </w:pPr>
            <w:r>
              <w:rPr>
                <w:color w:val="4472C4"/>
                <w:sz w:val="13"/>
              </w:rPr>
              <w:t>Source reference</w:t>
            </w:r>
          </w:p>
        </w:tc>
        <w:tc>
          <w:tcPr>
            <w:tcW w:w="6558" w:type="dxa"/>
          </w:tcPr>
          <w:p w14:paraId="66BC8E09" w14:textId="77777777" w:rsidR="00182709" w:rsidRDefault="00182709">
            <w:pPr>
              <w:keepNext/>
              <w:jc w:val="left"/>
            </w:pPr>
          </w:p>
        </w:tc>
        <w:tc>
          <w:tcPr>
            <w:tcW w:w="866" w:type="dxa"/>
          </w:tcPr>
          <w:p w14:paraId="6AA1D458" w14:textId="77777777" w:rsidR="00182709" w:rsidRDefault="0044097C">
            <w:pPr>
              <w:keepNext/>
            </w:pPr>
            <w:r>
              <w:t>20X2</w:t>
            </w:r>
          </w:p>
        </w:tc>
        <w:tc>
          <w:tcPr>
            <w:tcW w:w="866" w:type="dxa"/>
          </w:tcPr>
          <w:p w14:paraId="5D5C3572" w14:textId="77777777" w:rsidR="00182709" w:rsidRDefault="0044097C">
            <w:pPr>
              <w:keepNext/>
            </w:pPr>
            <w:r>
              <w:t>20X1</w:t>
            </w:r>
          </w:p>
        </w:tc>
      </w:tr>
      <w:tr w:rsidR="00182709" w14:paraId="133A1166" w14:textId="77777777" w:rsidTr="002A0038">
        <w:tc>
          <w:tcPr>
            <w:tcW w:w="1349" w:type="dxa"/>
          </w:tcPr>
          <w:p w14:paraId="7873C140" w14:textId="77777777" w:rsidR="00182709" w:rsidRDefault="00182709">
            <w:pPr>
              <w:jc w:val="left"/>
            </w:pPr>
          </w:p>
        </w:tc>
        <w:tc>
          <w:tcPr>
            <w:tcW w:w="6558" w:type="dxa"/>
            <w:tcBorders>
              <w:bottom w:val="single" w:sz="12" w:space="0" w:color="auto"/>
            </w:tcBorders>
          </w:tcPr>
          <w:p w14:paraId="0BC9AAB7" w14:textId="7BA860D6" w:rsidR="00182709" w:rsidRDefault="0044097C">
            <w:pPr>
              <w:jc w:val="left"/>
            </w:pPr>
            <w:r>
              <w:t xml:space="preserve">Property damage payments </w:t>
            </w:r>
            <w:r>
              <w:rPr>
                <w:vertAlign w:val="superscript"/>
              </w:rPr>
              <w:t>(</w:t>
            </w:r>
            <w:r w:rsidR="000106D8">
              <w:rPr>
                <w:rFonts w:hint="eastAsia"/>
                <w:vertAlign w:val="superscript"/>
                <w:lang w:eastAsia="zh-CN"/>
              </w:rPr>
              <w:t>b</w:t>
            </w:r>
            <w:r>
              <w:rPr>
                <w:vertAlign w:val="superscript"/>
              </w:rPr>
              <w:t>)</w:t>
            </w:r>
          </w:p>
        </w:tc>
        <w:tc>
          <w:tcPr>
            <w:tcW w:w="866" w:type="dxa"/>
            <w:tcBorders>
              <w:bottom w:val="single" w:sz="12" w:space="0" w:color="auto"/>
            </w:tcBorders>
          </w:tcPr>
          <w:p w14:paraId="52A6E8B3" w14:textId="0597F5D8" w:rsidR="00182709" w:rsidRDefault="0002317D">
            <w:r>
              <w:rPr>
                <w:rFonts w:hint="eastAsia"/>
                <w:lang w:eastAsia="zh-CN"/>
              </w:rPr>
              <w:t>156</w:t>
            </w:r>
          </w:p>
        </w:tc>
        <w:tc>
          <w:tcPr>
            <w:tcW w:w="866" w:type="dxa"/>
            <w:tcBorders>
              <w:bottom w:val="single" w:sz="12" w:space="0" w:color="auto"/>
            </w:tcBorders>
          </w:tcPr>
          <w:p w14:paraId="6839FA09" w14:textId="77777777" w:rsidR="00182709" w:rsidRDefault="0044097C">
            <w:r>
              <w:t>16</w:t>
            </w:r>
          </w:p>
        </w:tc>
      </w:tr>
      <w:tr w:rsidR="00671D55" w14:paraId="13EA0DC9" w14:textId="77777777" w:rsidTr="002A0038">
        <w:tc>
          <w:tcPr>
            <w:tcW w:w="1349" w:type="dxa"/>
            <w:tcBorders>
              <w:bottom w:val="nil"/>
            </w:tcBorders>
          </w:tcPr>
          <w:p w14:paraId="35BA3FA3" w14:textId="74ECF1AA" w:rsidR="00182709" w:rsidRPr="00A910AD" w:rsidRDefault="0044097C">
            <w:pPr>
              <w:jc w:val="left"/>
              <w:rPr>
                <w:color w:val="4472C4" w:themeColor="accent1"/>
                <w:sz w:val="13"/>
                <w:szCs w:val="13"/>
              </w:rPr>
            </w:pPr>
            <w:r w:rsidRPr="00A910AD">
              <w:rPr>
                <w:color w:val="4472C4" w:themeColor="accent1"/>
                <w:sz w:val="13"/>
                <w:szCs w:val="13"/>
              </w:rPr>
              <w:t xml:space="preserve">FRD </w:t>
            </w:r>
            <w:r w:rsidRPr="00A910AD">
              <w:rPr>
                <w:color w:val="4472C4"/>
                <w:sz w:val="13"/>
              </w:rPr>
              <w:t>11</w:t>
            </w:r>
          </w:p>
        </w:tc>
        <w:tc>
          <w:tcPr>
            <w:tcW w:w="6558" w:type="dxa"/>
          </w:tcPr>
          <w:p w14:paraId="452811ED" w14:textId="31BF1BF0" w:rsidR="00182709" w:rsidRDefault="0044097C">
            <w:pPr>
              <w:jc w:val="left"/>
            </w:pPr>
            <w:r>
              <w:rPr>
                <w:b/>
              </w:rPr>
              <w:t xml:space="preserve">Total ex gratia expenses </w:t>
            </w:r>
            <w:r>
              <w:rPr>
                <w:b/>
                <w:vertAlign w:val="superscript"/>
              </w:rPr>
              <w:t>(</w:t>
            </w:r>
            <w:r w:rsidR="000106D8">
              <w:rPr>
                <w:rFonts w:hint="eastAsia"/>
                <w:b/>
                <w:vertAlign w:val="superscript"/>
                <w:lang w:eastAsia="zh-CN"/>
              </w:rPr>
              <w:t>c</w:t>
            </w:r>
            <w:r>
              <w:rPr>
                <w:b/>
                <w:vertAlign w:val="superscript"/>
              </w:rPr>
              <w:t>)</w:t>
            </w:r>
          </w:p>
        </w:tc>
        <w:tc>
          <w:tcPr>
            <w:tcW w:w="866" w:type="dxa"/>
          </w:tcPr>
          <w:p w14:paraId="2D449667" w14:textId="77777777" w:rsidR="00182709" w:rsidRDefault="0044097C">
            <w:r>
              <w:rPr>
                <w:b/>
              </w:rPr>
              <w:t>156</w:t>
            </w:r>
          </w:p>
        </w:tc>
        <w:tc>
          <w:tcPr>
            <w:tcW w:w="866" w:type="dxa"/>
          </w:tcPr>
          <w:p w14:paraId="3B4AB713" w14:textId="77777777" w:rsidR="00182709" w:rsidRDefault="0044097C">
            <w:r>
              <w:rPr>
                <w:b/>
              </w:rPr>
              <w:t>16</w:t>
            </w:r>
          </w:p>
        </w:tc>
      </w:tr>
    </w:tbl>
    <w:p w14:paraId="3789D6E5" w14:textId="77777777" w:rsidR="003719CD" w:rsidRDefault="003719CD" w:rsidP="007D536F">
      <w:pPr>
        <w:pStyle w:val="Note"/>
      </w:pPr>
      <w:r>
        <w:t>Notes:</w:t>
      </w:r>
    </w:p>
    <w:p w14:paraId="00ECAA8F" w14:textId="4097188C" w:rsidR="003719CD" w:rsidRPr="00F9021B" w:rsidRDefault="003719CD" w:rsidP="009E0F4F">
      <w:pPr>
        <w:pStyle w:val="Note"/>
        <w:rPr>
          <w:rStyle w:val="Guidance"/>
        </w:rPr>
      </w:pPr>
      <w:r>
        <w:t>(a)</w:t>
      </w:r>
      <w:r>
        <w:tab/>
        <w:t>Includes ex gratia expenses for both individual items and in aggregate that are greater than or equal to $5 000.</w:t>
      </w:r>
    </w:p>
    <w:p w14:paraId="52ED250D" w14:textId="3EE2763B" w:rsidR="003719CD" w:rsidRDefault="003719CD" w:rsidP="007D536F">
      <w:pPr>
        <w:pStyle w:val="Note"/>
      </w:pPr>
      <w:r>
        <w:t>(</w:t>
      </w:r>
      <w:r w:rsidR="000106D8">
        <w:rPr>
          <w:rFonts w:hint="eastAsia"/>
          <w:lang w:eastAsia="zh-CN"/>
        </w:rPr>
        <w:t>b</w:t>
      </w:r>
      <w:r>
        <w:t>)</w:t>
      </w:r>
      <w:r>
        <w:tab/>
        <w:t>Payments for water damage to properties adjacent to the Victorian Highway site due to burst pipes in the March storms (not being in settlement of a legal liability).</w:t>
      </w:r>
    </w:p>
    <w:p w14:paraId="6EB34AA2" w14:textId="10DE87C8" w:rsidR="003719CD" w:rsidRDefault="003719CD" w:rsidP="007D536F">
      <w:pPr>
        <w:pStyle w:val="Note"/>
      </w:pPr>
      <w:r>
        <w:t>(</w:t>
      </w:r>
      <w:r w:rsidR="000106D8">
        <w:rPr>
          <w:rFonts w:hint="eastAsia"/>
          <w:lang w:eastAsia="zh-CN"/>
        </w:rPr>
        <w:t>c</w:t>
      </w:r>
      <w:r>
        <w:t>)</w:t>
      </w:r>
      <w:r>
        <w:tab/>
        <w:t>The total for ex gratia expenses is also presented in ‘other operating expenses’ of Note 3.</w:t>
      </w:r>
      <w:r w:rsidR="008F49C2">
        <w:t>3</w:t>
      </w:r>
      <w:r>
        <w:t xml:space="preserve"> Other operating expenses.</w:t>
      </w:r>
    </w:p>
    <w:p w14:paraId="4B0E9FEA" w14:textId="77777777" w:rsidR="003C2B9A" w:rsidRPr="003C2B9A" w:rsidRDefault="003C2B9A" w:rsidP="003C2B9A">
      <w:pPr>
        <w:pStyle w:val="Note"/>
        <w:spacing w:before="160" w:after="80" w:line="264" w:lineRule="auto"/>
        <w:contextualSpacing w:val="0"/>
        <w:rPr>
          <w:i w:val="0"/>
          <w:iCs/>
          <w:sz w:val="18"/>
        </w:rPr>
      </w:pPr>
    </w:p>
    <w:p w14:paraId="7E70F111" w14:textId="440BCF09" w:rsidR="003719CD" w:rsidRPr="00B00B61" w:rsidRDefault="003719CD" w:rsidP="007D536F">
      <w:pPr>
        <w:pStyle w:val="GuidanceBlockHeading"/>
      </w:pPr>
      <w:bookmarkStart w:id="9020" w:name="_Toc179815860"/>
      <w:bookmarkStart w:id="9021" w:name="_Toc179821560"/>
      <w:bookmarkStart w:id="9022" w:name="_Toc179827260"/>
      <w:r w:rsidRPr="00B00B61">
        <w:t>Guidance – Ex gratia expenses</w:t>
      </w:r>
      <w:bookmarkEnd w:id="9020"/>
      <w:bookmarkEnd w:id="9021"/>
      <w:bookmarkEnd w:id="9022"/>
    </w:p>
    <w:p w14:paraId="4DDD25AA" w14:textId="14125BC5" w:rsidR="003719CD" w:rsidRPr="00B00B61" w:rsidRDefault="003719CD" w:rsidP="002A0038">
      <w:pPr>
        <w:spacing w:before="120" w:after="0"/>
        <w:rPr>
          <w:rStyle w:val="Guidance"/>
          <w:rFonts w:asciiTheme="majorHAnsi" w:eastAsiaTheme="majorEastAsia" w:hAnsiTheme="majorHAnsi" w:cstheme="majorBidi"/>
          <w:b/>
          <w:bCs/>
          <w:iCs/>
          <w:sz w:val="20"/>
          <w:szCs w:val="24"/>
        </w:rPr>
      </w:pPr>
      <w:r w:rsidRPr="00B00B61">
        <w:rPr>
          <w:rStyle w:val="Guidance"/>
        </w:rPr>
        <w:t>The disclosure of ex gratia expenses is required for all entities that are defined as either a public body or a</w:t>
      </w:r>
      <w:r w:rsidR="003C2B9A">
        <w:rPr>
          <w:rStyle w:val="Guidance"/>
          <w:rFonts w:hint="eastAsia"/>
          <w:lang w:eastAsia="zh-CN"/>
        </w:rPr>
        <w:t>n</w:t>
      </w:r>
      <w:r w:rsidRPr="00B00B61">
        <w:rPr>
          <w:rStyle w:val="Guidance"/>
        </w:rPr>
        <w:t xml:space="preserve"> </w:t>
      </w:r>
      <w:r w:rsidR="00B85E40">
        <w:rPr>
          <w:rStyle w:val="Guidance"/>
        </w:rPr>
        <w:t>entity</w:t>
      </w:r>
      <w:r w:rsidR="00B85E40" w:rsidRPr="00B00B61">
        <w:rPr>
          <w:rStyle w:val="Guidance"/>
        </w:rPr>
        <w:t xml:space="preserve"> </w:t>
      </w:r>
      <w:r w:rsidRPr="00B00B61">
        <w:rPr>
          <w:rStyle w:val="Guidance"/>
        </w:rPr>
        <w:t xml:space="preserve">under section 3 of the </w:t>
      </w:r>
      <w:r w:rsidRPr="00B00B61">
        <w:rPr>
          <w:rStyle w:val="Guidance"/>
          <w:i/>
          <w:iCs/>
        </w:rPr>
        <w:t>Financial Management Act 1994</w:t>
      </w:r>
      <w:r w:rsidRPr="00B00B61">
        <w:rPr>
          <w:rStyle w:val="Guidance"/>
        </w:rPr>
        <w:t>. Public bodies include the following:</w:t>
      </w:r>
    </w:p>
    <w:p w14:paraId="37FADAC7" w14:textId="470B9034" w:rsidR="003719CD" w:rsidRPr="00B00B61" w:rsidRDefault="00114FE1" w:rsidP="002A0038">
      <w:pPr>
        <w:pStyle w:val="ListBullet"/>
        <w:numPr>
          <w:ilvl w:val="0"/>
          <w:numId w:val="358"/>
        </w:numPr>
        <w:spacing w:after="0"/>
        <w:ind w:left="357" w:hanging="357"/>
        <w:rPr>
          <w:rStyle w:val="Guidance"/>
        </w:rPr>
      </w:pPr>
      <w:r>
        <w:rPr>
          <w:rStyle w:val="Guidance"/>
        </w:rPr>
        <w:t>P</w:t>
      </w:r>
      <w:r w:rsidR="003719CD" w:rsidRPr="00B00B61">
        <w:rPr>
          <w:rStyle w:val="Guidance"/>
        </w:rPr>
        <w:t>ublic statutory authority</w:t>
      </w:r>
    </w:p>
    <w:p w14:paraId="2DA7CCFA" w14:textId="21A804EB" w:rsidR="003719CD" w:rsidRPr="00B00B61" w:rsidRDefault="00114FE1" w:rsidP="002A0038">
      <w:pPr>
        <w:pStyle w:val="ListBullet"/>
        <w:numPr>
          <w:ilvl w:val="0"/>
          <w:numId w:val="358"/>
        </w:numPr>
        <w:spacing w:after="0"/>
        <w:ind w:left="357" w:hanging="357"/>
        <w:rPr>
          <w:rStyle w:val="Guidance"/>
        </w:rPr>
      </w:pPr>
      <w:r>
        <w:rPr>
          <w:rStyle w:val="Guidance"/>
        </w:rPr>
        <w:t>A</w:t>
      </w:r>
      <w:r w:rsidR="003719CD" w:rsidRPr="00B00B61">
        <w:rPr>
          <w:rStyle w:val="Guidance"/>
        </w:rPr>
        <w:t xml:space="preserve"> State business corporation or State body within the meaning of the </w:t>
      </w:r>
      <w:proofErr w:type="gramStart"/>
      <w:r w:rsidR="003719CD" w:rsidRPr="00B00B61">
        <w:rPr>
          <w:rStyle w:val="Guidance"/>
          <w:i/>
          <w:iCs/>
        </w:rPr>
        <w:t>State Owned</w:t>
      </w:r>
      <w:proofErr w:type="gramEnd"/>
      <w:r w:rsidR="003719CD" w:rsidRPr="00B00B61">
        <w:rPr>
          <w:rStyle w:val="Guidance"/>
          <w:i/>
          <w:iCs/>
        </w:rPr>
        <w:t xml:space="preserve"> Enterprises Act 1992</w:t>
      </w:r>
    </w:p>
    <w:p w14:paraId="196F4DA4" w14:textId="082D2D90" w:rsidR="003719CD" w:rsidRPr="00B00B61" w:rsidRDefault="003719CD" w:rsidP="002A0038">
      <w:pPr>
        <w:pStyle w:val="ListBullet"/>
        <w:numPr>
          <w:ilvl w:val="0"/>
          <w:numId w:val="358"/>
        </w:numPr>
        <w:spacing w:after="0"/>
        <w:ind w:left="357" w:hanging="357"/>
        <w:rPr>
          <w:rStyle w:val="Guidance"/>
        </w:rPr>
      </w:pPr>
      <w:r w:rsidRPr="00B00B61">
        <w:rPr>
          <w:rStyle w:val="Guidance"/>
        </w:rPr>
        <w:t>Court Services Victoria</w:t>
      </w:r>
    </w:p>
    <w:p w14:paraId="5E02569B" w14:textId="45D15FAC" w:rsidR="003719CD" w:rsidRPr="00B00B61" w:rsidRDefault="00114FE1" w:rsidP="002A0038">
      <w:pPr>
        <w:pStyle w:val="ListBullet"/>
        <w:numPr>
          <w:ilvl w:val="0"/>
          <w:numId w:val="358"/>
        </w:numPr>
        <w:spacing w:after="0"/>
        <w:ind w:left="357" w:hanging="357"/>
        <w:rPr>
          <w:rStyle w:val="Guidance"/>
        </w:rPr>
      </w:pPr>
      <w:r>
        <w:rPr>
          <w:rStyle w:val="Guidance"/>
        </w:rPr>
        <w:t>A</w:t>
      </w:r>
      <w:r w:rsidR="003719CD" w:rsidRPr="00B00B61">
        <w:rPr>
          <w:rStyle w:val="Guidance"/>
        </w:rPr>
        <w:t xml:space="preserve"> body, office or trust body that is:</w:t>
      </w:r>
    </w:p>
    <w:p w14:paraId="1AC163D5" w14:textId="4839A7FB" w:rsidR="003719CD" w:rsidRPr="00B00B61" w:rsidRDefault="003719CD" w:rsidP="00FE6E67">
      <w:pPr>
        <w:pStyle w:val="ListBullet2"/>
        <w:numPr>
          <w:ilvl w:val="0"/>
          <w:numId w:val="359"/>
        </w:numPr>
        <w:rPr>
          <w:rStyle w:val="Guidance"/>
        </w:rPr>
      </w:pPr>
      <w:r w:rsidRPr="00B00B61">
        <w:rPr>
          <w:rStyle w:val="Guidance"/>
        </w:rPr>
        <w:t>established by or under an Act or enactment</w:t>
      </w:r>
    </w:p>
    <w:p w14:paraId="081FAEF6" w14:textId="4F7CCC38" w:rsidR="003719CD" w:rsidRDefault="003719CD" w:rsidP="00FE6E67">
      <w:pPr>
        <w:pStyle w:val="ListBullet2"/>
        <w:numPr>
          <w:ilvl w:val="0"/>
          <w:numId w:val="359"/>
        </w:numPr>
        <w:rPr>
          <w:rStyle w:val="Guidance"/>
        </w:rPr>
      </w:pPr>
      <w:r w:rsidRPr="00B00B61">
        <w:rPr>
          <w:rStyle w:val="Guidance"/>
        </w:rPr>
        <w:t>established by the Governor in Council or a Minister</w:t>
      </w:r>
    </w:p>
    <w:p w14:paraId="01B36A4C" w14:textId="094660CA" w:rsidR="00CF11AB" w:rsidRPr="00B00B61" w:rsidRDefault="00CF11AB" w:rsidP="00FE6E67">
      <w:pPr>
        <w:pStyle w:val="ListBullet2"/>
        <w:numPr>
          <w:ilvl w:val="0"/>
          <w:numId w:val="359"/>
        </w:numPr>
        <w:rPr>
          <w:rStyle w:val="Guidance"/>
        </w:rPr>
      </w:pPr>
      <w:r w:rsidRPr="00CF11AB">
        <w:rPr>
          <w:rStyle w:val="Guidance"/>
        </w:rPr>
        <w:t>declared by the Minister, by notice published in the Government Gazette, to be a body or office to which Part 7 of Financial Management Act 1994 applies.</w:t>
      </w:r>
    </w:p>
    <w:p w14:paraId="53E34B9A" w14:textId="493AD6C9" w:rsidR="0030170E" w:rsidRPr="002A0038" w:rsidRDefault="0030170E" w:rsidP="002A0038">
      <w:pPr>
        <w:pStyle w:val="Normalbold"/>
        <w:spacing w:before="120" w:after="0"/>
      </w:pPr>
      <w:r w:rsidRPr="002A0038">
        <w:rPr>
          <w:rStyle w:val="Guidance"/>
          <w:b w:val="0"/>
        </w:rPr>
        <w:t>An entity must disclose in aggregate the total amount of material ex gratia expenses in the notes to the financial statements. The disclosure must be accompanied by a description of the nature and purpose of the expenses (including amounts written off), and the relevant line item or items to which the expenses were recognised in the financial statements.</w:t>
      </w:r>
      <w:r w:rsidRPr="00324A25">
        <w:rPr>
          <w:rStyle w:val="Guidance"/>
          <w:rFonts w:eastAsia="SimSun"/>
          <w:b w:val="0"/>
          <w:spacing w:val="0"/>
        </w:rPr>
        <w:t xml:space="preserve"> </w:t>
      </w:r>
      <w:r w:rsidRPr="002A0038">
        <w:rPr>
          <w:rStyle w:val="Guidance"/>
          <w:b w:val="0"/>
        </w:rPr>
        <w:t>Where an entity has incurred multiple ex gratia expenses that are clearly distinguishable by their nature and/or purpose, the disclosure must be disaggregated to provide sufficient information to allow users to understand the different natures and/or purposes of the expenses.</w:t>
      </w:r>
      <w:r w:rsidRPr="006E23D9">
        <w:rPr>
          <w:b w:val="0"/>
        </w:rPr>
        <w:t xml:space="preserve"> </w:t>
      </w:r>
      <w:r w:rsidR="008A2A62" w:rsidRPr="00F569D8">
        <w:rPr>
          <w:rStyle w:val="Reference"/>
          <w:b w:val="0"/>
        </w:rPr>
        <w:t>[</w:t>
      </w:r>
      <w:r w:rsidR="008A2A62" w:rsidRPr="00E51206">
        <w:rPr>
          <w:rStyle w:val="Reference"/>
          <w:b w:val="0"/>
        </w:rPr>
        <w:t>FRD 11.4.1</w:t>
      </w:r>
      <w:r w:rsidR="008A2A62" w:rsidRPr="00F569D8">
        <w:rPr>
          <w:rStyle w:val="Reference"/>
          <w:b w:val="0"/>
        </w:rPr>
        <w:t>]</w:t>
      </w:r>
    </w:p>
    <w:p w14:paraId="443C34CE" w14:textId="1FA56889" w:rsidR="003719CD" w:rsidRPr="00B00B61" w:rsidRDefault="003719CD" w:rsidP="002A0038">
      <w:pPr>
        <w:pStyle w:val="GuidanceHeading"/>
        <w:spacing w:before="120" w:after="0"/>
        <w:rPr>
          <w:rStyle w:val="Guidance"/>
          <w:b w:val="0"/>
          <w:sz w:val="18"/>
        </w:rPr>
      </w:pPr>
      <w:r w:rsidRPr="00B00B61">
        <w:rPr>
          <w:rStyle w:val="Guidance"/>
        </w:rPr>
        <w:t>Materiality threshold of $5</w:t>
      </w:r>
      <w:r w:rsidR="00714789">
        <w:rPr>
          <w:rStyle w:val="Guidance"/>
        </w:rPr>
        <w:t xml:space="preserve"> </w:t>
      </w:r>
      <w:r w:rsidRPr="00B00B61">
        <w:rPr>
          <w:rStyle w:val="Guidance"/>
        </w:rPr>
        <w:t xml:space="preserve">000 for ex gratia expenses disclosure </w:t>
      </w:r>
    </w:p>
    <w:p w14:paraId="54C2982E" w14:textId="7D005C5B" w:rsidR="003719CD" w:rsidRPr="00B00B61" w:rsidRDefault="00D65226" w:rsidP="002A0038">
      <w:pPr>
        <w:spacing w:before="120" w:after="0"/>
        <w:rPr>
          <w:rStyle w:val="Guidance"/>
          <w:b/>
          <w:sz w:val="20"/>
        </w:rPr>
      </w:pPr>
      <w:r w:rsidRPr="002A0038">
        <w:rPr>
          <w:rStyle w:val="Guidance"/>
        </w:rPr>
        <w:t>Only ex gratia expense items greater than or equal to $5</w:t>
      </w:r>
      <w:r w:rsidR="00792708">
        <w:rPr>
          <w:rStyle w:val="Guidance"/>
        </w:rPr>
        <w:t xml:space="preserve"> </w:t>
      </w:r>
      <w:r w:rsidRPr="002A0038">
        <w:rPr>
          <w:rStyle w:val="Guidance"/>
        </w:rPr>
        <w:t>000 need be included in a disclosure, unless there are factors which make an expense item of less than $5</w:t>
      </w:r>
      <w:r w:rsidR="00792708">
        <w:rPr>
          <w:rStyle w:val="Guidance"/>
        </w:rPr>
        <w:t xml:space="preserve"> </w:t>
      </w:r>
      <w:r w:rsidRPr="002A0038">
        <w:rPr>
          <w:rStyle w:val="Guidance"/>
        </w:rPr>
        <w:t>000 material in the circumstances.</w:t>
      </w:r>
      <w:r w:rsidRPr="00277C94">
        <w:rPr>
          <w:rStyle w:val="Guidance"/>
        </w:rPr>
        <w:t xml:space="preserve"> </w:t>
      </w:r>
      <w:r w:rsidRPr="00277C94">
        <w:rPr>
          <w:rStyle w:val="Reference"/>
        </w:rPr>
        <w:t>[</w:t>
      </w:r>
      <w:r w:rsidRPr="002A0038">
        <w:rPr>
          <w:rStyle w:val="Reference"/>
        </w:rPr>
        <w:t>FRD 11.6.5</w:t>
      </w:r>
      <w:r w:rsidRPr="00277C94">
        <w:rPr>
          <w:rStyle w:val="Reference"/>
        </w:rPr>
        <w:t>]</w:t>
      </w:r>
    </w:p>
    <w:p w14:paraId="7B24E755" w14:textId="77777777" w:rsidR="003719CD" w:rsidRDefault="003719CD" w:rsidP="007D536F">
      <w:pPr>
        <w:pStyle w:val="GuidanceEnd"/>
      </w:pPr>
    </w:p>
    <w:p w14:paraId="0E15B2B5" w14:textId="4C7710B1" w:rsidR="003719CD" w:rsidRDefault="003719CD" w:rsidP="007762BE">
      <w:pPr>
        <w:pStyle w:val="Heading2numbered"/>
      </w:pPr>
      <w:bookmarkStart w:id="9023" w:name="_Toc64983177"/>
      <w:bookmarkStart w:id="9024" w:name="_Toc96709984"/>
      <w:bookmarkStart w:id="9025" w:name="_Toc179815861"/>
      <w:bookmarkStart w:id="9026" w:name="_Toc179821561"/>
      <w:bookmarkStart w:id="9027" w:name="_Toc179827261"/>
      <w:bookmarkStart w:id="9028" w:name="_Toc179832905"/>
      <w:bookmarkStart w:id="9029" w:name="_Toc179864435"/>
      <w:bookmarkStart w:id="9030" w:name="_Toc179870724"/>
      <w:bookmarkStart w:id="9031" w:name="_Toc179875117"/>
      <w:bookmarkStart w:id="9032" w:name="_Toc179879510"/>
      <w:bookmarkStart w:id="9033" w:name="_Toc179880332"/>
      <w:bookmarkStart w:id="9034" w:name="_Toc190333406"/>
      <w:bookmarkStart w:id="9035" w:name="_Toc222999582"/>
      <w:r>
        <w:t>Other economic flows included in net result</w:t>
      </w:r>
      <w:bookmarkEnd w:id="9023"/>
      <w:bookmarkEnd w:id="9024"/>
      <w:bookmarkEnd w:id="9025"/>
      <w:bookmarkEnd w:id="9026"/>
      <w:bookmarkEnd w:id="9027"/>
      <w:bookmarkEnd w:id="9028"/>
      <w:bookmarkEnd w:id="9029"/>
      <w:bookmarkEnd w:id="9030"/>
      <w:bookmarkEnd w:id="9031"/>
      <w:bookmarkEnd w:id="9032"/>
      <w:bookmarkEnd w:id="9033"/>
      <w:bookmarkEnd w:id="9034"/>
      <w:bookmarkEnd w:id="9035"/>
    </w:p>
    <w:p w14:paraId="414409C6" w14:textId="0FE26847" w:rsidR="003719CD" w:rsidRDefault="003719CD" w:rsidP="00C8530A">
      <w:pPr>
        <w:keepNext/>
        <w:rPr>
          <w:lang w:eastAsia="zh-CN"/>
        </w:rPr>
      </w:pPr>
      <w:r>
        <w:t xml:space="preserve">Other economic flows are changes in the volume or value of an asset or liability that do not result from transactions. </w:t>
      </w:r>
    </w:p>
    <w:p w14:paraId="77655084" w14:textId="77777777" w:rsidR="003719CD" w:rsidRDefault="003719CD" w:rsidP="007D536F">
      <w:pPr>
        <w:pStyle w:val="TableUnits"/>
      </w:pPr>
      <w:r>
        <w:t>($ thousand)</w:t>
      </w:r>
    </w:p>
    <w:tbl>
      <w:tblPr>
        <w:tblStyle w:val="DTFTable"/>
        <w:tblW w:w="9639" w:type="dxa"/>
        <w:tblLayout w:type="fixed"/>
        <w:tblLook w:val="0620" w:firstRow="1" w:lastRow="0" w:firstColumn="0" w:lastColumn="0" w:noHBand="1" w:noVBand="1"/>
      </w:tblPr>
      <w:tblGrid>
        <w:gridCol w:w="1418"/>
        <w:gridCol w:w="6489"/>
        <w:gridCol w:w="866"/>
        <w:gridCol w:w="866"/>
      </w:tblGrid>
      <w:tr w:rsidR="00182709" w14:paraId="7D8B8847" w14:textId="77777777" w:rsidTr="002A0038">
        <w:trPr>
          <w:cnfStyle w:val="100000000000" w:firstRow="1" w:lastRow="0" w:firstColumn="0" w:lastColumn="0" w:oddVBand="0" w:evenVBand="0" w:oddHBand="0" w:evenHBand="0" w:firstRowFirstColumn="0" w:firstRowLastColumn="0" w:lastRowFirstColumn="0" w:lastRowLastColumn="0"/>
          <w:trHeight w:val="300"/>
          <w:tblHeader/>
        </w:trPr>
        <w:tc>
          <w:tcPr>
            <w:tcW w:w="1418" w:type="dxa"/>
            <w:tcBorders>
              <w:top w:val="nil"/>
              <w:bottom w:val="nil"/>
            </w:tcBorders>
            <w:shd w:val="clear" w:color="auto" w:fill="FFFFFF" w:themeFill="background1"/>
          </w:tcPr>
          <w:p w14:paraId="017B6151" w14:textId="77777777" w:rsidR="00182709" w:rsidRDefault="0044097C">
            <w:pPr>
              <w:keepNext/>
              <w:jc w:val="left"/>
            </w:pPr>
            <w:r>
              <w:rPr>
                <w:color w:val="4472C4"/>
                <w:sz w:val="13"/>
              </w:rPr>
              <w:t>Source reference</w:t>
            </w:r>
          </w:p>
        </w:tc>
        <w:tc>
          <w:tcPr>
            <w:tcW w:w="6489" w:type="dxa"/>
          </w:tcPr>
          <w:p w14:paraId="75510417" w14:textId="77777777" w:rsidR="00182709" w:rsidRDefault="00182709">
            <w:pPr>
              <w:keepNext/>
              <w:jc w:val="left"/>
            </w:pPr>
          </w:p>
        </w:tc>
        <w:tc>
          <w:tcPr>
            <w:tcW w:w="866" w:type="dxa"/>
          </w:tcPr>
          <w:p w14:paraId="4016D1E1" w14:textId="77777777" w:rsidR="00182709" w:rsidRDefault="0044097C">
            <w:pPr>
              <w:keepNext/>
            </w:pPr>
            <w:r>
              <w:t>20X2</w:t>
            </w:r>
          </w:p>
        </w:tc>
        <w:tc>
          <w:tcPr>
            <w:tcW w:w="866" w:type="dxa"/>
          </w:tcPr>
          <w:p w14:paraId="467E7CEE" w14:textId="77777777" w:rsidR="00182709" w:rsidRDefault="0044097C">
            <w:pPr>
              <w:keepNext/>
            </w:pPr>
            <w:r>
              <w:t>20X1</w:t>
            </w:r>
          </w:p>
        </w:tc>
      </w:tr>
      <w:tr w:rsidR="00182709" w14:paraId="65B3DB8B" w14:textId="77777777" w:rsidTr="002A0038">
        <w:trPr>
          <w:trHeight w:val="300"/>
        </w:trPr>
        <w:tc>
          <w:tcPr>
            <w:tcW w:w="1418" w:type="dxa"/>
          </w:tcPr>
          <w:p w14:paraId="6CF8197B" w14:textId="219A0525" w:rsidR="00182709" w:rsidRDefault="00182709">
            <w:pPr>
              <w:jc w:val="left"/>
            </w:pPr>
          </w:p>
        </w:tc>
        <w:tc>
          <w:tcPr>
            <w:tcW w:w="6489" w:type="dxa"/>
          </w:tcPr>
          <w:p w14:paraId="04F6701C" w14:textId="77777777" w:rsidR="00182709" w:rsidRDefault="0044097C">
            <w:pPr>
              <w:jc w:val="left"/>
            </w:pPr>
            <w:r>
              <w:rPr>
                <w:b/>
              </w:rPr>
              <w:t>Net gain/(loss) on non‑financial assets</w:t>
            </w:r>
          </w:p>
        </w:tc>
        <w:tc>
          <w:tcPr>
            <w:tcW w:w="866" w:type="dxa"/>
          </w:tcPr>
          <w:p w14:paraId="7D378F5A" w14:textId="77777777" w:rsidR="00182709" w:rsidRDefault="00182709"/>
        </w:tc>
        <w:tc>
          <w:tcPr>
            <w:tcW w:w="866" w:type="dxa"/>
          </w:tcPr>
          <w:p w14:paraId="57835DD7" w14:textId="77777777" w:rsidR="00182709" w:rsidRDefault="00182709"/>
        </w:tc>
      </w:tr>
      <w:tr w:rsidR="00182709" w14:paraId="1F55764C" w14:textId="77777777" w:rsidTr="002A0038">
        <w:trPr>
          <w:trHeight w:val="300"/>
        </w:trPr>
        <w:tc>
          <w:tcPr>
            <w:tcW w:w="1418" w:type="dxa"/>
          </w:tcPr>
          <w:p w14:paraId="3FFA468D" w14:textId="0C501B16" w:rsidR="00182709" w:rsidRDefault="0007383E">
            <w:pPr>
              <w:jc w:val="left"/>
            </w:pPr>
            <w:r>
              <w:rPr>
                <w:color w:val="4472C4" w:themeColor="accent1"/>
                <w:sz w:val="13"/>
                <w:szCs w:val="13"/>
              </w:rPr>
              <w:t>AASB </w:t>
            </w:r>
            <w:r w:rsidR="5C0FCC0D" w:rsidRPr="6223B0E0">
              <w:rPr>
                <w:color w:val="4472C4" w:themeColor="accent1"/>
                <w:sz w:val="13"/>
                <w:szCs w:val="13"/>
              </w:rPr>
              <w:t>1060.169(a)</w:t>
            </w:r>
          </w:p>
        </w:tc>
        <w:tc>
          <w:tcPr>
            <w:tcW w:w="6489" w:type="dxa"/>
          </w:tcPr>
          <w:p w14:paraId="7F716E01" w14:textId="77777777" w:rsidR="00182709" w:rsidRDefault="0044097C">
            <w:pPr>
              <w:jc w:val="left"/>
            </w:pPr>
            <w:r>
              <w:t>Impairment of property plant and equipment (including intangible assets)</w:t>
            </w:r>
          </w:p>
        </w:tc>
        <w:tc>
          <w:tcPr>
            <w:tcW w:w="866" w:type="dxa"/>
          </w:tcPr>
          <w:p w14:paraId="3D9613F3" w14:textId="77777777" w:rsidR="00182709" w:rsidRDefault="0044097C">
            <w:r>
              <w:t>(2 010)</w:t>
            </w:r>
          </w:p>
        </w:tc>
        <w:tc>
          <w:tcPr>
            <w:tcW w:w="866" w:type="dxa"/>
          </w:tcPr>
          <w:p w14:paraId="41882738" w14:textId="7B949A28" w:rsidR="00182709" w:rsidRDefault="0002317D">
            <w:r>
              <w:rPr>
                <w:rFonts w:hint="eastAsia"/>
                <w:lang w:eastAsia="zh-CN"/>
              </w:rPr>
              <w:t>(200)</w:t>
            </w:r>
          </w:p>
        </w:tc>
      </w:tr>
      <w:tr w:rsidR="00182709" w14:paraId="2284E431" w14:textId="77777777" w:rsidTr="00E10CD7">
        <w:trPr>
          <w:trHeight w:val="300"/>
        </w:trPr>
        <w:tc>
          <w:tcPr>
            <w:tcW w:w="0" w:type="dxa"/>
          </w:tcPr>
          <w:p w14:paraId="5D3AD8DD" w14:textId="42801012" w:rsidR="00182709" w:rsidRDefault="0007383E" w:rsidP="00706101">
            <w:pPr>
              <w:jc w:val="left"/>
            </w:pPr>
            <w:r>
              <w:rPr>
                <w:color w:val="4472C4" w:themeColor="accent1"/>
                <w:sz w:val="13"/>
                <w:szCs w:val="13"/>
              </w:rPr>
              <w:t>AASB </w:t>
            </w:r>
            <w:r w:rsidR="7A079DF8" w:rsidRPr="7493905A">
              <w:rPr>
                <w:color w:val="4472C4" w:themeColor="accent1"/>
                <w:sz w:val="13"/>
                <w:szCs w:val="13"/>
              </w:rPr>
              <w:t>1060.123</w:t>
            </w:r>
            <w:r w:rsidR="7A079DF8" w:rsidRPr="4622299E">
              <w:rPr>
                <w:color w:val="4472C4" w:themeColor="accent1"/>
                <w:sz w:val="13"/>
                <w:szCs w:val="13"/>
              </w:rPr>
              <w:t>(d)</w:t>
            </w:r>
          </w:p>
        </w:tc>
        <w:tc>
          <w:tcPr>
            <w:tcW w:w="0" w:type="dxa"/>
            <w:tcBorders>
              <w:bottom w:val="nil"/>
            </w:tcBorders>
          </w:tcPr>
          <w:p w14:paraId="359E84CE" w14:textId="77777777" w:rsidR="00182709" w:rsidRDefault="0044097C">
            <w:pPr>
              <w:jc w:val="left"/>
            </w:pPr>
            <w:r>
              <w:t>Write down of inventory</w:t>
            </w:r>
          </w:p>
        </w:tc>
        <w:tc>
          <w:tcPr>
            <w:tcW w:w="0" w:type="dxa"/>
            <w:tcBorders>
              <w:bottom w:val="nil"/>
            </w:tcBorders>
          </w:tcPr>
          <w:p w14:paraId="1D59A99B" w14:textId="77777777" w:rsidR="00182709" w:rsidRDefault="0044097C">
            <w:r>
              <w:t>(178)</w:t>
            </w:r>
          </w:p>
        </w:tc>
        <w:tc>
          <w:tcPr>
            <w:tcW w:w="0" w:type="dxa"/>
            <w:tcBorders>
              <w:bottom w:val="nil"/>
            </w:tcBorders>
          </w:tcPr>
          <w:p w14:paraId="13CC5FD3" w14:textId="77777777" w:rsidR="00182709" w:rsidRDefault="0044097C">
            <w:r>
              <w:t>(19)</w:t>
            </w:r>
          </w:p>
        </w:tc>
      </w:tr>
      <w:tr w:rsidR="00182709" w14:paraId="4CDAF3D1" w14:textId="77777777" w:rsidTr="00E10CD7">
        <w:trPr>
          <w:trHeight w:val="300"/>
        </w:trPr>
        <w:tc>
          <w:tcPr>
            <w:tcW w:w="0" w:type="dxa"/>
          </w:tcPr>
          <w:p w14:paraId="35E77F48" w14:textId="653C3863" w:rsidR="00182709" w:rsidRPr="002A0038" w:rsidRDefault="00182709" w:rsidP="1BB64615">
            <w:pPr>
              <w:jc w:val="left"/>
              <w:rPr>
                <w:color w:val="4472C4" w:themeColor="accent1"/>
                <w:sz w:val="13"/>
                <w:szCs w:val="13"/>
                <w:highlight w:val="yellow"/>
              </w:rPr>
            </w:pPr>
          </w:p>
        </w:tc>
        <w:tc>
          <w:tcPr>
            <w:tcW w:w="0" w:type="dxa"/>
            <w:tcBorders>
              <w:bottom w:val="single" w:sz="18" w:space="0" w:color="auto"/>
            </w:tcBorders>
          </w:tcPr>
          <w:p w14:paraId="0D0AC5F3" w14:textId="77777777" w:rsidR="00182709" w:rsidRDefault="0044097C">
            <w:pPr>
              <w:jc w:val="left"/>
            </w:pPr>
            <w:r>
              <w:t>Net gain/(loss) on disposal of property plant and equipment</w:t>
            </w:r>
          </w:p>
        </w:tc>
        <w:tc>
          <w:tcPr>
            <w:tcW w:w="0" w:type="dxa"/>
            <w:tcBorders>
              <w:bottom w:val="single" w:sz="18" w:space="0" w:color="auto"/>
            </w:tcBorders>
          </w:tcPr>
          <w:p w14:paraId="7158B81E" w14:textId="77777777" w:rsidR="00182709" w:rsidRDefault="0044097C">
            <w:r>
              <w:t>(844)</w:t>
            </w:r>
          </w:p>
        </w:tc>
        <w:tc>
          <w:tcPr>
            <w:tcW w:w="0" w:type="dxa"/>
            <w:tcBorders>
              <w:bottom w:val="single" w:sz="18" w:space="0" w:color="auto"/>
            </w:tcBorders>
          </w:tcPr>
          <w:p w14:paraId="739C439E" w14:textId="77777777" w:rsidR="00182709" w:rsidRDefault="0044097C">
            <w:r>
              <w:t>549</w:t>
            </w:r>
          </w:p>
        </w:tc>
      </w:tr>
      <w:tr w:rsidR="00671D55" w14:paraId="792876EC" w14:textId="77777777" w:rsidTr="00E10CD7">
        <w:trPr>
          <w:trHeight w:val="300"/>
        </w:trPr>
        <w:tc>
          <w:tcPr>
            <w:tcW w:w="0" w:type="dxa"/>
          </w:tcPr>
          <w:p w14:paraId="5333C717" w14:textId="77777777" w:rsidR="00182709" w:rsidRDefault="00182709">
            <w:pPr>
              <w:jc w:val="left"/>
            </w:pPr>
          </w:p>
        </w:tc>
        <w:tc>
          <w:tcPr>
            <w:tcW w:w="0" w:type="dxa"/>
            <w:tcBorders>
              <w:top w:val="single" w:sz="18" w:space="0" w:color="auto"/>
            </w:tcBorders>
          </w:tcPr>
          <w:p w14:paraId="0469939A" w14:textId="77777777" w:rsidR="00182709" w:rsidRDefault="0044097C">
            <w:pPr>
              <w:jc w:val="left"/>
            </w:pPr>
            <w:r>
              <w:rPr>
                <w:b/>
              </w:rPr>
              <w:t>Total net gain/(loss) on non‑financial assets</w:t>
            </w:r>
          </w:p>
        </w:tc>
        <w:tc>
          <w:tcPr>
            <w:tcW w:w="0" w:type="dxa"/>
            <w:tcBorders>
              <w:top w:val="single" w:sz="18" w:space="0" w:color="auto"/>
            </w:tcBorders>
          </w:tcPr>
          <w:p w14:paraId="6150310B" w14:textId="524C251A" w:rsidR="00182709" w:rsidRDefault="0044097C">
            <w:r>
              <w:rPr>
                <w:b/>
              </w:rPr>
              <w:t>(</w:t>
            </w:r>
            <w:r w:rsidR="0002317D">
              <w:rPr>
                <w:rFonts w:hint="eastAsia"/>
                <w:b/>
                <w:lang w:eastAsia="zh-CN"/>
              </w:rPr>
              <w:t>3 032</w:t>
            </w:r>
            <w:r>
              <w:rPr>
                <w:b/>
              </w:rPr>
              <w:t>)</w:t>
            </w:r>
          </w:p>
        </w:tc>
        <w:tc>
          <w:tcPr>
            <w:tcW w:w="0" w:type="dxa"/>
            <w:tcBorders>
              <w:top w:val="single" w:sz="18" w:space="0" w:color="auto"/>
            </w:tcBorders>
          </w:tcPr>
          <w:p w14:paraId="5C765261" w14:textId="4E3828F1" w:rsidR="00182709" w:rsidRDefault="0002317D">
            <w:r>
              <w:rPr>
                <w:rFonts w:hint="eastAsia"/>
                <w:b/>
                <w:lang w:eastAsia="zh-CN"/>
              </w:rPr>
              <w:t>330</w:t>
            </w:r>
          </w:p>
        </w:tc>
      </w:tr>
      <w:tr w:rsidR="000B292D" w14:paraId="328D4248" w14:textId="77777777" w:rsidTr="00E10CD7">
        <w:trPr>
          <w:trHeight w:val="254"/>
        </w:trPr>
        <w:tc>
          <w:tcPr>
            <w:tcW w:w="0" w:type="dxa"/>
          </w:tcPr>
          <w:p w14:paraId="27757ACF" w14:textId="77777777" w:rsidR="00182709" w:rsidRDefault="00182709">
            <w:pPr>
              <w:jc w:val="left"/>
            </w:pPr>
          </w:p>
        </w:tc>
        <w:tc>
          <w:tcPr>
            <w:tcW w:w="0" w:type="dxa"/>
            <w:tcBorders>
              <w:bottom w:val="nil"/>
            </w:tcBorders>
          </w:tcPr>
          <w:p w14:paraId="60F51AC8" w14:textId="77777777" w:rsidR="00182709" w:rsidRDefault="0044097C">
            <w:pPr>
              <w:jc w:val="left"/>
            </w:pPr>
            <w:r>
              <w:rPr>
                <w:b/>
              </w:rPr>
              <w:t>Net gain/(loss) on financial instruments</w:t>
            </w:r>
          </w:p>
        </w:tc>
        <w:tc>
          <w:tcPr>
            <w:tcW w:w="0" w:type="dxa"/>
            <w:tcBorders>
              <w:bottom w:val="nil"/>
            </w:tcBorders>
          </w:tcPr>
          <w:p w14:paraId="361164B7" w14:textId="77777777" w:rsidR="00182709" w:rsidRDefault="00182709"/>
        </w:tc>
        <w:tc>
          <w:tcPr>
            <w:tcW w:w="0" w:type="dxa"/>
            <w:tcBorders>
              <w:bottom w:val="nil"/>
            </w:tcBorders>
          </w:tcPr>
          <w:p w14:paraId="54519633" w14:textId="77777777" w:rsidR="00182709" w:rsidRDefault="00182709"/>
        </w:tc>
      </w:tr>
      <w:tr w:rsidR="000B292D" w14:paraId="3358C89D" w14:textId="77777777" w:rsidTr="00E10CD7">
        <w:trPr>
          <w:trHeight w:val="300"/>
        </w:trPr>
        <w:tc>
          <w:tcPr>
            <w:tcW w:w="0" w:type="dxa"/>
          </w:tcPr>
          <w:p w14:paraId="1DE3145D" w14:textId="77777777" w:rsidR="007D3FC3" w:rsidRDefault="007D3FC3" w:rsidP="007D3FC3">
            <w:pPr>
              <w:jc w:val="left"/>
            </w:pPr>
          </w:p>
        </w:tc>
        <w:tc>
          <w:tcPr>
            <w:tcW w:w="0" w:type="dxa"/>
            <w:tcBorders>
              <w:bottom w:val="single" w:sz="18" w:space="0" w:color="auto"/>
            </w:tcBorders>
          </w:tcPr>
          <w:p w14:paraId="2B90ED68" w14:textId="5B877EDD" w:rsidR="007D3FC3" w:rsidRDefault="007D3FC3" w:rsidP="007D3FC3">
            <w:pPr>
              <w:jc w:val="left"/>
            </w:pPr>
            <w:r>
              <w:rPr>
                <w:rFonts w:hint="eastAsia"/>
                <w:lang w:eastAsia="zh-CN"/>
              </w:rPr>
              <w:t>Impairment of r</w:t>
            </w:r>
            <w:r>
              <w:t>eceivables</w:t>
            </w:r>
          </w:p>
        </w:tc>
        <w:tc>
          <w:tcPr>
            <w:tcW w:w="0" w:type="dxa"/>
            <w:tcBorders>
              <w:bottom w:val="single" w:sz="18" w:space="0" w:color="auto"/>
            </w:tcBorders>
            <w:vAlign w:val="center"/>
          </w:tcPr>
          <w:p w14:paraId="71F07C67" w14:textId="781AD1E7" w:rsidR="007D3FC3" w:rsidRDefault="007D3FC3" w:rsidP="007D3FC3">
            <w:r>
              <w:rPr>
                <w:rFonts w:ascii="Arial" w:hAnsi="Arial" w:cs="Arial"/>
                <w:color w:val="000000"/>
                <w:szCs w:val="16"/>
              </w:rPr>
              <w:t>(603)</w:t>
            </w:r>
          </w:p>
        </w:tc>
        <w:tc>
          <w:tcPr>
            <w:tcW w:w="0" w:type="dxa"/>
            <w:tcBorders>
              <w:bottom w:val="single" w:sz="18" w:space="0" w:color="auto"/>
            </w:tcBorders>
            <w:vAlign w:val="center"/>
          </w:tcPr>
          <w:p w14:paraId="31E18284" w14:textId="37F38128" w:rsidR="007D3FC3" w:rsidRDefault="007D3FC3" w:rsidP="007D3FC3">
            <w:r>
              <w:rPr>
                <w:rFonts w:ascii="Arial" w:hAnsi="Arial" w:cs="Arial"/>
                <w:color w:val="000000"/>
                <w:szCs w:val="16"/>
              </w:rPr>
              <w:t>(327)</w:t>
            </w:r>
          </w:p>
        </w:tc>
      </w:tr>
      <w:tr w:rsidR="007D3FC3" w14:paraId="2C4240F5" w14:textId="77777777" w:rsidTr="00E10CD7">
        <w:trPr>
          <w:trHeight w:val="300"/>
        </w:trPr>
        <w:tc>
          <w:tcPr>
            <w:tcW w:w="0" w:type="dxa"/>
          </w:tcPr>
          <w:p w14:paraId="39FFE3F3" w14:textId="77777777" w:rsidR="007D3FC3" w:rsidRDefault="007D3FC3" w:rsidP="007D3FC3">
            <w:pPr>
              <w:jc w:val="left"/>
            </w:pPr>
          </w:p>
        </w:tc>
        <w:tc>
          <w:tcPr>
            <w:tcW w:w="0" w:type="dxa"/>
            <w:tcBorders>
              <w:top w:val="single" w:sz="18" w:space="0" w:color="auto"/>
              <w:bottom w:val="nil"/>
            </w:tcBorders>
          </w:tcPr>
          <w:p w14:paraId="28D8BE44" w14:textId="77777777" w:rsidR="007D3FC3" w:rsidRDefault="007D3FC3" w:rsidP="007D3FC3">
            <w:pPr>
              <w:jc w:val="left"/>
            </w:pPr>
            <w:r>
              <w:rPr>
                <w:b/>
              </w:rPr>
              <w:t>Total net gain/(loss) on financial instruments</w:t>
            </w:r>
          </w:p>
        </w:tc>
        <w:tc>
          <w:tcPr>
            <w:tcW w:w="0" w:type="dxa"/>
            <w:tcBorders>
              <w:top w:val="single" w:sz="18" w:space="0" w:color="auto"/>
              <w:bottom w:val="nil"/>
            </w:tcBorders>
            <w:vAlign w:val="center"/>
          </w:tcPr>
          <w:p w14:paraId="1E07FA24" w14:textId="77135404" w:rsidR="007D3FC3" w:rsidRDefault="007D3FC3" w:rsidP="007D3FC3">
            <w:r>
              <w:rPr>
                <w:rFonts w:ascii="Arial" w:hAnsi="Arial" w:cs="Arial"/>
                <w:b/>
                <w:bCs/>
                <w:color w:val="000000"/>
                <w:szCs w:val="16"/>
              </w:rPr>
              <w:t>(603)</w:t>
            </w:r>
          </w:p>
        </w:tc>
        <w:tc>
          <w:tcPr>
            <w:tcW w:w="0" w:type="dxa"/>
            <w:tcBorders>
              <w:top w:val="single" w:sz="18" w:space="0" w:color="auto"/>
              <w:bottom w:val="nil"/>
            </w:tcBorders>
            <w:vAlign w:val="center"/>
          </w:tcPr>
          <w:p w14:paraId="3313FCD6" w14:textId="3B8B1856" w:rsidR="007D3FC3" w:rsidRDefault="007D3FC3" w:rsidP="007D3FC3">
            <w:r>
              <w:rPr>
                <w:rFonts w:ascii="Arial" w:hAnsi="Arial" w:cs="Arial"/>
                <w:b/>
                <w:bCs/>
                <w:color w:val="000000"/>
                <w:szCs w:val="16"/>
              </w:rPr>
              <w:t>(327)</w:t>
            </w:r>
          </w:p>
        </w:tc>
      </w:tr>
      <w:tr w:rsidR="00671D55" w14:paraId="6F805B88" w14:textId="77777777" w:rsidTr="00E10CD7">
        <w:trPr>
          <w:trHeight w:val="300"/>
        </w:trPr>
        <w:tc>
          <w:tcPr>
            <w:tcW w:w="0" w:type="dxa"/>
          </w:tcPr>
          <w:p w14:paraId="65393C71" w14:textId="77777777" w:rsidR="00182709" w:rsidRDefault="00182709">
            <w:pPr>
              <w:jc w:val="left"/>
            </w:pPr>
          </w:p>
        </w:tc>
        <w:tc>
          <w:tcPr>
            <w:tcW w:w="0" w:type="dxa"/>
            <w:tcBorders>
              <w:top w:val="nil"/>
            </w:tcBorders>
          </w:tcPr>
          <w:p w14:paraId="5FD0A154" w14:textId="77777777" w:rsidR="00182709" w:rsidRDefault="0044097C">
            <w:pPr>
              <w:jc w:val="left"/>
            </w:pPr>
            <w:r>
              <w:rPr>
                <w:b/>
              </w:rPr>
              <w:t>Other gains/(losses) from other economic flows</w:t>
            </w:r>
          </w:p>
        </w:tc>
        <w:tc>
          <w:tcPr>
            <w:tcW w:w="0" w:type="dxa"/>
            <w:tcBorders>
              <w:top w:val="nil"/>
            </w:tcBorders>
          </w:tcPr>
          <w:p w14:paraId="61C9EB08" w14:textId="77777777" w:rsidR="00182709" w:rsidRDefault="00182709"/>
        </w:tc>
        <w:tc>
          <w:tcPr>
            <w:tcW w:w="0" w:type="dxa"/>
            <w:tcBorders>
              <w:top w:val="nil"/>
            </w:tcBorders>
          </w:tcPr>
          <w:p w14:paraId="1A4A71BE" w14:textId="77777777" w:rsidR="00182709" w:rsidRDefault="00182709"/>
        </w:tc>
      </w:tr>
      <w:tr w:rsidR="00E42276" w14:paraId="5B81B16C" w14:textId="77777777" w:rsidTr="00E10CD7">
        <w:trPr>
          <w:trHeight w:val="300"/>
        </w:trPr>
        <w:tc>
          <w:tcPr>
            <w:tcW w:w="0" w:type="dxa"/>
          </w:tcPr>
          <w:p w14:paraId="00514019" w14:textId="77777777" w:rsidR="00E42276" w:rsidRDefault="00E42276" w:rsidP="00E42276">
            <w:pPr>
              <w:jc w:val="left"/>
            </w:pPr>
          </w:p>
        </w:tc>
        <w:tc>
          <w:tcPr>
            <w:tcW w:w="0" w:type="dxa"/>
            <w:tcBorders>
              <w:bottom w:val="nil"/>
            </w:tcBorders>
          </w:tcPr>
          <w:p w14:paraId="48149E8D" w14:textId="623170E2" w:rsidR="00E42276" w:rsidRDefault="00E42276" w:rsidP="00E42276">
            <w:pPr>
              <w:jc w:val="left"/>
            </w:pPr>
            <w:r>
              <w:t xml:space="preserve">Net gain/(loss) arising from revaluation of long service liability </w:t>
            </w:r>
            <w:r>
              <w:rPr>
                <w:vertAlign w:val="superscript"/>
              </w:rPr>
              <w:t>(</w:t>
            </w:r>
            <w:r>
              <w:rPr>
                <w:rFonts w:hint="eastAsia"/>
                <w:vertAlign w:val="superscript"/>
                <w:lang w:eastAsia="zh-CN"/>
              </w:rPr>
              <w:t>a</w:t>
            </w:r>
            <w:r>
              <w:rPr>
                <w:vertAlign w:val="superscript"/>
              </w:rPr>
              <w:t>)</w:t>
            </w:r>
          </w:p>
        </w:tc>
        <w:tc>
          <w:tcPr>
            <w:tcW w:w="0" w:type="dxa"/>
            <w:tcBorders>
              <w:bottom w:val="nil"/>
            </w:tcBorders>
            <w:vAlign w:val="center"/>
          </w:tcPr>
          <w:p w14:paraId="5A136C27" w14:textId="1DC47F8C" w:rsidR="00E42276" w:rsidRDefault="00E42276" w:rsidP="00E42276">
            <w:r>
              <w:rPr>
                <w:rFonts w:ascii="Arial" w:hAnsi="Arial" w:cs="Arial"/>
                <w:color w:val="000000"/>
                <w:szCs w:val="16"/>
              </w:rPr>
              <w:t>(2</w:t>
            </w:r>
            <w:r>
              <w:rPr>
                <w:rFonts w:ascii="Arial" w:hAnsi="Arial" w:cs="Arial" w:hint="eastAsia"/>
                <w:color w:val="000000"/>
                <w:szCs w:val="16"/>
                <w:lang w:eastAsia="zh-CN"/>
              </w:rPr>
              <w:t xml:space="preserve"> </w:t>
            </w:r>
            <w:r>
              <w:rPr>
                <w:rFonts w:ascii="Arial" w:hAnsi="Arial" w:cs="Arial"/>
                <w:color w:val="000000"/>
                <w:szCs w:val="16"/>
              </w:rPr>
              <w:t>846)</w:t>
            </w:r>
          </w:p>
        </w:tc>
        <w:tc>
          <w:tcPr>
            <w:tcW w:w="0" w:type="dxa"/>
            <w:tcBorders>
              <w:bottom w:val="nil"/>
            </w:tcBorders>
            <w:vAlign w:val="center"/>
          </w:tcPr>
          <w:p w14:paraId="3628EFBB" w14:textId="165DD17D" w:rsidR="00E42276" w:rsidRDefault="00E42276" w:rsidP="00E42276">
            <w:r>
              <w:rPr>
                <w:rFonts w:ascii="Arial" w:hAnsi="Arial" w:cs="Arial"/>
                <w:color w:val="000000"/>
                <w:szCs w:val="16"/>
              </w:rPr>
              <w:t>(1</w:t>
            </w:r>
            <w:r>
              <w:rPr>
                <w:rFonts w:ascii="Arial" w:hAnsi="Arial" w:cs="Arial" w:hint="eastAsia"/>
                <w:color w:val="000000"/>
                <w:szCs w:val="16"/>
                <w:lang w:eastAsia="zh-CN"/>
              </w:rPr>
              <w:t xml:space="preserve"> </w:t>
            </w:r>
            <w:r>
              <w:rPr>
                <w:rFonts w:ascii="Arial" w:hAnsi="Arial" w:cs="Arial"/>
                <w:color w:val="000000"/>
                <w:szCs w:val="16"/>
              </w:rPr>
              <w:t>009)</w:t>
            </w:r>
          </w:p>
        </w:tc>
      </w:tr>
      <w:tr w:rsidR="00E42276" w14:paraId="0520E9BD" w14:textId="77777777" w:rsidTr="00E10CD7">
        <w:trPr>
          <w:trHeight w:val="300"/>
        </w:trPr>
        <w:tc>
          <w:tcPr>
            <w:tcW w:w="0" w:type="dxa"/>
          </w:tcPr>
          <w:p w14:paraId="198069EF" w14:textId="2277C9EB" w:rsidR="00E42276" w:rsidRDefault="0007383E" w:rsidP="00E42276">
            <w:pPr>
              <w:jc w:val="left"/>
            </w:pPr>
            <w:r>
              <w:rPr>
                <w:color w:val="4472C4"/>
                <w:sz w:val="13"/>
              </w:rPr>
              <w:t>AASB </w:t>
            </w:r>
            <w:r w:rsidR="00E42276">
              <w:rPr>
                <w:color w:val="4472C4"/>
                <w:sz w:val="13"/>
              </w:rPr>
              <w:t>137.60</w:t>
            </w:r>
          </w:p>
        </w:tc>
        <w:tc>
          <w:tcPr>
            <w:tcW w:w="0" w:type="dxa"/>
            <w:tcBorders>
              <w:bottom w:val="nil"/>
            </w:tcBorders>
          </w:tcPr>
          <w:p w14:paraId="6E6CA64D" w14:textId="77777777" w:rsidR="00E42276" w:rsidRDefault="00E42276" w:rsidP="00E42276">
            <w:pPr>
              <w:jc w:val="left"/>
            </w:pPr>
            <w:r>
              <w:t>Unwinding of other provision</w:t>
            </w:r>
          </w:p>
        </w:tc>
        <w:tc>
          <w:tcPr>
            <w:tcW w:w="0" w:type="dxa"/>
            <w:tcBorders>
              <w:bottom w:val="nil"/>
            </w:tcBorders>
            <w:vAlign w:val="center"/>
          </w:tcPr>
          <w:p w14:paraId="5934C5D1" w14:textId="283A61A8" w:rsidR="00E42276" w:rsidRDefault="00E42276" w:rsidP="00E42276">
            <w:r>
              <w:rPr>
                <w:rFonts w:ascii="Arial" w:hAnsi="Arial" w:cs="Arial"/>
                <w:color w:val="000000"/>
                <w:szCs w:val="16"/>
              </w:rPr>
              <w:t>(75)</w:t>
            </w:r>
          </w:p>
        </w:tc>
        <w:tc>
          <w:tcPr>
            <w:tcW w:w="0" w:type="dxa"/>
            <w:tcBorders>
              <w:bottom w:val="nil"/>
            </w:tcBorders>
            <w:vAlign w:val="center"/>
          </w:tcPr>
          <w:p w14:paraId="5895C7DA" w14:textId="62C13B2D" w:rsidR="00E42276" w:rsidRDefault="00E42276" w:rsidP="00E42276">
            <w:r>
              <w:rPr>
                <w:rFonts w:ascii="Arial" w:hAnsi="Arial" w:cs="Arial"/>
                <w:color w:val="000000"/>
                <w:szCs w:val="16"/>
              </w:rPr>
              <w:t>(39)</w:t>
            </w:r>
          </w:p>
        </w:tc>
      </w:tr>
      <w:tr w:rsidR="00E42276" w14:paraId="1DFFE9AA" w14:textId="77777777" w:rsidTr="00E10CD7">
        <w:trPr>
          <w:trHeight w:val="300"/>
        </w:trPr>
        <w:tc>
          <w:tcPr>
            <w:tcW w:w="0" w:type="dxa"/>
          </w:tcPr>
          <w:p w14:paraId="5AB3AE95" w14:textId="77777777" w:rsidR="00E42276" w:rsidRDefault="00E42276" w:rsidP="00E42276">
            <w:pPr>
              <w:jc w:val="left"/>
            </w:pPr>
          </w:p>
        </w:tc>
        <w:tc>
          <w:tcPr>
            <w:tcW w:w="0" w:type="dxa"/>
            <w:tcBorders>
              <w:top w:val="nil"/>
              <w:bottom w:val="single" w:sz="18" w:space="0" w:color="auto"/>
            </w:tcBorders>
          </w:tcPr>
          <w:p w14:paraId="3A3D6970" w14:textId="77777777" w:rsidR="00E42276" w:rsidRDefault="00E42276" w:rsidP="00E42276">
            <w:pPr>
              <w:jc w:val="left"/>
            </w:pPr>
            <w:r>
              <w:rPr>
                <w:b/>
              </w:rPr>
              <w:t>Total other gains/(losses) from other economic flows</w:t>
            </w:r>
          </w:p>
        </w:tc>
        <w:tc>
          <w:tcPr>
            <w:tcW w:w="0" w:type="dxa"/>
            <w:tcBorders>
              <w:top w:val="nil"/>
              <w:bottom w:val="single" w:sz="18" w:space="0" w:color="auto"/>
            </w:tcBorders>
            <w:vAlign w:val="center"/>
          </w:tcPr>
          <w:p w14:paraId="6102C953" w14:textId="2A0822B0" w:rsidR="00E42276" w:rsidRDefault="00E42276" w:rsidP="00E42276">
            <w:r>
              <w:rPr>
                <w:rFonts w:ascii="Arial" w:hAnsi="Arial" w:cs="Arial"/>
                <w:b/>
                <w:bCs/>
                <w:color w:val="000000"/>
                <w:szCs w:val="16"/>
              </w:rPr>
              <w:t>(2</w:t>
            </w:r>
            <w:r>
              <w:rPr>
                <w:rFonts w:ascii="Arial" w:hAnsi="Arial" w:cs="Arial" w:hint="eastAsia"/>
                <w:b/>
                <w:bCs/>
                <w:color w:val="000000"/>
                <w:szCs w:val="16"/>
                <w:lang w:eastAsia="zh-CN"/>
              </w:rPr>
              <w:t xml:space="preserve"> </w:t>
            </w:r>
            <w:r>
              <w:rPr>
                <w:rFonts w:ascii="Arial" w:hAnsi="Arial" w:cs="Arial"/>
                <w:b/>
                <w:bCs/>
                <w:color w:val="000000"/>
                <w:szCs w:val="16"/>
              </w:rPr>
              <w:t>921)</w:t>
            </w:r>
          </w:p>
        </w:tc>
        <w:tc>
          <w:tcPr>
            <w:tcW w:w="0" w:type="dxa"/>
            <w:tcBorders>
              <w:top w:val="nil"/>
              <w:bottom w:val="single" w:sz="18" w:space="0" w:color="auto"/>
            </w:tcBorders>
            <w:vAlign w:val="center"/>
          </w:tcPr>
          <w:p w14:paraId="42F2549C" w14:textId="15277EA6" w:rsidR="00E42276" w:rsidRDefault="00E42276" w:rsidP="00E42276">
            <w:r>
              <w:rPr>
                <w:rFonts w:ascii="Arial" w:hAnsi="Arial" w:cs="Arial"/>
                <w:b/>
                <w:bCs/>
                <w:color w:val="000000"/>
                <w:szCs w:val="16"/>
              </w:rPr>
              <w:t>(1</w:t>
            </w:r>
            <w:r>
              <w:rPr>
                <w:rFonts w:ascii="Arial" w:hAnsi="Arial" w:cs="Arial" w:hint="eastAsia"/>
                <w:b/>
                <w:bCs/>
                <w:color w:val="000000"/>
                <w:szCs w:val="16"/>
                <w:lang w:eastAsia="zh-CN"/>
              </w:rPr>
              <w:t xml:space="preserve"> </w:t>
            </w:r>
            <w:r>
              <w:rPr>
                <w:rFonts w:ascii="Arial" w:hAnsi="Arial" w:cs="Arial"/>
                <w:b/>
                <w:bCs/>
                <w:color w:val="000000"/>
                <w:szCs w:val="16"/>
              </w:rPr>
              <w:t>048)</w:t>
            </w:r>
          </w:p>
        </w:tc>
      </w:tr>
      <w:tr w:rsidR="00C0761C" w14:paraId="3CA43406" w14:textId="77777777" w:rsidTr="00E10CD7">
        <w:trPr>
          <w:trHeight w:val="300"/>
        </w:trPr>
        <w:tc>
          <w:tcPr>
            <w:tcW w:w="0" w:type="dxa"/>
            <w:tcBorders>
              <w:bottom w:val="nil"/>
            </w:tcBorders>
          </w:tcPr>
          <w:p w14:paraId="1EA6712C" w14:textId="77777777" w:rsidR="00C0761C" w:rsidRDefault="00C0761C" w:rsidP="00C0761C"/>
        </w:tc>
        <w:tc>
          <w:tcPr>
            <w:tcW w:w="0" w:type="dxa"/>
            <w:tcBorders>
              <w:top w:val="single" w:sz="18" w:space="0" w:color="auto"/>
              <w:bottom w:val="single" w:sz="18" w:space="0" w:color="auto"/>
            </w:tcBorders>
          </w:tcPr>
          <w:p w14:paraId="72506F76" w14:textId="6C985D71" w:rsidR="00C0761C" w:rsidRDefault="00C0761C" w:rsidP="00E10CD7">
            <w:pPr>
              <w:jc w:val="left"/>
              <w:rPr>
                <w:b/>
              </w:rPr>
            </w:pPr>
            <w:r>
              <w:rPr>
                <w:b/>
              </w:rPr>
              <w:t>Total other economic flows included in net result</w:t>
            </w:r>
          </w:p>
        </w:tc>
        <w:tc>
          <w:tcPr>
            <w:tcW w:w="0" w:type="dxa"/>
            <w:tcBorders>
              <w:top w:val="single" w:sz="18" w:space="0" w:color="auto"/>
              <w:bottom w:val="single" w:sz="18" w:space="0" w:color="auto"/>
            </w:tcBorders>
            <w:vAlign w:val="center"/>
          </w:tcPr>
          <w:p w14:paraId="12D0F0D7" w14:textId="479AC3BD" w:rsidR="00C0761C" w:rsidRDefault="00C0761C" w:rsidP="00C0761C">
            <w:pPr>
              <w:rPr>
                <w:rFonts w:ascii="Arial" w:hAnsi="Arial" w:cs="Arial"/>
                <w:b/>
                <w:bCs/>
                <w:color w:val="000000"/>
                <w:szCs w:val="16"/>
              </w:rPr>
            </w:pPr>
            <w:r>
              <w:rPr>
                <w:rFonts w:ascii="Arial" w:hAnsi="Arial" w:cs="Arial"/>
                <w:b/>
                <w:bCs/>
                <w:color w:val="000000"/>
                <w:szCs w:val="16"/>
              </w:rPr>
              <w:t>(6</w:t>
            </w:r>
            <w:r>
              <w:rPr>
                <w:rFonts w:ascii="Arial" w:hAnsi="Arial" w:cs="Arial" w:hint="eastAsia"/>
                <w:b/>
                <w:bCs/>
                <w:color w:val="000000"/>
                <w:szCs w:val="16"/>
                <w:lang w:eastAsia="zh-CN"/>
              </w:rPr>
              <w:t xml:space="preserve"> </w:t>
            </w:r>
            <w:r>
              <w:rPr>
                <w:rFonts w:ascii="Arial" w:hAnsi="Arial" w:cs="Arial"/>
                <w:b/>
                <w:bCs/>
                <w:color w:val="000000"/>
                <w:szCs w:val="16"/>
              </w:rPr>
              <w:t>556)</w:t>
            </w:r>
          </w:p>
        </w:tc>
        <w:tc>
          <w:tcPr>
            <w:tcW w:w="0" w:type="dxa"/>
            <w:tcBorders>
              <w:top w:val="single" w:sz="18" w:space="0" w:color="auto"/>
              <w:bottom w:val="single" w:sz="18" w:space="0" w:color="auto"/>
            </w:tcBorders>
            <w:vAlign w:val="center"/>
          </w:tcPr>
          <w:p w14:paraId="74B41C07" w14:textId="0F393E9A" w:rsidR="00C0761C" w:rsidRDefault="00C0761C" w:rsidP="00C0761C">
            <w:pPr>
              <w:rPr>
                <w:rFonts w:ascii="Arial" w:hAnsi="Arial" w:cs="Arial"/>
                <w:b/>
                <w:bCs/>
                <w:color w:val="000000"/>
                <w:szCs w:val="16"/>
              </w:rPr>
            </w:pPr>
            <w:r>
              <w:rPr>
                <w:rFonts w:ascii="Arial" w:hAnsi="Arial" w:cs="Arial"/>
                <w:b/>
                <w:bCs/>
                <w:color w:val="000000"/>
                <w:szCs w:val="16"/>
              </w:rPr>
              <w:t>(1</w:t>
            </w:r>
            <w:r>
              <w:rPr>
                <w:rFonts w:ascii="Arial" w:hAnsi="Arial" w:cs="Arial" w:hint="eastAsia"/>
                <w:b/>
                <w:bCs/>
                <w:color w:val="000000"/>
                <w:szCs w:val="16"/>
                <w:lang w:eastAsia="zh-CN"/>
              </w:rPr>
              <w:t xml:space="preserve"> </w:t>
            </w:r>
            <w:r>
              <w:rPr>
                <w:rFonts w:ascii="Arial" w:hAnsi="Arial" w:cs="Arial"/>
                <w:b/>
                <w:bCs/>
                <w:color w:val="000000"/>
                <w:szCs w:val="16"/>
              </w:rPr>
              <w:t>045)</w:t>
            </w:r>
          </w:p>
        </w:tc>
      </w:tr>
    </w:tbl>
    <w:p w14:paraId="327E2BF4" w14:textId="77777777" w:rsidR="003719CD" w:rsidRDefault="003719CD" w:rsidP="007D536F">
      <w:pPr>
        <w:pStyle w:val="Note"/>
      </w:pPr>
      <w:r>
        <w:t>Notes:</w:t>
      </w:r>
    </w:p>
    <w:p w14:paraId="31D702C5" w14:textId="3B22349F" w:rsidR="003719CD" w:rsidRDefault="003719CD" w:rsidP="007D536F">
      <w:pPr>
        <w:pStyle w:val="Note"/>
      </w:pPr>
      <w:r>
        <w:t>(</w:t>
      </w:r>
      <w:r w:rsidR="00A57542">
        <w:rPr>
          <w:rFonts w:hint="eastAsia"/>
          <w:lang w:eastAsia="zh-CN"/>
        </w:rPr>
        <w:t>a</w:t>
      </w:r>
      <w:r>
        <w:t>)</w:t>
      </w:r>
      <w:r>
        <w:tab/>
        <w:t>Revaluation gain/(loss) due to changes in bond rates.</w:t>
      </w:r>
    </w:p>
    <w:p w14:paraId="20921343" w14:textId="77777777" w:rsidR="003719CD" w:rsidRPr="006809EA" w:rsidRDefault="003719CD" w:rsidP="007D536F">
      <w:pPr>
        <w:pStyle w:val="Note"/>
        <w:rPr>
          <w:rStyle w:val="Guidance"/>
        </w:rPr>
      </w:pPr>
      <w:r>
        <w:tab/>
      </w:r>
      <w:r w:rsidRPr="006809EA">
        <w:rPr>
          <w:rStyle w:val="Guidance"/>
        </w:rPr>
        <w:t>[Please note that revaluation gain/(loss) on the long service leave liability due to the changes in the discount bond rates is included in other economic flows.]</w:t>
      </w:r>
    </w:p>
    <w:p w14:paraId="6F565C7E" w14:textId="77777777" w:rsidR="003719CD" w:rsidRDefault="003719CD" w:rsidP="007D536F">
      <w:pPr>
        <w:pStyle w:val="GuidanceBlockHeading"/>
      </w:pPr>
      <w:bookmarkStart w:id="9036" w:name="_Toc179815862"/>
      <w:bookmarkStart w:id="9037" w:name="_Toc179821562"/>
      <w:bookmarkStart w:id="9038" w:name="_Toc179827262"/>
      <w:r>
        <w:t>Guidance – Other economic flows</w:t>
      </w:r>
      <w:bookmarkEnd w:id="9036"/>
      <w:bookmarkEnd w:id="9037"/>
      <w:bookmarkEnd w:id="9038"/>
    </w:p>
    <w:p w14:paraId="5F274A01" w14:textId="77777777" w:rsidR="003719CD" w:rsidRPr="006809EA" w:rsidRDefault="003719CD" w:rsidP="007D536F">
      <w:pPr>
        <w:pStyle w:val="GuidanceHeading"/>
        <w:rPr>
          <w:rStyle w:val="Guidance"/>
        </w:rPr>
      </w:pPr>
      <w:r w:rsidRPr="006809EA">
        <w:rPr>
          <w:rStyle w:val="Guidance"/>
        </w:rPr>
        <w:t>Disclosure requirements</w:t>
      </w:r>
    </w:p>
    <w:p w14:paraId="014EE880" w14:textId="0F78415C" w:rsidR="003719CD" w:rsidRPr="006809EA" w:rsidRDefault="003719CD" w:rsidP="007D536F">
      <w:pPr>
        <w:rPr>
          <w:rStyle w:val="Guidance"/>
        </w:rPr>
      </w:pPr>
      <w:r w:rsidRPr="006809EA">
        <w:rPr>
          <w:rStyle w:val="Guidance"/>
        </w:rPr>
        <w:t>To align with whole of government reporting, which complies with requirements</w:t>
      </w:r>
      <w:r w:rsidR="003C2B9A">
        <w:rPr>
          <w:rStyle w:val="Guidance"/>
        </w:rPr>
        <w:t xml:space="preserve"> in </w:t>
      </w:r>
      <w:r w:rsidR="0007383E">
        <w:rPr>
          <w:rStyle w:val="Guidance"/>
        </w:rPr>
        <w:t>AASB </w:t>
      </w:r>
      <w:r w:rsidR="003C2B9A">
        <w:rPr>
          <w:rStyle w:val="Guidance"/>
        </w:rPr>
        <w:t xml:space="preserve">1049 </w:t>
      </w:r>
      <w:r w:rsidR="003C2B9A" w:rsidRPr="003C2B9A">
        <w:rPr>
          <w:rStyle w:val="Guidance"/>
          <w:i/>
          <w:iCs/>
        </w:rPr>
        <w:t>Whole of Government and General Government Sector Financial Reporting</w:t>
      </w:r>
      <w:r w:rsidRPr="006809EA">
        <w:rPr>
          <w:rStyle w:val="Guidance"/>
        </w:rPr>
        <w:t xml:space="preserve">, </w:t>
      </w:r>
      <w:r w:rsidR="00B85E40">
        <w:rPr>
          <w:rStyle w:val="Guidance"/>
        </w:rPr>
        <w:t>entitie</w:t>
      </w:r>
      <w:r w:rsidRPr="006809EA">
        <w:rPr>
          <w:rStyle w:val="Guidance"/>
        </w:rPr>
        <w:t xml:space="preserve">s are required to classify items of expense between transactions and other economic flows as appropriate. </w:t>
      </w:r>
    </w:p>
    <w:p w14:paraId="11AB4A86" w14:textId="77777777" w:rsidR="003719CD" w:rsidRDefault="003719CD" w:rsidP="007D536F">
      <w:pPr>
        <w:pStyle w:val="GuidanceEnd"/>
      </w:pPr>
    </w:p>
    <w:p w14:paraId="42B4FD37" w14:textId="4B0971EB" w:rsidR="003719CD" w:rsidRDefault="008E75F5" w:rsidP="007762BE">
      <w:pPr>
        <w:pStyle w:val="Heading3numbered"/>
      </w:pPr>
      <w:bookmarkStart w:id="9039" w:name="_Toc179810177"/>
      <w:bookmarkStart w:id="9040" w:name="_Toc179815863"/>
      <w:bookmarkStart w:id="9041" w:name="_Toc179821563"/>
      <w:bookmarkStart w:id="9042" w:name="_Toc179827263"/>
      <w:bookmarkStart w:id="9043" w:name="_Toc179832906"/>
      <w:bookmarkStart w:id="9044" w:name="_Toc179864436"/>
      <w:bookmarkStart w:id="9045" w:name="_Toc179810178"/>
      <w:bookmarkStart w:id="9046" w:name="_Toc179815864"/>
      <w:bookmarkStart w:id="9047" w:name="_Toc179821564"/>
      <w:bookmarkStart w:id="9048" w:name="_Toc179827264"/>
      <w:bookmarkStart w:id="9049" w:name="_Toc179832907"/>
      <w:bookmarkStart w:id="9050" w:name="_Toc179864437"/>
      <w:bookmarkStart w:id="9051" w:name="_Toc179810179"/>
      <w:bookmarkStart w:id="9052" w:name="_Toc179815865"/>
      <w:bookmarkStart w:id="9053" w:name="_Toc179821565"/>
      <w:bookmarkStart w:id="9054" w:name="_Toc179827265"/>
      <w:bookmarkStart w:id="9055" w:name="_Toc179832908"/>
      <w:bookmarkStart w:id="9056" w:name="_Toc179864438"/>
      <w:bookmarkStart w:id="9057" w:name="_Toc179810180"/>
      <w:bookmarkStart w:id="9058" w:name="_Toc179815866"/>
      <w:bookmarkStart w:id="9059" w:name="_Toc179821566"/>
      <w:bookmarkStart w:id="9060" w:name="_Toc179827266"/>
      <w:bookmarkStart w:id="9061" w:name="_Toc179832909"/>
      <w:bookmarkStart w:id="9062" w:name="_Toc179864439"/>
      <w:bookmarkStart w:id="9063" w:name="_Toc179810181"/>
      <w:bookmarkStart w:id="9064" w:name="_Toc179815867"/>
      <w:bookmarkStart w:id="9065" w:name="_Toc179821567"/>
      <w:bookmarkStart w:id="9066" w:name="_Toc179827267"/>
      <w:bookmarkStart w:id="9067" w:name="_Toc179832910"/>
      <w:bookmarkStart w:id="9068" w:name="_Toc179864440"/>
      <w:bookmarkStart w:id="9069" w:name="_Toc179810182"/>
      <w:bookmarkStart w:id="9070" w:name="_Toc179815868"/>
      <w:bookmarkStart w:id="9071" w:name="_Toc179821568"/>
      <w:bookmarkStart w:id="9072" w:name="_Toc179827268"/>
      <w:bookmarkStart w:id="9073" w:name="_Toc179832911"/>
      <w:bookmarkStart w:id="9074" w:name="_Toc179864441"/>
      <w:bookmarkStart w:id="9075" w:name="_Toc179810183"/>
      <w:bookmarkStart w:id="9076" w:name="_Toc179815869"/>
      <w:bookmarkStart w:id="9077" w:name="_Toc179821569"/>
      <w:bookmarkStart w:id="9078" w:name="_Toc179827269"/>
      <w:bookmarkStart w:id="9079" w:name="_Toc179832912"/>
      <w:bookmarkStart w:id="9080" w:name="_Toc179864442"/>
      <w:bookmarkStart w:id="9081" w:name="_Toc179810184"/>
      <w:bookmarkStart w:id="9082" w:name="_Toc179815870"/>
      <w:bookmarkStart w:id="9083" w:name="_Toc179821570"/>
      <w:bookmarkStart w:id="9084" w:name="_Toc179827270"/>
      <w:bookmarkStart w:id="9085" w:name="_Toc179832913"/>
      <w:bookmarkStart w:id="9086" w:name="_Toc179864443"/>
      <w:bookmarkStart w:id="9087" w:name="_Toc179810185"/>
      <w:bookmarkStart w:id="9088" w:name="_Toc179815871"/>
      <w:bookmarkStart w:id="9089" w:name="_Toc179821571"/>
      <w:bookmarkStart w:id="9090" w:name="_Toc179827271"/>
      <w:bookmarkStart w:id="9091" w:name="_Toc179832914"/>
      <w:bookmarkStart w:id="9092" w:name="_Toc179864444"/>
      <w:bookmarkStart w:id="9093" w:name="_Toc179810186"/>
      <w:bookmarkStart w:id="9094" w:name="_Toc179815872"/>
      <w:bookmarkStart w:id="9095" w:name="_Toc179821572"/>
      <w:bookmarkStart w:id="9096" w:name="_Toc179827272"/>
      <w:bookmarkStart w:id="9097" w:name="_Toc179832915"/>
      <w:bookmarkStart w:id="9098" w:name="_Toc179864445"/>
      <w:bookmarkStart w:id="9099" w:name="_Toc179810187"/>
      <w:bookmarkStart w:id="9100" w:name="_Toc179815873"/>
      <w:bookmarkStart w:id="9101" w:name="_Toc179821573"/>
      <w:bookmarkStart w:id="9102" w:name="_Toc179827273"/>
      <w:bookmarkStart w:id="9103" w:name="_Toc179832916"/>
      <w:bookmarkStart w:id="9104" w:name="_Toc179864446"/>
      <w:bookmarkStart w:id="9105" w:name="_Toc179810188"/>
      <w:bookmarkStart w:id="9106" w:name="_Toc179815874"/>
      <w:bookmarkStart w:id="9107" w:name="_Toc179821574"/>
      <w:bookmarkStart w:id="9108" w:name="_Toc179827274"/>
      <w:bookmarkStart w:id="9109" w:name="_Toc179832917"/>
      <w:bookmarkStart w:id="9110" w:name="_Toc179864447"/>
      <w:bookmarkStart w:id="9111" w:name="_Toc179810199"/>
      <w:bookmarkStart w:id="9112" w:name="_Toc179815885"/>
      <w:bookmarkStart w:id="9113" w:name="_Toc179821585"/>
      <w:bookmarkStart w:id="9114" w:name="_Toc179827285"/>
      <w:bookmarkStart w:id="9115" w:name="_Toc179832928"/>
      <w:bookmarkStart w:id="9116" w:name="_Toc179864458"/>
      <w:bookmarkStart w:id="9117" w:name="_Toc179810204"/>
      <w:bookmarkStart w:id="9118" w:name="_Toc179815890"/>
      <w:bookmarkStart w:id="9119" w:name="_Toc179821590"/>
      <w:bookmarkStart w:id="9120" w:name="_Toc179827290"/>
      <w:bookmarkStart w:id="9121" w:name="_Toc179832933"/>
      <w:bookmarkStart w:id="9122" w:name="_Toc179864463"/>
      <w:bookmarkStart w:id="9123" w:name="_Toc179810209"/>
      <w:bookmarkStart w:id="9124" w:name="_Toc179815895"/>
      <w:bookmarkStart w:id="9125" w:name="_Toc179821595"/>
      <w:bookmarkStart w:id="9126" w:name="_Toc179827295"/>
      <w:bookmarkStart w:id="9127" w:name="_Toc179832938"/>
      <w:bookmarkStart w:id="9128" w:name="_Toc179864468"/>
      <w:bookmarkStart w:id="9129" w:name="_Toc179810214"/>
      <w:bookmarkStart w:id="9130" w:name="_Toc179815900"/>
      <w:bookmarkStart w:id="9131" w:name="_Toc179821600"/>
      <w:bookmarkStart w:id="9132" w:name="_Toc179827300"/>
      <w:bookmarkStart w:id="9133" w:name="_Toc179832943"/>
      <w:bookmarkStart w:id="9134" w:name="_Toc179864473"/>
      <w:bookmarkStart w:id="9135" w:name="_Toc179810219"/>
      <w:bookmarkStart w:id="9136" w:name="_Toc179815905"/>
      <w:bookmarkStart w:id="9137" w:name="_Toc179821605"/>
      <w:bookmarkStart w:id="9138" w:name="_Toc179827305"/>
      <w:bookmarkStart w:id="9139" w:name="_Toc179832948"/>
      <w:bookmarkStart w:id="9140" w:name="_Toc179864478"/>
      <w:bookmarkStart w:id="9141" w:name="_Toc179810224"/>
      <w:bookmarkStart w:id="9142" w:name="_Toc179815910"/>
      <w:bookmarkStart w:id="9143" w:name="_Toc179821610"/>
      <w:bookmarkStart w:id="9144" w:name="_Toc179827310"/>
      <w:bookmarkStart w:id="9145" w:name="_Toc179832953"/>
      <w:bookmarkStart w:id="9146" w:name="_Toc179864483"/>
      <w:bookmarkStart w:id="9147" w:name="_Toc179810229"/>
      <w:bookmarkStart w:id="9148" w:name="_Toc179815915"/>
      <w:bookmarkStart w:id="9149" w:name="_Toc179821615"/>
      <w:bookmarkStart w:id="9150" w:name="_Toc179827315"/>
      <w:bookmarkStart w:id="9151" w:name="_Toc179832958"/>
      <w:bookmarkStart w:id="9152" w:name="_Toc179864488"/>
      <w:bookmarkStart w:id="9153" w:name="_Toc179810234"/>
      <w:bookmarkStart w:id="9154" w:name="_Toc179815920"/>
      <w:bookmarkStart w:id="9155" w:name="_Toc179821620"/>
      <w:bookmarkStart w:id="9156" w:name="_Toc179827320"/>
      <w:bookmarkStart w:id="9157" w:name="_Toc179832963"/>
      <w:bookmarkStart w:id="9158" w:name="_Toc179864493"/>
      <w:bookmarkStart w:id="9159" w:name="_Toc179810239"/>
      <w:bookmarkStart w:id="9160" w:name="_Toc179815925"/>
      <w:bookmarkStart w:id="9161" w:name="_Toc179821625"/>
      <w:bookmarkStart w:id="9162" w:name="_Toc179827325"/>
      <w:bookmarkStart w:id="9163" w:name="_Toc179832968"/>
      <w:bookmarkStart w:id="9164" w:name="_Toc179864498"/>
      <w:bookmarkStart w:id="9165" w:name="_Toc179810244"/>
      <w:bookmarkStart w:id="9166" w:name="_Toc179815930"/>
      <w:bookmarkStart w:id="9167" w:name="_Toc179821630"/>
      <w:bookmarkStart w:id="9168" w:name="_Toc179827330"/>
      <w:bookmarkStart w:id="9169" w:name="_Toc179832973"/>
      <w:bookmarkStart w:id="9170" w:name="_Toc179864503"/>
      <w:bookmarkStart w:id="9171" w:name="_Toc179810249"/>
      <w:bookmarkStart w:id="9172" w:name="_Toc179815935"/>
      <w:bookmarkStart w:id="9173" w:name="_Toc179821635"/>
      <w:bookmarkStart w:id="9174" w:name="_Toc179827335"/>
      <w:bookmarkStart w:id="9175" w:name="_Toc179832978"/>
      <w:bookmarkStart w:id="9176" w:name="_Toc179864508"/>
      <w:bookmarkStart w:id="9177" w:name="_Toc179810254"/>
      <w:bookmarkStart w:id="9178" w:name="_Toc179815940"/>
      <w:bookmarkStart w:id="9179" w:name="_Toc179821640"/>
      <w:bookmarkStart w:id="9180" w:name="_Toc179827340"/>
      <w:bookmarkStart w:id="9181" w:name="_Toc179832983"/>
      <w:bookmarkStart w:id="9182" w:name="_Toc179864513"/>
      <w:bookmarkStart w:id="9183" w:name="_Toc179810259"/>
      <w:bookmarkStart w:id="9184" w:name="_Toc179815945"/>
      <w:bookmarkStart w:id="9185" w:name="_Toc179821645"/>
      <w:bookmarkStart w:id="9186" w:name="_Toc179827345"/>
      <w:bookmarkStart w:id="9187" w:name="_Toc179832988"/>
      <w:bookmarkStart w:id="9188" w:name="_Toc179864518"/>
      <w:bookmarkStart w:id="9189" w:name="_Toc179810264"/>
      <w:bookmarkStart w:id="9190" w:name="_Toc179815950"/>
      <w:bookmarkStart w:id="9191" w:name="_Toc179821650"/>
      <w:bookmarkStart w:id="9192" w:name="_Toc179827350"/>
      <w:bookmarkStart w:id="9193" w:name="_Toc179832993"/>
      <w:bookmarkStart w:id="9194" w:name="_Toc179864523"/>
      <w:bookmarkStart w:id="9195" w:name="_Toc179810269"/>
      <w:bookmarkStart w:id="9196" w:name="_Toc179815955"/>
      <w:bookmarkStart w:id="9197" w:name="_Toc179821655"/>
      <w:bookmarkStart w:id="9198" w:name="_Toc179827355"/>
      <w:bookmarkStart w:id="9199" w:name="_Toc179832998"/>
      <w:bookmarkStart w:id="9200" w:name="_Toc179864528"/>
      <w:bookmarkStart w:id="9201" w:name="_Toc179810274"/>
      <w:bookmarkStart w:id="9202" w:name="_Toc179815960"/>
      <w:bookmarkStart w:id="9203" w:name="_Toc179821660"/>
      <w:bookmarkStart w:id="9204" w:name="_Toc179827360"/>
      <w:bookmarkStart w:id="9205" w:name="_Toc179833003"/>
      <w:bookmarkStart w:id="9206" w:name="_Toc179864533"/>
      <w:bookmarkStart w:id="9207" w:name="_Toc179810279"/>
      <w:bookmarkStart w:id="9208" w:name="_Toc179815965"/>
      <w:bookmarkStart w:id="9209" w:name="_Toc179821665"/>
      <w:bookmarkStart w:id="9210" w:name="_Toc179827365"/>
      <w:bookmarkStart w:id="9211" w:name="_Toc179833008"/>
      <w:bookmarkStart w:id="9212" w:name="_Toc179864538"/>
      <w:bookmarkStart w:id="9213" w:name="_Toc179810280"/>
      <w:bookmarkStart w:id="9214" w:name="_Toc179815966"/>
      <w:bookmarkStart w:id="9215" w:name="_Toc179821666"/>
      <w:bookmarkStart w:id="9216" w:name="_Toc179827366"/>
      <w:bookmarkStart w:id="9217" w:name="_Toc179833009"/>
      <w:bookmarkStart w:id="9218" w:name="_Toc179864539"/>
      <w:bookmarkStart w:id="9219" w:name="_Toc179810281"/>
      <w:bookmarkStart w:id="9220" w:name="_Toc179815967"/>
      <w:bookmarkStart w:id="9221" w:name="_Toc179821667"/>
      <w:bookmarkStart w:id="9222" w:name="_Toc179827367"/>
      <w:bookmarkStart w:id="9223" w:name="_Toc179833010"/>
      <w:bookmarkStart w:id="9224" w:name="_Toc179864540"/>
      <w:bookmarkStart w:id="9225" w:name="_Toc179810282"/>
      <w:bookmarkStart w:id="9226" w:name="_Toc179815968"/>
      <w:bookmarkStart w:id="9227" w:name="_Toc179821668"/>
      <w:bookmarkStart w:id="9228" w:name="_Toc179827368"/>
      <w:bookmarkStart w:id="9229" w:name="_Toc179833011"/>
      <w:bookmarkStart w:id="9230" w:name="_Toc179864541"/>
      <w:bookmarkStart w:id="9231" w:name="_Toc179810302"/>
      <w:bookmarkStart w:id="9232" w:name="_Toc179815988"/>
      <w:bookmarkStart w:id="9233" w:name="_Toc179821688"/>
      <w:bookmarkStart w:id="9234" w:name="_Toc179827388"/>
      <w:bookmarkStart w:id="9235" w:name="_Toc179833031"/>
      <w:bookmarkStart w:id="9236" w:name="_Toc179864561"/>
      <w:bookmarkStart w:id="9237" w:name="_Toc179810303"/>
      <w:bookmarkStart w:id="9238" w:name="_Toc179815989"/>
      <w:bookmarkStart w:id="9239" w:name="_Toc179821689"/>
      <w:bookmarkStart w:id="9240" w:name="_Toc179827389"/>
      <w:bookmarkStart w:id="9241" w:name="_Toc179833032"/>
      <w:bookmarkStart w:id="9242" w:name="_Toc179864562"/>
      <w:bookmarkStart w:id="9243" w:name="_Toc179810304"/>
      <w:bookmarkStart w:id="9244" w:name="_Toc179815990"/>
      <w:bookmarkStart w:id="9245" w:name="_Toc179821690"/>
      <w:bookmarkStart w:id="9246" w:name="_Toc179827390"/>
      <w:bookmarkStart w:id="9247" w:name="_Toc179833033"/>
      <w:bookmarkStart w:id="9248" w:name="_Toc179864563"/>
      <w:bookmarkStart w:id="9249" w:name="_Toc179810305"/>
      <w:bookmarkStart w:id="9250" w:name="_Toc179815991"/>
      <w:bookmarkStart w:id="9251" w:name="_Toc179821691"/>
      <w:bookmarkStart w:id="9252" w:name="_Toc179827391"/>
      <w:bookmarkStart w:id="9253" w:name="_Toc179833034"/>
      <w:bookmarkStart w:id="9254" w:name="_Toc179864564"/>
      <w:bookmarkStart w:id="9255" w:name="_Toc179810357"/>
      <w:bookmarkStart w:id="9256" w:name="_Toc179816043"/>
      <w:bookmarkStart w:id="9257" w:name="_Toc179821743"/>
      <w:bookmarkStart w:id="9258" w:name="_Toc179827443"/>
      <w:bookmarkStart w:id="9259" w:name="_Toc179833086"/>
      <w:bookmarkStart w:id="9260" w:name="_Toc179864616"/>
      <w:bookmarkStart w:id="9261" w:name="_Toc179816044"/>
      <w:bookmarkStart w:id="9262" w:name="_Toc179821744"/>
      <w:bookmarkStart w:id="9263" w:name="_Toc179827444"/>
      <w:bookmarkStart w:id="9264" w:name="_Toc179833087"/>
      <w:bookmarkStart w:id="9265" w:name="_Toc179864617"/>
      <w:bookmarkEnd w:id="9039"/>
      <w:bookmarkEnd w:id="9040"/>
      <w:bookmarkEnd w:id="9041"/>
      <w:bookmarkEnd w:id="9042"/>
      <w:bookmarkEnd w:id="9043"/>
      <w:bookmarkEnd w:id="9044"/>
      <w:bookmarkEnd w:id="9045"/>
      <w:bookmarkEnd w:id="9046"/>
      <w:bookmarkEnd w:id="9047"/>
      <w:bookmarkEnd w:id="9048"/>
      <w:bookmarkEnd w:id="9049"/>
      <w:bookmarkEnd w:id="9050"/>
      <w:bookmarkEnd w:id="9051"/>
      <w:bookmarkEnd w:id="9052"/>
      <w:bookmarkEnd w:id="9053"/>
      <w:bookmarkEnd w:id="9054"/>
      <w:bookmarkEnd w:id="9055"/>
      <w:bookmarkEnd w:id="9056"/>
      <w:bookmarkEnd w:id="9057"/>
      <w:bookmarkEnd w:id="9058"/>
      <w:bookmarkEnd w:id="9059"/>
      <w:bookmarkEnd w:id="9060"/>
      <w:bookmarkEnd w:id="9061"/>
      <w:bookmarkEnd w:id="9062"/>
      <w:bookmarkEnd w:id="9063"/>
      <w:bookmarkEnd w:id="9064"/>
      <w:bookmarkEnd w:id="9065"/>
      <w:bookmarkEnd w:id="9066"/>
      <w:bookmarkEnd w:id="9067"/>
      <w:bookmarkEnd w:id="9068"/>
      <w:bookmarkEnd w:id="9069"/>
      <w:bookmarkEnd w:id="9070"/>
      <w:bookmarkEnd w:id="9071"/>
      <w:bookmarkEnd w:id="9072"/>
      <w:bookmarkEnd w:id="9073"/>
      <w:bookmarkEnd w:id="9074"/>
      <w:bookmarkEnd w:id="9075"/>
      <w:bookmarkEnd w:id="9076"/>
      <w:bookmarkEnd w:id="9077"/>
      <w:bookmarkEnd w:id="9078"/>
      <w:bookmarkEnd w:id="9079"/>
      <w:bookmarkEnd w:id="9080"/>
      <w:bookmarkEnd w:id="9081"/>
      <w:bookmarkEnd w:id="9082"/>
      <w:bookmarkEnd w:id="9083"/>
      <w:bookmarkEnd w:id="9084"/>
      <w:bookmarkEnd w:id="9085"/>
      <w:bookmarkEnd w:id="9086"/>
      <w:bookmarkEnd w:id="9087"/>
      <w:bookmarkEnd w:id="9088"/>
      <w:bookmarkEnd w:id="9089"/>
      <w:bookmarkEnd w:id="9090"/>
      <w:bookmarkEnd w:id="9091"/>
      <w:bookmarkEnd w:id="9092"/>
      <w:bookmarkEnd w:id="9093"/>
      <w:bookmarkEnd w:id="9094"/>
      <w:bookmarkEnd w:id="9095"/>
      <w:bookmarkEnd w:id="9096"/>
      <w:bookmarkEnd w:id="9097"/>
      <w:bookmarkEnd w:id="9098"/>
      <w:bookmarkEnd w:id="9099"/>
      <w:bookmarkEnd w:id="9100"/>
      <w:bookmarkEnd w:id="9101"/>
      <w:bookmarkEnd w:id="9102"/>
      <w:bookmarkEnd w:id="9103"/>
      <w:bookmarkEnd w:id="9104"/>
      <w:bookmarkEnd w:id="9105"/>
      <w:bookmarkEnd w:id="9106"/>
      <w:bookmarkEnd w:id="9107"/>
      <w:bookmarkEnd w:id="9108"/>
      <w:bookmarkEnd w:id="9109"/>
      <w:bookmarkEnd w:id="9110"/>
      <w:bookmarkEnd w:id="9111"/>
      <w:bookmarkEnd w:id="9112"/>
      <w:bookmarkEnd w:id="9113"/>
      <w:bookmarkEnd w:id="9114"/>
      <w:bookmarkEnd w:id="9115"/>
      <w:bookmarkEnd w:id="9116"/>
      <w:bookmarkEnd w:id="9117"/>
      <w:bookmarkEnd w:id="9118"/>
      <w:bookmarkEnd w:id="9119"/>
      <w:bookmarkEnd w:id="9120"/>
      <w:bookmarkEnd w:id="9121"/>
      <w:bookmarkEnd w:id="9122"/>
      <w:bookmarkEnd w:id="9123"/>
      <w:bookmarkEnd w:id="9124"/>
      <w:bookmarkEnd w:id="9125"/>
      <w:bookmarkEnd w:id="9126"/>
      <w:bookmarkEnd w:id="9127"/>
      <w:bookmarkEnd w:id="9128"/>
      <w:bookmarkEnd w:id="9129"/>
      <w:bookmarkEnd w:id="9130"/>
      <w:bookmarkEnd w:id="9131"/>
      <w:bookmarkEnd w:id="9132"/>
      <w:bookmarkEnd w:id="9133"/>
      <w:bookmarkEnd w:id="9134"/>
      <w:bookmarkEnd w:id="9135"/>
      <w:bookmarkEnd w:id="9136"/>
      <w:bookmarkEnd w:id="9137"/>
      <w:bookmarkEnd w:id="9138"/>
      <w:bookmarkEnd w:id="9139"/>
      <w:bookmarkEnd w:id="9140"/>
      <w:bookmarkEnd w:id="9141"/>
      <w:bookmarkEnd w:id="9142"/>
      <w:bookmarkEnd w:id="9143"/>
      <w:bookmarkEnd w:id="9144"/>
      <w:bookmarkEnd w:id="9145"/>
      <w:bookmarkEnd w:id="9146"/>
      <w:bookmarkEnd w:id="9147"/>
      <w:bookmarkEnd w:id="9148"/>
      <w:bookmarkEnd w:id="9149"/>
      <w:bookmarkEnd w:id="9150"/>
      <w:bookmarkEnd w:id="9151"/>
      <w:bookmarkEnd w:id="9152"/>
      <w:bookmarkEnd w:id="9153"/>
      <w:bookmarkEnd w:id="9154"/>
      <w:bookmarkEnd w:id="9155"/>
      <w:bookmarkEnd w:id="9156"/>
      <w:bookmarkEnd w:id="9157"/>
      <w:bookmarkEnd w:id="9158"/>
      <w:bookmarkEnd w:id="9159"/>
      <w:bookmarkEnd w:id="9160"/>
      <w:bookmarkEnd w:id="9161"/>
      <w:bookmarkEnd w:id="9162"/>
      <w:bookmarkEnd w:id="9163"/>
      <w:bookmarkEnd w:id="9164"/>
      <w:bookmarkEnd w:id="9165"/>
      <w:bookmarkEnd w:id="9166"/>
      <w:bookmarkEnd w:id="9167"/>
      <w:bookmarkEnd w:id="9168"/>
      <w:bookmarkEnd w:id="9169"/>
      <w:bookmarkEnd w:id="9170"/>
      <w:bookmarkEnd w:id="9171"/>
      <w:bookmarkEnd w:id="9172"/>
      <w:bookmarkEnd w:id="9173"/>
      <w:bookmarkEnd w:id="9174"/>
      <w:bookmarkEnd w:id="9175"/>
      <w:bookmarkEnd w:id="9176"/>
      <w:bookmarkEnd w:id="9177"/>
      <w:bookmarkEnd w:id="9178"/>
      <w:bookmarkEnd w:id="9179"/>
      <w:bookmarkEnd w:id="9180"/>
      <w:bookmarkEnd w:id="9181"/>
      <w:bookmarkEnd w:id="9182"/>
      <w:bookmarkEnd w:id="9183"/>
      <w:bookmarkEnd w:id="9184"/>
      <w:bookmarkEnd w:id="9185"/>
      <w:bookmarkEnd w:id="9186"/>
      <w:bookmarkEnd w:id="9187"/>
      <w:bookmarkEnd w:id="9188"/>
      <w:bookmarkEnd w:id="9189"/>
      <w:bookmarkEnd w:id="9190"/>
      <w:bookmarkEnd w:id="9191"/>
      <w:bookmarkEnd w:id="9192"/>
      <w:bookmarkEnd w:id="9193"/>
      <w:bookmarkEnd w:id="9194"/>
      <w:bookmarkEnd w:id="9195"/>
      <w:bookmarkEnd w:id="9196"/>
      <w:bookmarkEnd w:id="9197"/>
      <w:bookmarkEnd w:id="9198"/>
      <w:bookmarkEnd w:id="9199"/>
      <w:bookmarkEnd w:id="9200"/>
      <w:bookmarkEnd w:id="9201"/>
      <w:bookmarkEnd w:id="9202"/>
      <w:bookmarkEnd w:id="9203"/>
      <w:bookmarkEnd w:id="9204"/>
      <w:bookmarkEnd w:id="9205"/>
      <w:bookmarkEnd w:id="9206"/>
      <w:bookmarkEnd w:id="9207"/>
      <w:bookmarkEnd w:id="9208"/>
      <w:bookmarkEnd w:id="9209"/>
      <w:bookmarkEnd w:id="9210"/>
      <w:bookmarkEnd w:id="9211"/>
      <w:bookmarkEnd w:id="9212"/>
      <w:bookmarkEnd w:id="9213"/>
      <w:bookmarkEnd w:id="9214"/>
      <w:bookmarkEnd w:id="9215"/>
      <w:bookmarkEnd w:id="9216"/>
      <w:bookmarkEnd w:id="9217"/>
      <w:bookmarkEnd w:id="9218"/>
      <w:bookmarkEnd w:id="9219"/>
      <w:bookmarkEnd w:id="9220"/>
      <w:bookmarkEnd w:id="9221"/>
      <w:bookmarkEnd w:id="9222"/>
      <w:bookmarkEnd w:id="9223"/>
      <w:bookmarkEnd w:id="9224"/>
      <w:bookmarkEnd w:id="9225"/>
      <w:bookmarkEnd w:id="9226"/>
      <w:bookmarkEnd w:id="9227"/>
      <w:bookmarkEnd w:id="9228"/>
      <w:bookmarkEnd w:id="9229"/>
      <w:bookmarkEnd w:id="9230"/>
      <w:bookmarkEnd w:id="9231"/>
      <w:bookmarkEnd w:id="9232"/>
      <w:bookmarkEnd w:id="9233"/>
      <w:bookmarkEnd w:id="9234"/>
      <w:bookmarkEnd w:id="9235"/>
      <w:bookmarkEnd w:id="9236"/>
      <w:bookmarkEnd w:id="9237"/>
      <w:bookmarkEnd w:id="9238"/>
      <w:bookmarkEnd w:id="9239"/>
      <w:bookmarkEnd w:id="9240"/>
      <w:bookmarkEnd w:id="9241"/>
      <w:bookmarkEnd w:id="9242"/>
      <w:bookmarkEnd w:id="9243"/>
      <w:bookmarkEnd w:id="9244"/>
      <w:bookmarkEnd w:id="9245"/>
      <w:bookmarkEnd w:id="9246"/>
      <w:bookmarkEnd w:id="9247"/>
      <w:bookmarkEnd w:id="9248"/>
      <w:bookmarkEnd w:id="9249"/>
      <w:bookmarkEnd w:id="9250"/>
      <w:bookmarkEnd w:id="9251"/>
      <w:bookmarkEnd w:id="9252"/>
      <w:bookmarkEnd w:id="9253"/>
      <w:bookmarkEnd w:id="9254"/>
      <w:bookmarkEnd w:id="9255"/>
      <w:bookmarkEnd w:id="9256"/>
      <w:bookmarkEnd w:id="9257"/>
      <w:bookmarkEnd w:id="9258"/>
      <w:bookmarkEnd w:id="9259"/>
      <w:bookmarkEnd w:id="9260"/>
      <w:r>
        <w:rPr>
          <w:rFonts w:eastAsia="SimHei" w:hint="eastAsia"/>
          <w:lang w:eastAsia="zh-CN"/>
        </w:rPr>
        <w:t xml:space="preserve">Other </w:t>
      </w:r>
      <w:proofErr w:type="gramStart"/>
      <w:r w:rsidR="003719CD">
        <w:t>Non-financial</w:t>
      </w:r>
      <w:proofErr w:type="gramEnd"/>
      <w:r w:rsidR="003719CD">
        <w:t xml:space="preserve"> assets</w:t>
      </w:r>
      <w:bookmarkEnd w:id="9261"/>
      <w:bookmarkEnd w:id="9262"/>
      <w:bookmarkEnd w:id="9263"/>
      <w:bookmarkEnd w:id="9264"/>
      <w:bookmarkEnd w:id="9265"/>
    </w:p>
    <w:p w14:paraId="52910793" w14:textId="77777777" w:rsidR="003719CD" w:rsidRDefault="003719CD" w:rsidP="007D536F">
      <w:pPr>
        <w:pStyle w:val="TableUnits"/>
      </w:pPr>
      <w:r>
        <w:t>($ thousand)</w:t>
      </w:r>
    </w:p>
    <w:tbl>
      <w:tblPr>
        <w:tblStyle w:val="DTFTable"/>
        <w:tblW w:w="9639" w:type="dxa"/>
        <w:tblLayout w:type="fixed"/>
        <w:tblLook w:val="06A0" w:firstRow="1" w:lastRow="0" w:firstColumn="1" w:lastColumn="0" w:noHBand="1" w:noVBand="1"/>
      </w:tblPr>
      <w:tblGrid>
        <w:gridCol w:w="7825"/>
        <w:gridCol w:w="907"/>
        <w:gridCol w:w="907"/>
      </w:tblGrid>
      <w:tr w:rsidR="00182709" w14:paraId="08699BA9" w14:textId="77777777" w:rsidTr="0018270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7825" w:type="dxa"/>
          </w:tcPr>
          <w:p w14:paraId="0E4E50E1" w14:textId="77777777" w:rsidR="00182709" w:rsidRDefault="00182709">
            <w:pPr>
              <w:keepNext/>
            </w:pPr>
          </w:p>
        </w:tc>
        <w:tc>
          <w:tcPr>
            <w:tcW w:w="907" w:type="dxa"/>
          </w:tcPr>
          <w:p w14:paraId="6D8192E4" w14:textId="77777777" w:rsidR="00182709" w:rsidRDefault="0044097C">
            <w:pPr>
              <w:keepNext/>
              <w:cnfStyle w:val="100000000000" w:firstRow="1" w:lastRow="0" w:firstColumn="0" w:lastColumn="0" w:oddVBand="0" w:evenVBand="0" w:oddHBand="0" w:evenHBand="0" w:firstRowFirstColumn="0" w:firstRowLastColumn="0" w:lastRowFirstColumn="0" w:lastRowLastColumn="0"/>
            </w:pPr>
            <w:r>
              <w:t>20X2</w:t>
            </w:r>
          </w:p>
        </w:tc>
        <w:tc>
          <w:tcPr>
            <w:tcW w:w="907" w:type="dxa"/>
          </w:tcPr>
          <w:p w14:paraId="1EED15CA" w14:textId="77777777" w:rsidR="00182709" w:rsidRDefault="0044097C">
            <w:pPr>
              <w:keepNext/>
              <w:cnfStyle w:val="100000000000" w:firstRow="1" w:lastRow="0" w:firstColumn="0" w:lastColumn="0" w:oddVBand="0" w:evenVBand="0" w:oddHBand="0" w:evenHBand="0" w:firstRowFirstColumn="0" w:firstRowLastColumn="0" w:lastRowFirstColumn="0" w:lastRowLastColumn="0"/>
            </w:pPr>
            <w:r>
              <w:t>20X1</w:t>
            </w:r>
          </w:p>
        </w:tc>
      </w:tr>
      <w:tr w:rsidR="00182709" w14:paraId="6406A029" w14:textId="77777777" w:rsidTr="00E10CD7">
        <w:tc>
          <w:tcPr>
            <w:cnfStyle w:val="001000000000" w:firstRow="0" w:lastRow="0" w:firstColumn="1" w:lastColumn="0" w:oddVBand="0" w:evenVBand="0" w:oddHBand="0" w:evenHBand="0" w:firstRowFirstColumn="0" w:firstRowLastColumn="0" w:lastRowFirstColumn="0" w:lastRowLastColumn="0"/>
            <w:tcW w:w="0" w:type="dxa"/>
            <w:tcBorders>
              <w:bottom w:val="nil"/>
            </w:tcBorders>
          </w:tcPr>
          <w:p w14:paraId="56855B7D" w14:textId="77777777" w:rsidR="00182709" w:rsidRDefault="0044097C">
            <w:r>
              <w:rPr>
                <w:i/>
              </w:rPr>
              <w:t>Non</w:t>
            </w:r>
            <w:r>
              <w:rPr>
                <w:i/>
              </w:rPr>
              <w:noBreakHyphen/>
              <w:t>Current assets:</w:t>
            </w:r>
          </w:p>
        </w:tc>
        <w:tc>
          <w:tcPr>
            <w:tcW w:w="0" w:type="dxa"/>
            <w:tcBorders>
              <w:bottom w:val="nil"/>
            </w:tcBorders>
          </w:tcPr>
          <w:p w14:paraId="5513B3FC" w14:textId="77777777" w:rsidR="00182709" w:rsidRDefault="00182709">
            <w:pPr>
              <w:cnfStyle w:val="000000000000" w:firstRow="0" w:lastRow="0" w:firstColumn="0" w:lastColumn="0" w:oddVBand="0" w:evenVBand="0" w:oddHBand="0" w:evenHBand="0" w:firstRowFirstColumn="0" w:firstRowLastColumn="0" w:lastRowFirstColumn="0" w:lastRowLastColumn="0"/>
            </w:pPr>
          </w:p>
        </w:tc>
        <w:tc>
          <w:tcPr>
            <w:tcW w:w="0" w:type="dxa"/>
            <w:tcBorders>
              <w:bottom w:val="nil"/>
            </w:tcBorders>
          </w:tcPr>
          <w:p w14:paraId="6FECA1C3" w14:textId="77777777" w:rsidR="00182709" w:rsidRDefault="00182709">
            <w:pPr>
              <w:cnfStyle w:val="000000000000" w:firstRow="0" w:lastRow="0" w:firstColumn="0" w:lastColumn="0" w:oddVBand="0" w:evenVBand="0" w:oddHBand="0" w:evenHBand="0" w:firstRowFirstColumn="0" w:firstRowLastColumn="0" w:lastRowFirstColumn="0" w:lastRowLastColumn="0"/>
            </w:pPr>
          </w:p>
        </w:tc>
      </w:tr>
      <w:tr w:rsidR="00182709" w14:paraId="3FC9C2E0" w14:textId="77777777" w:rsidTr="00E10CD7">
        <w:tc>
          <w:tcPr>
            <w:cnfStyle w:val="001000000000" w:firstRow="0" w:lastRow="0" w:firstColumn="1" w:lastColumn="0" w:oddVBand="0" w:evenVBand="0" w:oddHBand="0" w:evenHBand="0" w:firstRowFirstColumn="0" w:firstRowLastColumn="0" w:lastRowFirstColumn="0" w:lastRowLastColumn="0"/>
            <w:tcW w:w="0" w:type="dxa"/>
            <w:tcBorders>
              <w:bottom w:val="single" w:sz="18" w:space="0" w:color="auto"/>
            </w:tcBorders>
          </w:tcPr>
          <w:p w14:paraId="6D3B3B81" w14:textId="4BF191A8" w:rsidR="00182709" w:rsidRDefault="0044097C">
            <w:r>
              <w:t>Freehold land held for sale</w:t>
            </w:r>
            <w:r>
              <w:rPr>
                <w:vertAlign w:val="superscript"/>
              </w:rPr>
              <w:t xml:space="preserve"> </w:t>
            </w:r>
          </w:p>
        </w:tc>
        <w:tc>
          <w:tcPr>
            <w:tcW w:w="0" w:type="dxa"/>
            <w:tcBorders>
              <w:bottom w:val="single" w:sz="18" w:space="0" w:color="auto"/>
            </w:tcBorders>
          </w:tcPr>
          <w:p w14:paraId="1466B250" w14:textId="77777777" w:rsidR="00182709" w:rsidRDefault="0044097C">
            <w:pPr>
              <w:cnfStyle w:val="000000000000" w:firstRow="0" w:lastRow="0" w:firstColumn="0" w:lastColumn="0" w:oddVBand="0" w:evenVBand="0" w:oddHBand="0" w:evenHBand="0" w:firstRowFirstColumn="0" w:firstRowLastColumn="0" w:lastRowFirstColumn="0" w:lastRowLastColumn="0"/>
            </w:pPr>
            <w:r>
              <w:t>753</w:t>
            </w:r>
          </w:p>
        </w:tc>
        <w:tc>
          <w:tcPr>
            <w:tcW w:w="0" w:type="dxa"/>
            <w:tcBorders>
              <w:bottom w:val="single" w:sz="18" w:space="0" w:color="auto"/>
            </w:tcBorders>
          </w:tcPr>
          <w:p w14:paraId="42D350A6" w14:textId="77777777" w:rsidR="00182709" w:rsidRDefault="0044097C">
            <w:pPr>
              <w:cnfStyle w:val="000000000000" w:firstRow="0" w:lastRow="0" w:firstColumn="0" w:lastColumn="0" w:oddVBand="0" w:evenVBand="0" w:oddHBand="0" w:evenHBand="0" w:firstRowFirstColumn="0" w:firstRowLastColumn="0" w:lastRowFirstColumn="0" w:lastRowLastColumn="0"/>
            </w:pPr>
            <w:r>
              <w:t>1 469</w:t>
            </w:r>
          </w:p>
        </w:tc>
      </w:tr>
      <w:tr w:rsidR="00671D55" w14:paraId="4C53BC32" w14:textId="77777777" w:rsidTr="00E10CD7">
        <w:tc>
          <w:tcPr>
            <w:cnfStyle w:val="001000000000" w:firstRow="0" w:lastRow="0" w:firstColumn="1" w:lastColumn="0" w:oddVBand="0" w:evenVBand="0" w:oddHBand="0" w:evenHBand="0" w:firstRowFirstColumn="0" w:firstRowLastColumn="0" w:lastRowFirstColumn="0" w:lastRowLastColumn="0"/>
            <w:tcW w:w="0" w:type="dxa"/>
            <w:tcBorders>
              <w:top w:val="single" w:sz="18" w:space="0" w:color="auto"/>
              <w:bottom w:val="single" w:sz="18" w:space="0" w:color="auto"/>
            </w:tcBorders>
          </w:tcPr>
          <w:p w14:paraId="15BA86A1" w14:textId="44641D76" w:rsidR="00182709" w:rsidRDefault="0044097C">
            <w:r>
              <w:rPr>
                <w:b/>
              </w:rPr>
              <w:t xml:space="preserve">Total </w:t>
            </w:r>
            <w:r w:rsidR="00854EF9">
              <w:rPr>
                <w:rFonts w:hint="eastAsia"/>
                <w:b/>
                <w:lang w:eastAsia="zh-CN"/>
              </w:rPr>
              <w:t xml:space="preserve">other </w:t>
            </w:r>
            <w:r>
              <w:rPr>
                <w:b/>
              </w:rPr>
              <w:t>non</w:t>
            </w:r>
            <w:r>
              <w:rPr>
                <w:b/>
              </w:rPr>
              <w:noBreakHyphen/>
              <w:t>financial assets</w:t>
            </w:r>
          </w:p>
        </w:tc>
        <w:tc>
          <w:tcPr>
            <w:tcW w:w="0" w:type="dxa"/>
            <w:tcBorders>
              <w:top w:val="single" w:sz="18" w:space="0" w:color="auto"/>
              <w:bottom w:val="single" w:sz="18" w:space="0" w:color="auto"/>
            </w:tcBorders>
          </w:tcPr>
          <w:p w14:paraId="2FCB996B" w14:textId="478B61CD" w:rsidR="00182709" w:rsidRDefault="00E42276">
            <w:pPr>
              <w:cnfStyle w:val="000000000000" w:firstRow="0" w:lastRow="0" w:firstColumn="0" w:lastColumn="0" w:oddVBand="0" w:evenVBand="0" w:oddHBand="0" w:evenHBand="0" w:firstRowFirstColumn="0" w:firstRowLastColumn="0" w:lastRowFirstColumn="0" w:lastRowLastColumn="0"/>
            </w:pPr>
            <w:r>
              <w:rPr>
                <w:rFonts w:hint="eastAsia"/>
                <w:b/>
                <w:lang w:eastAsia="zh-CN"/>
              </w:rPr>
              <w:t>753</w:t>
            </w:r>
          </w:p>
        </w:tc>
        <w:tc>
          <w:tcPr>
            <w:tcW w:w="0" w:type="dxa"/>
            <w:tcBorders>
              <w:top w:val="single" w:sz="18" w:space="0" w:color="auto"/>
              <w:bottom w:val="single" w:sz="18" w:space="0" w:color="auto"/>
            </w:tcBorders>
          </w:tcPr>
          <w:p w14:paraId="30C969ED" w14:textId="4933C951" w:rsidR="00182709" w:rsidRDefault="0044097C">
            <w:pPr>
              <w:cnfStyle w:val="000000000000" w:firstRow="0" w:lastRow="0" w:firstColumn="0" w:lastColumn="0" w:oddVBand="0" w:evenVBand="0" w:oddHBand="0" w:evenHBand="0" w:firstRowFirstColumn="0" w:firstRowLastColumn="0" w:lastRowFirstColumn="0" w:lastRowLastColumn="0"/>
            </w:pPr>
            <w:r>
              <w:rPr>
                <w:b/>
              </w:rPr>
              <w:t>1</w:t>
            </w:r>
            <w:r w:rsidR="00E42276">
              <w:rPr>
                <w:rFonts w:hint="eastAsia"/>
                <w:b/>
                <w:lang w:eastAsia="zh-CN"/>
              </w:rPr>
              <w:t xml:space="preserve"> </w:t>
            </w:r>
            <w:r>
              <w:rPr>
                <w:b/>
              </w:rPr>
              <w:t>4</w:t>
            </w:r>
            <w:r w:rsidR="00E42276">
              <w:rPr>
                <w:rFonts w:hint="eastAsia"/>
                <w:b/>
                <w:lang w:eastAsia="zh-CN"/>
              </w:rPr>
              <w:t>69</w:t>
            </w:r>
          </w:p>
        </w:tc>
      </w:tr>
    </w:tbl>
    <w:p w14:paraId="1CE81320" w14:textId="77777777" w:rsidR="00E202A3" w:rsidRDefault="00E202A3" w:rsidP="002A0038">
      <w:pPr>
        <w:pStyle w:val="Note"/>
        <w:ind w:left="0" w:firstLine="0"/>
      </w:pPr>
    </w:p>
    <w:p w14:paraId="64CAA980" w14:textId="4FE32F9D" w:rsidR="003719CD" w:rsidRPr="002A0038" w:rsidRDefault="006B48BC" w:rsidP="002A0038">
      <w:pPr>
        <w:pStyle w:val="Note"/>
        <w:ind w:left="0" w:firstLine="0"/>
        <w:rPr>
          <w:i w:val="0"/>
          <w:sz w:val="18"/>
        </w:rPr>
      </w:pPr>
      <w:r w:rsidRPr="002A0038">
        <w:rPr>
          <w:i w:val="0"/>
          <w:sz w:val="18"/>
        </w:rPr>
        <w:t>TV</w:t>
      </w:r>
      <w:r w:rsidR="003719CD">
        <w:t xml:space="preserve"> </w:t>
      </w:r>
      <w:r w:rsidR="003719CD" w:rsidRPr="002A0038">
        <w:rPr>
          <w:i w:val="0"/>
          <w:sz w:val="18"/>
        </w:rPr>
        <w:t>intends to dispose of freehold land it no longer utilises in the next 10 months. The land was previously vacant land used as a storage site. A search is under way for a buyer. No impairment loss was recognised on reclassification of the freehold land as held for sale at the end of the reporting period.</w:t>
      </w:r>
      <w:r w:rsidR="00E202A3">
        <w:rPr>
          <w:i w:val="0"/>
          <w:sz w:val="18"/>
        </w:rPr>
        <w:t xml:space="preserve"> </w:t>
      </w:r>
      <w:r w:rsidR="00E202A3" w:rsidRPr="002A0038">
        <w:rPr>
          <w:rStyle w:val="Reference"/>
          <w:i w:val="0"/>
          <w:iCs/>
        </w:rPr>
        <w:t>[</w:t>
      </w:r>
      <w:r w:rsidR="0007383E">
        <w:rPr>
          <w:rStyle w:val="Reference"/>
          <w:i w:val="0"/>
          <w:iCs/>
        </w:rPr>
        <w:t>AASB </w:t>
      </w:r>
      <w:r w:rsidR="00E202A3">
        <w:rPr>
          <w:rStyle w:val="Reference"/>
          <w:i w:val="0"/>
          <w:iCs/>
        </w:rPr>
        <w:t>1060.47</w:t>
      </w:r>
      <w:r w:rsidR="00E202A3" w:rsidRPr="002A0038">
        <w:rPr>
          <w:rStyle w:val="Reference"/>
          <w:i w:val="0"/>
          <w:iCs/>
        </w:rPr>
        <w:t>]</w:t>
      </w:r>
    </w:p>
    <w:p w14:paraId="127F755F" w14:textId="3BC6717E" w:rsidR="003719CD" w:rsidRDefault="003719CD" w:rsidP="007D536F">
      <w:pPr>
        <w:pStyle w:val="Heading4"/>
      </w:pPr>
      <w:bookmarkStart w:id="9266" w:name="_Toc179816045"/>
      <w:bookmarkStart w:id="9267" w:name="_Toc179821745"/>
      <w:bookmarkStart w:id="9268" w:name="_Toc179827445"/>
      <w:r>
        <w:t>Measurement of non-financial physical assets</w:t>
      </w:r>
      <w:bookmarkEnd w:id="9266"/>
      <w:bookmarkEnd w:id="9267"/>
      <w:bookmarkEnd w:id="9268"/>
    </w:p>
    <w:p w14:paraId="3EC67D0D" w14:textId="46FCB98D" w:rsidR="003719CD" w:rsidRDefault="003719CD" w:rsidP="00DC39DE">
      <w:r>
        <w:t>Non-financial physical assets are treated as current and classified as held for sale if their carrying amount will be recovered through a sale transaction rather than through continuing use.</w:t>
      </w:r>
    </w:p>
    <w:p w14:paraId="5FB836C2" w14:textId="77777777" w:rsidR="003719CD" w:rsidRDefault="003719CD" w:rsidP="00DC39DE">
      <w:r>
        <w:t>This condition is regarded as met only when:</w:t>
      </w:r>
    </w:p>
    <w:p w14:paraId="3919A4EA" w14:textId="7773594D" w:rsidR="003719CD" w:rsidRDefault="003719CD" w:rsidP="002A0038">
      <w:pPr>
        <w:pStyle w:val="ListBullet"/>
        <w:numPr>
          <w:ilvl w:val="0"/>
          <w:numId w:val="370"/>
        </w:numPr>
      </w:pPr>
      <w:r>
        <w:t>the asset is available for immediate use in the current condition</w:t>
      </w:r>
    </w:p>
    <w:p w14:paraId="27D88930" w14:textId="77777777" w:rsidR="003719CD" w:rsidRDefault="003719CD" w:rsidP="002A0038">
      <w:pPr>
        <w:pStyle w:val="ListBullet"/>
        <w:numPr>
          <w:ilvl w:val="0"/>
          <w:numId w:val="370"/>
        </w:numPr>
      </w:pPr>
      <w:r>
        <w:t xml:space="preserve">the sale is highly </w:t>
      </w:r>
      <w:proofErr w:type="gramStart"/>
      <w:r>
        <w:t>probable</w:t>
      </w:r>
      <w:proofErr w:type="gramEnd"/>
      <w:r>
        <w:t xml:space="preserve"> and the asset’s sale is expected to be completed within 12 months from the date of classification.</w:t>
      </w:r>
    </w:p>
    <w:p w14:paraId="3913CAA8" w14:textId="5ACD6EB9" w:rsidR="003719CD" w:rsidRDefault="003719CD" w:rsidP="00DC39DE">
      <w:r>
        <w:t xml:space="preserve">These non-financial physical </w:t>
      </w:r>
      <w:r w:rsidRPr="00D22B57">
        <w:t>asset</w:t>
      </w:r>
      <w:r w:rsidR="005678E0">
        <w:t>s</w:t>
      </w:r>
      <w:r w:rsidRPr="00D22B57">
        <w:t xml:space="preserve"> are measured at the lower</w:t>
      </w:r>
      <w:r>
        <w:t xml:space="preserve"> of carrying amount and fair value less costs to sell and are not subject to depreciation or amortisation.</w:t>
      </w:r>
    </w:p>
    <w:p w14:paraId="47526F2A" w14:textId="5B43D51E" w:rsidR="003719CD" w:rsidRDefault="003719CD" w:rsidP="00DC39DE">
      <w:r>
        <w:t xml:space="preserve">Freehold land held for sale is carried at fair value less costs to disposal. Refer to </w:t>
      </w:r>
      <w:r w:rsidRPr="00CA5CF8">
        <w:t xml:space="preserve">Note </w:t>
      </w:r>
      <w:r w:rsidR="00F016F8" w:rsidRPr="00CA5CF8">
        <w:rPr>
          <w:lang w:eastAsia="zh-CN"/>
        </w:rPr>
        <w:t>7</w:t>
      </w:r>
      <w:r w:rsidRPr="00CA5CF8">
        <w:t>.3</w:t>
      </w:r>
      <w:r>
        <w:t xml:space="preserve"> for the valuation technique applied to non-specialised land.</w:t>
      </w:r>
    </w:p>
    <w:p w14:paraId="0D7D55B3" w14:textId="77777777" w:rsidR="003C2B9A" w:rsidRDefault="003C2B9A" w:rsidP="00DC39DE"/>
    <w:p w14:paraId="158ED0FE" w14:textId="77777777" w:rsidR="003719CD" w:rsidRPr="006809EA" w:rsidRDefault="003719CD" w:rsidP="007D536F">
      <w:pPr>
        <w:pStyle w:val="GuidanceBlockHeading"/>
      </w:pPr>
      <w:bookmarkStart w:id="9269" w:name="_Toc179816046"/>
      <w:bookmarkStart w:id="9270" w:name="_Toc179821746"/>
      <w:bookmarkStart w:id="9271" w:name="_Toc179827446"/>
      <w:r w:rsidRPr="006809EA">
        <w:t>Guidance – Discontinued operations and non-current assets held for sale</w:t>
      </w:r>
      <w:bookmarkEnd w:id="9269"/>
      <w:bookmarkEnd w:id="9270"/>
      <w:bookmarkEnd w:id="9271"/>
    </w:p>
    <w:p w14:paraId="22A77969" w14:textId="77777777" w:rsidR="003719CD" w:rsidRPr="006809EA" w:rsidRDefault="003719CD" w:rsidP="002A0038">
      <w:pPr>
        <w:pStyle w:val="GuidanceHeading"/>
        <w:spacing w:before="120" w:after="0"/>
        <w:rPr>
          <w:rStyle w:val="Guidance"/>
          <w:b w:val="0"/>
          <w:sz w:val="18"/>
        </w:rPr>
      </w:pPr>
      <w:r w:rsidRPr="006809EA">
        <w:rPr>
          <w:rStyle w:val="Guidance"/>
        </w:rPr>
        <w:t>Disclosure requirements</w:t>
      </w:r>
    </w:p>
    <w:p w14:paraId="424A4571" w14:textId="77777777" w:rsidR="009344C3" w:rsidRDefault="009344C3" w:rsidP="002A0038">
      <w:pPr>
        <w:spacing w:before="120" w:after="0"/>
        <w:rPr>
          <w:color w:val="4472C4" w:themeColor="accent1"/>
        </w:rPr>
      </w:pPr>
      <w:r w:rsidRPr="009344C3">
        <w:rPr>
          <w:color w:val="4472C4" w:themeColor="accent1"/>
        </w:rPr>
        <w:t xml:space="preserve">If, at the reporting date, an entity has any assets classified as held for sale, or assets and liabilities that are included in a disposal group that is classified as held for sale, the entity shall disclose the following information: </w:t>
      </w:r>
    </w:p>
    <w:p w14:paraId="22AEC40D" w14:textId="45F54DFE" w:rsidR="009344C3" w:rsidRPr="002A0038" w:rsidRDefault="00114FE1" w:rsidP="002A0038">
      <w:pPr>
        <w:pStyle w:val="ListParagraph"/>
        <w:numPr>
          <w:ilvl w:val="0"/>
          <w:numId w:val="360"/>
        </w:numPr>
        <w:spacing w:before="40" w:line="264" w:lineRule="auto"/>
        <w:ind w:left="357" w:hanging="357"/>
        <w:rPr>
          <w:color w:val="4472C4" w:themeColor="accent1"/>
        </w:rPr>
      </w:pPr>
      <w:r>
        <w:rPr>
          <w:color w:val="4472C4" w:themeColor="accent1"/>
        </w:rPr>
        <w:t>A</w:t>
      </w:r>
      <w:r w:rsidR="009344C3" w:rsidRPr="002A0038">
        <w:rPr>
          <w:color w:val="4472C4" w:themeColor="accent1"/>
        </w:rPr>
        <w:t xml:space="preserve"> description of the asset(s) or the group of assets and liabilities </w:t>
      </w:r>
    </w:p>
    <w:p w14:paraId="40E1D624" w14:textId="6EBDDFBD" w:rsidR="009344C3" w:rsidRPr="006809EA" w:rsidRDefault="00114FE1" w:rsidP="002A0038">
      <w:pPr>
        <w:pStyle w:val="ListParagraph"/>
        <w:numPr>
          <w:ilvl w:val="0"/>
          <w:numId w:val="360"/>
        </w:numPr>
        <w:spacing w:before="40" w:line="264" w:lineRule="auto"/>
        <w:ind w:left="357" w:hanging="357"/>
        <w:rPr>
          <w:rStyle w:val="Guidance"/>
        </w:rPr>
      </w:pPr>
      <w:r>
        <w:rPr>
          <w:color w:val="4472C4" w:themeColor="accent1"/>
        </w:rPr>
        <w:t>A</w:t>
      </w:r>
      <w:r w:rsidR="009344C3" w:rsidRPr="002A0038">
        <w:rPr>
          <w:color w:val="4472C4" w:themeColor="accent1"/>
        </w:rPr>
        <w:t xml:space="preserve"> description of the facts and circumstances of the sale, or leading to the expected disposal, and the expected manner and timing of that disposal. </w:t>
      </w:r>
      <w:r w:rsidR="009344C3" w:rsidRPr="002A0038">
        <w:rPr>
          <w:rStyle w:val="Reference"/>
        </w:rPr>
        <w:t>[</w:t>
      </w:r>
      <w:r w:rsidR="0007383E">
        <w:rPr>
          <w:rStyle w:val="Reference"/>
        </w:rPr>
        <w:t>AASB </w:t>
      </w:r>
      <w:r w:rsidR="009344C3" w:rsidRPr="002A0038">
        <w:rPr>
          <w:rStyle w:val="Reference"/>
        </w:rPr>
        <w:t>1060.47]</w:t>
      </w:r>
    </w:p>
    <w:p w14:paraId="65B3CC6D" w14:textId="26BFED41" w:rsidR="003719CD" w:rsidRDefault="003719CD" w:rsidP="007D536F">
      <w:pPr>
        <w:pStyle w:val="GuidanceEnd"/>
      </w:pPr>
    </w:p>
    <w:p w14:paraId="01412E02" w14:textId="60CE1EA3" w:rsidR="003B121B" w:rsidRDefault="003B121B" w:rsidP="007762BE">
      <w:pPr>
        <w:pStyle w:val="Heading2numbered"/>
        <w:rPr>
          <w:color w:val="C00000"/>
        </w:rPr>
      </w:pPr>
      <w:bookmarkStart w:id="9272" w:name="_Toc179810359"/>
      <w:bookmarkStart w:id="9273" w:name="_Toc179816047"/>
      <w:bookmarkStart w:id="9274" w:name="_Toc179821747"/>
      <w:bookmarkStart w:id="9275" w:name="_Toc179827447"/>
      <w:bookmarkStart w:id="9276" w:name="_Toc179833088"/>
      <w:bookmarkStart w:id="9277" w:name="_Toc179864618"/>
      <w:bookmarkStart w:id="9278" w:name="_Toc179870725"/>
      <w:bookmarkStart w:id="9279" w:name="_Toc179875118"/>
      <w:bookmarkStart w:id="9280" w:name="_Toc179879511"/>
      <w:bookmarkStart w:id="9281" w:name="_Toc179810360"/>
      <w:bookmarkStart w:id="9282" w:name="_Toc179816048"/>
      <w:bookmarkStart w:id="9283" w:name="_Toc179821748"/>
      <w:bookmarkStart w:id="9284" w:name="_Toc179827448"/>
      <w:bookmarkStart w:id="9285" w:name="_Toc179833089"/>
      <w:bookmarkStart w:id="9286" w:name="_Toc179864619"/>
      <w:bookmarkStart w:id="9287" w:name="_Toc179870726"/>
      <w:bookmarkStart w:id="9288" w:name="_Toc179875119"/>
      <w:bookmarkStart w:id="9289" w:name="_Toc179879512"/>
      <w:bookmarkStart w:id="9290" w:name="_Toc179810371"/>
      <w:bookmarkStart w:id="9291" w:name="_Toc179816059"/>
      <w:bookmarkStart w:id="9292" w:name="_Toc179821759"/>
      <w:bookmarkStart w:id="9293" w:name="_Toc179827459"/>
      <w:bookmarkStart w:id="9294" w:name="_Toc179833100"/>
      <w:bookmarkStart w:id="9295" w:name="_Toc179864630"/>
      <w:bookmarkStart w:id="9296" w:name="_Toc179870737"/>
      <w:bookmarkStart w:id="9297" w:name="_Toc179875130"/>
      <w:bookmarkStart w:id="9298" w:name="_Toc179879523"/>
      <w:bookmarkStart w:id="9299" w:name="_Toc179810376"/>
      <w:bookmarkStart w:id="9300" w:name="_Toc179816064"/>
      <w:bookmarkStart w:id="9301" w:name="_Toc179821764"/>
      <w:bookmarkStart w:id="9302" w:name="_Toc179827464"/>
      <w:bookmarkStart w:id="9303" w:name="_Toc179833105"/>
      <w:bookmarkStart w:id="9304" w:name="_Toc179864635"/>
      <w:bookmarkStart w:id="9305" w:name="_Toc179870742"/>
      <w:bookmarkStart w:id="9306" w:name="_Toc179875135"/>
      <w:bookmarkStart w:id="9307" w:name="_Toc179879528"/>
      <w:bookmarkStart w:id="9308" w:name="_Toc179810391"/>
      <w:bookmarkStart w:id="9309" w:name="_Toc179816079"/>
      <w:bookmarkStart w:id="9310" w:name="_Toc179821779"/>
      <w:bookmarkStart w:id="9311" w:name="_Toc179827479"/>
      <w:bookmarkStart w:id="9312" w:name="_Toc179833120"/>
      <w:bookmarkStart w:id="9313" w:name="_Toc179864650"/>
      <w:bookmarkStart w:id="9314" w:name="_Toc179870757"/>
      <w:bookmarkStart w:id="9315" w:name="_Toc179875150"/>
      <w:bookmarkStart w:id="9316" w:name="_Toc179879543"/>
      <w:bookmarkStart w:id="9317" w:name="_Toc179810396"/>
      <w:bookmarkStart w:id="9318" w:name="_Toc179816084"/>
      <w:bookmarkStart w:id="9319" w:name="_Toc179821784"/>
      <w:bookmarkStart w:id="9320" w:name="_Toc179827484"/>
      <w:bookmarkStart w:id="9321" w:name="_Toc179833125"/>
      <w:bookmarkStart w:id="9322" w:name="_Toc179864655"/>
      <w:bookmarkStart w:id="9323" w:name="_Toc179870762"/>
      <w:bookmarkStart w:id="9324" w:name="_Toc179875155"/>
      <w:bookmarkStart w:id="9325" w:name="_Toc179879548"/>
      <w:bookmarkStart w:id="9326" w:name="_Toc179810401"/>
      <w:bookmarkStart w:id="9327" w:name="_Toc179816089"/>
      <w:bookmarkStart w:id="9328" w:name="_Toc179821789"/>
      <w:bookmarkStart w:id="9329" w:name="_Toc179827489"/>
      <w:bookmarkStart w:id="9330" w:name="_Toc179833130"/>
      <w:bookmarkStart w:id="9331" w:name="_Toc179864660"/>
      <w:bookmarkStart w:id="9332" w:name="_Toc179870767"/>
      <w:bookmarkStart w:id="9333" w:name="_Toc179875160"/>
      <w:bookmarkStart w:id="9334" w:name="_Toc179879553"/>
      <w:bookmarkStart w:id="9335" w:name="_Toc179810406"/>
      <w:bookmarkStart w:id="9336" w:name="_Toc179816094"/>
      <w:bookmarkStart w:id="9337" w:name="_Toc179821794"/>
      <w:bookmarkStart w:id="9338" w:name="_Toc179827494"/>
      <w:bookmarkStart w:id="9339" w:name="_Toc179833135"/>
      <w:bookmarkStart w:id="9340" w:name="_Toc179864665"/>
      <w:bookmarkStart w:id="9341" w:name="_Toc179870772"/>
      <w:bookmarkStart w:id="9342" w:name="_Toc179875165"/>
      <w:bookmarkStart w:id="9343" w:name="_Toc179879558"/>
      <w:bookmarkStart w:id="9344" w:name="_Toc179810411"/>
      <w:bookmarkStart w:id="9345" w:name="_Toc179816099"/>
      <w:bookmarkStart w:id="9346" w:name="_Toc179821799"/>
      <w:bookmarkStart w:id="9347" w:name="_Toc179827499"/>
      <w:bookmarkStart w:id="9348" w:name="_Toc179833140"/>
      <w:bookmarkStart w:id="9349" w:name="_Toc179864670"/>
      <w:bookmarkStart w:id="9350" w:name="_Toc179870777"/>
      <w:bookmarkStart w:id="9351" w:name="_Toc179875170"/>
      <w:bookmarkStart w:id="9352" w:name="_Toc179879563"/>
      <w:bookmarkStart w:id="9353" w:name="_Toc179810421"/>
      <w:bookmarkStart w:id="9354" w:name="_Toc179816109"/>
      <w:bookmarkStart w:id="9355" w:name="_Toc179821809"/>
      <w:bookmarkStart w:id="9356" w:name="_Toc179827509"/>
      <w:bookmarkStart w:id="9357" w:name="_Toc179833150"/>
      <w:bookmarkStart w:id="9358" w:name="_Toc179864680"/>
      <w:bookmarkStart w:id="9359" w:name="_Toc179870787"/>
      <w:bookmarkStart w:id="9360" w:name="_Toc179875180"/>
      <w:bookmarkStart w:id="9361" w:name="_Toc179879573"/>
      <w:bookmarkStart w:id="9362" w:name="_Toc179810426"/>
      <w:bookmarkStart w:id="9363" w:name="_Toc179816114"/>
      <w:bookmarkStart w:id="9364" w:name="_Toc179821814"/>
      <w:bookmarkStart w:id="9365" w:name="_Toc179827514"/>
      <w:bookmarkStart w:id="9366" w:name="_Toc179833155"/>
      <w:bookmarkStart w:id="9367" w:name="_Toc179864685"/>
      <w:bookmarkStart w:id="9368" w:name="_Toc179870792"/>
      <w:bookmarkStart w:id="9369" w:name="_Toc179875185"/>
      <w:bookmarkStart w:id="9370" w:name="_Toc179879578"/>
      <w:bookmarkStart w:id="9371" w:name="_Toc179810441"/>
      <w:bookmarkStart w:id="9372" w:name="_Toc179816129"/>
      <w:bookmarkStart w:id="9373" w:name="_Toc179821829"/>
      <w:bookmarkStart w:id="9374" w:name="_Toc179827529"/>
      <w:bookmarkStart w:id="9375" w:name="_Toc179833170"/>
      <w:bookmarkStart w:id="9376" w:name="_Toc179864700"/>
      <w:bookmarkStart w:id="9377" w:name="_Toc179870807"/>
      <w:bookmarkStart w:id="9378" w:name="_Toc179875200"/>
      <w:bookmarkStart w:id="9379" w:name="_Toc179879593"/>
      <w:bookmarkStart w:id="9380" w:name="_Toc179810446"/>
      <w:bookmarkStart w:id="9381" w:name="_Toc179816134"/>
      <w:bookmarkStart w:id="9382" w:name="_Toc179821834"/>
      <w:bookmarkStart w:id="9383" w:name="_Toc179827534"/>
      <w:bookmarkStart w:id="9384" w:name="_Toc179833175"/>
      <w:bookmarkStart w:id="9385" w:name="_Toc179864705"/>
      <w:bookmarkStart w:id="9386" w:name="_Toc179870812"/>
      <w:bookmarkStart w:id="9387" w:name="_Toc179875205"/>
      <w:bookmarkStart w:id="9388" w:name="_Toc179879598"/>
      <w:bookmarkStart w:id="9389" w:name="_Toc179810451"/>
      <w:bookmarkStart w:id="9390" w:name="_Toc179816139"/>
      <w:bookmarkStart w:id="9391" w:name="_Toc179821839"/>
      <w:bookmarkStart w:id="9392" w:name="_Toc179827539"/>
      <w:bookmarkStart w:id="9393" w:name="_Toc179833180"/>
      <w:bookmarkStart w:id="9394" w:name="_Toc179864710"/>
      <w:bookmarkStart w:id="9395" w:name="_Toc179870817"/>
      <w:bookmarkStart w:id="9396" w:name="_Toc179875210"/>
      <w:bookmarkStart w:id="9397" w:name="_Toc179879603"/>
      <w:bookmarkStart w:id="9398" w:name="_Toc179810456"/>
      <w:bookmarkStart w:id="9399" w:name="_Toc179816144"/>
      <w:bookmarkStart w:id="9400" w:name="_Toc179821844"/>
      <w:bookmarkStart w:id="9401" w:name="_Toc179827544"/>
      <w:bookmarkStart w:id="9402" w:name="_Toc179833185"/>
      <w:bookmarkStart w:id="9403" w:name="_Toc179864715"/>
      <w:bookmarkStart w:id="9404" w:name="_Toc179870822"/>
      <w:bookmarkStart w:id="9405" w:name="_Toc179875215"/>
      <w:bookmarkStart w:id="9406" w:name="_Toc179879608"/>
      <w:bookmarkStart w:id="9407" w:name="_Toc179810466"/>
      <w:bookmarkStart w:id="9408" w:name="_Toc179816154"/>
      <w:bookmarkStart w:id="9409" w:name="_Toc179821854"/>
      <w:bookmarkStart w:id="9410" w:name="_Toc179827554"/>
      <w:bookmarkStart w:id="9411" w:name="_Toc179833195"/>
      <w:bookmarkStart w:id="9412" w:name="_Toc179864725"/>
      <w:bookmarkStart w:id="9413" w:name="_Toc179870832"/>
      <w:bookmarkStart w:id="9414" w:name="_Toc179875225"/>
      <w:bookmarkStart w:id="9415" w:name="_Toc179879618"/>
      <w:bookmarkStart w:id="9416" w:name="_Toc179810481"/>
      <w:bookmarkStart w:id="9417" w:name="_Toc179816169"/>
      <w:bookmarkStart w:id="9418" w:name="_Toc179821869"/>
      <w:bookmarkStart w:id="9419" w:name="_Toc179827569"/>
      <w:bookmarkStart w:id="9420" w:name="_Toc179833210"/>
      <w:bookmarkStart w:id="9421" w:name="_Toc179864740"/>
      <w:bookmarkStart w:id="9422" w:name="_Toc179870847"/>
      <w:bookmarkStart w:id="9423" w:name="_Toc179875240"/>
      <w:bookmarkStart w:id="9424" w:name="_Toc179879633"/>
      <w:bookmarkStart w:id="9425" w:name="_Toc179810486"/>
      <w:bookmarkStart w:id="9426" w:name="_Toc179816174"/>
      <w:bookmarkStart w:id="9427" w:name="_Toc179821874"/>
      <w:bookmarkStart w:id="9428" w:name="_Toc179827574"/>
      <w:bookmarkStart w:id="9429" w:name="_Toc179833215"/>
      <w:bookmarkStart w:id="9430" w:name="_Toc179864745"/>
      <w:bookmarkStart w:id="9431" w:name="_Toc179870852"/>
      <w:bookmarkStart w:id="9432" w:name="_Toc179875245"/>
      <w:bookmarkStart w:id="9433" w:name="_Toc179879638"/>
      <w:bookmarkStart w:id="9434" w:name="_Toc179810491"/>
      <w:bookmarkStart w:id="9435" w:name="_Toc179816179"/>
      <w:bookmarkStart w:id="9436" w:name="_Toc179821879"/>
      <w:bookmarkStart w:id="9437" w:name="_Toc179827579"/>
      <w:bookmarkStart w:id="9438" w:name="_Toc179833220"/>
      <w:bookmarkStart w:id="9439" w:name="_Toc179864750"/>
      <w:bookmarkStart w:id="9440" w:name="_Toc179870857"/>
      <w:bookmarkStart w:id="9441" w:name="_Toc179875250"/>
      <w:bookmarkStart w:id="9442" w:name="_Toc179879643"/>
      <w:bookmarkStart w:id="9443" w:name="_Toc179810496"/>
      <w:bookmarkStart w:id="9444" w:name="_Toc179816184"/>
      <w:bookmarkStart w:id="9445" w:name="_Toc179821884"/>
      <w:bookmarkStart w:id="9446" w:name="_Toc179827584"/>
      <w:bookmarkStart w:id="9447" w:name="_Toc179833225"/>
      <w:bookmarkStart w:id="9448" w:name="_Toc179864755"/>
      <w:bookmarkStart w:id="9449" w:name="_Toc179870862"/>
      <w:bookmarkStart w:id="9450" w:name="_Toc179875255"/>
      <w:bookmarkStart w:id="9451" w:name="_Toc179879648"/>
      <w:bookmarkStart w:id="9452" w:name="_Toc179810501"/>
      <w:bookmarkStart w:id="9453" w:name="_Toc179816189"/>
      <w:bookmarkStart w:id="9454" w:name="_Toc179821889"/>
      <w:bookmarkStart w:id="9455" w:name="_Toc179827589"/>
      <w:bookmarkStart w:id="9456" w:name="_Toc179833230"/>
      <w:bookmarkStart w:id="9457" w:name="_Toc179864760"/>
      <w:bookmarkStart w:id="9458" w:name="_Toc179870867"/>
      <w:bookmarkStart w:id="9459" w:name="_Toc179875260"/>
      <w:bookmarkStart w:id="9460" w:name="_Toc179879653"/>
      <w:bookmarkStart w:id="9461" w:name="_Toc179810506"/>
      <w:bookmarkStart w:id="9462" w:name="_Toc179816194"/>
      <w:bookmarkStart w:id="9463" w:name="_Toc179821894"/>
      <w:bookmarkStart w:id="9464" w:name="_Toc179827594"/>
      <w:bookmarkStart w:id="9465" w:name="_Toc179833235"/>
      <w:bookmarkStart w:id="9466" w:name="_Toc179864765"/>
      <w:bookmarkStart w:id="9467" w:name="_Toc179870872"/>
      <w:bookmarkStart w:id="9468" w:name="_Toc179875265"/>
      <w:bookmarkStart w:id="9469" w:name="_Toc179879658"/>
      <w:bookmarkStart w:id="9470" w:name="_Toc179810507"/>
      <w:bookmarkStart w:id="9471" w:name="_Toc179816195"/>
      <w:bookmarkStart w:id="9472" w:name="_Toc179821895"/>
      <w:bookmarkStart w:id="9473" w:name="_Toc179827595"/>
      <w:bookmarkStart w:id="9474" w:name="_Toc179833236"/>
      <w:bookmarkStart w:id="9475" w:name="_Toc179864766"/>
      <w:bookmarkStart w:id="9476" w:name="_Toc179870873"/>
      <w:bookmarkStart w:id="9477" w:name="_Toc179875266"/>
      <w:bookmarkStart w:id="9478" w:name="_Toc179879659"/>
      <w:bookmarkStart w:id="9479" w:name="_Toc179810508"/>
      <w:bookmarkStart w:id="9480" w:name="_Toc179816196"/>
      <w:bookmarkStart w:id="9481" w:name="_Toc179821896"/>
      <w:bookmarkStart w:id="9482" w:name="_Toc179827596"/>
      <w:bookmarkStart w:id="9483" w:name="_Toc179833237"/>
      <w:bookmarkStart w:id="9484" w:name="_Toc179864767"/>
      <w:bookmarkStart w:id="9485" w:name="_Toc179870874"/>
      <w:bookmarkStart w:id="9486" w:name="_Toc179875267"/>
      <w:bookmarkStart w:id="9487" w:name="_Toc179879660"/>
      <w:bookmarkStart w:id="9488" w:name="_Toc179810509"/>
      <w:bookmarkStart w:id="9489" w:name="_Toc179816197"/>
      <w:bookmarkStart w:id="9490" w:name="_Toc179821897"/>
      <w:bookmarkStart w:id="9491" w:name="_Toc179827597"/>
      <w:bookmarkStart w:id="9492" w:name="_Toc179833238"/>
      <w:bookmarkStart w:id="9493" w:name="_Toc179864768"/>
      <w:bookmarkStart w:id="9494" w:name="_Toc179870875"/>
      <w:bookmarkStart w:id="9495" w:name="_Toc179875268"/>
      <w:bookmarkStart w:id="9496" w:name="_Toc179879661"/>
      <w:bookmarkStart w:id="9497" w:name="_Toc179810510"/>
      <w:bookmarkStart w:id="9498" w:name="_Toc179816198"/>
      <w:bookmarkStart w:id="9499" w:name="_Toc179821898"/>
      <w:bookmarkStart w:id="9500" w:name="_Toc179827598"/>
      <w:bookmarkStart w:id="9501" w:name="_Toc179833239"/>
      <w:bookmarkStart w:id="9502" w:name="_Toc179864769"/>
      <w:bookmarkStart w:id="9503" w:name="_Toc179870876"/>
      <w:bookmarkStart w:id="9504" w:name="_Toc179875269"/>
      <w:bookmarkStart w:id="9505" w:name="_Toc179879662"/>
      <w:bookmarkStart w:id="9506" w:name="_Toc179810511"/>
      <w:bookmarkStart w:id="9507" w:name="_Toc179816199"/>
      <w:bookmarkStart w:id="9508" w:name="_Toc179821899"/>
      <w:bookmarkStart w:id="9509" w:name="_Toc179827599"/>
      <w:bookmarkStart w:id="9510" w:name="_Toc179833240"/>
      <w:bookmarkStart w:id="9511" w:name="_Toc179864770"/>
      <w:bookmarkStart w:id="9512" w:name="_Toc179870877"/>
      <w:bookmarkStart w:id="9513" w:name="_Toc179875270"/>
      <w:bookmarkStart w:id="9514" w:name="_Toc179879663"/>
      <w:bookmarkStart w:id="9515" w:name="_Toc179810512"/>
      <w:bookmarkStart w:id="9516" w:name="_Toc179816200"/>
      <w:bookmarkStart w:id="9517" w:name="_Toc179821900"/>
      <w:bookmarkStart w:id="9518" w:name="_Toc179827600"/>
      <w:bookmarkStart w:id="9519" w:name="_Toc179833241"/>
      <w:bookmarkStart w:id="9520" w:name="_Toc179864771"/>
      <w:bookmarkStart w:id="9521" w:name="_Toc179870878"/>
      <w:bookmarkStart w:id="9522" w:name="_Toc179875271"/>
      <w:bookmarkStart w:id="9523" w:name="_Toc179879664"/>
      <w:bookmarkStart w:id="9524" w:name="_Toc179810513"/>
      <w:bookmarkStart w:id="9525" w:name="_Toc179816201"/>
      <w:bookmarkStart w:id="9526" w:name="_Toc179821901"/>
      <w:bookmarkStart w:id="9527" w:name="_Toc179827601"/>
      <w:bookmarkStart w:id="9528" w:name="_Toc179833242"/>
      <w:bookmarkStart w:id="9529" w:name="_Toc179864772"/>
      <w:bookmarkStart w:id="9530" w:name="_Toc179870879"/>
      <w:bookmarkStart w:id="9531" w:name="_Toc179875272"/>
      <w:bookmarkStart w:id="9532" w:name="_Toc179879665"/>
      <w:bookmarkStart w:id="9533" w:name="_Toc179810514"/>
      <w:bookmarkStart w:id="9534" w:name="_Toc179816202"/>
      <w:bookmarkStart w:id="9535" w:name="_Toc179821902"/>
      <w:bookmarkStart w:id="9536" w:name="_Toc179827602"/>
      <w:bookmarkStart w:id="9537" w:name="_Toc179833243"/>
      <w:bookmarkStart w:id="9538" w:name="_Toc179864773"/>
      <w:bookmarkStart w:id="9539" w:name="_Toc179870880"/>
      <w:bookmarkStart w:id="9540" w:name="_Toc179875273"/>
      <w:bookmarkStart w:id="9541" w:name="_Toc179879666"/>
      <w:bookmarkStart w:id="9542" w:name="_Toc179810515"/>
      <w:bookmarkStart w:id="9543" w:name="_Toc179816203"/>
      <w:bookmarkStart w:id="9544" w:name="_Toc179821903"/>
      <w:bookmarkStart w:id="9545" w:name="_Toc179827603"/>
      <w:bookmarkStart w:id="9546" w:name="_Toc179833244"/>
      <w:bookmarkStart w:id="9547" w:name="_Toc179864774"/>
      <w:bookmarkStart w:id="9548" w:name="_Toc179870881"/>
      <w:bookmarkStart w:id="9549" w:name="_Toc179875274"/>
      <w:bookmarkStart w:id="9550" w:name="_Toc179879667"/>
      <w:bookmarkStart w:id="9551" w:name="_Toc179810516"/>
      <w:bookmarkStart w:id="9552" w:name="_Toc179816204"/>
      <w:bookmarkStart w:id="9553" w:name="_Toc179821904"/>
      <w:bookmarkStart w:id="9554" w:name="_Toc179827604"/>
      <w:bookmarkStart w:id="9555" w:name="_Toc179833245"/>
      <w:bookmarkStart w:id="9556" w:name="_Toc179864775"/>
      <w:bookmarkStart w:id="9557" w:name="_Toc179870882"/>
      <w:bookmarkStart w:id="9558" w:name="_Toc179875275"/>
      <w:bookmarkStart w:id="9559" w:name="_Toc179879668"/>
      <w:bookmarkStart w:id="9560" w:name="_Toc179810517"/>
      <w:bookmarkStart w:id="9561" w:name="_Toc179816205"/>
      <w:bookmarkStart w:id="9562" w:name="_Toc179821905"/>
      <w:bookmarkStart w:id="9563" w:name="_Toc179827605"/>
      <w:bookmarkStart w:id="9564" w:name="_Toc179833246"/>
      <w:bookmarkStart w:id="9565" w:name="_Toc179864776"/>
      <w:bookmarkStart w:id="9566" w:name="_Toc179870883"/>
      <w:bookmarkStart w:id="9567" w:name="_Toc179875276"/>
      <w:bookmarkStart w:id="9568" w:name="_Toc179879669"/>
      <w:bookmarkStart w:id="9569" w:name="_Toc179810518"/>
      <w:bookmarkStart w:id="9570" w:name="_Toc179816206"/>
      <w:bookmarkStart w:id="9571" w:name="_Toc179821906"/>
      <w:bookmarkStart w:id="9572" w:name="_Toc179827606"/>
      <w:bookmarkStart w:id="9573" w:name="_Toc179833247"/>
      <w:bookmarkStart w:id="9574" w:name="_Toc179864777"/>
      <w:bookmarkStart w:id="9575" w:name="_Toc179870884"/>
      <w:bookmarkStart w:id="9576" w:name="_Toc179875277"/>
      <w:bookmarkStart w:id="9577" w:name="_Toc179879670"/>
      <w:bookmarkStart w:id="9578" w:name="_Toc179810519"/>
      <w:bookmarkStart w:id="9579" w:name="_Toc179816207"/>
      <w:bookmarkStart w:id="9580" w:name="_Toc179821907"/>
      <w:bookmarkStart w:id="9581" w:name="_Toc179827607"/>
      <w:bookmarkStart w:id="9582" w:name="_Toc179833248"/>
      <w:bookmarkStart w:id="9583" w:name="_Toc179864778"/>
      <w:bookmarkStart w:id="9584" w:name="_Toc179870885"/>
      <w:bookmarkStart w:id="9585" w:name="_Toc179875278"/>
      <w:bookmarkStart w:id="9586" w:name="_Toc179879671"/>
      <w:bookmarkStart w:id="9587" w:name="_Toc179810520"/>
      <w:bookmarkStart w:id="9588" w:name="_Toc179816208"/>
      <w:bookmarkStart w:id="9589" w:name="_Toc179821908"/>
      <w:bookmarkStart w:id="9590" w:name="_Toc179827608"/>
      <w:bookmarkStart w:id="9591" w:name="_Toc179833249"/>
      <w:bookmarkStart w:id="9592" w:name="_Toc179864779"/>
      <w:bookmarkStart w:id="9593" w:name="_Toc179870886"/>
      <w:bookmarkStart w:id="9594" w:name="_Toc179875279"/>
      <w:bookmarkStart w:id="9595" w:name="_Toc179879672"/>
      <w:bookmarkStart w:id="9596" w:name="_Toc179810521"/>
      <w:bookmarkStart w:id="9597" w:name="_Toc179816209"/>
      <w:bookmarkStart w:id="9598" w:name="_Toc179821909"/>
      <w:bookmarkStart w:id="9599" w:name="_Toc179827609"/>
      <w:bookmarkStart w:id="9600" w:name="_Toc179833250"/>
      <w:bookmarkStart w:id="9601" w:name="_Toc179864780"/>
      <w:bookmarkStart w:id="9602" w:name="_Toc179870887"/>
      <w:bookmarkStart w:id="9603" w:name="_Toc179875280"/>
      <w:bookmarkStart w:id="9604" w:name="_Toc179879673"/>
      <w:bookmarkStart w:id="9605" w:name="_Toc179810522"/>
      <w:bookmarkStart w:id="9606" w:name="_Toc179816210"/>
      <w:bookmarkStart w:id="9607" w:name="_Toc179821910"/>
      <w:bookmarkStart w:id="9608" w:name="_Toc179827610"/>
      <w:bookmarkStart w:id="9609" w:name="_Toc179833251"/>
      <w:bookmarkStart w:id="9610" w:name="_Toc179864781"/>
      <w:bookmarkStart w:id="9611" w:name="_Toc179870888"/>
      <w:bookmarkStart w:id="9612" w:name="_Toc179875281"/>
      <w:bookmarkStart w:id="9613" w:name="_Toc179879674"/>
      <w:bookmarkStart w:id="9614" w:name="_Toc179810523"/>
      <w:bookmarkStart w:id="9615" w:name="_Toc179816211"/>
      <w:bookmarkStart w:id="9616" w:name="_Toc179821911"/>
      <w:bookmarkStart w:id="9617" w:name="_Toc179827611"/>
      <w:bookmarkStart w:id="9618" w:name="_Toc179833252"/>
      <w:bookmarkStart w:id="9619" w:name="_Toc179864782"/>
      <w:bookmarkStart w:id="9620" w:name="_Toc179870889"/>
      <w:bookmarkStart w:id="9621" w:name="_Toc179875282"/>
      <w:bookmarkStart w:id="9622" w:name="_Toc179879675"/>
      <w:bookmarkStart w:id="9623" w:name="_Toc179810524"/>
      <w:bookmarkStart w:id="9624" w:name="_Toc179816212"/>
      <w:bookmarkStart w:id="9625" w:name="_Toc179821912"/>
      <w:bookmarkStart w:id="9626" w:name="_Toc179827612"/>
      <w:bookmarkStart w:id="9627" w:name="_Toc179833253"/>
      <w:bookmarkStart w:id="9628" w:name="_Toc179864783"/>
      <w:bookmarkStart w:id="9629" w:name="_Toc179870890"/>
      <w:bookmarkStart w:id="9630" w:name="_Toc179875283"/>
      <w:bookmarkStart w:id="9631" w:name="_Toc179879676"/>
      <w:bookmarkStart w:id="9632" w:name="_Toc179810525"/>
      <w:bookmarkStart w:id="9633" w:name="_Toc179816213"/>
      <w:bookmarkStart w:id="9634" w:name="_Toc179821913"/>
      <w:bookmarkStart w:id="9635" w:name="_Toc179827613"/>
      <w:bookmarkStart w:id="9636" w:name="_Toc179833254"/>
      <w:bookmarkStart w:id="9637" w:name="_Toc179864784"/>
      <w:bookmarkStart w:id="9638" w:name="_Toc179870891"/>
      <w:bookmarkStart w:id="9639" w:name="_Toc179875284"/>
      <w:bookmarkStart w:id="9640" w:name="_Toc179879677"/>
      <w:bookmarkStart w:id="9641" w:name="_Toc179810526"/>
      <w:bookmarkStart w:id="9642" w:name="_Toc179816214"/>
      <w:bookmarkStart w:id="9643" w:name="_Toc179821914"/>
      <w:bookmarkStart w:id="9644" w:name="_Toc179827614"/>
      <w:bookmarkStart w:id="9645" w:name="_Toc179833255"/>
      <w:bookmarkStart w:id="9646" w:name="_Toc179864785"/>
      <w:bookmarkStart w:id="9647" w:name="_Toc179870892"/>
      <w:bookmarkStart w:id="9648" w:name="_Toc179875285"/>
      <w:bookmarkStart w:id="9649" w:name="_Toc179879678"/>
      <w:bookmarkStart w:id="9650" w:name="_Toc179810527"/>
      <w:bookmarkStart w:id="9651" w:name="_Toc179816215"/>
      <w:bookmarkStart w:id="9652" w:name="_Toc179821915"/>
      <w:bookmarkStart w:id="9653" w:name="_Toc179827615"/>
      <w:bookmarkStart w:id="9654" w:name="_Toc179833256"/>
      <w:bookmarkStart w:id="9655" w:name="_Toc179864786"/>
      <w:bookmarkStart w:id="9656" w:name="_Toc179870893"/>
      <w:bookmarkStart w:id="9657" w:name="_Toc179875286"/>
      <w:bookmarkStart w:id="9658" w:name="_Toc179879679"/>
      <w:bookmarkStart w:id="9659" w:name="_Toc179810528"/>
      <w:bookmarkStart w:id="9660" w:name="_Toc179816216"/>
      <w:bookmarkStart w:id="9661" w:name="_Toc179821916"/>
      <w:bookmarkStart w:id="9662" w:name="_Toc179827616"/>
      <w:bookmarkStart w:id="9663" w:name="_Toc179833257"/>
      <w:bookmarkStart w:id="9664" w:name="_Toc179864787"/>
      <w:bookmarkStart w:id="9665" w:name="_Toc179870894"/>
      <w:bookmarkStart w:id="9666" w:name="_Toc179875287"/>
      <w:bookmarkStart w:id="9667" w:name="_Toc179879680"/>
      <w:bookmarkStart w:id="9668" w:name="_Toc179810529"/>
      <w:bookmarkStart w:id="9669" w:name="_Toc179816217"/>
      <w:bookmarkStart w:id="9670" w:name="_Toc179821917"/>
      <w:bookmarkStart w:id="9671" w:name="_Toc179827617"/>
      <w:bookmarkStart w:id="9672" w:name="_Toc179833258"/>
      <w:bookmarkStart w:id="9673" w:name="_Toc179864788"/>
      <w:bookmarkStart w:id="9674" w:name="_Toc179870895"/>
      <w:bookmarkStart w:id="9675" w:name="_Toc179875288"/>
      <w:bookmarkStart w:id="9676" w:name="_Toc179879681"/>
      <w:bookmarkStart w:id="9677" w:name="_Toc179810530"/>
      <w:bookmarkStart w:id="9678" w:name="_Toc179816218"/>
      <w:bookmarkStart w:id="9679" w:name="_Toc179821918"/>
      <w:bookmarkStart w:id="9680" w:name="_Toc179827618"/>
      <w:bookmarkStart w:id="9681" w:name="_Toc179833259"/>
      <w:bookmarkStart w:id="9682" w:name="_Toc179864789"/>
      <w:bookmarkStart w:id="9683" w:name="_Toc179870896"/>
      <w:bookmarkStart w:id="9684" w:name="_Toc179875289"/>
      <w:bookmarkStart w:id="9685" w:name="_Toc179879682"/>
      <w:bookmarkStart w:id="9686" w:name="_Toc179810531"/>
      <w:bookmarkStart w:id="9687" w:name="_Toc179816219"/>
      <w:bookmarkStart w:id="9688" w:name="_Toc179821919"/>
      <w:bookmarkStart w:id="9689" w:name="_Toc179827619"/>
      <w:bookmarkStart w:id="9690" w:name="_Toc179833260"/>
      <w:bookmarkStart w:id="9691" w:name="_Toc179864790"/>
      <w:bookmarkStart w:id="9692" w:name="_Toc179870897"/>
      <w:bookmarkStart w:id="9693" w:name="_Toc179875290"/>
      <w:bookmarkStart w:id="9694" w:name="_Toc179879683"/>
      <w:bookmarkStart w:id="9695" w:name="_Toc179810532"/>
      <w:bookmarkStart w:id="9696" w:name="_Toc179816220"/>
      <w:bookmarkStart w:id="9697" w:name="_Toc179821920"/>
      <w:bookmarkStart w:id="9698" w:name="_Toc179827620"/>
      <w:bookmarkStart w:id="9699" w:name="_Toc179833261"/>
      <w:bookmarkStart w:id="9700" w:name="_Toc179864791"/>
      <w:bookmarkStart w:id="9701" w:name="_Toc179870898"/>
      <w:bookmarkStart w:id="9702" w:name="_Toc179875291"/>
      <w:bookmarkStart w:id="9703" w:name="_Toc179879684"/>
      <w:bookmarkStart w:id="9704" w:name="_Toc179810533"/>
      <w:bookmarkStart w:id="9705" w:name="_Toc179816221"/>
      <w:bookmarkStart w:id="9706" w:name="_Toc179821921"/>
      <w:bookmarkStart w:id="9707" w:name="_Toc179827621"/>
      <w:bookmarkStart w:id="9708" w:name="_Toc179833262"/>
      <w:bookmarkStart w:id="9709" w:name="_Toc179864792"/>
      <w:bookmarkStart w:id="9710" w:name="_Toc179870899"/>
      <w:bookmarkStart w:id="9711" w:name="_Toc179875292"/>
      <w:bookmarkStart w:id="9712" w:name="_Toc179879685"/>
      <w:bookmarkStart w:id="9713" w:name="_Toc179810534"/>
      <w:bookmarkStart w:id="9714" w:name="_Toc179816222"/>
      <w:bookmarkStart w:id="9715" w:name="_Toc179821922"/>
      <w:bookmarkStart w:id="9716" w:name="_Toc179827622"/>
      <w:bookmarkStart w:id="9717" w:name="_Toc179833263"/>
      <w:bookmarkStart w:id="9718" w:name="_Toc179864793"/>
      <w:bookmarkStart w:id="9719" w:name="_Toc179870900"/>
      <w:bookmarkStart w:id="9720" w:name="_Toc179875293"/>
      <w:bookmarkStart w:id="9721" w:name="_Toc179879686"/>
      <w:bookmarkStart w:id="9722" w:name="_Toc179810535"/>
      <w:bookmarkStart w:id="9723" w:name="_Toc179816223"/>
      <w:bookmarkStart w:id="9724" w:name="_Toc179821923"/>
      <w:bookmarkStart w:id="9725" w:name="_Toc179827623"/>
      <w:bookmarkStart w:id="9726" w:name="_Toc179833264"/>
      <w:bookmarkStart w:id="9727" w:name="_Toc179864794"/>
      <w:bookmarkStart w:id="9728" w:name="_Toc179870901"/>
      <w:bookmarkStart w:id="9729" w:name="_Toc179875294"/>
      <w:bookmarkStart w:id="9730" w:name="_Toc179879687"/>
      <w:bookmarkStart w:id="9731" w:name="_Toc179810536"/>
      <w:bookmarkStart w:id="9732" w:name="_Toc179816224"/>
      <w:bookmarkStart w:id="9733" w:name="_Toc179821924"/>
      <w:bookmarkStart w:id="9734" w:name="_Toc179827624"/>
      <w:bookmarkStart w:id="9735" w:name="_Toc179833265"/>
      <w:bookmarkStart w:id="9736" w:name="_Toc179864795"/>
      <w:bookmarkStart w:id="9737" w:name="_Toc179870902"/>
      <w:bookmarkStart w:id="9738" w:name="_Toc179875295"/>
      <w:bookmarkStart w:id="9739" w:name="_Toc179879688"/>
      <w:bookmarkStart w:id="9740" w:name="_Toc179810537"/>
      <w:bookmarkStart w:id="9741" w:name="_Toc179816225"/>
      <w:bookmarkStart w:id="9742" w:name="_Toc179821925"/>
      <w:bookmarkStart w:id="9743" w:name="_Toc179827625"/>
      <w:bookmarkStart w:id="9744" w:name="_Toc179833266"/>
      <w:bookmarkStart w:id="9745" w:name="_Toc179864796"/>
      <w:bookmarkStart w:id="9746" w:name="_Toc179870903"/>
      <w:bookmarkStart w:id="9747" w:name="_Toc179875296"/>
      <w:bookmarkStart w:id="9748" w:name="_Toc179879689"/>
      <w:bookmarkStart w:id="9749" w:name="_Toc179810538"/>
      <w:bookmarkStart w:id="9750" w:name="_Toc179816226"/>
      <w:bookmarkStart w:id="9751" w:name="_Toc179821926"/>
      <w:bookmarkStart w:id="9752" w:name="_Toc179827626"/>
      <w:bookmarkStart w:id="9753" w:name="_Toc179833267"/>
      <w:bookmarkStart w:id="9754" w:name="_Toc179864797"/>
      <w:bookmarkStart w:id="9755" w:name="_Toc179870904"/>
      <w:bookmarkStart w:id="9756" w:name="_Toc179875297"/>
      <w:bookmarkStart w:id="9757" w:name="_Toc179879690"/>
      <w:bookmarkStart w:id="9758" w:name="_Toc179810539"/>
      <w:bookmarkStart w:id="9759" w:name="_Toc179816227"/>
      <w:bookmarkStart w:id="9760" w:name="_Toc179821927"/>
      <w:bookmarkStart w:id="9761" w:name="_Toc179827627"/>
      <w:bookmarkStart w:id="9762" w:name="_Toc179833268"/>
      <w:bookmarkStart w:id="9763" w:name="_Toc179864798"/>
      <w:bookmarkStart w:id="9764" w:name="_Toc179870905"/>
      <w:bookmarkStart w:id="9765" w:name="_Toc179875298"/>
      <w:bookmarkStart w:id="9766" w:name="_Toc179879691"/>
      <w:bookmarkStart w:id="9767" w:name="_Toc179810540"/>
      <w:bookmarkStart w:id="9768" w:name="_Toc179816228"/>
      <w:bookmarkStart w:id="9769" w:name="_Toc179821928"/>
      <w:bookmarkStart w:id="9770" w:name="_Toc179827628"/>
      <w:bookmarkStart w:id="9771" w:name="_Toc179833269"/>
      <w:bookmarkStart w:id="9772" w:name="_Toc179864799"/>
      <w:bookmarkStart w:id="9773" w:name="_Toc179870906"/>
      <w:bookmarkStart w:id="9774" w:name="_Toc179875299"/>
      <w:bookmarkStart w:id="9775" w:name="_Toc179879692"/>
      <w:bookmarkStart w:id="9776" w:name="_Toc179810541"/>
      <w:bookmarkStart w:id="9777" w:name="_Toc179816229"/>
      <w:bookmarkStart w:id="9778" w:name="_Toc179821929"/>
      <w:bookmarkStart w:id="9779" w:name="_Toc179827629"/>
      <w:bookmarkStart w:id="9780" w:name="_Toc179833270"/>
      <w:bookmarkStart w:id="9781" w:name="_Toc179864800"/>
      <w:bookmarkStart w:id="9782" w:name="_Toc179870907"/>
      <w:bookmarkStart w:id="9783" w:name="_Toc179875300"/>
      <w:bookmarkStart w:id="9784" w:name="_Toc179879693"/>
      <w:bookmarkStart w:id="9785" w:name="_Toc179810542"/>
      <w:bookmarkStart w:id="9786" w:name="_Toc179816230"/>
      <w:bookmarkStart w:id="9787" w:name="_Toc179821930"/>
      <w:bookmarkStart w:id="9788" w:name="_Toc179827630"/>
      <w:bookmarkStart w:id="9789" w:name="_Toc179833271"/>
      <w:bookmarkStart w:id="9790" w:name="_Toc179864801"/>
      <w:bookmarkStart w:id="9791" w:name="_Toc179870908"/>
      <w:bookmarkStart w:id="9792" w:name="_Toc179875301"/>
      <w:bookmarkStart w:id="9793" w:name="_Toc179879694"/>
      <w:bookmarkStart w:id="9794" w:name="_Toc179810543"/>
      <w:bookmarkStart w:id="9795" w:name="_Toc179816231"/>
      <w:bookmarkStart w:id="9796" w:name="_Toc179821931"/>
      <w:bookmarkStart w:id="9797" w:name="_Toc179827631"/>
      <w:bookmarkStart w:id="9798" w:name="_Toc179833272"/>
      <w:bookmarkStart w:id="9799" w:name="_Toc179864802"/>
      <w:bookmarkStart w:id="9800" w:name="_Toc179870909"/>
      <w:bookmarkStart w:id="9801" w:name="_Toc179875302"/>
      <w:bookmarkStart w:id="9802" w:name="_Toc179879695"/>
      <w:bookmarkStart w:id="9803" w:name="_Toc179810544"/>
      <w:bookmarkStart w:id="9804" w:name="_Toc179816232"/>
      <w:bookmarkStart w:id="9805" w:name="_Toc179821932"/>
      <w:bookmarkStart w:id="9806" w:name="_Toc179827632"/>
      <w:bookmarkStart w:id="9807" w:name="_Toc179833273"/>
      <w:bookmarkStart w:id="9808" w:name="_Toc179864803"/>
      <w:bookmarkStart w:id="9809" w:name="_Toc179870910"/>
      <w:bookmarkStart w:id="9810" w:name="_Toc179875303"/>
      <w:bookmarkStart w:id="9811" w:name="_Toc179879696"/>
      <w:bookmarkStart w:id="9812" w:name="_Toc179810545"/>
      <w:bookmarkStart w:id="9813" w:name="_Toc179816233"/>
      <w:bookmarkStart w:id="9814" w:name="_Toc179821933"/>
      <w:bookmarkStart w:id="9815" w:name="_Toc179827633"/>
      <w:bookmarkStart w:id="9816" w:name="_Toc179833274"/>
      <w:bookmarkStart w:id="9817" w:name="_Toc179864804"/>
      <w:bookmarkStart w:id="9818" w:name="_Toc179870911"/>
      <w:bookmarkStart w:id="9819" w:name="_Toc179875304"/>
      <w:bookmarkStart w:id="9820" w:name="_Toc179879697"/>
      <w:bookmarkStart w:id="9821" w:name="_Toc179810546"/>
      <w:bookmarkStart w:id="9822" w:name="_Toc179816234"/>
      <w:bookmarkStart w:id="9823" w:name="_Toc179821934"/>
      <w:bookmarkStart w:id="9824" w:name="_Toc179827634"/>
      <w:bookmarkStart w:id="9825" w:name="_Toc179833275"/>
      <w:bookmarkStart w:id="9826" w:name="_Toc179864805"/>
      <w:bookmarkStart w:id="9827" w:name="_Toc179870912"/>
      <w:bookmarkStart w:id="9828" w:name="_Toc179875305"/>
      <w:bookmarkStart w:id="9829" w:name="_Toc179879698"/>
      <w:bookmarkStart w:id="9830" w:name="_Toc179810547"/>
      <w:bookmarkStart w:id="9831" w:name="_Toc179816235"/>
      <w:bookmarkStart w:id="9832" w:name="_Toc179821935"/>
      <w:bookmarkStart w:id="9833" w:name="_Toc179827635"/>
      <w:bookmarkStart w:id="9834" w:name="_Toc179833276"/>
      <w:bookmarkStart w:id="9835" w:name="_Toc179864806"/>
      <w:bookmarkStart w:id="9836" w:name="_Toc179870913"/>
      <w:bookmarkStart w:id="9837" w:name="_Toc179875306"/>
      <w:bookmarkStart w:id="9838" w:name="_Toc179879699"/>
      <w:bookmarkStart w:id="9839" w:name="_Toc179810548"/>
      <w:bookmarkStart w:id="9840" w:name="_Toc179816236"/>
      <w:bookmarkStart w:id="9841" w:name="_Toc179821936"/>
      <w:bookmarkStart w:id="9842" w:name="_Toc179827636"/>
      <w:bookmarkStart w:id="9843" w:name="_Toc179833277"/>
      <w:bookmarkStart w:id="9844" w:name="_Toc179864807"/>
      <w:bookmarkStart w:id="9845" w:name="_Toc179870914"/>
      <w:bookmarkStart w:id="9846" w:name="_Toc179875307"/>
      <w:bookmarkStart w:id="9847" w:name="_Toc179879700"/>
      <w:bookmarkStart w:id="9848" w:name="_Toc179810549"/>
      <w:bookmarkStart w:id="9849" w:name="_Toc179816237"/>
      <w:bookmarkStart w:id="9850" w:name="_Toc179821937"/>
      <w:bookmarkStart w:id="9851" w:name="_Toc179827637"/>
      <w:bookmarkStart w:id="9852" w:name="_Toc179833278"/>
      <w:bookmarkStart w:id="9853" w:name="_Toc179864808"/>
      <w:bookmarkStart w:id="9854" w:name="_Toc179870915"/>
      <w:bookmarkStart w:id="9855" w:name="_Toc179875308"/>
      <w:bookmarkStart w:id="9856" w:name="_Toc179879701"/>
      <w:bookmarkStart w:id="9857" w:name="_Toc179810550"/>
      <w:bookmarkStart w:id="9858" w:name="_Toc179816238"/>
      <w:bookmarkStart w:id="9859" w:name="_Toc179821938"/>
      <w:bookmarkStart w:id="9860" w:name="_Toc179827638"/>
      <w:bookmarkStart w:id="9861" w:name="_Toc179833279"/>
      <w:bookmarkStart w:id="9862" w:name="_Toc179864809"/>
      <w:bookmarkStart w:id="9863" w:name="_Toc179870916"/>
      <w:bookmarkStart w:id="9864" w:name="_Toc179875309"/>
      <w:bookmarkStart w:id="9865" w:name="_Toc179879702"/>
      <w:bookmarkStart w:id="9866" w:name="_Toc179810551"/>
      <w:bookmarkStart w:id="9867" w:name="_Toc179816239"/>
      <w:bookmarkStart w:id="9868" w:name="_Toc179821939"/>
      <w:bookmarkStart w:id="9869" w:name="_Toc179827639"/>
      <w:bookmarkStart w:id="9870" w:name="_Toc179833280"/>
      <w:bookmarkStart w:id="9871" w:name="_Toc179864810"/>
      <w:bookmarkStart w:id="9872" w:name="_Toc179870917"/>
      <w:bookmarkStart w:id="9873" w:name="_Toc179875310"/>
      <w:bookmarkStart w:id="9874" w:name="_Toc179879703"/>
      <w:bookmarkStart w:id="9875" w:name="_Toc179810552"/>
      <w:bookmarkStart w:id="9876" w:name="_Toc179816240"/>
      <w:bookmarkStart w:id="9877" w:name="_Toc179821940"/>
      <w:bookmarkStart w:id="9878" w:name="_Toc179827640"/>
      <w:bookmarkStart w:id="9879" w:name="_Toc179833281"/>
      <w:bookmarkStart w:id="9880" w:name="_Toc179864811"/>
      <w:bookmarkStart w:id="9881" w:name="_Toc179870918"/>
      <w:bookmarkStart w:id="9882" w:name="_Toc179875311"/>
      <w:bookmarkStart w:id="9883" w:name="_Toc179879704"/>
      <w:bookmarkStart w:id="9884" w:name="_Toc179810553"/>
      <w:bookmarkStart w:id="9885" w:name="_Toc179816241"/>
      <w:bookmarkStart w:id="9886" w:name="_Toc179821941"/>
      <w:bookmarkStart w:id="9887" w:name="_Toc179827641"/>
      <w:bookmarkStart w:id="9888" w:name="_Toc179833282"/>
      <w:bookmarkStart w:id="9889" w:name="_Toc179864812"/>
      <w:bookmarkStart w:id="9890" w:name="_Toc179870919"/>
      <w:bookmarkStart w:id="9891" w:name="_Toc179875312"/>
      <w:bookmarkStart w:id="9892" w:name="_Toc179879705"/>
      <w:bookmarkStart w:id="9893" w:name="_Toc179810554"/>
      <w:bookmarkStart w:id="9894" w:name="_Toc179816242"/>
      <w:bookmarkStart w:id="9895" w:name="_Toc179821942"/>
      <w:bookmarkStart w:id="9896" w:name="_Toc179827642"/>
      <w:bookmarkStart w:id="9897" w:name="_Toc179833283"/>
      <w:bookmarkStart w:id="9898" w:name="_Toc179864813"/>
      <w:bookmarkStart w:id="9899" w:name="_Toc179870920"/>
      <w:bookmarkStart w:id="9900" w:name="_Toc179875313"/>
      <w:bookmarkStart w:id="9901" w:name="_Toc179879706"/>
      <w:bookmarkStart w:id="9902" w:name="_Toc179810561"/>
      <w:bookmarkStart w:id="9903" w:name="_Toc179816249"/>
      <w:bookmarkStart w:id="9904" w:name="_Toc179821949"/>
      <w:bookmarkStart w:id="9905" w:name="_Toc179827649"/>
      <w:bookmarkStart w:id="9906" w:name="_Toc179833290"/>
      <w:bookmarkStart w:id="9907" w:name="_Toc179864820"/>
      <w:bookmarkStart w:id="9908" w:name="_Toc179870927"/>
      <w:bookmarkStart w:id="9909" w:name="_Toc179875320"/>
      <w:bookmarkStart w:id="9910" w:name="_Toc179879713"/>
      <w:bookmarkStart w:id="9911" w:name="_Toc179810621"/>
      <w:bookmarkStart w:id="9912" w:name="_Toc179816309"/>
      <w:bookmarkStart w:id="9913" w:name="_Toc179822009"/>
      <w:bookmarkStart w:id="9914" w:name="_Toc179827709"/>
      <w:bookmarkStart w:id="9915" w:name="_Toc179833350"/>
      <w:bookmarkStart w:id="9916" w:name="_Toc179864880"/>
      <w:bookmarkStart w:id="9917" w:name="_Toc179870987"/>
      <w:bookmarkStart w:id="9918" w:name="_Toc179875380"/>
      <w:bookmarkStart w:id="9919" w:name="_Toc179879773"/>
      <w:bookmarkStart w:id="9920" w:name="_Toc179810622"/>
      <w:bookmarkStart w:id="9921" w:name="_Toc179816310"/>
      <w:bookmarkStart w:id="9922" w:name="_Toc179822010"/>
      <w:bookmarkStart w:id="9923" w:name="_Toc179827710"/>
      <w:bookmarkStart w:id="9924" w:name="_Toc179833351"/>
      <w:bookmarkStart w:id="9925" w:name="_Toc179864881"/>
      <w:bookmarkStart w:id="9926" w:name="_Toc179870988"/>
      <w:bookmarkStart w:id="9927" w:name="_Toc179875381"/>
      <w:bookmarkStart w:id="9928" w:name="_Toc179879774"/>
      <w:bookmarkStart w:id="9929" w:name="_Toc179810623"/>
      <w:bookmarkStart w:id="9930" w:name="_Toc179816311"/>
      <w:bookmarkStart w:id="9931" w:name="_Toc179822011"/>
      <w:bookmarkStart w:id="9932" w:name="_Toc179827711"/>
      <w:bookmarkStart w:id="9933" w:name="_Toc179833352"/>
      <w:bookmarkStart w:id="9934" w:name="_Toc179864882"/>
      <w:bookmarkStart w:id="9935" w:name="_Toc179870989"/>
      <w:bookmarkStart w:id="9936" w:name="_Toc179875382"/>
      <w:bookmarkStart w:id="9937" w:name="_Toc179879775"/>
      <w:bookmarkStart w:id="9938" w:name="_Toc179810624"/>
      <w:bookmarkStart w:id="9939" w:name="_Toc179816312"/>
      <w:bookmarkStart w:id="9940" w:name="_Toc179822012"/>
      <w:bookmarkStart w:id="9941" w:name="_Toc179827712"/>
      <w:bookmarkStart w:id="9942" w:name="_Toc179833353"/>
      <w:bookmarkStart w:id="9943" w:name="_Toc179864883"/>
      <w:bookmarkStart w:id="9944" w:name="_Toc179870990"/>
      <w:bookmarkStart w:id="9945" w:name="_Toc179875383"/>
      <w:bookmarkStart w:id="9946" w:name="_Toc179879776"/>
      <w:bookmarkStart w:id="9947" w:name="_Toc179810625"/>
      <w:bookmarkStart w:id="9948" w:name="_Toc179816313"/>
      <w:bookmarkStart w:id="9949" w:name="_Toc179822013"/>
      <w:bookmarkStart w:id="9950" w:name="_Toc179827713"/>
      <w:bookmarkStart w:id="9951" w:name="_Toc179833354"/>
      <w:bookmarkStart w:id="9952" w:name="_Toc179864884"/>
      <w:bookmarkStart w:id="9953" w:name="_Toc179870991"/>
      <w:bookmarkStart w:id="9954" w:name="_Toc179875384"/>
      <w:bookmarkStart w:id="9955" w:name="_Toc179879777"/>
      <w:bookmarkStart w:id="9956" w:name="_Toc179810626"/>
      <w:bookmarkStart w:id="9957" w:name="_Toc179816314"/>
      <w:bookmarkStart w:id="9958" w:name="_Toc179822014"/>
      <w:bookmarkStart w:id="9959" w:name="_Toc179827714"/>
      <w:bookmarkStart w:id="9960" w:name="_Toc179833355"/>
      <w:bookmarkStart w:id="9961" w:name="_Toc179864885"/>
      <w:bookmarkStart w:id="9962" w:name="_Toc179870992"/>
      <w:bookmarkStart w:id="9963" w:name="_Toc179875385"/>
      <w:bookmarkStart w:id="9964" w:name="_Toc179879778"/>
      <w:bookmarkStart w:id="9965" w:name="_Toc179810627"/>
      <w:bookmarkStart w:id="9966" w:name="_Toc179816315"/>
      <w:bookmarkStart w:id="9967" w:name="_Toc179822015"/>
      <w:bookmarkStart w:id="9968" w:name="_Toc179827715"/>
      <w:bookmarkStart w:id="9969" w:name="_Toc179833356"/>
      <w:bookmarkStart w:id="9970" w:name="_Toc179864886"/>
      <w:bookmarkStart w:id="9971" w:name="_Toc179870993"/>
      <w:bookmarkStart w:id="9972" w:name="_Toc179875386"/>
      <w:bookmarkStart w:id="9973" w:name="_Toc179879779"/>
      <w:bookmarkStart w:id="9974" w:name="_Toc179810628"/>
      <w:bookmarkStart w:id="9975" w:name="_Toc179816316"/>
      <w:bookmarkStart w:id="9976" w:name="_Toc179822016"/>
      <w:bookmarkStart w:id="9977" w:name="_Toc179827716"/>
      <w:bookmarkStart w:id="9978" w:name="_Toc179833357"/>
      <w:bookmarkStart w:id="9979" w:name="_Toc179864887"/>
      <w:bookmarkStart w:id="9980" w:name="_Toc179870994"/>
      <w:bookmarkStart w:id="9981" w:name="_Toc179875387"/>
      <w:bookmarkStart w:id="9982" w:name="_Toc179879780"/>
      <w:bookmarkStart w:id="9983" w:name="_Toc179810629"/>
      <w:bookmarkStart w:id="9984" w:name="_Toc179816317"/>
      <w:bookmarkStart w:id="9985" w:name="_Toc179822017"/>
      <w:bookmarkStart w:id="9986" w:name="_Toc179827717"/>
      <w:bookmarkStart w:id="9987" w:name="_Toc179833358"/>
      <w:bookmarkStart w:id="9988" w:name="_Toc179864888"/>
      <w:bookmarkStart w:id="9989" w:name="_Toc179870995"/>
      <w:bookmarkStart w:id="9990" w:name="_Toc179875388"/>
      <w:bookmarkStart w:id="9991" w:name="_Toc179879781"/>
      <w:bookmarkStart w:id="9992" w:name="_Toc179810630"/>
      <w:bookmarkStart w:id="9993" w:name="_Toc179816318"/>
      <w:bookmarkStart w:id="9994" w:name="_Toc179822018"/>
      <w:bookmarkStart w:id="9995" w:name="_Toc179827718"/>
      <w:bookmarkStart w:id="9996" w:name="_Toc179833359"/>
      <w:bookmarkStart w:id="9997" w:name="_Toc179864889"/>
      <w:bookmarkStart w:id="9998" w:name="_Toc179870996"/>
      <w:bookmarkStart w:id="9999" w:name="_Toc179875389"/>
      <w:bookmarkStart w:id="10000" w:name="_Toc179879782"/>
      <w:bookmarkStart w:id="10001" w:name="_Toc179810631"/>
      <w:bookmarkStart w:id="10002" w:name="_Toc179816319"/>
      <w:bookmarkStart w:id="10003" w:name="_Toc179822019"/>
      <w:bookmarkStart w:id="10004" w:name="_Toc179827719"/>
      <w:bookmarkStart w:id="10005" w:name="_Toc179833360"/>
      <w:bookmarkStart w:id="10006" w:name="_Toc179864890"/>
      <w:bookmarkStart w:id="10007" w:name="_Toc179870997"/>
      <w:bookmarkStart w:id="10008" w:name="_Toc179875390"/>
      <w:bookmarkStart w:id="10009" w:name="_Toc179879783"/>
      <w:bookmarkStart w:id="10010" w:name="_Toc179810632"/>
      <w:bookmarkStart w:id="10011" w:name="_Toc179816320"/>
      <w:bookmarkStart w:id="10012" w:name="_Toc179822020"/>
      <w:bookmarkStart w:id="10013" w:name="_Toc179827720"/>
      <w:bookmarkStart w:id="10014" w:name="_Toc179833361"/>
      <w:bookmarkStart w:id="10015" w:name="_Toc179864891"/>
      <w:bookmarkStart w:id="10016" w:name="_Toc179870998"/>
      <w:bookmarkStart w:id="10017" w:name="_Toc179875391"/>
      <w:bookmarkStart w:id="10018" w:name="_Toc179879784"/>
      <w:bookmarkStart w:id="10019" w:name="_Toc179810633"/>
      <w:bookmarkStart w:id="10020" w:name="_Toc179816321"/>
      <w:bookmarkStart w:id="10021" w:name="_Toc179822021"/>
      <w:bookmarkStart w:id="10022" w:name="_Toc179827721"/>
      <w:bookmarkStart w:id="10023" w:name="_Toc179833362"/>
      <w:bookmarkStart w:id="10024" w:name="_Toc179864892"/>
      <w:bookmarkStart w:id="10025" w:name="_Toc179870999"/>
      <w:bookmarkStart w:id="10026" w:name="_Toc179875392"/>
      <w:bookmarkStart w:id="10027" w:name="_Toc179879785"/>
      <w:bookmarkStart w:id="10028" w:name="_Toc179810634"/>
      <w:bookmarkStart w:id="10029" w:name="_Toc179816322"/>
      <w:bookmarkStart w:id="10030" w:name="_Toc179822022"/>
      <w:bookmarkStart w:id="10031" w:name="_Toc179827722"/>
      <w:bookmarkStart w:id="10032" w:name="_Toc179833363"/>
      <w:bookmarkStart w:id="10033" w:name="_Toc179864893"/>
      <w:bookmarkStart w:id="10034" w:name="_Toc179871000"/>
      <w:bookmarkStart w:id="10035" w:name="_Toc179875393"/>
      <w:bookmarkStart w:id="10036" w:name="_Toc179879786"/>
      <w:bookmarkStart w:id="10037" w:name="_Toc179810635"/>
      <w:bookmarkStart w:id="10038" w:name="_Toc179816323"/>
      <w:bookmarkStart w:id="10039" w:name="_Toc179822023"/>
      <w:bookmarkStart w:id="10040" w:name="_Toc179827723"/>
      <w:bookmarkStart w:id="10041" w:name="_Toc179833364"/>
      <w:bookmarkStart w:id="10042" w:name="_Toc179864894"/>
      <w:bookmarkStart w:id="10043" w:name="_Toc179871001"/>
      <w:bookmarkStart w:id="10044" w:name="_Toc179875394"/>
      <w:bookmarkStart w:id="10045" w:name="_Toc179879787"/>
      <w:bookmarkStart w:id="10046" w:name="_Toc179810636"/>
      <w:bookmarkStart w:id="10047" w:name="_Toc179816324"/>
      <w:bookmarkStart w:id="10048" w:name="_Toc179822024"/>
      <w:bookmarkStart w:id="10049" w:name="_Toc179827724"/>
      <w:bookmarkStart w:id="10050" w:name="_Toc179833365"/>
      <w:bookmarkStart w:id="10051" w:name="_Toc179864895"/>
      <w:bookmarkStart w:id="10052" w:name="_Toc179871002"/>
      <w:bookmarkStart w:id="10053" w:name="_Toc179875395"/>
      <w:bookmarkStart w:id="10054" w:name="_Toc179879788"/>
      <w:bookmarkStart w:id="10055" w:name="_Toc179810637"/>
      <w:bookmarkStart w:id="10056" w:name="_Toc179816325"/>
      <w:bookmarkStart w:id="10057" w:name="_Toc179822025"/>
      <w:bookmarkStart w:id="10058" w:name="_Toc179827725"/>
      <w:bookmarkStart w:id="10059" w:name="_Toc179833366"/>
      <w:bookmarkStart w:id="10060" w:name="_Toc179864896"/>
      <w:bookmarkStart w:id="10061" w:name="_Toc179871003"/>
      <w:bookmarkStart w:id="10062" w:name="_Toc179875396"/>
      <w:bookmarkStart w:id="10063" w:name="_Toc179879789"/>
      <w:bookmarkStart w:id="10064" w:name="_Toc179810638"/>
      <w:bookmarkStart w:id="10065" w:name="_Toc179816326"/>
      <w:bookmarkStart w:id="10066" w:name="_Toc179822026"/>
      <w:bookmarkStart w:id="10067" w:name="_Toc179827726"/>
      <w:bookmarkStart w:id="10068" w:name="_Toc179833367"/>
      <w:bookmarkStart w:id="10069" w:name="_Toc179864897"/>
      <w:bookmarkStart w:id="10070" w:name="_Toc179871004"/>
      <w:bookmarkStart w:id="10071" w:name="_Toc179875397"/>
      <w:bookmarkStart w:id="10072" w:name="_Toc179879790"/>
      <w:bookmarkStart w:id="10073" w:name="_Toc179810639"/>
      <w:bookmarkStart w:id="10074" w:name="_Toc179816327"/>
      <w:bookmarkStart w:id="10075" w:name="_Toc179822027"/>
      <w:bookmarkStart w:id="10076" w:name="_Toc179827727"/>
      <w:bookmarkStart w:id="10077" w:name="_Toc179833368"/>
      <w:bookmarkStart w:id="10078" w:name="_Toc179864898"/>
      <w:bookmarkStart w:id="10079" w:name="_Toc179871005"/>
      <w:bookmarkStart w:id="10080" w:name="_Toc179875398"/>
      <w:bookmarkStart w:id="10081" w:name="_Toc179879791"/>
      <w:bookmarkStart w:id="10082" w:name="_Toc179810640"/>
      <w:bookmarkStart w:id="10083" w:name="_Toc179816328"/>
      <w:bookmarkStart w:id="10084" w:name="_Toc179822028"/>
      <w:bookmarkStart w:id="10085" w:name="_Toc179827728"/>
      <w:bookmarkStart w:id="10086" w:name="_Toc179833369"/>
      <w:bookmarkStart w:id="10087" w:name="_Toc179864899"/>
      <w:bookmarkStart w:id="10088" w:name="_Toc179871006"/>
      <w:bookmarkStart w:id="10089" w:name="_Toc179875399"/>
      <w:bookmarkStart w:id="10090" w:name="_Toc179879792"/>
      <w:bookmarkStart w:id="10091" w:name="_Toc179810754"/>
      <w:bookmarkStart w:id="10092" w:name="_Toc179816442"/>
      <w:bookmarkStart w:id="10093" w:name="_Toc179822142"/>
      <w:bookmarkStart w:id="10094" w:name="_Toc179827842"/>
      <w:bookmarkStart w:id="10095" w:name="_Toc179833483"/>
      <w:bookmarkStart w:id="10096" w:name="_Toc179865013"/>
      <w:bookmarkStart w:id="10097" w:name="_Toc179871120"/>
      <w:bookmarkStart w:id="10098" w:name="_Toc179875513"/>
      <w:bookmarkStart w:id="10099" w:name="_Toc179879906"/>
      <w:bookmarkStart w:id="10100" w:name="_Toc179810755"/>
      <w:bookmarkStart w:id="10101" w:name="_Toc179816443"/>
      <w:bookmarkStart w:id="10102" w:name="_Toc179822143"/>
      <w:bookmarkStart w:id="10103" w:name="_Toc179827843"/>
      <w:bookmarkStart w:id="10104" w:name="_Toc179833484"/>
      <w:bookmarkStart w:id="10105" w:name="_Toc179865014"/>
      <w:bookmarkStart w:id="10106" w:name="_Toc179871121"/>
      <w:bookmarkStart w:id="10107" w:name="_Toc179875514"/>
      <w:bookmarkStart w:id="10108" w:name="_Toc179879907"/>
      <w:bookmarkStart w:id="10109" w:name="_Toc179810882"/>
      <w:bookmarkStart w:id="10110" w:name="_Toc179816570"/>
      <w:bookmarkStart w:id="10111" w:name="_Toc179822270"/>
      <w:bookmarkStart w:id="10112" w:name="_Toc179827970"/>
      <w:bookmarkStart w:id="10113" w:name="_Toc179833611"/>
      <w:bookmarkStart w:id="10114" w:name="_Toc179865141"/>
      <w:bookmarkStart w:id="10115" w:name="_Toc179871248"/>
      <w:bookmarkStart w:id="10116" w:name="_Toc179875641"/>
      <w:bookmarkStart w:id="10117" w:name="_Toc179880034"/>
      <w:bookmarkStart w:id="10118" w:name="_Toc179810883"/>
      <w:bookmarkStart w:id="10119" w:name="_Toc179816571"/>
      <w:bookmarkStart w:id="10120" w:name="_Toc179822271"/>
      <w:bookmarkStart w:id="10121" w:name="_Toc179827971"/>
      <w:bookmarkStart w:id="10122" w:name="_Toc179833612"/>
      <w:bookmarkStart w:id="10123" w:name="_Toc179865142"/>
      <w:bookmarkStart w:id="10124" w:name="_Toc179871249"/>
      <w:bookmarkStart w:id="10125" w:name="_Toc179875642"/>
      <w:bookmarkStart w:id="10126" w:name="_Toc179880035"/>
      <w:bookmarkStart w:id="10127" w:name="_Toc179810884"/>
      <w:bookmarkStart w:id="10128" w:name="_Toc179816572"/>
      <w:bookmarkStart w:id="10129" w:name="_Toc179822272"/>
      <w:bookmarkStart w:id="10130" w:name="_Toc179827972"/>
      <w:bookmarkStart w:id="10131" w:name="_Toc179833613"/>
      <w:bookmarkStart w:id="10132" w:name="_Toc179865143"/>
      <w:bookmarkStart w:id="10133" w:name="_Toc179871250"/>
      <w:bookmarkStart w:id="10134" w:name="_Toc179875643"/>
      <w:bookmarkStart w:id="10135" w:name="_Toc179880036"/>
      <w:bookmarkStart w:id="10136" w:name="_Toc179811005"/>
      <w:bookmarkStart w:id="10137" w:name="_Toc179816693"/>
      <w:bookmarkStart w:id="10138" w:name="_Toc179822393"/>
      <w:bookmarkStart w:id="10139" w:name="_Toc179828093"/>
      <w:bookmarkStart w:id="10140" w:name="_Toc179833734"/>
      <w:bookmarkStart w:id="10141" w:name="_Toc179865264"/>
      <w:bookmarkStart w:id="10142" w:name="_Toc179871371"/>
      <w:bookmarkStart w:id="10143" w:name="_Toc179875764"/>
      <w:bookmarkStart w:id="10144" w:name="_Toc179880157"/>
      <w:bookmarkStart w:id="10145" w:name="_Toc179811006"/>
      <w:bookmarkStart w:id="10146" w:name="_Toc179816694"/>
      <w:bookmarkStart w:id="10147" w:name="_Toc179822394"/>
      <w:bookmarkStart w:id="10148" w:name="_Toc179828094"/>
      <w:bookmarkStart w:id="10149" w:name="_Toc179833735"/>
      <w:bookmarkStart w:id="10150" w:name="_Toc179865265"/>
      <w:bookmarkStart w:id="10151" w:name="_Toc179871372"/>
      <w:bookmarkStart w:id="10152" w:name="_Toc179875765"/>
      <w:bookmarkStart w:id="10153" w:name="_Toc179880158"/>
      <w:bookmarkStart w:id="10154" w:name="_Toc179811007"/>
      <w:bookmarkStart w:id="10155" w:name="_Toc179816695"/>
      <w:bookmarkStart w:id="10156" w:name="_Toc179822395"/>
      <w:bookmarkStart w:id="10157" w:name="_Toc179828095"/>
      <w:bookmarkStart w:id="10158" w:name="_Toc179833736"/>
      <w:bookmarkStart w:id="10159" w:name="_Toc179865266"/>
      <w:bookmarkStart w:id="10160" w:name="_Toc179871373"/>
      <w:bookmarkStart w:id="10161" w:name="_Toc179875766"/>
      <w:bookmarkStart w:id="10162" w:name="_Toc179880159"/>
      <w:bookmarkStart w:id="10163" w:name="_Toc179811008"/>
      <w:bookmarkStart w:id="10164" w:name="_Toc179816696"/>
      <w:bookmarkStart w:id="10165" w:name="_Toc179822396"/>
      <w:bookmarkStart w:id="10166" w:name="_Toc179828096"/>
      <w:bookmarkStart w:id="10167" w:name="_Toc179833737"/>
      <w:bookmarkStart w:id="10168" w:name="_Toc179865267"/>
      <w:bookmarkStart w:id="10169" w:name="_Toc179871374"/>
      <w:bookmarkStart w:id="10170" w:name="_Toc179875767"/>
      <w:bookmarkStart w:id="10171" w:name="_Toc179880160"/>
      <w:bookmarkStart w:id="10172" w:name="_Toc179811009"/>
      <w:bookmarkStart w:id="10173" w:name="_Toc179816697"/>
      <w:bookmarkStart w:id="10174" w:name="_Toc179822397"/>
      <w:bookmarkStart w:id="10175" w:name="_Toc179828097"/>
      <w:bookmarkStart w:id="10176" w:name="_Toc179833738"/>
      <w:bookmarkStart w:id="10177" w:name="_Toc179865268"/>
      <w:bookmarkStart w:id="10178" w:name="_Toc179871375"/>
      <w:bookmarkStart w:id="10179" w:name="_Toc179875768"/>
      <w:bookmarkStart w:id="10180" w:name="_Toc179880161"/>
      <w:bookmarkStart w:id="10181" w:name="_Toc179811010"/>
      <w:bookmarkStart w:id="10182" w:name="_Toc179816698"/>
      <w:bookmarkStart w:id="10183" w:name="_Toc179822398"/>
      <w:bookmarkStart w:id="10184" w:name="_Toc179828098"/>
      <w:bookmarkStart w:id="10185" w:name="_Toc179833739"/>
      <w:bookmarkStart w:id="10186" w:name="_Toc179865269"/>
      <w:bookmarkStart w:id="10187" w:name="_Toc179871376"/>
      <w:bookmarkStart w:id="10188" w:name="_Toc179875769"/>
      <w:bookmarkStart w:id="10189" w:name="_Toc179880162"/>
      <w:bookmarkStart w:id="10190" w:name="_Toc179811011"/>
      <w:bookmarkStart w:id="10191" w:name="_Toc179816699"/>
      <w:bookmarkStart w:id="10192" w:name="_Toc179822399"/>
      <w:bookmarkStart w:id="10193" w:name="_Toc179828099"/>
      <w:bookmarkStart w:id="10194" w:name="_Toc179833740"/>
      <w:bookmarkStart w:id="10195" w:name="_Toc179865270"/>
      <w:bookmarkStart w:id="10196" w:name="_Toc179871377"/>
      <w:bookmarkStart w:id="10197" w:name="_Toc179875770"/>
      <w:bookmarkStart w:id="10198" w:name="_Toc179880163"/>
      <w:bookmarkStart w:id="10199" w:name="_Toc179811012"/>
      <w:bookmarkStart w:id="10200" w:name="_Toc179816700"/>
      <w:bookmarkStart w:id="10201" w:name="_Toc179822400"/>
      <w:bookmarkStart w:id="10202" w:name="_Toc179828100"/>
      <w:bookmarkStart w:id="10203" w:name="_Toc179833741"/>
      <w:bookmarkStart w:id="10204" w:name="_Toc179865271"/>
      <w:bookmarkStart w:id="10205" w:name="_Toc179871378"/>
      <w:bookmarkStart w:id="10206" w:name="_Toc179875771"/>
      <w:bookmarkStart w:id="10207" w:name="_Toc179880164"/>
      <w:bookmarkStart w:id="10208" w:name="_Toc179811013"/>
      <w:bookmarkStart w:id="10209" w:name="_Toc179816701"/>
      <w:bookmarkStart w:id="10210" w:name="_Toc179822401"/>
      <w:bookmarkStart w:id="10211" w:name="_Toc179828101"/>
      <w:bookmarkStart w:id="10212" w:name="_Toc179833742"/>
      <w:bookmarkStart w:id="10213" w:name="_Toc179865272"/>
      <w:bookmarkStart w:id="10214" w:name="_Toc179871379"/>
      <w:bookmarkStart w:id="10215" w:name="_Toc179875772"/>
      <w:bookmarkStart w:id="10216" w:name="_Toc179880165"/>
      <w:bookmarkStart w:id="10217" w:name="_Toc179811014"/>
      <w:bookmarkStart w:id="10218" w:name="_Toc179816702"/>
      <w:bookmarkStart w:id="10219" w:name="_Toc179822402"/>
      <w:bookmarkStart w:id="10220" w:name="_Toc179828102"/>
      <w:bookmarkStart w:id="10221" w:name="_Toc179833743"/>
      <w:bookmarkStart w:id="10222" w:name="_Toc179865273"/>
      <w:bookmarkStart w:id="10223" w:name="_Toc179871380"/>
      <w:bookmarkStart w:id="10224" w:name="_Toc179875773"/>
      <w:bookmarkStart w:id="10225" w:name="_Toc179880166"/>
      <w:bookmarkStart w:id="10226" w:name="_Toc179811015"/>
      <w:bookmarkStart w:id="10227" w:name="_Toc179816703"/>
      <w:bookmarkStart w:id="10228" w:name="_Toc179822403"/>
      <w:bookmarkStart w:id="10229" w:name="_Toc179828103"/>
      <w:bookmarkStart w:id="10230" w:name="_Toc179833744"/>
      <w:bookmarkStart w:id="10231" w:name="_Toc179865274"/>
      <w:bookmarkStart w:id="10232" w:name="_Toc179871381"/>
      <w:bookmarkStart w:id="10233" w:name="_Toc179875774"/>
      <w:bookmarkStart w:id="10234" w:name="_Toc179880167"/>
      <w:bookmarkStart w:id="10235" w:name="_Toc179811016"/>
      <w:bookmarkStart w:id="10236" w:name="_Toc179816704"/>
      <w:bookmarkStart w:id="10237" w:name="_Toc179822404"/>
      <w:bookmarkStart w:id="10238" w:name="_Toc179828104"/>
      <w:bookmarkStart w:id="10239" w:name="_Toc179833745"/>
      <w:bookmarkStart w:id="10240" w:name="_Toc179865275"/>
      <w:bookmarkStart w:id="10241" w:name="_Toc179871382"/>
      <w:bookmarkStart w:id="10242" w:name="_Toc179875775"/>
      <w:bookmarkStart w:id="10243" w:name="_Toc179880168"/>
      <w:bookmarkStart w:id="10244" w:name="_Toc179811017"/>
      <w:bookmarkStart w:id="10245" w:name="_Toc179816705"/>
      <w:bookmarkStart w:id="10246" w:name="_Toc179822405"/>
      <w:bookmarkStart w:id="10247" w:name="_Toc179828105"/>
      <w:bookmarkStart w:id="10248" w:name="_Toc179833746"/>
      <w:bookmarkStart w:id="10249" w:name="_Toc179865276"/>
      <w:bookmarkStart w:id="10250" w:name="_Toc179871383"/>
      <w:bookmarkStart w:id="10251" w:name="_Toc179875776"/>
      <w:bookmarkStart w:id="10252" w:name="_Toc179880169"/>
      <w:bookmarkStart w:id="10253" w:name="_Toc179811018"/>
      <w:bookmarkStart w:id="10254" w:name="_Toc179816706"/>
      <w:bookmarkStart w:id="10255" w:name="_Toc179822406"/>
      <w:bookmarkStart w:id="10256" w:name="_Toc179828106"/>
      <w:bookmarkStart w:id="10257" w:name="_Toc179833747"/>
      <w:bookmarkStart w:id="10258" w:name="_Toc179865277"/>
      <w:bookmarkStart w:id="10259" w:name="_Toc179871384"/>
      <w:bookmarkStart w:id="10260" w:name="_Toc179875777"/>
      <w:bookmarkStart w:id="10261" w:name="_Toc179880170"/>
      <w:bookmarkStart w:id="10262" w:name="_Toc179811019"/>
      <w:bookmarkStart w:id="10263" w:name="_Toc179816707"/>
      <w:bookmarkStart w:id="10264" w:name="_Toc179822407"/>
      <w:bookmarkStart w:id="10265" w:name="_Toc179828107"/>
      <w:bookmarkStart w:id="10266" w:name="_Toc179833748"/>
      <w:bookmarkStart w:id="10267" w:name="_Toc179865278"/>
      <w:bookmarkStart w:id="10268" w:name="_Toc179871385"/>
      <w:bookmarkStart w:id="10269" w:name="_Toc179875778"/>
      <w:bookmarkStart w:id="10270" w:name="_Toc179880171"/>
      <w:bookmarkStart w:id="10271" w:name="_Toc179811020"/>
      <w:bookmarkStart w:id="10272" w:name="_Toc179816708"/>
      <w:bookmarkStart w:id="10273" w:name="_Toc179822408"/>
      <w:bookmarkStart w:id="10274" w:name="_Toc179828108"/>
      <w:bookmarkStart w:id="10275" w:name="_Toc179833749"/>
      <w:bookmarkStart w:id="10276" w:name="_Toc179865279"/>
      <w:bookmarkStart w:id="10277" w:name="_Toc179871386"/>
      <w:bookmarkStart w:id="10278" w:name="_Toc179875779"/>
      <w:bookmarkStart w:id="10279" w:name="_Toc179880172"/>
      <w:bookmarkStart w:id="10280" w:name="_Toc179811021"/>
      <w:bookmarkStart w:id="10281" w:name="_Toc179816709"/>
      <w:bookmarkStart w:id="10282" w:name="_Toc179822409"/>
      <w:bookmarkStart w:id="10283" w:name="_Toc179828109"/>
      <w:bookmarkStart w:id="10284" w:name="_Toc179833750"/>
      <w:bookmarkStart w:id="10285" w:name="_Toc179865280"/>
      <w:bookmarkStart w:id="10286" w:name="_Toc179871387"/>
      <w:bookmarkStart w:id="10287" w:name="_Toc179875780"/>
      <w:bookmarkStart w:id="10288" w:name="_Toc179880173"/>
      <w:bookmarkStart w:id="10289" w:name="_Toc179811022"/>
      <w:bookmarkStart w:id="10290" w:name="_Toc179816710"/>
      <w:bookmarkStart w:id="10291" w:name="_Toc179822410"/>
      <w:bookmarkStart w:id="10292" w:name="_Toc179828110"/>
      <w:bookmarkStart w:id="10293" w:name="_Toc179833751"/>
      <w:bookmarkStart w:id="10294" w:name="_Toc179865281"/>
      <w:bookmarkStart w:id="10295" w:name="_Toc179871388"/>
      <w:bookmarkStart w:id="10296" w:name="_Toc179875781"/>
      <w:bookmarkStart w:id="10297" w:name="_Toc179880174"/>
      <w:bookmarkStart w:id="10298" w:name="_Toc179811023"/>
      <w:bookmarkStart w:id="10299" w:name="_Toc179816711"/>
      <w:bookmarkStart w:id="10300" w:name="_Toc179822411"/>
      <w:bookmarkStart w:id="10301" w:name="_Toc179828111"/>
      <w:bookmarkStart w:id="10302" w:name="_Toc179833752"/>
      <w:bookmarkStart w:id="10303" w:name="_Toc179865282"/>
      <w:bookmarkStart w:id="10304" w:name="_Toc179871389"/>
      <w:bookmarkStart w:id="10305" w:name="_Toc179875782"/>
      <w:bookmarkStart w:id="10306" w:name="_Toc179880175"/>
      <w:bookmarkStart w:id="10307" w:name="_Toc179811024"/>
      <w:bookmarkStart w:id="10308" w:name="_Toc179816712"/>
      <w:bookmarkStart w:id="10309" w:name="_Toc179822412"/>
      <w:bookmarkStart w:id="10310" w:name="_Toc179828112"/>
      <w:bookmarkStart w:id="10311" w:name="_Toc179833753"/>
      <w:bookmarkStart w:id="10312" w:name="_Toc179865283"/>
      <w:bookmarkStart w:id="10313" w:name="_Toc179871390"/>
      <w:bookmarkStart w:id="10314" w:name="_Toc179875783"/>
      <w:bookmarkStart w:id="10315" w:name="_Toc179880176"/>
      <w:bookmarkStart w:id="10316" w:name="_Toc179811025"/>
      <w:bookmarkStart w:id="10317" w:name="_Toc179816713"/>
      <w:bookmarkStart w:id="10318" w:name="_Toc179822413"/>
      <w:bookmarkStart w:id="10319" w:name="_Toc179828113"/>
      <w:bookmarkStart w:id="10320" w:name="_Toc179833754"/>
      <w:bookmarkStart w:id="10321" w:name="_Toc179865284"/>
      <w:bookmarkStart w:id="10322" w:name="_Toc179871391"/>
      <w:bookmarkStart w:id="10323" w:name="_Toc179875784"/>
      <w:bookmarkStart w:id="10324" w:name="_Toc179880177"/>
      <w:bookmarkStart w:id="10325" w:name="_Toc179811026"/>
      <w:bookmarkStart w:id="10326" w:name="_Toc179816714"/>
      <w:bookmarkStart w:id="10327" w:name="_Toc179822414"/>
      <w:bookmarkStart w:id="10328" w:name="_Toc179828114"/>
      <w:bookmarkStart w:id="10329" w:name="_Toc179833755"/>
      <w:bookmarkStart w:id="10330" w:name="_Toc179865285"/>
      <w:bookmarkStart w:id="10331" w:name="_Toc179871392"/>
      <w:bookmarkStart w:id="10332" w:name="_Toc179875785"/>
      <w:bookmarkStart w:id="10333" w:name="_Toc179880178"/>
      <w:bookmarkStart w:id="10334" w:name="_Toc179811027"/>
      <w:bookmarkStart w:id="10335" w:name="_Toc179816715"/>
      <w:bookmarkStart w:id="10336" w:name="_Toc179822415"/>
      <w:bookmarkStart w:id="10337" w:name="_Toc179828115"/>
      <w:bookmarkStart w:id="10338" w:name="_Toc179833756"/>
      <w:bookmarkStart w:id="10339" w:name="_Toc179865286"/>
      <w:bookmarkStart w:id="10340" w:name="_Toc179871393"/>
      <w:bookmarkStart w:id="10341" w:name="_Toc179875786"/>
      <w:bookmarkStart w:id="10342" w:name="_Toc179880179"/>
      <w:bookmarkStart w:id="10343" w:name="_Toc179811028"/>
      <w:bookmarkStart w:id="10344" w:name="_Toc179816716"/>
      <w:bookmarkStart w:id="10345" w:name="_Toc179822416"/>
      <w:bookmarkStart w:id="10346" w:name="_Toc179828116"/>
      <w:bookmarkStart w:id="10347" w:name="_Toc179833757"/>
      <w:bookmarkStart w:id="10348" w:name="_Toc179865287"/>
      <w:bookmarkStart w:id="10349" w:name="_Toc179871394"/>
      <w:bookmarkStart w:id="10350" w:name="_Toc179875787"/>
      <w:bookmarkStart w:id="10351" w:name="_Toc179880180"/>
      <w:bookmarkStart w:id="10352" w:name="_Toc179811029"/>
      <w:bookmarkStart w:id="10353" w:name="_Toc179816717"/>
      <w:bookmarkStart w:id="10354" w:name="_Toc179822417"/>
      <w:bookmarkStart w:id="10355" w:name="_Toc179828117"/>
      <w:bookmarkStart w:id="10356" w:name="_Toc179833758"/>
      <w:bookmarkStart w:id="10357" w:name="_Toc179865288"/>
      <w:bookmarkStart w:id="10358" w:name="_Toc179871395"/>
      <w:bookmarkStart w:id="10359" w:name="_Toc179875788"/>
      <w:bookmarkStart w:id="10360" w:name="_Toc179880181"/>
      <w:bookmarkStart w:id="10361" w:name="_Toc179811030"/>
      <w:bookmarkStart w:id="10362" w:name="_Toc179816718"/>
      <w:bookmarkStart w:id="10363" w:name="_Toc179822418"/>
      <w:bookmarkStart w:id="10364" w:name="_Toc179828118"/>
      <w:bookmarkStart w:id="10365" w:name="_Toc179833759"/>
      <w:bookmarkStart w:id="10366" w:name="_Toc179865289"/>
      <w:bookmarkStart w:id="10367" w:name="_Toc179871396"/>
      <w:bookmarkStart w:id="10368" w:name="_Toc179875789"/>
      <w:bookmarkStart w:id="10369" w:name="_Toc179880182"/>
      <w:bookmarkStart w:id="10370" w:name="_Toc179811031"/>
      <w:bookmarkStart w:id="10371" w:name="_Toc179816719"/>
      <w:bookmarkStart w:id="10372" w:name="_Toc179822419"/>
      <w:bookmarkStart w:id="10373" w:name="_Toc179828119"/>
      <w:bookmarkStart w:id="10374" w:name="_Toc179833760"/>
      <w:bookmarkStart w:id="10375" w:name="_Toc179865290"/>
      <w:bookmarkStart w:id="10376" w:name="_Toc179871397"/>
      <w:bookmarkStart w:id="10377" w:name="_Toc179875790"/>
      <w:bookmarkStart w:id="10378" w:name="_Toc179880183"/>
      <w:bookmarkStart w:id="10379" w:name="_Toc179811032"/>
      <w:bookmarkStart w:id="10380" w:name="_Toc179816720"/>
      <w:bookmarkStart w:id="10381" w:name="_Toc179822420"/>
      <w:bookmarkStart w:id="10382" w:name="_Toc179828120"/>
      <w:bookmarkStart w:id="10383" w:name="_Toc179833761"/>
      <w:bookmarkStart w:id="10384" w:name="_Toc179865291"/>
      <w:bookmarkStart w:id="10385" w:name="_Toc179871398"/>
      <w:bookmarkStart w:id="10386" w:name="_Toc179875791"/>
      <w:bookmarkStart w:id="10387" w:name="_Toc179880184"/>
      <w:bookmarkStart w:id="10388" w:name="_Toc179811033"/>
      <w:bookmarkStart w:id="10389" w:name="_Toc179816721"/>
      <w:bookmarkStart w:id="10390" w:name="_Toc179822421"/>
      <w:bookmarkStart w:id="10391" w:name="_Toc179828121"/>
      <w:bookmarkStart w:id="10392" w:name="_Toc179833762"/>
      <w:bookmarkStart w:id="10393" w:name="_Toc179865292"/>
      <w:bookmarkStart w:id="10394" w:name="_Toc179871399"/>
      <w:bookmarkStart w:id="10395" w:name="_Toc179875792"/>
      <w:bookmarkStart w:id="10396" w:name="_Toc179880185"/>
      <w:bookmarkStart w:id="10397" w:name="_Toc179811034"/>
      <w:bookmarkStart w:id="10398" w:name="_Toc179816722"/>
      <w:bookmarkStart w:id="10399" w:name="_Toc179822422"/>
      <w:bookmarkStart w:id="10400" w:name="_Toc179828122"/>
      <w:bookmarkStart w:id="10401" w:name="_Toc179833763"/>
      <w:bookmarkStart w:id="10402" w:name="_Toc179865293"/>
      <w:bookmarkStart w:id="10403" w:name="_Toc179871400"/>
      <w:bookmarkStart w:id="10404" w:name="_Toc179875793"/>
      <w:bookmarkStart w:id="10405" w:name="_Toc179880186"/>
      <w:bookmarkStart w:id="10406" w:name="_Toc179811035"/>
      <w:bookmarkStart w:id="10407" w:name="_Toc179816723"/>
      <w:bookmarkStart w:id="10408" w:name="_Toc179822423"/>
      <w:bookmarkStart w:id="10409" w:name="_Toc179828123"/>
      <w:bookmarkStart w:id="10410" w:name="_Toc179833764"/>
      <w:bookmarkStart w:id="10411" w:name="_Toc179865294"/>
      <w:bookmarkStart w:id="10412" w:name="_Toc179871401"/>
      <w:bookmarkStart w:id="10413" w:name="_Toc179875794"/>
      <w:bookmarkStart w:id="10414" w:name="_Toc179880187"/>
      <w:bookmarkStart w:id="10415" w:name="_Toc179811036"/>
      <w:bookmarkStart w:id="10416" w:name="_Toc179816724"/>
      <w:bookmarkStart w:id="10417" w:name="_Toc179822424"/>
      <w:bookmarkStart w:id="10418" w:name="_Toc179828124"/>
      <w:bookmarkStart w:id="10419" w:name="_Toc179833765"/>
      <w:bookmarkStart w:id="10420" w:name="_Toc179865295"/>
      <w:bookmarkStart w:id="10421" w:name="_Toc179871402"/>
      <w:bookmarkStart w:id="10422" w:name="_Toc179875795"/>
      <w:bookmarkStart w:id="10423" w:name="_Toc179880188"/>
      <w:bookmarkStart w:id="10424" w:name="_Toc179811037"/>
      <w:bookmarkStart w:id="10425" w:name="_Toc179816725"/>
      <w:bookmarkStart w:id="10426" w:name="_Toc179822425"/>
      <w:bookmarkStart w:id="10427" w:name="_Toc179828125"/>
      <w:bookmarkStart w:id="10428" w:name="_Toc179833766"/>
      <w:bookmarkStart w:id="10429" w:name="_Toc179865296"/>
      <w:bookmarkStart w:id="10430" w:name="_Toc179871403"/>
      <w:bookmarkStart w:id="10431" w:name="_Toc179875796"/>
      <w:bookmarkStart w:id="10432" w:name="_Toc179880189"/>
      <w:bookmarkStart w:id="10433" w:name="_Toc179811038"/>
      <w:bookmarkStart w:id="10434" w:name="_Toc179816726"/>
      <w:bookmarkStart w:id="10435" w:name="_Toc179822426"/>
      <w:bookmarkStart w:id="10436" w:name="_Toc179828126"/>
      <w:bookmarkStart w:id="10437" w:name="_Toc179833767"/>
      <w:bookmarkStart w:id="10438" w:name="_Toc179865297"/>
      <w:bookmarkStart w:id="10439" w:name="_Toc179871404"/>
      <w:bookmarkStart w:id="10440" w:name="_Toc179875797"/>
      <w:bookmarkStart w:id="10441" w:name="_Toc179880190"/>
      <w:bookmarkStart w:id="10442" w:name="_Toc179811039"/>
      <w:bookmarkStart w:id="10443" w:name="_Toc179816727"/>
      <w:bookmarkStart w:id="10444" w:name="_Toc179822427"/>
      <w:bookmarkStart w:id="10445" w:name="_Toc179828127"/>
      <w:bookmarkStart w:id="10446" w:name="_Toc179833768"/>
      <w:bookmarkStart w:id="10447" w:name="_Toc179865298"/>
      <w:bookmarkStart w:id="10448" w:name="_Toc179871405"/>
      <w:bookmarkStart w:id="10449" w:name="_Toc179875798"/>
      <w:bookmarkStart w:id="10450" w:name="_Toc179880191"/>
      <w:bookmarkStart w:id="10451" w:name="_Toc179811040"/>
      <w:bookmarkStart w:id="10452" w:name="_Toc179816728"/>
      <w:bookmarkStart w:id="10453" w:name="_Toc179822428"/>
      <w:bookmarkStart w:id="10454" w:name="_Toc179828128"/>
      <w:bookmarkStart w:id="10455" w:name="_Toc179833769"/>
      <w:bookmarkStart w:id="10456" w:name="_Toc179865299"/>
      <w:bookmarkStart w:id="10457" w:name="_Toc179871406"/>
      <w:bookmarkStart w:id="10458" w:name="_Toc179875799"/>
      <w:bookmarkStart w:id="10459" w:name="_Toc179880192"/>
      <w:bookmarkStart w:id="10460" w:name="_Toc179811041"/>
      <w:bookmarkStart w:id="10461" w:name="_Toc179816729"/>
      <w:bookmarkStart w:id="10462" w:name="_Toc179822429"/>
      <w:bookmarkStart w:id="10463" w:name="_Toc179828129"/>
      <w:bookmarkStart w:id="10464" w:name="_Toc179833770"/>
      <w:bookmarkStart w:id="10465" w:name="_Toc179865300"/>
      <w:bookmarkStart w:id="10466" w:name="_Toc179871407"/>
      <w:bookmarkStart w:id="10467" w:name="_Toc179875800"/>
      <w:bookmarkStart w:id="10468" w:name="_Toc179880193"/>
      <w:bookmarkStart w:id="10469" w:name="_Toc179811042"/>
      <w:bookmarkStart w:id="10470" w:name="_Toc179816730"/>
      <w:bookmarkStart w:id="10471" w:name="_Toc179822430"/>
      <w:bookmarkStart w:id="10472" w:name="_Toc179828130"/>
      <w:bookmarkStart w:id="10473" w:name="_Toc179833771"/>
      <w:bookmarkStart w:id="10474" w:name="_Toc179865301"/>
      <w:bookmarkStart w:id="10475" w:name="_Toc179871408"/>
      <w:bookmarkStart w:id="10476" w:name="_Toc179875801"/>
      <w:bookmarkStart w:id="10477" w:name="_Toc179880194"/>
      <w:bookmarkStart w:id="10478" w:name="_Toc179811043"/>
      <w:bookmarkStart w:id="10479" w:name="_Toc179816731"/>
      <w:bookmarkStart w:id="10480" w:name="_Toc179822431"/>
      <w:bookmarkStart w:id="10481" w:name="_Toc179828131"/>
      <w:bookmarkStart w:id="10482" w:name="_Toc179833772"/>
      <w:bookmarkStart w:id="10483" w:name="_Toc179865302"/>
      <w:bookmarkStart w:id="10484" w:name="_Toc179871409"/>
      <w:bookmarkStart w:id="10485" w:name="_Toc179875802"/>
      <w:bookmarkStart w:id="10486" w:name="_Toc179880195"/>
      <w:bookmarkStart w:id="10487" w:name="_Toc179811044"/>
      <w:bookmarkStart w:id="10488" w:name="_Toc179816732"/>
      <w:bookmarkStart w:id="10489" w:name="_Toc179822432"/>
      <w:bookmarkStart w:id="10490" w:name="_Toc179828132"/>
      <w:bookmarkStart w:id="10491" w:name="_Toc179833773"/>
      <w:bookmarkStart w:id="10492" w:name="_Toc179865303"/>
      <w:bookmarkStart w:id="10493" w:name="_Toc179871410"/>
      <w:bookmarkStart w:id="10494" w:name="_Toc179875803"/>
      <w:bookmarkStart w:id="10495" w:name="_Toc179880196"/>
      <w:bookmarkStart w:id="10496" w:name="_Toc179811045"/>
      <w:bookmarkStart w:id="10497" w:name="_Toc179816733"/>
      <w:bookmarkStart w:id="10498" w:name="_Toc179822433"/>
      <w:bookmarkStart w:id="10499" w:name="_Toc179828133"/>
      <w:bookmarkStart w:id="10500" w:name="_Toc179833774"/>
      <w:bookmarkStart w:id="10501" w:name="_Toc179865304"/>
      <w:bookmarkStart w:id="10502" w:name="_Toc179871411"/>
      <w:bookmarkStart w:id="10503" w:name="_Toc179875804"/>
      <w:bookmarkStart w:id="10504" w:name="_Toc179880197"/>
      <w:bookmarkStart w:id="10505" w:name="_Toc179811046"/>
      <w:bookmarkStart w:id="10506" w:name="_Toc179816734"/>
      <w:bookmarkStart w:id="10507" w:name="_Toc179822434"/>
      <w:bookmarkStart w:id="10508" w:name="_Toc179828134"/>
      <w:bookmarkStart w:id="10509" w:name="_Toc179833775"/>
      <w:bookmarkStart w:id="10510" w:name="_Toc179865305"/>
      <w:bookmarkStart w:id="10511" w:name="_Toc179871412"/>
      <w:bookmarkStart w:id="10512" w:name="_Toc179875805"/>
      <w:bookmarkStart w:id="10513" w:name="_Toc179880198"/>
      <w:bookmarkStart w:id="10514" w:name="_Toc179811047"/>
      <w:bookmarkStart w:id="10515" w:name="_Toc179816735"/>
      <w:bookmarkStart w:id="10516" w:name="_Toc179822435"/>
      <w:bookmarkStart w:id="10517" w:name="_Toc179828135"/>
      <w:bookmarkStart w:id="10518" w:name="_Toc179833776"/>
      <w:bookmarkStart w:id="10519" w:name="_Toc179865306"/>
      <w:bookmarkStart w:id="10520" w:name="_Toc179871413"/>
      <w:bookmarkStart w:id="10521" w:name="_Toc179875806"/>
      <w:bookmarkStart w:id="10522" w:name="_Toc179880199"/>
      <w:bookmarkStart w:id="10523" w:name="_Toc179811048"/>
      <w:bookmarkStart w:id="10524" w:name="_Toc179816736"/>
      <w:bookmarkStart w:id="10525" w:name="_Toc179822436"/>
      <w:bookmarkStart w:id="10526" w:name="_Toc179828136"/>
      <w:bookmarkStart w:id="10527" w:name="_Toc179833777"/>
      <w:bookmarkStart w:id="10528" w:name="_Toc179865307"/>
      <w:bookmarkStart w:id="10529" w:name="_Toc179871414"/>
      <w:bookmarkStart w:id="10530" w:name="_Toc179875807"/>
      <w:bookmarkStart w:id="10531" w:name="_Toc179880200"/>
      <w:bookmarkStart w:id="10532" w:name="_Toc179811049"/>
      <w:bookmarkStart w:id="10533" w:name="_Toc179816737"/>
      <w:bookmarkStart w:id="10534" w:name="_Toc179822437"/>
      <w:bookmarkStart w:id="10535" w:name="_Toc179828137"/>
      <w:bookmarkStart w:id="10536" w:name="_Toc179833778"/>
      <w:bookmarkStart w:id="10537" w:name="_Toc179865308"/>
      <w:bookmarkStart w:id="10538" w:name="_Toc179871415"/>
      <w:bookmarkStart w:id="10539" w:name="_Toc179875808"/>
      <w:bookmarkStart w:id="10540" w:name="_Toc179880201"/>
      <w:bookmarkStart w:id="10541" w:name="_Toc179811050"/>
      <w:bookmarkStart w:id="10542" w:name="_Toc179816738"/>
      <w:bookmarkStart w:id="10543" w:name="_Toc179822438"/>
      <w:bookmarkStart w:id="10544" w:name="_Toc179828138"/>
      <w:bookmarkStart w:id="10545" w:name="_Toc179833779"/>
      <w:bookmarkStart w:id="10546" w:name="_Toc179865309"/>
      <w:bookmarkStart w:id="10547" w:name="_Toc179871416"/>
      <w:bookmarkStart w:id="10548" w:name="_Toc179875809"/>
      <w:bookmarkStart w:id="10549" w:name="_Toc179880202"/>
      <w:bookmarkStart w:id="10550" w:name="_Toc179811051"/>
      <w:bookmarkStart w:id="10551" w:name="_Toc179816739"/>
      <w:bookmarkStart w:id="10552" w:name="_Toc179822439"/>
      <w:bookmarkStart w:id="10553" w:name="_Toc179828139"/>
      <w:bookmarkStart w:id="10554" w:name="_Toc179833780"/>
      <w:bookmarkStart w:id="10555" w:name="_Toc179865310"/>
      <w:bookmarkStart w:id="10556" w:name="_Toc179871417"/>
      <w:bookmarkStart w:id="10557" w:name="_Toc179875810"/>
      <w:bookmarkStart w:id="10558" w:name="_Toc179880203"/>
      <w:bookmarkStart w:id="10559" w:name="_Toc179811052"/>
      <w:bookmarkStart w:id="10560" w:name="_Toc179816740"/>
      <w:bookmarkStart w:id="10561" w:name="_Toc179822440"/>
      <w:bookmarkStart w:id="10562" w:name="_Toc179828140"/>
      <w:bookmarkStart w:id="10563" w:name="_Toc179833781"/>
      <w:bookmarkStart w:id="10564" w:name="_Toc179865311"/>
      <w:bookmarkStart w:id="10565" w:name="_Toc179871418"/>
      <w:bookmarkStart w:id="10566" w:name="_Toc179875811"/>
      <w:bookmarkStart w:id="10567" w:name="_Toc179880204"/>
      <w:bookmarkStart w:id="10568" w:name="_Toc179811053"/>
      <w:bookmarkStart w:id="10569" w:name="_Toc179816741"/>
      <w:bookmarkStart w:id="10570" w:name="_Toc179822441"/>
      <w:bookmarkStart w:id="10571" w:name="_Toc179828141"/>
      <w:bookmarkStart w:id="10572" w:name="_Toc179833782"/>
      <w:bookmarkStart w:id="10573" w:name="_Toc179865312"/>
      <w:bookmarkStart w:id="10574" w:name="_Toc179871419"/>
      <w:bookmarkStart w:id="10575" w:name="_Toc179875812"/>
      <w:bookmarkStart w:id="10576" w:name="_Toc179880205"/>
      <w:bookmarkStart w:id="10577" w:name="_Toc179811054"/>
      <w:bookmarkStart w:id="10578" w:name="_Toc179816742"/>
      <w:bookmarkStart w:id="10579" w:name="_Toc179822442"/>
      <w:bookmarkStart w:id="10580" w:name="_Toc179828142"/>
      <w:bookmarkStart w:id="10581" w:name="_Toc179833783"/>
      <w:bookmarkStart w:id="10582" w:name="_Toc179865313"/>
      <w:bookmarkStart w:id="10583" w:name="_Toc179871420"/>
      <w:bookmarkStart w:id="10584" w:name="_Toc179875813"/>
      <w:bookmarkStart w:id="10585" w:name="_Toc179880206"/>
      <w:bookmarkStart w:id="10586" w:name="_Toc179811055"/>
      <w:bookmarkStart w:id="10587" w:name="_Toc179816743"/>
      <w:bookmarkStart w:id="10588" w:name="_Toc179822443"/>
      <w:bookmarkStart w:id="10589" w:name="_Toc179828143"/>
      <w:bookmarkStart w:id="10590" w:name="_Toc179833784"/>
      <w:bookmarkStart w:id="10591" w:name="_Toc179865314"/>
      <w:bookmarkStart w:id="10592" w:name="_Toc179871421"/>
      <w:bookmarkStart w:id="10593" w:name="_Toc179875814"/>
      <w:bookmarkStart w:id="10594" w:name="_Toc179880207"/>
      <w:bookmarkStart w:id="10595" w:name="_Toc179811056"/>
      <w:bookmarkStart w:id="10596" w:name="_Toc179816744"/>
      <w:bookmarkStart w:id="10597" w:name="_Toc179822444"/>
      <w:bookmarkStart w:id="10598" w:name="_Toc179828144"/>
      <w:bookmarkStart w:id="10599" w:name="_Toc179833785"/>
      <w:bookmarkStart w:id="10600" w:name="_Toc179865315"/>
      <w:bookmarkStart w:id="10601" w:name="_Toc179871422"/>
      <w:bookmarkStart w:id="10602" w:name="_Toc179875815"/>
      <w:bookmarkStart w:id="10603" w:name="_Toc179880208"/>
      <w:bookmarkStart w:id="10604" w:name="_Toc179811057"/>
      <w:bookmarkStart w:id="10605" w:name="_Toc179816745"/>
      <w:bookmarkStart w:id="10606" w:name="_Toc179822445"/>
      <w:bookmarkStart w:id="10607" w:name="_Toc179828145"/>
      <w:bookmarkStart w:id="10608" w:name="_Toc179833786"/>
      <w:bookmarkStart w:id="10609" w:name="_Toc179865316"/>
      <w:bookmarkStart w:id="10610" w:name="_Toc179871423"/>
      <w:bookmarkStart w:id="10611" w:name="_Toc179875816"/>
      <w:bookmarkStart w:id="10612" w:name="_Toc179880209"/>
      <w:bookmarkStart w:id="10613" w:name="_Toc179811058"/>
      <w:bookmarkStart w:id="10614" w:name="_Toc179816746"/>
      <w:bookmarkStart w:id="10615" w:name="_Toc179822446"/>
      <w:bookmarkStart w:id="10616" w:name="_Toc179828146"/>
      <w:bookmarkStart w:id="10617" w:name="_Toc179833787"/>
      <w:bookmarkStart w:id="10618" w:name="_Toc179865317"/>
      <w:bookmarkStart w:id="10619" w:name="_Toc179871424"/>
      <w:bookmarkStart w:id="10620" w:name="_Toc179875817"/>
      <w:bookmarkStart w:id="10621" w:name="_Toc179880210"/>
      <w:bookmarkStart w:id="10622" w:name="_Toc179811059"/>
      <w:bookmarkStart w:id="10623" w:name="_Toc179816747"/>
      <w:bookmarkStart w:id="10624" w:name="_Toc179822447"/>
      <w:bookmarkStart w:id="10625" w:name="_Toc179828147"/>
      <w:bookmarkStart w:id="10626" w:name="_Toc179833788"/>
      <w:bookmarkStart w:id="10627" w:name="_Toc179865318"/>
      <w:bookmarkStart w:id="10628" w:name="_Toc179871425"/>
      <w:bookmarkStart w:id="10629" w:name="_Toc179875818"/>
      <w:bookmarkStart w:id="10630" w:name="_Toc179880211"/>
      <w:bookmarkStart w:id="10631" w:name="_Toc179811060"/>
      <w:bookmarkStart w:id="10632" w:name="_Toc179816748"/>
      <w:bookmarkStart w:id="10633" w:name="_Toc179822448"/>
      <w:bookmarkStart w:id="10634" w:name="_Toc179828148"/>
      <w:bookmarkStart w:id="10635" w:name="_Toc179833789"/>
      <w:bookmarkStart w:id="10636" w:name="_Toc179865319"/>
      <w:bookmarkStart w:id="10637" w:name="_Toc179871426"/>
      <w:bookmarkStart w:id="10638" w:name="_Toc179875819"/>
      <w:bookmarkStart w:id="10639" w:name="_Toc179880212"/>
      <w:bookmarkStart w:id="10640" w:name="_Toc179811061"/>
      <w:bookmarkStart w:id="10641" w:name="_Toc179816749"/>
      <w:bookmarkStart w:id="10642" w:name="_Toc179822449"/>
      <w:bookmarkStart w:id="10643" w:name="_Toc179828149"/>
      <w:bookmarkStart w:id="10644" w:name="_Toc179833790"/>
      <w:bookmarkStart w:id="10645" w:name="_Toc179865320"/>
      <w:bookmarkStart w:id="10646" w:name="_Toc179871427"/>
      <w:bookmarkStart w:id="10647" w:name="_Toc179875820"/>
      <w:bookmarkStart w:id="10648" w:name="_Toc179880213"/>
      <w:bookmarkStart w:id="10649" w:name="_Toc179811062"/>
      <w:bookmarkStart w:id="10650" w:name="_Toc179816750"/>
      <w:bookmarkStart w:id="10651" w:name="_Toc179822450"/>
      <w:bookmarkStart w:id="10652" w:name="_Toc179828150"/>
      <w:bookmarkStart w:id="10653" w:name="_Toc179833791"/>
      <w:bookmarkStart w:id="10654" w:name="_Toc179865321"/>
      <w:bookmarkStart w:id="10655" w:name="_Toc179871428"/>
      <w:bookmarkStart w:id="10656" w:name="_Toc179875821"/>
      <w:bookmarkStart w:id="10657" w:name="_Toc179880214"/>
      <w:bookmarkStart w:id="10658" w:name="_Toc179811063"/>
      <w:bookmarkStart w:id="10659" w:name="_Toc179816751"/>
      <w:bookmarkStart w:id="10660" w:name="_Toc179822451"/>
      <w:bookmarkStart w:id="10661" w:name="_Toc179828151"/>
      <w:bookmarkStart w:id="10662" w:name="_Toc179833792"/>
      <w:bookmarkStart w:id="10663" w:name="_Toc179865322"/>
      <w:bookmarkStart w:id="10664" w:name="_Toc179871429"/>
      <w:bookmarkStart w:id="10665" w:name="_Toc179875822"/>
      <w:bookmarkStart w:id="10666" w:name="_Toc179880215"/>
      <w:bookmarkStart w:id="10667" w:name="_Toc179811064"/>
      <w:bookmarkStart w:id="10668" w:name="_Toc179816752"/>
      <w:bookmarkStart w:id="10669" w:name="_Toc179822452"/>
      <w:bookmarkStart w:id="10670" w:name="_Toc179828152"/>
      <w:bookmarkStart w:id="10671" w:name="_Toc179833793"/>
      <w:bookmarkStart w:id="10672" w:name="_Toc179865323"/>
      <w:bookmarkStart w:id="10673" w:name="_Toc179871430"/>
      <w:bookmarkStart w:id="10674" w:name="_Toc179875823"/>
      <w:bookmarkStart w:id="10675" w:name="_Toc179880216"/>
      <w:bookmarkStart w:id="10676" w:name="_Toc179811065"/>
      <w:bookmarkStart w:id="10677" w:name="_Toc179816753"/>
      <w:bookmarkStart w:id="10678" w:name="_Toc179822453"/>
      <w:bookmarkStart w:id="10679" w:name="_Toc179828153"/>
      <w:bookmarkStart w:id="10680" w:name="_Toc179833794"/>
      <w:bookmarkStart w:id="10681" w:name="_Toc179865324"/>
      <w:bookmarkStart w:id="10682" w:name="_Toc179871431"/>
      <w:bookmarkStart w:id="10683" w:name="_Toc179875824"/>
      <w:bookmarkStart w:id="10684" w:name="_Toc179880217"/>
      <w:bookmarkStart w:id="10685" w:name="_Toc179811066"/>
      <w:bookmarkStart w:id="10686" w:name="_Toc179816754"/>
      <w:bookmarkStart w:id="10687" w:name="_Toc179822454"/>
      <w:bookmarkStart w:id="10688" w:name="_Toc179828154"/>
      <w:bookmarkStart w:id="10689" w:name="_Toc179833795"/>
      <w:bookmarkStart w:id="10690" w:name="_Toc179865325"/>
      <w:bookmarkStart w:id="10691" w:name="_Toc179871432"/>
      <w:bookmarkStart w:id="10692" w:name="_Toc179875825"/>
      <w:bookmarkStart w:id="10693" w:name="_Toc179880218"/>
      <w:bookmarkStart w:id="10694" w:name="_Toc179811067"/>
      <w:bookmarkStart w:id="10695" w:name="_Toc179816755"/>
      <w:bookmarkStart w:id="10696" w:name="_Toc179822455"/>
      <w:bookmarkStart w:id="10697" w:name="_Toc179828155"/>
      <w:bookmarkStart w:id="10698" w:name="_Toc179833796"/>
      <w:bookmarkStart w:id="10699" w:name="_Toc179865326"/>
      <w:bookmarkStart w:id="10700" w:name="_Toc179871433"/>
      <w:bookmarkStart w:id="10701" w:name="_Toc179875826"/>
      <w:bookmarkStart w:id="10702" w:name="_Toc179880219"/>
      <w:bookmarkStart w:id="10703" w:name="_Toc179811068"/>
      <w:bookmarkStart w:id="10704" w:name="_Toc179816756"/>
      <w:bookmarkStart w:id="10705" w:name="_Toc179822456"/>
      <w:bookmarkStart w:id="10706" w:name="_Toc179828156"/>
      <w:bookmarkStart w:id="10707" w:name="_Toc179833797"/>
      <w:bookmarkStart w:id="10708" w:name="_Toc179865327"/>
      <w:bookmarkStart w:id="10709" w:name="_Toc179871434"/>
      <w:bookmarkStart w:id="10710" w:name="_Toc179875827"/>
      <w:bookmarkStart w:id="10711" w:name="_Toc179880220"/>
      <w:bookmarkStart w:id="10712" w:name="_Toc179811069"/>
      <w:bookmarkStart w:id="10713" w:name="_Toc179816757"/>
      <w:bookmarkStart w:id="10714" w:name="_Toc179822457"/>
      <w:bookmarkStart w:id="10715" w:name="_Toc179828157"/>
      <w:bookmarkStart w:id="10716" w:name="_Toc179833798"/>
      <w:bookmarkStart w:id="10717" w:name="_Toc179865328"/>
      <w:bookmarkStart w:id="10718" w:name="_Toc179871435"/>
      <w:bookmarkStart w:id="10719" w:name="_Toc179875828"/>
      <w:bookmarkStart w:id="10720" w:name="_Toc179880221"/>
      <w:bookmarkStart w:id="10721" w:name="_Toc179811070"/>
      <w:bookmarkStart w:id="10722" w:name="_Toc179816758"/>
      <w:bookmarkStart w:id="10723" w:name="_Toc179822458"/>
      <w:bookmarkStart w:id="10724" w:name="_Toc179828158"/>
      <w:bookmarkStart w:id="10725" w:name="_Toc179833799"/>
      <w:bookmarkStart w:id="10726" w:name="_Toc179865329"/>
      <w:bookmarkStart w:id="10727" w:name="_Toc179871436"/>
      <w:bookmarkStart w:id="10728" w:name="_Toc179875829"/>
      <w:bookmarkStart w:id="10729" w:name="_Toc179880222"/>
      <w:bookmarkStart w:id="10730" w:name="_Toc179811071"/>
      <w:bookmarkStart w:id="10731" w:name="_Toc179816759"/>
      <w:bookmarkStart w:id="10732" w:name="_Toc179822459"/>
      <w:bookmarkStart w:id="10733" w:name="_Toc179828159"/>
      <w:bookmarkStart w:id="10734" w:name="_Toc179833800"/>
      <w:bookmarkStart w:id="10735" w:name="_Toc179865330"/>
      <w:bookmarkStart w:id="10736" w:name="_Toc179871437"/>
      <w:bookmarkStart w:id="10737" w:name="_Toc179875830"/>
      <w:bookmarkStart w:id="10738" w:name="_Toc179880223"/>
      <w:bookmarkStart w:id="10739" w:name="_Toc179811072"/>
      <w:bookmarkStart w:id="10740" w:name="_Toc179816760"/>
      <w:bookmarkStart w:id="10741" w:name="_Toc179822460"/>
      <w:bookmarkStart w:id="10742" w:name="_Toc179828160"/>
      <w:bookmarkStart w:id="10743" w:name="_Toc179833801"/>
      <w:bookmarkStart w:id="10744" w:name="_Toc179865331"/>
      <w:bookmarkStart w:id="10745" w:name="_Toc179871438"/>
      <w:bookmarkStart w:id="10746" w:name="_Toc179875831"/>
      <w:bookmarkStart w:id="10747" w:name="_Toc179880224"/>
      <w:bookmarkStart w:id="10748" w:name="_Toc179811073"/>
      <w:bookmarkStart w:id="10749" w:name="_Toc179816761"/>
      <w:bookmarkStart w:id="10750" w:name="_Toc179822461"/>
      <w:bookmarkStart w:id="10751" w:name="_Toc179828161"/>
      <w:bookmarkStart w:id="10752" w:name="_Toc179833802"/>
      <w:bookmarkStart w:id="10753" w:name="_Toc179865332"/>
      <w:bookmarkStart w:id="10754" w:name="_Toc179871439"/>
      <w:bookmarkStart w:id="10755" w:name="_Toc179875832"/>
      <w:bookmarkStart w:id="10756" w:name="_Toc179880225"/>
      <w:bookmarkStart w:id="10757" w:name="_Toc179811086"/>
      <w:bookmarkStart w:id="10758" w:name="_Toc179816774"/>
      <w:bookmarkStart w:id="10759" w:name="_Toc179822474"/>
      <w:bookmarkStart w:id="10760" w:name="_Toc179828174"/>
      <w:bookmarkStart w:id="10761" w:name="_Toc179833815"/>
      <w:bookmarkStart w:id="10762" w:name="_Toc179865345"/>
      <w:bookmarkStart w:id="10763" w:name="_Toc179871452"/>
      <w:bookmarkStart w:id="10764" w:name="_Toc179875845"/>
      <w:bookmarkStart w:id="10765" w:name="_Toc179880238"/>
      <w:bookmarkStart w:id="10766" w:name="_Toc179811087"/>
      <w:bookmarkStart w:id="10767" w:name="_Toc179816775"/>
      <w:bookmarkStart w:id="10768" w:name="_Toc179822475"/>
      <w:bookmarkStart w:id="10769" w:name="_Toc179828175"/>
      <w:bookmarkStart w:id="10770" w:name="_Toc179833816"/>
      <w:bookmarkStart w:id="10771" w:name="_Toc179865346"/>
      <w:bookmarkStart w:id="10772" w:name="_Toc179871453"/>
      <w:bookmarkStart w:id="10773" w:name="_Toc179875846"/>
      <w:bookmarkStart w:id="10774" w:name="_Toc179880239"/>
      <w:bookmarkStart w:id="10775" w:name="INDEX_ResponsiblePersons"/>
      <w:bookmarkStart w:id="10776" w:name="_Toc222999583"/>
      <w:bookmarkStart w:id="10777" w:name="_Toc64983182"/>
      <w:bookmarkStart w:id="10778" w:name="_Toc96709989"/>
      <w:bookmarkStart w:id="10779" w:name="_Toc179816776"/>
      <w:bookmarkStart w:id="10780" w:name="_Toc179822476"/>
      <w:bookmarkStart w:id="10781" w:name="_Toc179828176"/>
      <w:bookmarkStart w:id="10782" w:name="_Toc179833817"/>
      <w:bookmarkStart w:id="10783" w:name="_Toc179865347"/>
      <w:bookmarkStart w:id="10784" w:name="_Toc179871454"/>
      <w:bookmarkStart w:id="10785" w:name="_Toc179875847"/>
      <w:bookmarkStart w:id="10786" w:name="_Toc179880240"/>
      <w:bookmarkStart w:id="10787" w:name="_Toc179880333"/>
      <w:bookmarkStart w:id="10788" w:name="_Toc190333407"/>
      <w:bookmarkEnd w:id="9272"/>
      <w:bookmarkEnd w:id="9273"/>
      <w:bookmarkEnd w:id="9274"/>
      <w:bookmarkEnd w:id="9275"/>
      <w:bookmarkEnd w:id="9276"/>
      <w:bookmarkEnd w:id="9277"/>
      <w:bookmarkEnd w:id="9278"/>
      <w:bookmarkEnd w:id="9279"/>
      <w:bookmarkEnd w:id="9280"/>
      <w:bookmarkEnd w:id="9281"/>
      <w:bookmarkEnd w:id="9282"/>
      <w:bookmarkEnd w:id="9283"/>
      <w:bookmarkEnd w:id="9284"/>
      <w:bookmarkEnd w:id="9285"/>
      <w:bookmarkEnd w:id="9286"/>
      <w:bookmarkEnd w:id="9287"/>
      <w:bookmarkEnd w:id="9288"/>
      <w:bookmarkEnd w:id="9289"/>
      <w:bookmarkEnd w:id="9290"/>
      <w:bookmarkEnd w:id="9291"/>
      <w:bookmarkEnd w:id="9292"/>
      <w:bookmarkEnd w:id="9293"/>
      <w:bookmarkEnd w:id="9294"/>
      <w:bookmarkEnd w:id="9295"/>
      <w:bookmarkEnd w:id="9296"/>
      <w:bookmarkEnd w:id="9297"/>
      <w:bookmarkEnd w:id="9298"/>
      <w:bookmarkEnd w:id="9299"/>
      <w:bookmarkEnd w:id="9300"/>
      <w:bookmarkEnd w:id="9301"/>
      <w:bookmarkEnd w:id="9302"/>
      <w:bookmarkEnd w:id="9303"/>
      <w:bookmarkEnd w:id="9304"/>
      <w:bookmarkEnd w:id="9305"/>
      <w:bookmarkEnd w:id="9306"/>
      <w:bookmarkEnd w:id="9307"/>
      <w:bookmarkEnd w:id="9308"/>
      <w:bookmarkEnd w:id="9309"/>
      <w:bookmarkEnd w:id="9310"/>
      <w:bookmarkEnd w:id="9311"/>
      <w:bookmarkEnd w:id="9312"/>
      <w:bookmarkEnd w:id="9313"/>
      <w:bookmarkEnd w:id="9314"/>
      <w:bookmarkEnd w:id="9315"/>
      <w:bookmarkEnd w:id="9316"/>
      <w:bookmarkEnd w:id="9317"/>
      <w:bookmarkEnd w:id="9318"/>
      <w:bookmarkEnd w:id="9319"/>
      <w:bookmarkEnd w:id="9320"/>
      <w:bookmarkEnd w:id="9321"/>
      <w:bookmarkEnd w:id="9322"/>
      <w:bookmarkEnd w:id="9323"/>
      <w:bookmarkEnd w:id="9324"/>
      <w:bookmarkEnd w:id="9325"/>
      <w:bookmarkEnd w:id="9326"/>
      <w:bookmarkEnd w:id="9327"/>
      <w:bookmarkEnd w:id="9328"/>
      <w:bookmarkEnd w:id="9329"/>
      <w:bookmarkEnd w:id="9330"/>
      <w:bookmarkEnd w:id="9331"/>
      <w:bookmarkEnd w:id="9332"/>
      <w:bookmarkEnd w:id="9333"/>
      <w:bookmarkEnd w:id="9334"/>
      <w:bookmarkEnd w:id="9335"/>
      <w:bookmarkEnd w:id="9336"/>
      <w:bookmarkEnd w:id="9337"/>
      <w:bookmarkEnd w:id="9338"/>
      <w:bookmarkEnd w:id="9339"/>
      <w:bookmarkEnd w:id="9340"/>
      <w:bookmarkEnd w:id="9341"/>
      <w:bookmarkEnd w:id="9342"/>
      <w:bookmarkEnd w:id="9343"/>
      <w:bookmarkEnd w:id="9344"/>
      <w:bookmarkEnd w:id="9345"/>
      <w:bookmarkEnd w:id="9346"/>
      <w:bookmarkEnd w:id="9347"/>
      <w:bookmarkEnd w:id="9348"/>
      <w:bookmarkEnd w:id="9349"/>
      <w:bookmarkEnd w:id="9350"/>
      <w:bookmarkEnd w:id="9351"/>
      <w:bookmarkEnd w:id="9352"/>
      <w:bookmarkEnd w:id="9353"/>
      <w:bookmarkEnd w:id="9354"/>
      <w:bookmarkEnd w:id="9355"/>
      <w:bookmarkEnd w:id="9356"/>
      <w:bookmarkEnd w:id="9357"/>
      <w:bookmarkEnd w:id="9358"/>
      <w:bookmarkEnd w:id="9359"/>
      <w:bookmarkEnd w:id="9360"/>
      <w:bookmarkEnd w:id="9361"/>
      <w:bookmarkEnd w:id="9362"/>
      <w:bookmarkEnd w:id="9363"/>
      <w:bookmarkEnd w:id="9364"/>
      <w:bookmarkEnd w:id="9365"/>
      <w:bookmarkEnd w:id="9366"/>
      <w:bookmarkEnd w:id="9367"/>
      <w:bookmarkEnd w:id="9368"/>
      <w:bookmarkEnd w:id="9369"/>
      <w:bookmarkEnd w:id="9370"/>
      <w:bookmarkEnd w:id="9371"/>
      <w:bookmarkEnd w:id="9372"/>
      <w:bookmarkEnd w:id="9373"/>
      <w:bookmarkEnd w:id="9374"/>
      <w:bookmarkEnd w:id="9375"/>
      <w:bookmarkEnd w:id="9376"/>
      <w:bookmarkEnd w:id="9377"/>
      <w:bookmarkEnd w:id="9378"/>
      <w:bookmarkEnd w:id="9379"/>
      <w:bookmarkEnd w:id="9380"/>
      <w:bookmarkEnd w:id="9381"/>
      <w:bookmarkEnd w:id="9382"/>
      <w:bookmarkEnd w:id="9383"/>
      <w:bookmarkEnd w:id="9384"/>
      <w:bookmarkEnd w:id="9385"/>
      <w:bookmarkEnd w:id="9386"/>
      <w:bookmarkEnd w:id="9387"/>
      <w:bookmarkEnd w:id="9388"/>
      <w:bookmarkEnd w:id="9389"/>
      <w:bookmarkEnd w:id="9390"/>
      <w:bookmarkEnd w:id="9391"/>
      <w:bookmarkEnd w:id="9392"/>
      <w:bookmarkEnd w:id="9393"/>
      <w:bookmarkEnd w:id="9394"/>
      <w:bookmarkEnd w:id="9395"/>
      <w:bookmarkEnd w:id="9396"/>
      <w:bookmarkEnd w:id="9397"/>
      <w:bookmarkEnd w:id="9398"/>
      <w:bookmarkEnd w:id="9399"/>
      <w:bookmarkEnd w:id="9400"/>
      <w:bookmarkEnd w:id="9401"/>
      <w:bookmarkEnd w:id="9402"/>
      <w:bookmarkEnd w:id="9403"/>
      <w:bookmarkEnd w:id="9404"/>
      <w:bookmarkEnd w:id="9405"/>
      <w:bookmarkEnd w:id="9406"/>
      <w:bookmarkEnd w:id="9407"/>
      <w:bookmarkEnd w:id="9408"/>
      <w:bookmarkEnd w:id="9409"/>
      <w:bookmarkEnd w:id="9410"/>
      <w:bookmarkEnd w:id="9411"/>
      <w:bookmarkEnd w:id="9412"/>
      <w:bookmarkEnd w:id="9413"/>
      <w:bookmarkEnd w:id="9414"/>
      <w:bookmarkEnd w:id="9415"/>
      <w:bookmarkEnd w:id="9416"/>
      <w:bookmarkEnd w:id="9417"/>
      <w:bookmarkEnd w:id="9418"/>
      <w:bookmarkEnd w:id="9419"/>
      <w:bookmarkEnd w:id="9420"/>
      <w:bookmarkEnd w:id="9421"/>
      <w:bookmarkEnd w:id="9422"/>
      <w:bookmarkEnd w:id="9423"/>
      <w:bookmarkEnd w:id="9424"/>
      <w:bookmarkEnd w:id="9425"/>
      <w:bookmarkEnd w:id="9426"/>
      <w:bookmarkEnd w:id="9427"/>
      <w:bookmarkEnd w:id="9428"/>
      <w:bookmarkEnd w:id="9429"/>
      <w:bookmarkEnd w:id="9430"/>
      <w:bookmarkEnd w:id="9431"/>
      <w:bookmarkEnd w:id="9432"/>
      <w:bookmarkEnd w:id="9433"/>
      <w:bookmarkEnd w:id="9434"/>
      <w:bookmarkEnd w:id="9435"/>
      <w:bookmarkEnd w:id="9436"/>
      <w:bookmarkEnd w:id="9437"/>
      <w:bookmarkEnd w:id="9438"/>
      <w:bookmarkEnd w:id="9439"/>
      <w:bookmarkEnd w:id="9440"/>
      <w:bookmarkEnd w:id="9441"/>
      <w:bookmarkEnd w:id="9442"/>
      <w:bookmarkEnd w:id="9443"/>
      <w:bookmarkEnd w:id="9444"/>
      <w:bookmarkEnd w:id="9445"/>
      <w:bookmarkEnd w:id="9446"/>
      <w:bookmarkEnd w:id="9447"/>
      <w:bookmarkEnd w:id="9448"/>
      <w:bookmarkEnd w:id="9449"/>
      <w:bookmarkEnd w:id="9450"/>
      <w:bookmarkEnd w:id="9451"/>
      <w:bookmarkEnd w:id="9452"/>
      <w:bookmarkEnd w:id="9453"/>
      <w:bookmarkEnd w:id="9454"/>
      <w:bookmarkEnd w:id="9455"/>
      <w:bookmarkEnd w:id="9456"/>
      <w:bookmarkEnd w:id="9457"/>
      <w:bookmarkEnd w:id="9458"/>
      <w:bookmarkEnd w:id="9459"/>
      <w:bookmarkEnd w:id="9460"/>
      <w:bookmarkEnd w:id="9461"/>
      <w:bookmarkEnd w:id="9462"/>
      <w:bookmarkEnd w:id="9463"/>
      <w:bookmarkEnd w:id="9464"/>
      <w:bookmarkEnd w:id="9465"/>
      <w:bookmarkEnd w:id="9466"/>
      <w:bookmarkEnd w:id="9467"/>
      <w:bookmarkEnd w:id="9468"/>
      <w:bookmarkEnd w:id="9469"/>
      <w:bookmarkEnd w:id="9470"/>
      <w:bookmarkEnd w:id="9471"/>
      <w:bookmarkEnd w:id="9472"/>
      <w:bookmarkEnd w:id="9473"/>
      <w:bookmarkEnd w:id="9474"/>
      <w:bookmarkEnd w:id="9475"/>
      <w:bookmarkEnd w:id="9476"/>
      <w:bookmarkEnd w:id="9477"/>
      <w:bookmarkEnd w:id="9478"/>
      <w:bookmarkEnd w:id="9479"/>
      <w:bookmarkEnd w:id="9480"/>
      <w:bookmarkEnd w:id="9481"/>
      <w:bookmarkEnd w:id="9482"/>
      <w:bookmarkEnd w:id="9483"/>
      <w:bookmarkEnd w:id="9484"/>
      <w:bookmarkEnd w:id="9485"/>
      <w:bookmarkEnd w:id="9486"/>
      <w:bookmarkEnd w:id="9487"/>
      <w:bookmarkEnd w:id="9488"/>
      <w:bookmarkEnd w:id="9489"/>
      <w:bookmarkEnd w:id="9490"/>
      <w:bookmarkEnd w:id="9491"/>
      <w:bookmarkEnd w:id="9492"/>
      <w:bookmarkEnd w:id="9493"/>
      <w:bookmarkEnd w:id="9494"/>
      <w:bookmarkEnd w:id="9495"/>
      <w:bookmarkEnd w:id="9496"/>
      <w:bookmarkEnd w:id="9497"/>
      <w:bookmarkEnd w:id="9498"/>
      <w:bookmarkEnd w:id="9499"/>
      <w:bookmarkEnd w:id="9500"/>
      <w:bookmarkEnd w:id="9501"/>
      <w:bookmarkEnd w:id="9502"/>
      <w:bookmarkEnd w:id="9503"/>
      <w:bookmarkEnd w:id="9504"/>
      <w:bookmarkEnd w:id="9505"/>
      <w:bookmarkEnd w:id="9506"/>
      <w:bookmarkEnd w:id="9507"/>
      <w:bookmarkEnd w:id="9508"/>
      <w:bookmarkEnd w:id="9509"/>
      <w:bookmarkEnd w:id="9510"/>
      <w:bookmarkEnd w:id="9511"/>
      <w:bookmarkEnd w:id="9512"/>
      <w:bookmarkEnd w:id="9513"/>
      <w:bookmarkEnd w:id="9514"/>
      <w:bookmarkEnd w:id="9515"/>
      <w:bookmarkEnd w:id="9516"/>
      <w:bookmarkEnd w:id="9517"/>
      <w:bookmarkEnd w:id="9518"/>
      <w:bookmarkEnd w:id="9519"/>
      <w:bookmarkEnd w:id="9520"/>
      <w:bookmarkEnd w:id="9521"/>
      <w:bookmarkEnd w:id="9522"/>
      <w:bookmarkEnd w:id="9523"/>
      <w:bookmarkEnd w:id="9524"/>
      <w:bookmarkEnd w:id="9525"/>
      <w:bookmarkEnd w:id="9526"/>
      <w:bookmarkEnd w:id="9527"/>
      <w:bookmarkEnd w:id="9528"/>
      <w:bookmarkEnd w:id="9529"/>
      <w:bookmarkEnd w:id="9530"/>
      <w:bookmarkEnd w:id="9531"/>
      <w:bookmarkEnd w:id="9532"/>
      <w:bookmarkEnd w:id="9533"/>
      <w:bookmarkEnd w:id="9534"/>
      <w:bookmarkEnd w:id="9535"/>
      <w:bookmarkEnd w:id="9536"/>
      <w:bookmarkEnd w:id="9537"/>
      <w:bookmarkEnd w:id="9538"/>
      <w:bookmarkEnd w:id="9539"/>
      <w:bookmarkEnd w:id="9540"/>
      <w:bookmarkEnd w:id="9541"/>
      <w:bookmarkEnd w:id="9542"/>
      <w:bookmarkEnd w:id="9543"/>
      <w:bookmarkEnd w:id="9544"/>
      <w:bookmarkEnd w:id="9545"/>
      <w:bookmarkEnd w:id="9546"/>
      <w:bookmarkEnd w:id="9547"/>
      <w:bookmarkEnd w:id="9548"/>
      <w:bookmarkEnd w:id="9549"/>
      <w:bookmarkEnd w:id="9550"/>
      <w:bookmarkEnd w:id="9551"/>
      <w:bookmarkEnd w:id="9552"/>
      <w:bookmarkEnd w:id="9553"/>
      <w:bookmarkEnd w:id="9554"/>
      <w:bookmarkEnd w:id="9555"/>
      <w:bookmarkEnd w:id="9556"/>
      <w:bookmarkEnd w:id="9557"/>
      <w:bookmarkEnd w:id="9558"/>
      <w:bookmarkEnd w:id="9559"/>
      <w:bookmarkEnd w:id="9560"/>
      <w:bookmarkEnd w:id="9561"/>
      <w:bookmarkEnd w:id="9562"/>
      <w:bookmarkEnd w:id="9563"/>
      <w:bookmarkEnd w:id="9564"/>
      <w:bookmarkEnd w:id="9565"/>
      <w:bookmarkEnd w:id="9566"/>
      <w:bookmarkEnd w:id="9567"/>
      <w:bookmarkEnd w:id="9568"/>
      <w:bookmarkEnd w:id="9569"/>
      <w:bookmarkEnd w:id="9570"/>
      <w:bookmarkEnd w:id="9571"/>
      <w:bookmarkEnd w:id="9572"/>
      <w:bookmarkEnd w:id="9573"/>
      <w:bookmarkEnd w:id="9574"/>
      <w:bookmarkEnd w:id="9575"/>
      <w:bookmarkEnd w:id="9576"/>
      <w:bookmarkEnd w:id="9577"/>
      <w:bookmarkEnd w:id="9578"/>
      <w:bookmarkEnd w:id="9579"/>
      <w:bookmarkEnd w:id="9580"/>
      <w:bookmarkEnd w:id="9581"/>
      <w:bookmarkEnd w:id="9582"/>
      <w:bookmarkEnd w:id="9583"/>
      <w:bookmarkEnd w:id="9584"/>
      <w:bookmarkEnd w:id="9585"/>
      <w:bookmarkEnd w:id="9586"/>
      <w:bookmarkEnd w:id="9587"/>
      <w:bookmarkEnd w:id="9588"/>
      <w:bookmarkEnd w:id="9589"/>
      <w:bookmarkEnd w:id="9590"/>
      <w:bookmarkEnd w:id="9591"/>
      <w:bookmarkEnd w:id="9592"/>
      <w:bookmarkEnd w:id="9593"/>
      <w:bookmarkEnd w:id="9594"/>
      <w:bookmarkEnd w:id="9595"/>
      <w:bookmarkEnd w:id="9596"/>
      <w:bookmarkEnd w:id="9597"/>
      <w:bookmarkEnd w:id="9598"/>
      <w:bookmarkEnd w:id="9599"/>
      <w:bookmarkEnd w:id="9600"/>
      <w:bookmarkEnd w:id="9601"/>
      <w:bookmarkEnd w:id="9602"/>
      <w:bookmarkEnd w:id="9603"/>
      <w:bookmarkEnd w:id="9604"/>
      <w:bookmarkEnd w:id="9605"/>
      <w:bookmarkEnd w:id="9606"/>
      <w:bookmarkEnd w:id="9607"/>
      <w:bookmarkEnd w:id="9608"/>
      <w:bookmarkEnd w:id="9609"/>
      <w:bookmarkEnd w:id="9610"/>
      <w:bookmarkEnd w:id="9611"/>
      <w:bookmarkEnd w:id="9612"/>
      <w:bookmarkEnd w:id="9613"/>
      <w:bookmarkEnd w:id="9614"/>
      <w:bookmarkEnd w:id="9615"/>
      <w:bookmarkEnd w:id="9616"/>
      <w:bookmarkEnd w:id="9617"/>
      <w:bookmarkEnd w:id="9618"/>
      <w:bookmarkEnd w:id="9619"/>
      <w:bookmarkEnd w:id="9620"/>
      <w:bookmarkEnd w:id="9621"/>
      <w:bookmarkEnd w:id="9622"/>
      <w:bookmarkEnd w:id="9623"/>
      <w:bookmarkEnd w:id="9624"/>
      <w:bookmarkEnd w:id="9625"/>
      <w:bookmarkEnd w:id="9626"/>
      <w:bookmarkEnd w:id="9627"/>
      <w:bookmarkEnd w:id="9628"/>
      <w:bookmarkEnd w:id="9629"/>
      <w:bookmarkEnd w:id="9630"/>
      <w:bookmarkEnd w:id="9631"/>
      <w:bookmarkEnd w:id="9632"/>
      <w:bookmarkEnd w:id="9633"/>
      <w:bookmarkEnd w:id="9634"/>
      <w:bookmarkEnd w:id="9635"/>
      <w:bookmarkEnd w:id="9636"/>
      <w:bookmarkEnd w:id="9637"/>
      <w:bookmarkEnd w:id="9638"/>
      <w:bookmarkEnd w:id="9639"/>
      <w:bookmarkEnd w:id="9640"/>
      <w:bookmarkEnd w:id="9641"/>
      <w:bookmarkEnd w:id="9642"/>
      <w:bookmarkEnd w:id="9643"/>
      <w:bookmarkEnd w:id="9644"/>
      <w:bookmarkEnd w:id="9645"/>
      <w:bookmarkEnd w:id="9646"/>
      <w:bookmarkEnd w:id="9647"/>
      <w:bookmarkEnd w:id="9648"/>
      <w:bookmarkEnd w:id="9649"/>
      <w:bookmarkEnd w:id="9650"/>
      <w:bookmarkEnd w:id="9651"/>
      <w:bookmarkEnd w:id="9652"/>
      <w:bookmarkEnd w:id="9653"/>
      <w:bookmarkEnd w:id="9654"/>
      <w:bookmarkEnd w:id="9655"/>
      <w:bookmarkEnd w:id="9656"/>
      <w:bookmarkEnd w:id="9657"/>
      <w:bookmarkEnd w:id="9658"/>
      <w:bookmarkEnd w:id="9659"/>
      <w:bookmarkEnd w:id="9660"/>
      <w:bookmarkEnd w:id="9661"/>
      <w:bookmarkEnd w:id="9662"/>
      <w:bookmarkEnd w:id="9663"/>
      <w:bookmarkEnd w:id="9664"/>
      <w:bookmarkEnd w:id="9665"/>
      <w:bookmarkEnd w:id="9666"/>
      <w:bookmarkEnd w:id="9667"/>
      <w:bookmarkEnd w:id="9668"/>
      <w:bookmarkEnd w:id="9669"/>
      <w:bookmarkEnd w:id="9670"/>
      <w:bookmarkEnd w:id="9671"/>
      <w:bookmarkEnd w:id="9672"/>
      <w:bookmarkEnd w:id="9673"/>
      <w:bookmarkEnd w:id="9674"/>
      <w:bookmarkEnd w:id="9675"/>
      <w:bookmarkEnd w:id="9676"/>
      <w:bookmarkEnd w:id="9677"/>
      <w:bookmarkEnd w:id="9678"/>
      <w:bookmarkEnd w:id="9679"/>
      <w:bookmarkEnd w:id="9680"/>
      <w:bookmarkEnd w:id="9681"/>
      <w:bookmarkEnd w:id="9682"/>
      <w:bookmarkEnd w:id="9683"/>
      <w:bookmarkEnd w:id="9684"/>
      <w:bookmarkEnd w:id="9685"/>
      <w:bookmarkEnd w:id="9686"/>
      <w:bookmarkEnd w:id="9687"/>
      <w:bookmarkEnd w:id="9688"/>
      <w:bookmarkEnd w:id="9689"/>
      <w:bookmarkEnd w:id="9690"/>
      <w:bookmarkEnd w:id="9691"/>
      <w:bookmarkEnd w:id="9692"/>
      <w:bookmarkEnd w:id="9693"/>
      <w:bookmarkEnd w:id="9694"/>
      <w:bookmarkEnd w:id="9695"/>
      <w:bookmarkEnd w:id="9696"/>
      <w:bookmarkEnd w:id="9697"/>
      <w:bookmarkEnd w:id="9698"/>
      <w:bookmarkEnd w:id="9699"/>
      <w:bookmarkEnd w:id="9700"/>
      <w:bookmarkEnd w:id="9701"/>
      <w:bookmarkEnd w:id="9702"/>
      <w:bookmarkEnd w:id="9703"/>
      <w:bookmarkEnd w:id="9704"/>
      <w:bookmarkEnd w:id="9705"/>
      <w:bookmarkEnd w:id="9706"/>
      <w:bookmarkEnd w:id="9707"/>
      <w:bookmarkEnd w:id="9708"/>
      <w:bookmarkEnd w:id="9709"/>
      <w:bookmarkEnd w:id="9710"/>
      <w:bookmarkEnd w:id="9711"/>
      <w:bookmarkEnd w:id="9712"/>
      <w:bookmarkEnd w:id="9713"/>
      <w:bookmarkEnd w:id="9714"/>
      <w:bookmarkEnd w:id="9715"/>
      <w:bookmarkEnd w:id="9716"/>
      <w:bookmarkEnd w:id="9717"/>
      <w:bookmarkEnd w:id="9718"/>
      <w:bookmarkEnd w:id="9719"/>
      <w:bookmarkEnd w:id="9720"/>
      <w:bookmarkEnd w:id="9721"/>
      <w:bookmarkEnd w:id="9722"/>
      <w:bookmarkEnd w:id="9723"/>
      <w:bookmarkEnd w:id="9724"/>
      <w:bookmarkEnd w:id="9725"/>
      <w:bookmarkEnd w:id="9726"/>
      <w:bookmarkEnd w:id="9727"/>
      <w:bookmarkEnd w:id="9728"/>
      <w:bookmarkEnd w:id="9729"/>
      <w:bookmarkEnd w:id="9730"/>
      <w:bookmarkEnd w:id="9731"/>
      <w:bookmarkEnd w:id="9732"/>
      <w:bookmarkEnd w:id="9733"/>
      <w:bookmarkEnd w:id="9734"/>
      <w:bookmarkEnd w:id="9735"/>
      <w:bookmarkEnd w:id="9736"/>
      <w:bookmarkEnd w:id="9737"/>
      <w:bookmarkEnd w:id="9738"/>
      <w:bookmarkEnd w:id="9739"/>
      <w:bookmarkEnd w:id="9740"/>
      <w:bookmarkEnd w:id="9741"/>
      <w:bookmarkEnd w:id="9742"/>
      <w:bookmarkEnd w:id="9743"/>
      <w:bookmarkEnd w:id="9744"/>
      <w:bookmarkEnd w:id="9745"/>
      <w:bookmarkEnd w:id="9746"/>
      <w:bookmarkEnd w:id="9747"/>
      <w:bookmarkEnd w:id="9748"/>
      <w:bookmarkEnd w:id="9749"/>
      <w:bookmarkEnd w:id="9750"/>
      <w:bookmarkEnd w:id="9751"/>
      <w:bookmarkEnd w:id="9752"/>
      <w:bookmarkEnd w:id="9753"/>
      <w:bookmarkEnd w:id="9754"/>
      <w:bookmarkEnd w:id="9755"/>
      <w:bookmarkEnd w:id="9756"/>
      <w:bookmarkEnd w:id="9757"/>
      <w:bookmarkEnd w:id="9758"/>
      <w:bookmarkEnd w:id="9759"/>
      <w:bookmarkEnd w:id="9760"/>
      <w:bookmarkEnd w:id="9761"/>
      <w:bookmarkEnd w:id="9762"/>
      <w:bookmarkEnd w:id="9763"/>
      <w:bookmarkEnd w:id="9764"/>
      <w:bookmarkEnd w:id="9765"/>
      <w:bookmarkEnd w:id="9766"/>
      <w:bookmarkEnd w:id="9767"/>
      <w:bookmarkEnd w:id="9768"/>
      <w:bookmarkEnd w:id="9769"/>
      <w:bookmarkEnd w:id="9770"/>
      <w:bookmarkEnd w:id="9771"/>
      <w:bookmarkEnd w:id="9772"/>
      <w:bookmarkEnd w:id="9773"/>
      <w:bookmarkEnd w:id="9774"/>
      <w:bookmarkEnd w:id="9775"/>
      <w:bookmarkEnd w:id="9776"/>
      <w:bookmarkEnd w:id="9777"/>
      <w:bookmarkEnd w:id="9778"/>
      <w:bookmarkEnd w:id="9779"/>
      <w:bookmarkEnd w:id="9780"/>
      <w:bookmarkEnd w:id="9781"/>
      <w:bookmarkEnd w:id="9782"/>
      <w:bookmarkEnd w:id="9783"/>
      <w:bookmarkEnd w:id="9784"/>
      <w:bookmarkEnd w:id="9785"/>
      <w:bookmarkEnd w:id="9786"/>
      <w:bookmarkEnd w:id="9787"/>
      <w:bookmarkEnd w:id="9788"/>
      <w:bookmarkEnd w:id="9789"/>
      <w:bookmarkEnd w:id="9790"/>
      <w:bookmarkEnd w:id="9791"/>
      <w:bookmarkEnd w:id="9792"/>
      <w:bookmarkEnd w:id="9793"/>
      <w:bookmarkEnd w:id="9794"/>
      <w:bookmarkEnd w:id="9795"/>
      <w:bookmarkEnd w:id="9796"/>
      <w:bookmarkEnd w:id="9797"/>
      <w:bookmarkEnd w:id="9798"/>
      <w:bookmarkEnd w:id="9799"/>
      <w:bookmarkEnd w:id="9800"/>
      <w:bookmarkEnd w:id="9801"/>
      <w:bookmarkEnd w:id="9802"/>
      <w:bookmarkEnd w:id="9803"/>
      <w:bookmarkEnd w:id="9804"/>
      <w:bookmarkEnd w:id="9805"/>
      <w:bookmarkEnd w:id="9806"/>
      <w:bookmarkEnd w:id="9807"/>
      <w:bookmarkEnd w:id="9808"/>
      <w:bookmarkEnd w:id="9809"/>
      <w:bookmarkEnd w:id="9810"/>
      <w:bookmarkEnd w:id="9811"/>
      <w:bookmarkEnd w:id="9812"/>
      <w:bookmarkEnd w:id="9813"/>
      <w:bookmarkEnd w:id="9814"/>
      <w:bookmarkEnd w:id="9815"/>
      <w:bookmarkEnd w:id="9816"/>
      <w:bookmarkEnd w:id="9817"/>
      <w:bookmarkEnd w:id="9818"/>
      <w:bookmarkEnd w:id="9819"/>
      <w:bookmarkEnd w:id="9820"/>
      <w:bookmarkEnd w:id="9821"/>
      <w:bookmarkEnd w:id="9822"/>
      <w:bookmarkEnd w:id="9823"/>
      <w:bookmarkEnd w:id="9824"/>
      <w:bookmarkEnd w:id="9825"/>
      <w:bookmarkEnd w:id="9826"/>
      <w:bookmarkEnd w:id="9827"/>
      <w:bookmarkEnd w:id="9828"/>
      <w:bookmarkEnd w:id="9829"/>
      <w:bookmarkEnd w:id="9830"/>
      <w:bookmarkEnd w:id="9831"/>
      <w:bookmarkEnd w:id="9832"/>
      <w:bookmarkEnd w:id="9833"/>
      <w:bookmarkEnd w:id="9834"/>
      <w:bookmarkEnd w:id="9835"/>
      <w:bookmarkEnd w:id="9836"/>
      <w:bookmarkEnd w:id="9837"/>
      <w:bookmarkEnd w:id="9838"/>
      <w:bookmarkEnd w:id="9839"/>
      <w:bookmarkEnd w:id="9840"/>
      <w:bookmarkEnd w:id="9841"/>
      <w:bookmarkEnd w:id="9842"/>
      <w:bookmarkEnd w:id="9843"/>
      <w:bookmarkEnd w:id="9844"/>
      <w:bookmarkEnd w:id="9845"/>
      <w:bookmarkEnd w:id="9846"/>
      <w:bookmarkEnd w:id="9847"/>
      <w:bookmarkEnd w:id="9848"/>
      <w:bookmarkEnd w:id="9849"/>
      <w:bookmarkEnd w:id="9850"/>
      <w:bookmarkEnd w:id="9851"/>
      <w:bookmarkEnd w:id="9852"/>
      <w:bookmarkEnd w:id="9853"/>
      <w:bookmarkEnd w:id="9854"/>
      <w:bookmarkEnd w:id="9855"/>
      <w:bookmarkEnd w:id="9856"/>
      <w:bookmarkEnd w:id="9857"/>
      <w:bookmarkEnd w:id="9858"/>
      <w:bookmarkEnd w:id="9859"/>
      <w:bookmarkEnd w:id="9860"/>
      <w:bookmarkEnd w:id="9861"/>
      <w:bookmarkEnd w:id="9862"/>
      <w:bookmarkEnd w:id="9863"/>
      <w:bookmarkEnd w:id="9864"/>
      <w:bookmarkEnd w:id="9865"/>
      <w:bookmarkEnd w:id="9866"/>
      <w:bookmarkEnd w:id="9867"/>
      <w:bookmarkEnd w:id="9868"/>
      <w:bookmarkEnd w:id="9869"/>
      <w:bookmarkEnd w:id="9870"/>
      <w:bookmarkEnd w:id="9871"/>
      <w:bookmarkEnd w:id="9872"/>
      <w:bookmarkEnd w:id="9873"/>
      <w:bookmarkEnd w:id="9874"/>
      <w:bookmarkEnd w:id="9875"/>
      <w:bookmarkEnd w:id="9876"/>
      <w:bookmarkEnd w:id="9877"/>
      <w:bookmarkEnd w:id="9878"/>
      <w:bookmarkEnd w:id="9879"/>
      <w:bookmarkEnd w:id="9880"/>
      <w:bookmarkEnd w:id="9881"/>
      <w:bookmarkEnd w:id="9882"/>
      <w:bookmarkEnd w:id="9883"/>
      <w:bookmarkEnd w:id="9884"/>
      <w:bookmarkEnd w:id="9885"/>
      <w:bookmarkEnd w:id="9886"/>
      <w:bookmarkEnd w:id="9887"/>
      <w:bookmarkEnd w:id="9888"/>
      <w:bookmarkEnd w:id="9889"/>
      <w:bookmarkEnd w:id="9890"/>
      <w:bookmarkEnd w:id="9891"/>
      <w:bookmarkEnd w:id="9892"/>
      <w:bookmarkEnd w:id="9893"/>
      <w:bookmarkEnd w:id="9894"/>
      <w:bookmarkEnd w:id="9895"/>
      <w:bookmarkEnd w:id="9896"/>
      <w:bookmarkEnd w:id="9897"/>
      <w:bookmarkEnd w:id="9898"/>
      <w:bookmarkEnd w:id="9899"/>
      <w:bookmarkEnd w:id="9900"/>
      <w:bookmarkEnd w:id="9901"/>
      <w:bookmarkEnd w:id="9902"/>
      <w:bookmarkEnd w:id="9903"/>
      <w:bookmarkEnd w:id="9904"/>
      <w:bookmarkEnd w:id="9905"/>
      <w:bookmarkEnd w:id="9906"/>
      <w:bookmarkEnd w:id="9907"/>
      <w:bookmarkEnd w:id="9908"/>
      <w:bookmarkEnd w:id="9909"/>
      <w:bookmarkEnd w:id="9910"/>
      <w:bookmarkEnd w:id="9911"/>
      <w:bookmarkEnd w:id="9912"/>
      <w:bookmarkEnd w:id="9913"/>
      <w:bookmarkEnd w:id="9914"/>
      <w:bookmarkEnd w:id="9915"/>
      <w:bookmarkEnd w:id="9916"/>
      <w:bookmarkEnd w:id="9917"/>
      <w:bookmarkEnd w:id="9918"/>
      <w:bookmarkEnd w:id="9919"/>
      <w:bookmarkEnd w:id="9920"/>
      <w:bookmarkEnd w:id="9921"/>
      <w:bookmarkEnd w:id="9922"/>
      <w:bookmarkEnd w:id="9923"/>
      <w:bookmarkEnd w:id="9924"/>
      <w:bookmarkEnd w:id="9925"/>
      <w:bookmarkEnd w:id="9926"/>
      <w:bookmarkEnd w:id="9927"/>
      <w:bookmarkEnd w:id="9928"/>
      <w:bookmarkEnd w:id="9929"/>
      <w:bookmarkEnd w:id="9930"/>
      <w:bookmarkEnd w:id="9931"/>
      <w:bookmarkEnd w:id="9932"/>
      <w:bookmarkEnd w:id="9933"/>
      <w:bookmarkEnd w:id="9934"/>
      <w:bookmarkEnd w:id="9935"/>
      <w:bookmarkEnd w:id="9936"/>
      <w:bookmarkEnd w:id="9937"/>
      <w:bookmarkEnd w:id="9938"/>
      <w:bookmarkEnd w:id="9939"/>
      <w:bookmarkEnd w:id="9940"/>
      <w:bookmarkEnd w:id="9941"/>
      <w:bookmarkEnd w:id="9942"/>
      <w:bookmarkEnd w:id="9943"/>
      <w:bookmarkEnd w:id="9944"/>
      <w:bookmarkEnd w:id="9945"/>
      <w:bookmarkEnd w:id="9946"/>
      <w:bookmarkEnd w:id="9947"/>
      <w:bookmarkEnd w:id="9948"/>
      <w:bookmarkEnd w:id="9949"/>
      <w:bookmarkEnd w:id="9950"/>
      <w:bookmarkEnd w:id="9951"/>
      <w:bookmarkEnd w:id="9952"/>
      <w:bookmarkEnd w:id="9953"/>
      <w:bookmarkEnd w:id="9954"/>
      <w:bookmarkEnd w:id="9955"/>
      <w:bookmarkEnd w:id="9956"/>
      <w:bookmarkEnd w:id="9957"/>
      <w:bookmarkEnd w:id="9958"/>
      <w:bookmarkEnd w:id="9959"/>
      <w:bookmarkEnd w:id="9960"/>
      <w:bookmarkEnd w:id="9961"/>
      <w:bookmarkEnd w:id="9962"/>
      <w:bookmarkEnd w:id="9963"/>
      <w:bookmarkEnd w:id="9964"/>
      <w:bookmarkEnd w:id="9965"/>
      <w:bookmarkEnd w:id="9966"/>
      <w:bookmarkEnd w:id="9967"/>
      <w:bookmarkEnd w:id="9968"/>
      <w:bookmarkEnd w:id="9969"/>
      <w:bookmarkEnd w:id="9970"/>
      <w:bookmarkEnd w:id="9971"/>
      <w:bookmarkEnd w:id="9972"/>
      <w:bookmarkEnd w:id="9973"/>
      <w:bookmarkEnd w:id="9974"/>
      <w:bookmarkEnd w:id="9975"/>
      <w:bookmarkEnd w:id="9976"/>
      <w:bookmarkEnd w:id="9977"/>
      <w:bookmarkEnd w:id="9978"/>
      <w:bookmarkEnd w:id="9979"/>
      <w:bookmarkEnd w:id="9980"/>
      <w:bookmarkEnd w:id="9981"/>
      <w:bookmarkEnd w:id="9982"/>
      <w:bookmarkEnd w:id="9983"/>
      <w:bookmarkEnd w:id="9984"/>
      <w:bookmarkEnd w:id="9985"/>
      <w:bookmarkEnd w:id="9986"/>
      <w:bookmarkEnd w:id="9987"/>
      <w:bookmarkEnd w:id="9988"/>
      <w:bookmarkEnd w:id="9989"/>
      <w:bookmarkEnd w:id="9990"/>
      <w:bookmarkEnd w:id="9991"/>
      <w:bookmarkEnd w:id="9992"/>
      <w:bookmarkEnd w:id="9993"/>
      <w:bookmarkEnd w:id="9994"/>
      <w:bookmarkEnd w:id="9995"/>
      <w:bookmarkEnd w:id="9996"/>
      <w:bookmarkEnd w:id="9997"/>
      <w:bookmarkEnd w:id="9998"/>
      <w:bookmarkEnd w:id="9999"/>
      <w:bookmarkEnd w:id="10000"/>
      <w:bookmarkEnd w:id="10001"/>
      <w:bookmarkEnd w:id="10002"/>
      <w:bookmarkEnd w:id="10003"/>
      <w:bookmarkEnd w:id="10004"/>
      <w:bookmarkEnd w:id="10005"/>
      <w:bookmarkEnd w:id="10006"/>
      <w:bookmarkEnd w:id="10007"/>
      <w:bookmarkEnd w:id="10008"/>
      <w:bookmarkEnd w:id="10009"/>
      <w:bookmarkEnd w:id="10010"/>
      <w:bookmarkEnd w:id="10011"/>
      <w:bookmarkEnd w:id="10012"/>
      <w:bookmarkEnd w:id="10013"/>
      <w:bookmarkEnd w:id="10014"/>
      <w:bookmarkEnd w:id="10015"/>
      <w:bookmarkEnd w:id="10016"/>
      <w:bookmarkEnd w:id="10017"/>
      <w:bookmarkEnd w:id="10018"/>
      <w:bookmarkEnd w:id="10019"/>
      <w:bookmarkEnd w:id="10020"/>
      <w:bookmarkEnd w:id="10021"/>
      <w:bookmarkEnd w:id="10022"/>
      <w:bookmarkEnd w:id="10023"/>
      <w:bookmarkEnd w:id="10024"/>
      <w:bookmarkEnd w:id="10025"/>
      <w:bookmarkEnd w:id="10026"/>
      <w:bookmarkEnd w:id="10027"/>
      <w:bookmarkEnd w:id="10028"/>
      <w:bookmarkEnd w:id="10029"/>
      <w:bookmarkEnd w:id="10030"/>
      <w:bookmarkEnd w:id="10031"/>
      <w:bookmarkEnd w:id="10032"/>
      <w:bookmarkEnd w:id="10033"/>
      <w:bookmarkEnd w:id="10034"/>
      <w:bookmarkEnd w:id="10035"/>
      <w:bookmarkEnd w:id="10036"/>
      <w:bookmarkEnd w:id="10037"/>
      <w:bookmarkEnd w:id="10038"/>
      <w:bookmarkEnd w:id="10039"/>
      <w:bookmarkEnd w:id="10040"/>
      <w:bookmarkEnd w:id="10041"/>
      <w:bookmarkEnd w:id="10042"/>
      <w:bookmarkEnd w:id="10043"/>
      <w:bookmarkEnd w:id="10044"/>
      <w:bookmarkEnd w:id="10045"/>
      <w:bookmarkEnd w:id="10046"/>
      <w:bookmarkEnd w:id="10047"/>
      <w:bookmarkEnd w:id="10048"/>
      <w:bookmarkEnd w:id="10049"/>
      <w:bookmarkEnd w:id="10050"/>
      <w:bookmarkEnd w:id="10051"/>
      <w:bookmarkEnd w:id="10052"/>
      <w:bookmarkEnd w:id="10053"/>
      <w:bookmarkEnd w:id="10054"/>
      <w:bookmarkEnd w:id="10055"/>
      <w:bookmarkEnd w:id="10056"/>
      <w:bookmarkEnd w:id="10057"/>
      <w:bookmarkEnd w:id="10058"/>
      <w:bookmarkEnd w:id="10059"/>
      <w:bookmarkEnd w:id="10060"/>
      <w:bookmarkEnd w:id="10061"/>
      <w:bookmarkEnd w:id="10062"/>
      <w:bookmarkEnd w:id="10063"/>
      <w:bookmarkEnd w:id="10064"/>
      <w:bookmarkEnd w:id="10065"/>
      <w:bookmarkEnd w:id="10066"/>
      <w:bookmarkEnd w:id="10067"/>
      <w:bookmarkEnd w:id="10068"/>
      <w:bookmarkEnd w:id="10069"/>
      <w:bookmarkEnd w:id="10070"/>
      <w:bookmarkEnd w:id="10071"/>
      <w:bookmarkEnd w:id="10072"/>
      <w:bookmarkEnd w:id="10073"/>
      <w:bookmarkEnd w:id="10074"/>
      <w:bookmarkEnd w:id="10075"/>
      <w:bookmarkEnd w:id="10076"/>
      <w:bookmarkEnd w:id="10077"/>
      <w:bookmarkEnd w:id="10078"/>
      <w:bookmarkEnd w:id="10079"/>
      <w:bookmarkEnd w:id="10080"/>
      <w:bookmarkEnd w:id="10081"/>
      <w:bookmarkEnd w:id="10082"/>
      <w:bookmarkEnd w:id="10083"/>
      <w:bookmarkEnd w:id="10084"/>
      <w:bookmarkEnd w:id="10085"/>
      <w:bookmarkEnd w:id="10086"/>
      <w:bookmarkEnd w:id="10087"/>
      <w:bookmarkEnd w:id="10088"/>
      <w:bookmarkEnd w:id="10089"/>
      <w:bookmarkEnd w:id="10090"/>
      <w:bookmarkEnd w:id="10091"/>
      <w:bookmarkEnd w:id="10092"/>
      <w:bookmarkEnd w:id="10093"/>
      <w:bookmarkEnd w:id="10094"/>
      <w:bookmarkEnd w:id="10095"/>
      <w:bookmarkEnd w:id="10096"/>
      <w:bookmarkEnd w:id="10097"/>
      <w:bookmarkEnd w:id="10098"/>
      <w:bookmarkEnd w:id="10099"/>
      <w:bookmarkEnd w:id="10100"/>
      <w:bookmarkEnd w:id="10101"/>
      <w:bookmarkEnd w:id="10102"/>
      <w:bookmarkEnd w:id="10103"/>
      <w:bookmarkEnd w:id="10104"/>
      <w:bookmarkEnd w:id="10105"/>
      <w:bookmarkEnd w:id="10106"/>
      <w:bookmarkEnd w:id="10107"/>
      <w:bookmarkEnd w:id="10108"/>
      <w:bookmarkEnd w:id="10109"/>
      <w:bookmarkEnd w:id="10110"/>
      <w:bookmarkEnd w:id="10111"/>
      <w:bookmarkEnd w:id="10112"/>
      <w:bookmarkEnd w:id="10113"/>
      <w:bookmarkEnd w:id="10114"/>
      <w:bookmarkEnd w:id="10115"/>
      <w:bookmarkEnd w:id="10116"/>
      <w:bookmarkEnd w:id="10117"/>
      <w:bookmarkEnd w:id="10118"/>
      <w:bookmarkEnd w:id="10119"/>
      <w:bookmarkEnd w:id="10120"/>
      <w:bookmarkEnd w:id="10121"/>
      <w:bookmarkEnd w:id="10122"/>
      <w:bookmarkEnd w:id="10123"/>
      <w:bookmarkEnd w:id="10124"/>
      <w:bookmarkEnd w:id="10125"/>
      <w:bookmarkEnd w:id="10126"/>
      <w:bookmarkEnd w:id="10127"/>
      <w:bookmarkEnd w:id="10128"/>
      <w:bookmarkEnd w:id="10129"/>
      <w:bookmarkEnd w:id="10130"/>
      <w:bookmarkEnd w:id="10131"/>
      <w:bookmarkEnd w:id="10132"/>
      <w:bookmarkEnd w:id="10133"/>
      <w:bookmarkEnd w:id="10134"/>
      <w:bookmarkEnd w:id="10135"/>
      <w:bookmarkEnd w:id="10136"/>
      <w:bookmarkEnd w:id="10137"/>
      <w:bookmarkEnd w:id="10138"/>
      <w:bookmarkEnd w:id="10139"/>
      <w:bookmarkEnd w:id="10140"/>
      <w:bookmarkEnd w:id="10141"/>
      <w:bookmarkEnd w:id="10142"/>
      <w:bookmarkEnd w:id="10143"/>
      <w:bookmarkEnd w:id="10144"/>
      <w:bookmarkEnd w:id="10145"/>
      <w:bookmarkEnd w:id="10146"/>
      <w:bookmarkEnd w:id="10147"/>
      <w:bookmarkEnd w:id="10148"/>
      <w:bookmarkEnd w:id="10149"/>
      <w:bookmarkEnd w:id="10150"/>
      <w:bookmarkEnd w:id="10151"/>
      <w:bookmarkEnd w:id="10152"/>
      <w:bookmarkEnd w:id="10153"/>
      <w:bookmarkEnd w:id="10154"/>
      <w:bookmarkEnd w:id="10155"/>
      <w:bookmarkEnd w:id="10156"/>
      <w:bookmarkEnd w:id="10157"/>
      <w:bookmarkEnd w:id="10158"/>
      <w:bookmarkEnd w:id="10159"/>
      <w:bookmarkEnd w:id="10160"/>
      <w:bookmarkEnd w:id="10161"/>
      <w:bookmarkEnd w:id="10162"/>
      <w:bookmarkEnd w:id="10163"/>
      <w:bookmarkEnd w:id="10164"/>
      <w:bookmarkEnd w:id="10165"/>
      <w:bookmarkEnd w:id="10166"/>
      <w:bookmarkEnd w:id="10167"/>
      <w:bookmarkEnd w:id="10168"/>
      <w:bookmarkEnd w:id="10169"/>
      <w:bookmarkEnd w:id="10170"/>
      <w:bookmarkEnd w:id="10171"/>
      <w:bookmarkEnd w:id="10172"/>
      <w:bookmarkEnd w:id="10173"/>
      <w:bookmarkEnd w:id="10174"/>
      <w:bookmarkEnd w:id="10175"/>
      <w:bookmarkEnd w:id="10176"/>
      <w:bookmarkEnd w:id="10177"/>
      <w:bookmarkEnd w:id="10178"/>
      <w:bookmarkEnd w:id="10179"/>
      <w:bookmarkEnd w:id="10180"/>
      <w:bookmarkEnd w:id="10181"/>
      <w:bookmarkEnd w:id="10182"/>
      <w:bookmarkEnd w:id="10183"/>
      <w:bookmarkEnd w:id="10184"/>
      <w:bookmarkEnd w:id="10185"/>
      <w:bookmarkEnd w:id="10186"/>
      <w:bookmarkEnd w:id="10187"/>
      <w:bookmarkEnd w:id="10188"/>
      <w:bookmarkEnd w:id="10189"/>
      <w:bookmarkEnd w:id="10190"/>
      <w:bookmarkEnd w:id="10191"/>
      <w:bookmarkEnd w:id="10192"/>
      <w:bookmarkEnd w:id="10193"/>
      <w:bookmarkEnd w:id="10194"/>
      <w:bookmarkEnd w:id="10195"/>
      <w:bookmarkEnd w:id="10196"/>
      <w:bookmarkEnd w:id="10197"/>
      <w:bookmarkEnd w:id="10198"/>
      <w:bookmarkEnd w:id="10199"/>
      <w:bookmarkEnd w:id="10200"/>
      <w:bookmarkEnd w:id="10201"/>
      <w:bookmarkEnd w:id="10202"/>
      <w:bookmarkEnd w:id="10203"/>
      <w:bookmarkEnd w:id="10204"/>
      <w:bookmarkEnd w:id="10205"/>
      <w:bookmarkEnd w:id="10206"/>
      <w:bookmarkEnd w:id="10207"/>
      <w:bookmarkEnd w:id="10208"/>
      <w:bookmarkEnd w:id="10209"/>
      <w:bookmarkEnd w:id="10210"/>
      <w:bookmarkEnd w:id="10211"/>
      <w:bookmarkEnd w:id="10212"/>
      <w:bookmarkEnd w:id="10213"/>
      <w:bookmarkEnd w:id="10214"/>
      <w:bookmarkEnd w:id="10215"/>
      <w:bookmarkEnd w:id="10216"/>
      <w:bookmarkEnd w:id="10217"/>
      <w:bookmarkEnd w:id="10218"/>
      <w:bookmarkEnd w:id="10219"/>
      <w:bookmarkEnd w:id="10220"/>
      <w:bookmarkEnd w:id="10221"/>
      <w:bookmarkEnd w:id="10222"/>
      <w:bookmarkEnd w:id="10223"/>
      <w:bookmarkEnd w:id="10224"/>
      <w:bookmarkEnd w:id="10225"/>
      <w:bookmarkEnd w:id="10226"/>
      <w:bookmarkEnd w:id="10227"/>
      <w:bookmarkEnd w:id="10228"/>
      <w:bookmarkEnd w:id="10229"/>
      <w:bookmarkEnd w:id="10230"/>
      <w:bookmarkEnd w:id="10231"/>
      <w:bookmarkEnd w:id="10232"/>
      <w:bookmarkEnd w:id="10233"/>
      <w:bookmarkEnd w:id="10234"/>
      <w:bookmarkEnd w:id="10235"/>
      <w:bookmarkEnd w:id="10236"/>
      <w:bookmarkEnd w:id="10237"/>
      <w:bookmarkEnd w:id="10238"/>
      <w:bookmarkEnd w:id="10239"/>
      <w:bookmarkEnd w:id="10240"/>
      <w:bookmarkEnd w:id="10241"/>
      <w:bookmarkEnd w:id="10242"/>
      <w:bookmarkEnd w:id="10243"/>
      <w:bookmarkEnd w:id="10244"/>
      <w:bookmarkEnd w:id="10245"/>
      <w:bookmarkEnd w:id="10246"/>
      <w:bookmarkEnd w:id="10247"/>
      <w:bookmarkEnd w:id="10248"/>
      <w:bookmarkEnd w:id="10249"/>
      <w:bookmarkEnd w:id="10250"/>
      <w:bookmarkEnd w:id="10251"/>
      <w:bookmarkEnd w:id="10252"/>
      <w:bookmarkEnd w:id="10253"/>
      <w:bookmarkEnd w:id="10254"/>
      <w:bookmarkEnd w:id="10255"/>
      <w:bookmarkEnd w:id="10256"/>
      <w:bookmarkEnd w:id="10257"/>
      <w:bookmarkEnd w:id="10258"/>
      <w:bookmarkEnd w:id="10259"/>
      <w:bookmarkEnd w:id="10260"/>
      <w:bookmarkEnd w:id="10261"/>
      <w:bookmarkEnd w:id="10262"/>
      <w:bookmarkEnd w:id="10263"/>
      <w:bookmarkEnd w:id="10264"/>
      <w:bookmarkEnd w:id="10265"/>
      <w:bookmarkEnd w:id="10266"/>
      <w:bookmarkEnd w:id="10267"/>
      <w:bookmarkEnd w:id="10268"/>
      <w:bookmarkEnd w:id="10269"/>
      <w:bookmarkEnd w:id="10270"/>
      <w:bookmarkEnd w:id="10271"/>
      <w:bookmarkEnd w:id="10272"/>
      <w:bookmarkEnd w:id="10273"/>
      <w:bookmarkEnd w:id="10274"/>
      <w:bookmarkEnd w:id="10275"/>
      <w:bookmarkEnd w:id="10276"/>
      <w:bookmarkEnd w:id="10277"/>
      <w:bookmarkEnd w:id="10278"/>
      <w:bookmarkEnd w:id="10279"/>
      <w:bookmarkEnd w:id="10280"/>
      <w:bookmarkEnd w:id="10281"/>
      <w:bookmarkEnd w:id="10282"/>
      <w:bookmarkEnd w:id="10283"/>
      <w:bookmarkEnd w:id="10284"/>
      <w:bookmarkEnd w:id="10285"/>
      <w:bookmarkEnd w:id="10286"/>
      <w:bookmarkEnd w:id="10287"/>
      <w:bookmarkEnd w:id="10288"/>
      <w:bookmarkEnd w:id="10289"/>
      <w:bookmarkEnd w:id="10290"/>
      <w:bookmarkEnd w:id="10291"/>
      <w:bookmarkEnd w:id="10292"/>
      <w:bookmarkEnd w:id="10293"/>
      <w:bookmarkEnd w:id="10294"/>
      <w:bookmarkEnd w:id="10295"/>
      <w:bookmarkEnd w:id="10296"/>
      <w:bookmarkEnd w:id="10297"/>
      <w:bookmarkEnd w:id="10298"/>
      <w:bookmarkEnd w:id="10299"/>
      <w:bookmarkEnd w:id="10300"/>
      <w:bookmarkEnd w:id="10301"/>
      <w:bookmarkEnd w:id="10302"/>
      <w:bookmarkEnd w:id="10303"/>
      <w:bookmarkEnd w:id="10304"/>
      <w:bookmarkEnd w:id="10305"/>
      <w:bookmarkEnd w:id="10306"/>
      <w:bookmarkEnd w:id="10307"/>
      <w:bookmarkEnd w:id="10308"/>
      <w:bookmarkEnd w:id="10309"/>
      <w:bookmarkEnd w:id="10310"/>
      <w:bookmarkEnd w:id="10311"/>
      <w:bookmarkEnd w:id="10312"/>
      <w:bookmarkEnd w:id="10313"/>
      <w:bookmarkEnd w:id="10314"/>
      <w:bookmarkEnd w:id="10315"/>
      <w:bookmarkEnd w:id="10316"/>
      <w:bookmarkEnd w:id="10317"/>
      <w:bookmarkEnd w:id="10318"/>
      <w:bookmarkEnd w:id="10319"/>
      <w:bookmarkEnd w:id="10320"/>
      <w:bookmarkEnd w:id="10321"/>
      <w:bookmarkEnd w:id="10322"/>
      <w:bookmarkEnd w:id="10323"/>
      <w:bookmarkEnd w:id="10324"/>
      <w:bookmarkEnd w:id="10325"/>
      <w:bookmarkEnd w:id="10326"/>
      <w:bookmarkEnd w:id="10327"/>
      <w:bookmarkEnd w:id="10328"/>
      <w:bookmarkEnd w:id="10329"/>
      <w:bookmarkEnd w:id="10330"/>
      <w:bookmarkEnd w:id="10331"/>
      <w:bookmarkEnd w:id="10332"/>
      <w:bookmarkEnd w:id="10333"/>
      <w:bookmarkEnd w:id="10334"/>
      <w:bookmarkEnd w:id="10335"/>
      <w:bookmarkEnd w:id="10336"/>
      <w:bookmarkEnd w:id="10337"/>
      <w:bookmarkEnd w:id="10338"/>
      <w:bookmarkEnd w:id="10339"/>
      <w:bookmarkEnd w:id="10340"/>
      <w:bookmarkEnd w:id="10341"/>
      <w:bookmarkEnd w:id="10342"/>
      <w:bookmarkEnd w:id="10343"/>
      <w:bookmarkEnd w:id="10344"/>
      <w:bookmarkEnd w:id="10345"/>
      <w:bookmarkEnd w:id="10346"/>
      <w:bookmarkEnd w:id="10347"/>
      <w:bookmarkEnd w:id="10348"/>
      <w:bookmarkEnd w:id="10349"/>
      <w:bookmarkEnd w:id="10350"/>
      <w:bookmarkEnd w:id="10351"/>
      <w:bookmarkEnd w:id="10352"/>
      <w:bookmarkEnd w:id="10353"/>
      <w:bookmarkEnd w:id="10354"/>
      <w:bookmarkEnd w:id="10355"/>
      <w:bookmarkEnd w:id="10356"/>
      <w:bookmarkEnd w:id="10357"/>
      <w:bookmarkEnd w:id="10358"/>
      <w:bookmarkEnd w:id="10359"/>
      <w:bookmarkEnd w:id="10360"/>
      <w:bookmarkEnd w:id="10361"/>
      <w:bookmarkEnd w:id="10362"/>
      <w:bookmarkEnd w:id="10363"/>
      <w:bookmarkEnd w:id="10364"/>
      <w:bookmarkEnd w:id="10365"/>
      <w:bookmarkEnd w:id="10366"/>
      <w:bookmarkEnd w:id="10367"/>
      <w:bookmarkEnd w:id="10368"/>
      <w:bookmarkEnd w:id="10369"/>
      <w:bookmarkEnd w:id="10370"/>
      <w:bookmarkEnd w:id="10371"/>
      <w:bookmarkEnd w:id="10372"/>
      <w:bookmarkEnd w:id="10373"/>
      <w:bookmarkEnd w:id="10374"/>
      <w:bookmarkEnd w:id="10375"/>
      <w:bookmarkEnd w:id="10376"/>
      <w:bookmarkEnd w:id="10377"/>
      <w:bookmarkEnd w:id="10378"/>
      <w:bookmarkEnd w:id="10379"/>
      <w:bookmarkEnd w:id="10380"/>
      <w:bookmarkEnd w:id="10381"/>
      <w:bookmarkEnd w:id="10382"/>
      <w:bookmarkEnd w:id="10383"/>
      <w:bookmarkEnd w:id="10384"/>
      <w:bookmarkEnd w:id="10385"/>
      <w:bookmarkEnd w:id="10386"/>
      <w:bookmarkEnd w:id="10387"/>
      <w:bookmarkEnd w:id="10388"/>
      <w:bookmarkEnd w:id="10389"/>
      <w:bookmarkEnd w:id="10390"/>
      <w:bookmarkEnd w:id="10391"/>
      <w:bookmarkEnd w:id="10392"/>
      <w:bookmarkEnd w:id="10393"/>
      <w:bookmarkEnd w:id="10394"/>
      <w:bookmarkEnd w:id="10395"/>
      <w:bookmarkEnd w:id="10396"/>
      <w:bookmarkEnd w:id="10397"/>
      <w:bookmarkEnd w:id="10398"/>
      <w:bookmarkEnd w:id="10399"/>
      <w:bookmarkEnd w:id="10400"/>
      <w:bookmarkEnd w:id="10401"/>
      <w:bookmarkEnd w:id="10402"/>
      <w:bookmarkEnd w:id="10403"/>
      <w:bookmarkEnd w:id="10404"/>
      <w:bookmarkEnd w:id="10405"/>
      <w:bookmarkEnd w:id="10406"/>
      <w:bookmarkEnd w:id="10407"/>
      <w:bookmarkEnd w:id="10408"/>
      <w:bookmarkEnd w:id="10409"/>
      <w:bookmarkEnd w:id="10410"/>
      <w:bookmarkEnd w:id="10411"/>
      <w:bookmarkEnd w:id="10412"/>
      <w:bookmarkEnd w:id="10413"/>
      <w:bookmarkEnd w:id="10414"/>
      <w:bookmarkEnd w:id="10415"/>
      <w:bookmarkEnd w:id="10416"/>
      <w:bookmarkEnd w:id="10417"/>
      <w:bookmarkEnd w:id="10418"/>
      <w:bookmarkEnd w:id="10419"/>
      <w:bookmarkEnd w:id="10420"/>
      <w:bookmarkEnd w:id="10421"/>
      <w:bookmarkEnd w:id="10422"/>
      <w:bookmarkEnd w:id="10423"/>
      <w:bookmarkEnd w:id="10424"/>
      <w:bookmarkEnd w:id="10425"/>
      <w:bookmarkEnd w:id="10426"/>
      <w:bookmarkEnd w:id="10427"/>
      <w:bookmarkEnd w:id="10428"/>
      <w:bookmarkEnd w:id="10429"/>
      <w:bookmarkEnd w:id="10430"/>
      <w:bookmarkEnd w:id="10431"/>
      <w:bookmarkEnd w:id="10432"/>
      <w:bookmarkEnd w:id="10433"/>
      <w:bookmarkEnd w:id="10434"/>
      <w:bookmarkEnd w:id="10435"/>
      <w:bookmarkEnd w:id="10436"/>
      <w:bookmarkEnd w:id="10437"/>
      <w:bookmarkEnd w:id="10438"/>
      <w:bookmarkEnd w:id="10439"/>
      <w:bookmarkEnd w:id="10440"/>
      <w:bookmarkEnd w:id="10441"/>
      <w:bookmarkEnd w:id="10442"/>
      <w:bookmarkEnd w:id="10443"/>
      <w:bookmarkEnd w:id="10444"/>
      <w:bookmarkEnd w:id="10445"/>
      <w:bookmarkEnd w:id="10446"/>
      <w:bookmarkEnd w:id="10447"/>
      <w:bookmarkEnd w:id="10448"/>
      <w:bookmarkEnd w:id="10449"/>
      <w:bookmarkEnd w:id="10450"/>
      <w:bookmarkEnd w:id="10451"/>
      <w:bookmarkEnd w:id="10452"/>
      <w:bookmarkEnd w:id="10453"/>
      <w:bookmarkEnd w:id="10454"/>
      <w:bookmarkEnd w:id="10455"/>
      <w:bookmarkEnd w:id="10456"/>
      <w:bookmarkEnd w:id="10457"/>
      <w:bookmarkEnd w:id="10458"/>
      <w:bookmarkEnd w:id="10459"/>
      <w:bookmarkEnd w:id="10460"/>
      <w:bookmarkEnd w:id="10461"/>
      <w:bookmarkEnd w:id="10462"/>
      <w:bookmarkEnd w:id="10463"/>
      <w:bookmarkEnd w:id="10464"/>
      <w:bookmarkEnd w:id="10465"/>
      <w:bookmarkEnd w:id="10466"/>
      <w:bookmarkEnd w:id="10467"/>
      <w:bookmarkEnd w:id="10468"/>
      <w:bookmarkEnd w:id="10469"/>
      <w:bookmarkEnd w:id="10470"/>
      <w:bookmarkEnd w:id="10471"/>
      <w:bookmarkEnd w:id="10472"/>
      <w:bookmarkEnd w:id="10473"/>
      <w:bookmarkEnd w:id="10474"/>
      <w:bookmarkEnd w:id="10475"/>
      <w:bookmarkEnd w:id="10476"/>
      <w:bookmarkEnd w:id="10477"/>
      <w:bookmarkEnd w:id="10478"/>
      <w:bookmarkEnd w:id="10479"/>
      <w:bookmarkEnd w:id="10480"/>
      <w:bookmarkEnd w:id="10481"/>
      <w:bookmarkEnd w:id="10482"/>
      <w:bookmarkEnd w:id="10483"/>
      <w:bookmarkEnd w:id="10484"/>
      <w:bookmarkEnd w:id="10485"/>
      <w:bookmarkEnd w:id="10486"/>
      <w:bookmarkEnd w:id="10487"/>
      <w:bookmarkEnd w:id="10488"/>
      <w:bookmarkEnd w:id="10489"/>
      <w:bookmarkEnd w:id="10490"/>
      <w:bookmarkEnd w:id="10491"/>
      <w:bookmarkEnd w:id="10492"/>
      <w:bookmarkEnd w:id="10493"/>
      <w:bookmarkEnd w:id="10494"/>
      <w:bookmarkEnd w:id="10495"/>
      <w:bookmarkEnd w:id="10496"/>
      <w:bookmarkEnd w:id="10497"/>
      <w:bookmarkEnd w:id="10498"/>
      <w:bookmarkEnd w:id="10499"/>
      <w:bookmarkEnd w:id="10500"/>
      <w:bookmarkEnd w:id="10501"/>
      <w:bookmarkEnd w:id="10502"/>
      <w:bookmarkEnd w:id="10503"/>
      <w:bookmarkEnd w:id="10504"/>
      <w:bookmarkEnd w:id="10505"/>
      <w:bookmarkEnd w:id="10506"/>
      <w:bookmarkEnd w:id="10507"/>
      <w:bookmarkEnd w:id="10508"/>
      <w:bookmarkEnd w:id="10509"/>
      <w:bookmarkEnd w:id="10510"/>
      <w:bookmarkEnd w:id="10511"/>
      <w:bookmarkEnd w:id="10512"/>
      <w:bookmarkEnd w:id="10513"/>
      <w:bookmarkEnd w:id="10514"/>
      <w:bookmarkEnd w:id="10515"/>
      <w:bookmarkEnd w:id="10516"/>
      <w:bookmarkEnd w:id="10517"/>
      <w:bookmarkEnd w:id="10518"/>
      <w:bookmarkEnd w:id="10519"/>
      <w:bookmarkEnd w:id="10520"/>
      <w:bookmarkEnd w:id="10521"/>
      <w:bookmarkEnd w:id="10522"/>
      <w:bookmarkEnd w:id="10523"/>
      <w:bookmarkEnd w:id="10524"/>
      <w:bookmarkEnd w:id="10525"/>
      <w:bookmarkEnd w:id="10526"/>
      <w:bookmarkEnd w:id="10527"/>
      <w:bookmarkEnd w:id="10528"/>
      <w:bookmarkEnd w:id="10529"/>
      <w:bookmarkEnd w:id="10530"/>
      <w:bookmarkEnd w:id="10531"/>
      <w:bookmarkEnd w:id="10532"/>
      <w:bookmarkEnd w:id="10533"/>
      <w:bookmarkEnd w:id="10534"/>
      <w:bookmarkEnd w:id="10535"/>
      <w:bookmarkEnd w:id="10536"/>
      <w:bookmarkEnd w:id="10537"/>
      <w:bookmarkEnd w:id="10538"/>
      <w:bookmarkEnd w:id="10539"/>
      <w:bookmarkEnd w:id="10540"/>
      <w:bookmarkEnd w:id="10541"/>
      <w:bookmarkEnd w:id="10542"/>
      <w:bookmarkEnd w:id="10543"/>
      <w:bookmarkEnd w:id="10544"/>
      <w:bookmarkEnd w:id="10545"/>
      <w:bookmarkEnd w:id="10546"/>
      <w:bookmarkEnd w:id="10547"/>
      <w:bookmarkEnd w:id="10548"/>
      <w:bookmarkEnd w:id="10549"/>
      <w:bookmarkEnd w:id="10550"/>
      <w:bookmarkEnd w:id="10551"/>
      <w:bookmarkEnd w:id="10552"/>
      <w:bookmarkEnd w:id="10553"/>
      <w:bookmarkEnd w:id="10554"/>
      <w:bookmarkEnd w:id="10555"/>
      <w:bookmarkEnd w:id="10556"/>
      <w:bookmarkEnd w:id="10557"/>
      <w:bookmarkEnd w:id="10558"/>
      <w:bookmarkEnd w:id="10559"/>
      <w:bookmarkEnd w:id="10560"/>
      <w:bookmarkEnd w:id="10561"/>
      <w:bookmarkEnd w:id="10562"/>
      <w:bookmarkEnd w:id="10563"/>
      <w:bookmarkEnd w:id="10564"/>
      <w:bookmarkEnd w:id="10565"/>
      <w:bookmarkEnd w:id="10566"/>
      <w:bookmarkEnd w:id="10567"/>
      <w:bookmarkEnd w:id="10568"/>
      <w:bookmarkEnd w:id="10569"/>
      <w:bookmarkEnd w:id="10570"/>
      <w:bookmarkEnd w:id="10571"/>
      <w:bookmarkEnd w:id="10572"/>
      <w:bookmarkEnd w:id="10573"/>
      <w:bookmarkEnd w:id="10574"/>
      <w:bookmarkEnd w:id="10575"/>
      <w:bookmarkEnd w:id="10576"/>
      <w:bookmarkEnd w:id="10577"/>
      <w:bookmarkEnd w:id="10578"/>
      <w:bookmarkEnd w:id="10579"/>
      <w:bookmarkEnd w:id="10580"/>
      <w:bookmarkEnd w:id="10581"/>
      <w:bookmarkEnd w:id="10582"/>
      <w:bookmarkEnd w:id="10583"/>
      <w:bookmarkEnd w:id="10584"/>
      <w:bookmarkEnd w:id="10585"/>
      <w:bookmarkEnd w:id="10586"/>
      <w:bookmarkEnd w:id="10587"/>
      <w:bookmarkEnd w:id="10588"/>
      <w:bookmarkEnd w:id="10589"/>
      <w:bookmarkEnd w:id="10590"/>
      <w:bookmarkEnd w:id="10591"/>
      <w:bookmarkEnd w:id="10592"/>
      <w:bookmarkEnd w:id="10593"/>
      <w:bookmarkEnd w:id="10594"/>
      <w:bookmarkEnd w:id="10595"/>
      <w:bookmarkEnd w:id="10596"/>
      <w:bookmarkEnd w:id="10597"/>
      <w:bookmarkEnd w:id="10598"/>
      <w:bookmarkEnd w:id="10599"/>
      <w:bookmarkEnd w:id="10600"/>
      <w:bookmarkEnd w:id="10601"/>
      <w:bookmarkEnd w:id="10602"/>
      <w:bookmarkEnd w:id="10603"/>
      <w:bookmarkEnd w:id="10604"/>
      <w:bookmarkEnd w:id="10605"/>
      <w:bookmarkEnd w:id="10606"/>
      <w:bookmarkEnd w:id="10607"/>
      <w:bookmarkEnd w:id="10608"/>
      <w:bookmarkEnd w:id="10609"/>
      <w:bookmarkEnd w:id="10610"/>
      <w:bookmarkEnd w:id="10611"/>
      <w:bookmarkEnd w:id="10612"/>
      <w:bookmarkEnd w:id="10613"/>
      <w:bookmarkEnd w:id="10614"/>
      <w:bookmarkEnd w:id="10615"/>
      <w:bookmarkEnd w:id="10616"/>
      <w:bookmarkEnd w:id="10617"/>
      <w:bookmarkEnd w:id="10618"/>
      <w:bookmarkEnd w:id="10619"/>
      <w:bookmarkEnd w:id="10620"/>
      <w:bookmarkEnd w:id="10621"/>
      <w:bookmarkEnd w:id="10622"/>
      <w:bookmarkEnd w:id="10623"/>
      <w:bookmarkEnd w:id="10624"/>
      <w:bookmarkEnd w:id="10625"/>
      <w:bookmarkEnd w:id="10626"/>
      <w:bookmarkEnd w:id="10627"/>
      <w:bookmarkEnd w:id="10628"/>
      <w:bookmarkEnd w:id="10629"/>
      <w:bookmarkEnd w:id="10630"/>
      <w:bookmarkEnd w:id="10631"/>
      <w:bookmarkEnd w:id="10632"/>
      <w:bookmarkEnd w:id="10633"/>
      <w:bookmarkEnd w:id="10634"/>
      <w:bookmarkEnd w:id="10635"/>
      <w:bookmarkEnd w:id="10636"/>
      <w:bookmarkEnd w:id="10637"/>
      <w:bookmarkEnd w:id="10638"/>
      <w:bookmarkEnd w:id="10639"/>
      <w:bookmarkEnd w:id="10640"/>
      <w:bookmarkEnd w:id="10641"/>
      <w:bookmarkEnd w:id="10642"/>
      <w:bookmarkEnd w:id="10643"/>
      <w:bookmarkEnd w:id="10644"/>
      <w:bookmarkEnd w:id="10645"/>
      <w:bookmarkEnd w:id="10646"/>
      <w:bookmarkEnd w:id="10647"/>
      <w:bookmarkEnd w:id="10648"/>
      <w:bookmarkEnd w:id="10649"/>
      <w:bookmarkEnd w:id="10650"/>
      <w:bookmarkEnd w:id="10651"/>
      <w:bookmarkEnd w:id="10652"/>
      <w:bookmarkEnd w:id="10653"/>
      <w:bookmarkEnd w:id="10654"/>
      <w:bookmarkEnd w:id="10655"/>
      <w:bookmarkEnd w:id="10656"/>
      <w:bookmarkEnd w:id="10657"/>
      <w:bookmarkEnd w:id="10658"/>
      <w:bookmarkEnd w:id="10659"/>
      <w:bookmarkEnd w:id="10660"/>
      <w:bookmarkEnd w:id="10661"/>
      <w:bookmarkEnd w:id="10662"/>
      <w:bookmarkEnd w:id="10663"/>
      <w:bookmarkEnd w:id="10664"/>
      <w:bookmarkEnd w:id="10665"/>
      <w:bookmarkEnd w:id="10666"/>
      <w:bookmarkEnd w:id="10667"/>
      <w:bookmarkEnd w:id="10668"/>
      <w:bookmarkEnd w:id="10669"/>
      <w:bookmarkEnd w:id="10670"/>
      <w:bookmarkEnd w:id="10671"/>
      <w:bookmarkEnd w:id="10672"/>
      <w:bookmarkEnd w:id="10673"/>
      <w:bookmarkEnd w:id="10674"/>
      <w:bookmarkEnd w:id="10675"/>
      <w:bookmarkEnd w:id="10676"/>
      <w:bookmarkEnd w:id="10677"/>
      <w:bookmarkEnd w:id="10678"/>
      <w:bookmarkEnd w:id="10679"/>
      <w:bookmarkEnd w:id="10680"/>
      <w:bookmarkEnd w:id="10681"/>
      <w:bookmarkEnd w:id="10682"/>
      <w:bookmarkEnd w:id="10683"/>
      <w:bookmarkEnd w:id="10684"/>
      <w:bookmarkEnd w:id="10685"/>
      <w:bookmarkEnd w:id="10686"/>
      <w:bookmarkEnd w:id="10687"/>
      <w:bookmarkEnd w:id="10688"/>
      <w:bookmarkEnd w:id="10689"/>
      <w:bookmarkEnd w:id="10690"/>
      <w:bookmarkEnd w:id="10691"/>
      <w:bookmarkEnd w:id="10692"/>
      <w:bookmarkEnd w:id="10693"/>
      <w:bookmarkEnd w:id="10694"/>
      <w:bookmarkEnd w:id="10695"/>
      <w:bookmarkEnd w:id="10696"/>
      <w:bookmarkEnd w:id="10697"/>
      <w:bookmarkEnd w:id="10698"/>
      <w:bookmarkEnd w:id="10699"/>
      <w:bookmarkEnd w:id="10700"/>
      <w:bookmarkEnd w:id="10701"/>
      <w:bookmarkEnd w:id="10702"/>
      <w:bookmarkEnd w:id="10703"/>
      <w:bookmarkEnd w:id="10704"/>
      <w:bookmarkEnd w:id="10705"/>
      <w:bookmarkEnd w:id="10706"/>
      <w:bookmarkEnd w:id="10707"/>
      <w:bookmarkEnd w:id="10708"/>
      <w:bookmarkEnd w:id="10709"/>
      <w:bookmarkEnd w:id="10710"/>
      <w:bookmarkEnd w:id="10711"/>
      <w:bookmarkEnd w:id="10712"/>
      <w:bookmarkEnd w:id="10713"/>
      <w:bookmarkEnd w:id="10714"/>
      <w:bookmarkEnd w:id="10715"/>
      <w:bookmarkEnd w:id="10716"/>
      <w:bookmarkEnd w:id="10717"/>
      <w:bookmarkEnd w:id="10718"/>
      <w:bookmarkEnd w:id="10719"/>
      <w:bookmarkEnd w:id="10720"/>
      <w:bookmarkEnd w:id="10721"/>
      <w:bookmarkEnd w:id="10722"/>
      <w:bookmarkEnd w:id="10723"/>
      <w:bookmarkEnd w:id="10724"/>
      <w:bookmarkEnd w:id="10725"/>
      <w:bookmarkEnd w:id="10726"/>
      <w:bookmarkEnd w:id="10727"/>
      <w:bookmarkEnd w:id="10728"/>
      <w:bookmarkEnd w:id="10729"/>
      <w:bookmarkEnd w:id="10730"/>
      <w:bookmarkEnd w:id="10731"/>
      <w:bookmarkEnd w:id="10732"/>
      <w:bookmarkEnd w:id="10733"/>
      <w:bookmarkEnd w:id="10734"/>
      <w:bookmarkEnd w:id="10735"/>
      <w:bookmarkEnd w:id="10736"/>
      <w:bookmarkEnd w:id="10737"/>
      <w:bookmarkEnd w:id="10738"/>
      <w:bookmarkEnd w:id="10739"/>
      <w:bookmarkEnd w:id="10740"/>
      <w:bookmarkEnd w:id="10741"/>
      <w:bookmarkEnd w:id="10742"/>
      <w:bookmarkEnd w:id="10743"/>
      <w:bookmarkEnd w:id="10744"/>
      <w:bookmarkEnd w:id="10745"/>
      <w:bookmarkEnd w:id="10746"/>
      <w:bookmarkEnd w:id="10747"/>
      <w:bookmarkEnd w:id="10748"/>
      <w:bookmarkEnd w:id="10749"/>
      <w:bookmarkEnd w:id="10750"/>
      <w:bookmarkEnd w:id="10751"/>
      <w:bookmarkEnd w:id="10752"/>
      <w:bookmarkEnd w:id="10753"/>
      <w:bookmarkEnd w:id="10754"/>
      <w:bookmarkEnd w:id="10755"/>
      <w:bookmarkEnd w:id="10756"/>
      <w:bookmarkEnd w:id="10757"/>
      <w:bookmarkEnd w:id="10758"/>
      <w:bookmarkEnd w:id="10759"/>
      <w:bookmarkEnd w:id="10760"/>
      <w:bookmarkEnd w:id="10761"/>
      <w:bookmarkEnd w:id="10762"/>
      <w:bookmarkEnd w:id="10763"/>
      <w:bookmarkEnd w:id="10764"/>
      <w:bookmarkEnd w:id="10765"/>
      <w:bookmarkEnd w:id="10766"/>
      <w:bookmarkEnd w:id="10767"/>
      <w:bookmarkEnd w:id="10768"/>
      <w:bookmarkEnd w:id="10769"/>
      <w:bookmarkEnd w:id="10770"/>
      <w:bookmarkEnd w:id="10771"/>
      <w:bookmarkEnd w:id="10772"/>
      <w:bookmarkEnd w:id="10773"/>
      <w:bookmarkEnd w:id="10774"/>
      <w:bookmarkEnd w:id="10775"/>
      <w:r w:rsidRPr="00C65120">
        <w:t>C</w:t>
      </w:r>
      <w:r>
        <w:t xml:space="preserve">hanges in accounting policy </w:t>
      </w:r>
      <w:r w:rsidRPr="00E51206">
        <w:rPr>
          <w:color w:val="C00000"/>
        </w:rPr>
        <w:t>[NEW]</w:t>
      </w:r>
      <w:bookmarkEnd w:id="10776"/>
    </w:p>
    <w:p w14:paraId="04382288" w14:textId="77777777" w:rsidR="00C65120" w:rsidRPr="00593016" w:rsidRDefault="00C65120" w:rsidP="00C65120">
      <w:pPr>
        <w:pStyle w:val="Heading3numbered"/>
      </w:pPr>
      <w:r w:rsidRPr="00593016">
        <w:t>Right-of-use assets</w:t>
      </w:r>
    </w:p>
    <w:p w14:paraId="789174B0" w14:textId="77777777" w:rsidR="00C65120" w:rsidRPr="00593016" w:rsidRDefault="00C65120" w:rsidP="00C65120">
      <w:pPr>
        <w:keepLines w:val="0"/>
      </w:pPr>
      <w:r w:rsidRPr="00593016">
        <w:t>TV has made a change in accounting policy to change the measurement basis from the revaluation model to the cost model for the subsequent measurement of right-of-use assets arising from market leases, in accordance with the updated requirements under FRD 104.</w:t>
      </w:r>
    </w:p>
    <w:p w14:paraId="7F366BBF" w14:textId="77777777" w:rsidR="00C65120" w:rsidRPr="00593016" w:rsidRDefault="00C65120" w:rsidP="00C65120">
      <w:pPr>
        <w:keepLines w:val="0"/>
      </w:pPr>
      <w:r w:rsidRPr="00593016">
        <w:t>Previously, TV had measured all right-of-use assets arising from market leases using the revaluation model under AASB 13. Following the change in accounting policy, TV will measure all right-of-use assets using the cost model. Right-of-use assets measured using the cost model are held at cost less accumulated depreciation and impairment and any adjustments for remeasurement of lease liability. Periodic revaluations are not required; however, the cost model requires annual impairment assessments in accordance with AASB 136.</w:t>
      </w:r>
    </w:p>
    <w:p w14:paraId="65D084E2" w14:textId="77777777" w:rsidR="00C65120" w:rsidRPr="00593016" w:rsidRDefault="00C65120" w:rsidP="00C65120">
      <w:pPr>
        <w:keepLines w:val="0"/>
      </w:pPr>
      <w:r w:rsidRPr="00593016">
        <w:t xml:space="preserve">Upon adoption of the cost model, TV has applied a modified retrospective approach. The approach takes the right-of-use asset’s carrying amounts recorded under the revaluation model as </w:t>
      </w:r>
      <w:proofErr w:type="gramStart"/>
      <w:r w:rsidRPr="00593016">
        <w:t>at</w:t>
      </w:r>
      <w:proofErr w:type="gramEnd"/>
      <w:r w:rsidRPr="00593016">
        <w:t xml:space="preserve"> 30 June 20X1 as the right-of-use asset’s opening balances on application of the cost model.</w:t>
      </w:r>
    </w:p>
    <w:p w14:paraId="0B86ADBE" w14:textId="77777777" w:rsidR="00C65120" w:rsidRPr="00593016" w:rsidRDefault="00C65120" w:rsidP="00C65120">
      <w:pPr>
        <w:keepLines w:val="0"/>
      </w:pPr>
      <w:r w:rsidRPr="00593016">
        <w:t>Accordingly, the comparative information presented is not restated and is reported at the previously determined fair value.</w:t>
      </w:r>
    </w:p>
    <w:p w14:paraId="48C40B1E" w14:textId="532C11AF" w:rsidR="00C65120" w:rsidRPr="00593016" w:rsidRDefault="00C65120" w:rsidP="00E51206">
      <w:pPr>
        <w:pStyle w:val="Heading4"/>
      </w:pPr>
      <w:r w:rsidRPr="00593016">
        <w:t>Right-of-use assets arising from significantly below-market leases</w:t>
      </w:r>
    </w:p>
    <w:p w14:paraId="23EB6779" w14:textId="1CBC14EC" w:rsidR="00C65120" w:rsidRPr="00593016" w:rsidRDefault="00C65120" w:rsidP="00C65120">
      <w:pPr>
        <w:pStyle w:val="ListBullet"/>
        <w:numPr>
          <w:ilvl w:val="0"/>
          <w:numId w:val="0"/>
        </w:numPr>
      </w:pPr>
      <w:r w:rsidRPr="00593016">
        <w:t xml:space="preserve">TV is not required to make any adjustments to right-of-use assets arising from significantly below-market leases, including peppercorn leases, as TV already measures these right-of-use assets using the cost model in accordance with AASB 16 and FRD 104, and are thus not impacted </w:t>
      </w:r>
      <w:proofErr w:type="gramStart"/>
      <w:r w:rsidRPr="00593016">
        <w:t>as a result of</w:t>
      </w:r>
      <w:proofErr w:type="gramEnd"/>
      <w:r w:rsidRPr="00593016">
        <w:t xml:space="preserve"> this accounting policy change.</w:t>
      </w:r>
    </w:p>
    <w:p w14:paraId="18ED642D" w14:textId="053D4708" w:rsidR="00C65120" w:rsidRPr="00593016" w:rsidRDefault="00C65120" w:rsidP="00E51206">
      <w:pPr>
        <w:pStyle w:val="Heading4"/>
      </w:pPr>
      <w:r w:rsidRPr="00593016">
        <w:t>Impacts on financial statements</w:t>
      </w:r>
    </w:p>
    <w:p w14:paraId="6628D64E" w14:textId="3D568FF2" w:rsidR="00C65120" w:rsidRDefault="00C65120" w:rsidP="00C65120">
      <w:pPr>
        <w:pStyle w:val="ListBullet"/>
        <w:numPr>
          <w:ilvl w:val="0"/>
          <w:numId w:val="0"/>
        </w:numPr>
      </w:pPr>
      <w:r w:rsidRPr="00593016">
        <w:t xml:space="preserve">On transition to the cost model, there was no impact on TV’s financial statements. No impairment was identified by TV for the right-of-use asset held as </w:t>
      </w:r>
      <w:proofErr w:type="gramStart"/>
      <w:r w:rsidRPr="00593016">
        <w:t>at</w:t>
      </w:r>
      <w:proofErr w:type="gramEnd"/>
      <w:r w:rsidRPr="00593016">
        <w:t xml:space="preserve"> 30 June 20X2.</w:t>
      </w:r>
    </w:p>
    <w:p w14:paraId="47B264DF" w14:textId="77777777" w:rsidR="00C65120" w:rsidRDefault="00C65120" w:rsidP="00C65120">
      <w:pPr>
        <w:pStyle w:val="GuidanceBlockHeading"/>
      </w:pPr>
      <w:r>
        <w:t>Guidance – Changes in accounting policy [REVISED]</w:t>
      </w:r>
    </w:p>
    <w:p w14:paraId="21D4A67D" w14:textId="77777777" w:rsidR="00C65120" w:rsidRPr="00A52CE8" w:rsidRDefault="00C65120" w:rsidP="00C65120">
      <w:pPr>
        <w:pStyle w:val="ListBullet"/>
        <w:numPr>
          <w:ilvl w:val="0"/>
          <w:numId w:val="0"/>
        </w:numPr>
        <w:rPr>
          <w:rStyle w:val="Guidance"/>
          <w:rFonts w:asciiTheme="majorHAnsi" w:eastAsiaTheme="majorEastAsia" w:hAnsiTheme="majorHAnsi" w:cstheme="majorBidi"/>
          <w:b/>
          <w:bCs/>
          <w:iCs/>
          <w:sz w:val="20"/>
          <w:szCs w:val="24"/>
        </w:rPr>
      </w:pPr>
      <w:r w:rsidRPr="00A52CE8">
        <w:rPr>
          <w:rStyle w:val="Guidance"/>
        </w:rPr>
        <w:t xml:space="preserve">When initial application of an Australian Accounting Standard </w:t>
      </w:r>
      <w:proofErr w:type="gramStart"/>
      <w:r w:rsidRPr="00A52CE8">
        <w:rPr>
          <w:rStyle w:val="Guidance"/>
        </w:rPr>
        <w:t>has an effect on</w:t>
      </w:r>
      <w:proofErr w:type="gramEnd"/>
      <w:r w:rsidRPr="00A52CE8">
        <w:rPr>
          <w:rStyle w:val="Guidance"/>
        </w:rPr>
        <w:t xml:space="preserve"> the current period or any prior period, or might </w:t>
      </w:r>
      <w:proofErr w:type="gramStart"/>
      <w:r w:rsidRPr="00A52CE8">
        <w:rPr>
          <w:rStyle w:val="Guidance"/>
        </w:rPr>
        <w:t>have an effect on</w:t>
      </w:r>
      <w:proofErr w:type="gramEnd"/>
      <w:r w:rsidRPr="00A52CE8">
        <w:rPr>
          <w:rStyle w:val="Guidance"/>
        </w:rPr>
        <w:t xml:space="preserve"> future periods, an entity shall disclose the following:</w:t>
      </w:r>
    </w:p>
    <w:p w14:paraId="7603DD54" w14:textId="1ADAAAA4" w:rsidR="00C65120" w:rsidRPr="00A52CE8" w:rsidRDefault="00114FE1" w:rsidP="00C65120">
      <w:pPr>
        <w:pStyle w:val="ListBullet"/>
        <w:rPr>
          <w:rStyle w:val="Guidance"/>
        </w:rPr>
      </w:pPr>
      <w:r>
        <w:rPr>
          <w:rStyle w:val="Guidance"/>
        </w:rPr>
        <w:t>T</w:t>
      </w:r>
      <w:r w:rsidR="00C65120" w:rsidRPr="00A52CE8">
        <w:rPr>
          <w:rStyle w:val="Guidance"/>
        </w:rPr>
        <w:t>he nature of the change in accounting policy</w:t>
      </w:r>
    </w:p>
    <w:p w14:paraId="0D4ECA24" w14:textId="51D119E9" w:rsidR="00C65120" w:rsidRPr="00A52CE8" w:rsidRDefault="00114FE1" w:rsidP="00C65120">
      <w:pPr>
        <w:pStyle w:val="ListBullet"/>
        <w:rPr>
          <w:rStyle w:val="Guidance"/>
        </w:rPr>
      </w:pPr>
      <w:r>
        <w:rPr>
          <w:rStyle w:val="Guidance"/>
        </w:rPr>
        <w:t>F</w:t>
      </w:r>
      <w:r w:rsidR="00C65120" w:rsidRPr="00A52CE8">
        <w:rPr>
          <w:rStyle w:val="Guidance"/>
        </w:rPr>
        <w:t>or the current period and each prior period presented, to the extent practicable, the amount of the adjustment for each financial statement line item affected</w:t>
      </w:r>
    </w:p>
    <w:p w14:paraId="22AD8CD7" w14:textId="5DDBF2A8" w:rsidR="00C65120" w:rsidRPr="00A52CE8" w:rsidRDefault="00114FE1" w:rsidP="00C65120">
      <w:pPr>
        <w:pStyle w:val="ListBullet"/>
        <w:rPr>
          <w:rStyle w:val="Guidance"/>
        </w:rPr>
      </w:pPr>
      <w:r>
        <w:rPr>
          <w:rStyle w:val="Guidance"/>
        </w:rPr>
        <w:t>T</w:t>
      </w:r>
      <w:r w:rsidR="00C65120" w:rsidRPr="00A52CE8">
        <w:rPr>
          <w:rStyle w:val="Guidance"/>
        </w:rPr>
        <w:t>he amount of the adjustment relating to periods before those presented, to the extent practicable; and</w:t>
      </w:r>
    </w:p>
    <w:p w14:paraId="7700CBB3" w14:textId="59F91044" w:rsidR="00C65120" w:rsidRPr="001E3244" w:rsidRDefault="00114FE1" w:rsidP="00C65120">
      <w:pPr>
        <w:pStyle w:val="ListBullet"/>
        <w:rPr>
          <w:rStyle w:val="Guidance"/>
          <w:color w:val="FF0000"/>
        </w:rPr>
      </w:pPr>
      <w:r>
        <w:rPr>
          <w:rStyle w:val="Guidance"/>
        </w:rPr>
        <w:t>A</w:t>
      </w:r>
      <w:r w:rsidR="00C65120" w:rsidRPr="00A52CE8">
        <w:rPr>
          <w:rStyle w:val="Guidance"/>
        </w:rPr>
        <w:t xml:space="preserve">n explanation if it is impracticable to determine the amounts </w:t>
      </w:r>
      <w:r w:rsidR="00C65120" w:rsidRPr="001E3244">
        <w:rPr>
          <w:rStyle w:val="Guidance"/>
          <w:color w:val="C00000"/>
        </w:rPr>
        <w:t>[AASB 1060.106]</w:t>
      </w:r>
    </w:p>
    <w:p w14:paraId="749389AF" w14:textId="77777777" w:rsidR="00C65120" w:rsidRPr="00A52CE8" w:rsidRDefault="00C65120" w:rsidP="00C65120">
      <w:pPr>
        <w:pStyle w:val="ListBullet"/>
        <w:numPr>
          <w:ilvl w:val="0"/>
          <w:numId w:val="0"/>
        </w:numPr>
        <w:rPr>
          <w:rStyle w:val="Guidance"/>
        </w:rPr>
      </w:pPr>
      <w:r w:rsidRPr="00A52CE8">
        <w:rPr>
          <w:rStyle w:val="Guidance"/>
        </w:rPr>
        <w:t>Where an entity has selected a transition option under another Standard and there are specific transition disclosure requirements in that Standard, the entity shall apply the full transition disclosure requirements in that Standard instead of the requirements in paragraph 106. [AASB 1060.107]</w:t>
      </w:r>
    </w:p>
    <w:p w14:paraId="5B1601EC" w14:textId="77777777" w:rsidR="00C65120" w:rsidRPr="00A52CE8" w:rsidRDefault="00C65120" w:rsidP="00C65120">
      <w:pPr>
        <w:pStyle w:val="ListBullet"/>
        <w:numPr>
          <w:ilvl w:val="0"/>
          <w:numId w:val="0"/>
        </w:numPr>
        <w:rPr>
          <w:rStyle w:val="Guidance"/>
        </w:rPr>
      </w:pPr>
      <w:r w:rsidRPr="00A52CE8">
        <w:rPr>
          <w:rStyle w:val="Guidance"/>
        </w:rPr>
        <w:t xml:space="preserve">When a voluntary change in accounting policy </w:t>
      </w:r>
      <w:proofErr w:type="gramStart"/>
      <w:r w:rsidRPr="00A52CE8">
        <w:rPr>
          <w:rStyle w:val="Guidance"/>
        </w:rPr>
        <w:t>has an effect on</w:t>
      </w:r>
      <w:proofErr w:type="gramEnd"/>
      <w:r w:rsidRPr="00A52CE8">
        <w:rPr>
          <w:rStyle w:val="Guidance"/>
        </w:rPr>
        <w:t xml:space="preserve"> the current period or any prior period, an entity shall disclose the following:</w:t>
      </w:r>
    </w:p>
    <w:p w14:paraId="7654A49B" w14:textId="42F1D67F" w:rsidR="00C65120" w:rsidRPr="00A52CE8" w:rsidRDefault="00114FE1" w:rsidP="00C65120">
      <w:pPr>
        <w:pStyle w:val="ListBullet"/>
        <w:rPr>
          <w:rStyle w:val="Guidance"/>
        </w:rPr>
      </w:pPr>
      <w:r>
        <w:rPr>
          <w:rStyle w:val="Guidance"/>
        </w:rPr>
        <w:t>T</w:t>
      </w:r>
      <w:r w:rsidR="00C65120" w:rsidRPr="00A52CE8">
        <w:rPr>
          <w:rStyle w:val="Guidance"/>
        </w:rPr>
        <w:t>he nature of the change in accounting policy</w:t>
      </w:r>
    </w:p>
    <w:p w14:paraId="283BC166" w14:textId="52BE9F27" w:rsidR="00C65120" w:rsidRPr="00A52CE8" w:rsidRDefault="00114FE1" w:rsidP="00C65120">
      <w:pPr>
        <w:pStyle w:val="ListBullet"/>
        <w:rPr>
          <w:rStyle w:val="Guidance"/>
        </w:rPr>
      </w:pPr>
      <w:r>
        <w:rPr>
          <w:rStyle w:val="Guidance"/>
        </w:rPr>
        <w:t>T</w:t>
      </w:r>
      <w:r w:rsidR="00C65120" w:rsidRPr="00A52CE8">
        <w:rPr>
          <w:rStyle w:val="Guidance"/>
        </w:rPr>
        <w:t>he reasons why applying the new accounting policy provides reliable and more relevant information</w:t>
      </w:r>
    </w:p>
    <w:p w14:paraId="17773FE6" w14:textId="75EC6CE9" w:rsidR="00C65120" w:rsidRPr="00A52CE8" w:rsidRDefault="00114FE1" w:rsidP="00C65120">
      <w:pPr>
        <w:pStyle w:val="ListBullet"/>
        <w:rPr>
          <w:rStyle w:val="Guidance"/>
        </w:rPr>
      </w:pPr>
      <w:r>
        <w:rPr>
          <w:rStyle w:val="Guidance"/>
        </w:rPr>
        <w:t>T</w:t>
      </w:r>
      <w:r w:rsidR="00C65120" w:rsidRPr="00A52CE8">
        <w:rPr>
          <w:rStyle w:val="Guidance"/>
        </w:rPr>
        <w:t>o the extent practicable, the amount of the adjustment for each financial statement line item affected, shown separately:</w:t>
      </w:r>
    </w:p>
    <w:p w14:paraId="54DB05DD" w14:textId="77777777" w:rsidR="00C65120" w:rsidRPr="00A52CE8" w:rsidRDefault="00C65120" w:rsidP="00C65120">
      <w:pPr>
        <w:pStyle w:val="ListBullet"/>
        <w:numPr>
          <w:ilvl w:val="0"/>
          <w:numId w:val="408"/>
        </w:numPr>
        <w:rPr>
          <w:rStyle w:val="Guidance"/>
        </w:rPr>
      </w:pPr>
      <w:r w:rsidRPr="00A52CE8">
        <w:rPr>
          <w:rStyle w:val="Guidance"/>
        </w:rPr>
        <w:t>for the current period</w:t>
      </w:r>
    </w:p>
    <w:p w14:paraId="717CC8AC" w14:textId="77777777" w:rsidR="00C65120" w:rsidRPr="00A52CE8" w:rsidRDefault="00C65120" w:rsidP="00C65120">
      <w:pPr>
        <w:pStyle w:val="ListBullet"/>
        <w:numPr>
          <w:ilvl w:val="0"/>
          <w:numId w:val="408"/>
        </w:numPr>
        <w:rPr>
          <w:rStyle w:val="Guidance"/>
        </w:rPr>
      </w:pPr>
      <w:r w:rsidRPr="00A52CE8">
        <w:rPr>
          <w:rStyle w:val="Guidance"/>
        </w:rPr>
        <w:t>for each prior period presented</w:t>
      </w:r>
    </w:p>
    <w:p w14:paraId="5B2B6312" w14:textId="77777777" w:rsidR="00C65120" w:rsidRPr="00A52CE8" w:rsidRDefault="00C65120" w:rsidP="00C65120">
      <w:pPr>
        <w:pStyle w:val="ListBullet"/>
        <w:numPr>
          <w:ilvl w:val="0"/>
          <w:numId w:val="408"/>
        </w:numPr>
        <w:rPr>
          <w:rStyle w:val="Guidance"/>
        </w:rPr>
      </w:pPr>
      <w:r w:rsidRPr="00A52CE8">
        <w:rPr>
          <w:rStyle w:val="Guidance"/>
        </w:rPr>
        <w:t>in the aggregate for periods before those presented; and</w:t>
      </w:r>
    </w:p>
    <w:p w14:paraId="2A849BA8" w14:textId="77777777" w:rsidR="00C65120" w:rsidRPr="00A52CE8" w:rsidRDefault="00C65120" w:rsidP="00C65120">
      <w:pPr>
        <w:pStyle w:val="ListBullet"/>
        <w:numPr>
          <w:ilvl w:val="0"/>
          <w:numId w:val="408"/>
        </w:numPr>
        <w:rPr>
          <w:rStyle w:val="Guidance"/>
        </w:rPr>
      </w:pPr>
      <w:r w:rsidRPr="00A52CE8">
        <w:rPr>
          <w:rStyle w:val="Guidance"/>
        </w:rPr>
        <w:t>an explanation if it is impracticable to determine the amounts to be disclosed.</w:t>
      </w:r>
    </w:p>
    <w:p w14:paraId="3C544802" w14:textId="77777777" w:rsidR="00C65120" w:rsidRPr="00C65120" w:rsidRDefault="00C65120" w:rsidP="00C65120">
      <w:pPr>
        <w:pStyle w:val="ListBullet"/>
        <w:numPr>
          <w:ilvl w:val="0"/>
          <w:numId w:val="0"/>
        </w:numPr>
        <w:ind w:left="360" w:hanging="360"/>
        <w:rPr>
          <w:rStyle w:val="Guidance"/>
          <w:color w:val="FF0000"/>
        </w:rPr>
      </w:pPr>
      <w:r w:rsidRPr="00C65120">
        <w:rPr>
          <w:rStyle w:val="Guidance"/>
        </w:rPr>
        <w:t xml:space="preserve">Financial statements of subsequent periods need not repeat these disclosures. </w:t>
      </w:r>
      <w:r w:rsidRPr="00C65120">
        <w:rPr>
          <w:rStyle w:val="Guidance"/>
          <w:color w:val="C00000"/>
        </w:rPr>
        <w:t>[AASB 1060.108]</w:t>
      </w:r>
    </w:p>
    <w:p w14:paraId="085B559D" w14:textId="77777777" w:rsidR="00C65120" w:rsidRPr="00593016" w:rsidRDefault="00C65120" w:rsidP="00C65120">
      <w:pPr>
        <w:rPr>
          <w:rStyle w:val="Guidance"/>
          <w:b/>
          <w:bCs/>
          <w:i/>
          <w:iCs/>
          <w:sz w:val="20"/>
          <w:szCs w:val="20"/>
        </w:rPr>
      </w:pPr>
      <w:r w:rsidRPr="00593016">
        <w:rPr>
          <w:rStyle w:val="Guidance"/>
          <w:b/>
          <w:sz w:val="20"/>
          <w:szCs w:val="20"/>
        </w:rPr>
        <w:t xml:space="preserve">Change in accounting policy due to the amendments to FRD 104 </w:t>
      </w:r>
      <w:r w:rsidRPr="00593016">
        <w:rPr>
          <w:rStyle w:val="Guidance"/>
          <w:b/>
          <w:i/>
          <w:sz w:val="20"/>
          <w:szCs w:val="20"/>
        </w:rPr>
        <w:t>Leases</w:t>
      </w:r>
    </w:p>
    <w:p w14:paraId="32F01631" w14:textId="77777777" w:rsidR="00C65120" w:rsidRPr="00593016" w:rsidRDefault="00C65120" w:rsidP="00C65120">
      <w:pPr>
        <w:jc w:val="both"/>
        <w:rPr>
          <w:color w:val="4472C4" w:themeColor="accent1"/>
        </w:rPr>
      </w:pPr>
      <w:r w:rsidRPr="00593016">
        <w:rPr>
          <w:rStyle w:val="Guidance"/>
        </w:rPr>
        <w:t>The Department of Treasury and Finance has updated FRD 104 to mandate the use of the cost model for all right-of-use assets for reporting periods ending on or after 30 June 2026. As such, e</w:t>
      </w:r>
      <w:r w:rsidRPr="00593016">
        <w:rPr>
          <w:color w:val="4472C4" w:themeColor="accent1"/>
        </w:rPr>
        <w:t>ntities will need to disclose a change in accounting policy for the change in measurement basis from the revaluation model to the cost model for subsequent measurement of right-of-use assets arising from market leases, in accordance with the updated requirements under FRD 104.</w:t>
      </w:r>
    </w:p>
    <w:p w14:paraId="3F902B72" w14:textId="77777777" w:rsidR="00C65120" w:rsidRPr="00593016" w:rsidRDefault="00C65120" w:rsidP="00C65120">
      <w:pPr>
        <w:jc w:val="both"/>
        <w:rPr>
          <w:color w:val="4472C4" w:themeColor="accent1"/>
        </w:rPr>
      </w:pPr>
      <w:r w:rsidRPr="00593016">
        <w:rPr>
          <w:b/>
          <w:color w:val="4472C4" w:themeColor="accent1"/>
        </w:rPr>
        <w:t xml:space="preserve">Transitional requirements for lessees: </w:t>
      </w:r>
      <w:r w:rsidRPr="00593016">
        <w:rPr>
          <w:color w:val="4472C4" w:themeColor="accent1"/>
        </w:rPr>
        <w:t>Entities will transition to the cost model using the modified retrospective approach, which is consistent with the approach taken for the transition of finance leases from AASB 117 to AASB 16.</w:t>
      </w:r>
    </w:p>
    <w:p w14:paraId="18DF7F7F" w14:textId="77777777" w:rsidR="00C65120" w:rsidRPr="00593016" w:rsidRDefault="00C65120" w:rsidP="00C65120">
      <w:pPr>
        <w:jc w:val="both"/>
        <w:rPr>
          <w:color w:val="4472C4" w:themeColor="accent1"/>
        </w:rPr>
      </w:pPr>
      <w:r w:rsidRPr="00593016">
        <w:rPr>
          <w:color w:val="4472C4" w:themeColor="accent1"/>
        </w:rPr>
        <w:t>Under the modified retrospective approach:</w:t>
      </w:r>
    </w:p>
    <w:p w14:paraId="512ADEC3" w14:textId="0A1B2D5F" w:rsidR="00C65120" w:rsidRPr="00593016" w:rsidRDefault="00C65120" w:rsidP="00C65120">
      <w:pPr>
        <w:pStyle w:val="ListParagraph"/>
        <w:numPr>
          <w:ilvl w:val="0"/>
          <w:numId w:val="409"/>
        </w:numPr>
        <w:rPr>
          <w:color w:val="4472C4" w:themeColor="accent1"/>
        </w:rPr>
      </w:pPr>
      <w:r w:rsidRPr="00593016">
        <w:rPr>
          <w:color w:val="4472C4" w:themeColor="accent1"/>
        </w:rPr>
        <w:t>at transition, the closing carrying amounts of the right-of-use asset under the revaluation model from the reporting period prior to transition</w:t>
      </w:r>
      <w:r w:rsidR="005C24AB">
        <w:rPr>
          <w:rStyle w:val="FootnoteReference"/>
          <w:color w:val="4472C4" w:themeColor="accent1"/>
        </w:rPr>
        <w:footnoteReference w:id="3"/>
      </w:r>
      <w:r w:rsidRPr="00593016">
        <w:rPr>
          <w:color w:val="4472C4" w:themeColor="accent1"/>
        </w:rPr>
        <w:t xml:space="preserve"> become the opening carrying amounts under the cost model</w:t>
      </w:r>
    </w:p>
    <w:p w14:paraId="74B0BE72" w14:textId="77777777" w:rsidR="00C65120" w:rsidRPr="00C65120" w:rsidRDefault="00C65120" w:rsidP="00C65120">
      <w:pPr>
        <w:pStyle w:val="ListParagraph"/>
        <w:numPr>
          <w:ilvl w:val="0"/>
          <w:numId w:val="409"/>
        </w:numPr>
        <w:rPr>
          <w:color w:val="4472C4" w:themeColor="accent1"/>
        </w:rPr>
      </w:pPr>
      <w:r w:rsidRPr="00C65120">
        <w:rPr>
          <w:color w:val="4472C4" w:themeColor="accent1"/>
        </w:rPr>
        <w:t>comparative balances should not be restated; and</w:t>
      </w:r>
    </w:p>
    <w:p w14:paraId="3B8712ED" w14:textId="77777777" w:rsidR="00C65120" w:rsidRPr="00593016" w:rsidRDefault="00C65120" w:rsidP="00C65120">
      <w:pPr>
        <w:pStyle w:val="ListParagraph"/>
        <w:numPr>
          <w:ilvl w:val="0"/>
          <w:numId w:val="409"/>
        </w:numPr>
        <w:jc w:val="both"/>
        <w:rPr>
          <w:color w:val="4472C4" w:themeColor="accent1"/>
        </w:rPr>
      </w:pPr>
      <w:r w:rsidRPr="00593016">
        <w:rPr>
          <w:color w:val="4472C4" w:themeColor="accent1"/>
        </w:rPr>
        <w:t>following transition, entities must measure right-of-use assets at cost less accumulated depreciation, impairment and adjustment for the lease liability. Entities must complete impairment testing at the end of each reporting period in accordance with AASB 136.</w:t>
      </w:r>
    </w:p>
    <w:p w14:paraId="47EDDD26" w14:textId="5D1A329B" w:rsidR="00C65120" w:rsidRDefault="00C65120" w:rsidP="00E51206">
      <w:pPr>
        <w:pBdr>
          <w:bottom w:val="single" w:sz="24" w:space="1" w:color="4472C4" w:themeColor="accent1"/>
        </w:pBdr>
        <w:rPr>
          <w:i/>
          <w:color w:val="4472C4" w:themeColor="accent1"/>
        </w:rPr>
      </w:pPr>
      <w:r w:rsidRPr="00593016">
        <w:rPr>
          <w:color w:val="4472C4" w:themeColor="accent1"/>
        </w:rPr>
        <w:t xml:space="preserve">For further guidance on the application of the cost model for right-of-use assets, please refer to </w:t>
      </w:r>
      <w:hyperlink r:id="rId119" w:history="1">
        <w:r w:rsidR="00E51206">
          <w:rPr>
            <w:rStyle w:val="Hyperlink"/>
            <w:i/>
          </w:rPr>
          <w:t>https://www.dtf.vic.gov.au/financial-reporting-directions-and-guidance</w:t>
        </w:r>
      </w:hyperlink>
      <w:r w:rsidR="00E51206">
        <w:rPr>
          <w:iCs/>
          <w:color w:val="4472C4" w:themeColor="accent1"/>
        </w:rPr>
        <w:t>.</w:t>
      </w:r>
      <w:r>
        <w:rPr>
          <w:i/>
          <w:color w:val="4472C4" w:themeColor="accent1"/>
        </w:rPr>
        <w:t xml:space="preserve">                                                                                                                                                                  </w:t>
      </w:r>
    </w:p>
    <w:p w14:paraId="4D912073" w14:textId="22ED3619" w:rsidR="003719CD" w:rsidRDefault="003719CD" w:rsidP="007762BE">
      <w:pPr>
        <w:pStyle w:val="Heading2numbered"/>
      </w:pPr>
      <w:bookmarkStart w:id="10789" w:name="_Toc222999584"/>
      <w:r>
        <w:t>Responsible persons</w:t>
      </w:r>
      <w:bookmarkEnd w:id="10777"/>
      <w:bookmarkEnd w:id="10778"/>
      <w:bookmarkEnd w:id="10779"/>
      <w:bookmarkEnd w:id="10780"/>
      <w:bookmarkEnd w:id="10781"/>
      <w:bookmarkEnd w:id="10782"/>
      <w:bookmarkEnd w:id="10783"/>
      <w:bookmarkEnd w:id="10784"/>
      <w:bookmarkEnd w:id="10785"/>
      <w:bookmarkEnd w:id="10786"/>
      <w:bookmarkEnd w:id="10787"/>
      <w:bookmarkEnd w:id="10788"/>
      <w:bookmarkEnd w:id="10789"/>
    </w:p>
    <w:p w14:paraId="5396B0AC" w14:textId="01B47B69" w:rsidR="003719CD" w:rsidRDefault="003719CD" w:rsidP="00DC39DE">
      <w:r>
        <w:t xml:space="preserve">In accordance with the Ministerial Directions issued by the </w:t>
      </w:r>
      <w:r w:rsidR="004844DA">
        <w:rPr>
          <w:rFonts w:hint="eastAsia"/>
          <w:lang w:eastAsia="zh-CN"/>
        </w:rPr>
        <w:t>Minister for Finance</w:t>
      </w:r>
      <w:r>
        <w:t xml:space="preserve"> under the </w:t>
      </w:r>
      <w:r w:rsidRPr="004F78D7">
        <w:rPr>
          <w:i/>
          <w:iCs/>
        </w:rPr>
        <w:t>Financial Management Act 1994</w:t>
      </w:r>
      <w:r>
        <w:t xml:space="preserve"> (FMA), the following disclosures are made regarding responsible persons for the reporting period.</w:t>
      </w:r>
    </w:p>
    <w:p w14:paraId="5704889B" w14:textId="77777777" w:rsidR="003719CD" w:rsidRDefault="003719CD" w:rsidP="007D536F">
      <w:pPr>
        <w:pStyle w:val="Heading3"/>
      </w:pPr>
      <w:bookmarkStart w:id="10790" w:name="_Toc179816777"/>
      <w:bookmarkStart w:id="10791" w:name="_Toc179822477"/>
      <w:bookmarkStart w:id="10792" w:name="_Toc179828177"/>
      <w:bookmarkStart w:id="10793" w:name="_Toc179833818"/>
      <w:bookmarkStart w:id="10794" w:name="_Toc179865348"/>
      <w:r>
        <w:t>Names</w:t>
      </w:r>
      <w:bookmarkEnd w:id="10790"/>
      <w:bookmarkEnd w:id="10791"/>
      <w:bookmarkEnd w:id="10792"/>
      <w:bookmarkEnd w:id="10793"/>
      <w:bookmarkEnd w:id="10794"/>
    </w:p>
    <w:p w14:paraId="63F97F25" w14:textId="5A0CAED0" w:rsidR="003719CD" w:rsidRDefault="003719CD" w:rsidP="00DC39DE">
      <w:r>
        <w:t xml:space="preserve">The persons who held the positions of Ministers and Accountable Officers in </w:t>
      </w:r>
      <w:r w:rsidR="006B48BC">
        <w:t>TV</w:t>
      </w:r>
      <w:r>
        <w:t xml:space="preserve"> are as follows:</w:t>
      </w:r>
    </w:p>
    <w:p w14:paraId="758F8A4D" w14:textId="4B54B067" w:rsidR="003719CD" w:rsidRDefault="003719CD" w:rsidP="007D536F">
      <w:pPr>
        <w:tabs>
          <w:tab w:val="left" w:pos="567"/>
          <w:tab w:val="left" w:pos="3119"/>
          <w:tab w:val="left" w:pos="6237"/>
        </w:tabs>
      </w:pPr>
      <w:r>
        <w:tab/>
        <w:t>Minister for Technology</w:t>
      </w:r>
      <w:r>
        <w:tab/>
        <w:t xml:space="preserve">The Hon. John Bristol MP </w:t>
      </w:r>
      <w:r>
        <w:tab/>
        <w:t xml:space="preserve">1 July </w:t>
      </w:r>
      <w:fldSimple w:instr="DOCPROPERTY  YearPrevious  \* MERGEFORMAT">
        <w:r w:rsidR="0054242A">
          <w:t>20X1</w:t>
        </w:r>
      </w:fldSimple>
      <w:r>
        <w:t xml:space="preserve"> to 30 June </w:t>
      </w:r>
      <w:fldSimple w:instr="DOCPROPERTY  YearCurrent  \* MERGEFORMAT">
        <w:r w:rsidR="0054242A">
          <w:t>20X2</w:t>
        </w:r>
      </w:fldSimple>
    </w:p>
    <w:p w14:paraId="1EB9A057" w14:textId="0671016F" w:rsidR="003719CD" w:rsidRDefault="003719CD" w:rsidP="007D536F">
      <w:pPr>
        <w:tabs>
          <w:tab w:val="left" w:pos="567"/>
          <w:tab w:val="left" w:pos="3119"/>
          <w:tab w:val="left" w:pos="6237"/>
        </w:tabs>
      </w:pPr>
      <w:r>
        <w:tab/>
        <w:t>Minister for Biotechnology</w:t>
      </w:r>
      <w:r>
        <w:tab/>
        <w:t xml:space="preserve">The Hon. Laura Toddington MP </w:t>
      </w:r>
      <w:r>
        <w:tab/>
        <w:t xml:space="preserve">1 July </w:t>
      </w:r>
      <w:fldSimple w:instr="DOCPROPERTY  YearPrevious  \* MERGEFORMAT">
        <w:r w:rsidR="0054242A">
          <w:t>20X1</w:t>
        </w:r>
      </w:fldSimple>
      <w:r>
        <w:t xml:space="preserve"> to 30 June </w:t>
      </w:r>
      <w:fldSimple w:instr="DOCPROPERTY  YearCurrent  \* MERGEFORMAT">
        <w:r w:rsidR="0054242A">
          <w:t>20X2</w:t>
        </w:r>
      </w:fldSimple>
    </w:p>
    <w:p w14:paraId="5248E087" w14:textId="4FA83967" w:rsidR="003719CD" w:rsidRDefault="003719CD" w:rsidP="007D536F">
      <w:pPr>
        <w:tabs>
          <w:tab w:val="left" w:pos="567"/>
          <w:tab w:val="left" w:pos="3119"/>
          <w:tab w:val="left" w:pos="6237"/>
        </w:tabs>
      </w:pPr>
      <w:r>
        <w:tab/>
      </w:r>
      <w:r w:rsidR="00095FBA">
        <w:t>Chief Executive Officer</w:t>
      </w:r>
      <w:r>
        <w:tab/>
        <w:t xml:space="preserve">Ms Jane Smith </w:t>
      </w:r>
      <w:r>
        <w:tab/>
        <w:t xml:space="preserve">1 July </w:t>
      </w:r>
      <w:fldSimple w:instr="DOCPROPERTY  YearPrevious  \* MERGEFORMAT">
        <w:r w:rsidR="0054242A">
          <w:t>20X1</w:t>
        </w:r>
      </w:fldSimple>
      <w:r>
        <w:t xml:space="preserve"> to 30 June </w:t>
      </w:r>
      <w:fldSimple w:instr="DOCPROPERTY  YearCurrent  \* MERGEFORMAT">
        <w:r w:rsidR="0054242A">
          <w:t>20X2</w:t>
        </w:r>
      </w:fldSimple>
    </w:p>
    <w:p w14:paraId="50DA7A5A" w14:textId="77777777" w:rsidR="003719CD" w:rsidRDefault="003719CD" w:rsidP="007D536F">
      <w:pPr>
        <w:pStyle w:val="Heading3"/>
      </w:pPr>
      <w:bookmarkStart w:id="10795" w:name="_Toc179816778"/>
      <w:bookmarkStart w:id="10796" w:name="_Toc179822478"/>
      <w:bookmarkStart w:id="10797" w:name="_Toc179828178"/>
      <w:bookmarkStart w:id="10798" w:name="_Toc179833819"/>
      <w:bookmarkStart w:id="10799" w:name="_Toc179865349"/>
      <w:r>
        <w:t>Remuneration</w:t>
      </w:r>
      <w:bookmarkEnd w:id="10795"/>
      <w:bookmarkEnd w:id="10796"/>
      <w:bookmarkEnd w:id="10797"/>
      <w:bookmarkEnd w:id="10798"/>
      <w:bookmarkEnd w:id="10799"/>
    </w:p>
    <w:p w14:paraId="6894AA55" w14:textId="18FC3A9C" w:rsidR="003719CD" w:rsidRDefault="003719CD" w:rsidP="00DC39DE">
      <w:r>
        <w:t xml:space="preserve">Remuneration received or receivable by the Accountable Officer in connection with the management of </w:t>
      </w:r>
      <w:r w:rsidR="006B48BC">
        <w:t>TV</w:t>
      </w:r>
      <w:r>
        <w:t xml:space="preserve"> during the reporting period was in the range: $460 000–469 000 (</w:t>
      </w:r>
      <w:fldSimple w:instr="DOCPROPERTY  YearPrevious  \* MERGEFORMAT">
        <w:r w:rsidR="0054242A">
          <w:t>20X1</w:t>
        </w:r>
      </w:fldSimple>
      <w:r>
        <w:t>: $450 000–459 000).</w:t>
      </w:r>
    </w:p>
    <w:p w14:paraId="6D05698E" w14:textId="77777777" w:rsidR="00A74743" w:rsidRDefault="00A74743" w:rsidP="00DC39DE"/>
    <w:p w14:paraId="2A575E57" w14:textId="44541720" w:rsidR="003719CD" w:rsidRDefault="003719CD" w:rsidP="007D536F">
      <w:pPr>
        <w:pStyle w:val="GuidanceBlockHeading"/>
      </w:pPr>
      <w:bookmarkStart w:id="10800" w:name="_Toc179816779"/>
      <w:bookmarkStart w:id="10801" w:name="_Toc179822479"/>
      <w:bookmarkStart w:id="10802" w:name="_Toc179828179"/>
      <w:r>
        <w:t>Guidance – Responsible persons</w:t>
      </w:r>
      <w:bookmarkEnd w:id="10800"/>
      <w:bookmarkEnd w:id="10801"/>
      <w:bookmarkEnd w:id="10802"/>
      <w:r w:rsidR="00095FBA">
        <w:t xml:space="preserve"> [REVISED]</w:t>
      </w:r>
    </w:p>
    <w:p w14:paraId="4FD9FE38" w14:textId="03AEFE7C" w:rsidR="00AB385F" w:rsidRPr="00AB385F" w:rsidRDefault="003719CD" w:rsidP="002A0038">
      <w:pPr>
        <w:spacing w:before="120" w:after="0"/>
        <w:rPr>
          <w:rStyle w:val="Guidance"/>
          <w:rFonts w:asciiTheme="majorHAnsi" w:eastAsiaTheme="majorEastAsia" w:hAnsiTheme="majorHAnsi" w:cstheme="majorBidi"/>
          <w:b/>
          <w:bCs/>
          <w:iCs/>
          <w:sz w:val="20"/>
          <w:szCs w:val="24"/>
        </w:rPr>
      </w:pPr>
      <w:r w:rsidRPr="004F78D7">
        <w:rPr>
          <w:rStyle w:val="Guidance"/>
        </w:rPr>
        <w:t xml:space="preserve">The disclosure requirements of FRD 21 </w:t>
      </w:r>
      <w:r w:rsidRPr="004F78D7">
        <w:rPr>
          <w:rStyle w:val="Guidance"/>
          <w:i/>
          <w:iCs/>
        </w:rPr>
        <w:t>Disclosures of responsible persons and executive officers in the financial report</w:t>
      </w:r>
      <w:r w:rsidRPr="004F78D7">
        <w:rPr>
          <w:rStyle w:val="Guidance"/>
        </w:rPr>
        <w:t xml:space="preserve"> re</w:t>
      </w:r>
      <w:r w:rsidR="00AB385F">
        <w:rPr>
          <w:rStyle w:val="Guidance"/>
          <w:rFonts w:hint="eastAsia"/>
          <w:lang w:eastAsia="zh-CN"/>
        </w:rPr>
        <w:t>quires that t</w:t>
      </w:r>
      <w:r w:rsidR="00AB385F" w:rsidRPr="00AB385F">
        <w:rPr>
          <w:rStyle w:val="Guidance"/>
        </w:rPr>
        <w:t xml:space="preserve">he financial report of a reporting entity must disclose the following in relation to responsible persons </w:t>
      </w:r>
      <w:r w:rsidR="00095FBA">
        <w:rPr>
          <w:rStyle w:val="Guidance"/>
        </w:rPr>
        <w:t>(</w:t>
      </w:r>
      <w:r w:rsidR="000C5360">
        <w:rPr>
          <w:rStyle w:val="Guidance"/>
        </w:rPr>
        <w:t>such as</w:t>
      </w:r>
      <w:r w:rsidR="00095FBA">
        <w:rPr>
          <w:rStyle w:val="Guidance"/>
        </w:rPr>
        <w:t xml:space="preserve"> the relevant Minister, the accountable officer and members of the governing boards, trustees or boards of management) </w:t>
      </w:r>
      <w:r w:rsidR="00AB385F" w:rsidRPr="00AB385F">
        <w:rPr>
          <w:rStyle w:val="Guidance"/>
        </w:rPr>
        <w:t>at any time during the reporting period:</w:t>
      </w:r>
    </w:p>
    <w:p w14:paraId="78FA90C4" w14:textId="6B659B42" w:rsidR="00AB385F" w:rsidRPr="00AB385F" w:rsidRDefault="000E01AF" w:rsidP="002A0038">
      <w:pPr>
        <w:pStyle w:val="ListParagraph"/>
        <w:numPr>
          <w:ilvl w:val="0"/>
          <w:numId w:val="361"/>
        </w:numPr>
        <w:spacing w:before="40" w:line="264" w:lineRule="auto"/>
        <w:rPr>
          <w:rStyle w:val="Guidance"/>
        </w:rPr>
      </w:pPr>
      <w:r>
        <w:rPr>
          <w:rStyle w:val="Guidance"/>
        </w:rPr>
        <w:t>T</w:t>
      </w:r>
      <w:r w:rsidR="00AB385F" w:rsidRPr="00AB385F">
        <w:rPr>
          <w:rStyle w:val="Guidance"/>
        </w:rPr>
        <w:t xml:space="preserve">he number of responsible persons </w:t>
      </w:r>
    </w:p>
    <w:p w14:paraId="3F90BB05" w14:textId="3402265E" w:rsidR="00AB385F" w:rsidRPr="00AB385F" w:rsidRDefault="000E01AF" w:rsidP="002A0038">
      <w:pPr>
        <w:pStyle w:val="ListParagraph"/>
        <w:numPr>
          <w:ilvl w:val="0"/>
          <w:numId w:val="361"/>
        </w:numPr>
        <w:spacing w:before="40" w:line="264" w:lineRule="auto"/>
        <w:rPr>
          <w:rStyle w:val="Guidance"/>
        </w:rPr>
      </w:pPr>
      <w:r>
        <w:rPr>
          <w:rStyle w:val="Guidance"/>
        </w:rPr>
        <w:t>T</w:t>
      </w:r>
      <w:r w:rsidR="00AB385F" w:rsidRPr="00AB385F">
        <w:rPr>
          <w:rStyle w:val="Guidance"/>
        </w:rPr>
        <w:t>he name of each person holding a position of responsible person</w:t>
      </w:r>
    </w:p>
    <w:p w14:paraId="2E63868F" w14:textId="5186B37F" w:rsidR="00AB385F" w:rsidRPr="00AB385F" w:rsidRDefault="000E01AF" w:rsidP="002A0038">
      <w:pPr>
        <w:pStyle w:val="ListParagraph"/>
        <w:numPr>
          <w:ilvl w:val="0"/>
          <w:numId w:val="361"/>
        </w:numPr>
        <w:spacing w:before="40" w:line="264" w:lineRule="auto"/>
        <w:rPr>
          <w:rStyle w:val="Guidance"/>
        </w:rPr>
      </w:pPr>
      <w:r>
        <w:rPr>
          <w:rStyle w:val="Guidance"/>
        </w:rPr>
        <w:t>T</w:t>
      </w:r>
      <w:r w:rsidR="00AB385F" w:rsidRPr="00AB385F">
        <w:rPr>
          <w:rStyle w:val="Guidance"/>
        </w:rPr>
        <w:t xml:space="preserve">he total remuneration received within a $10 000 range. </w:t>
      </w:r>
    </w:p>
    <w:p w14:paraId="74CAF2D0" w14:textId="47E3BDE2" w:rsidR="003719CD" w:rsidRPr="004F78D7" w:rsidRDefault="00AB385F" w:rsidP="002A0038">
      <w:pPr>
        <w:spacing w:before="120" w:after="0"/>
        <w:rPr>
          <w:rStyle w:val="Guidance"/>
        </w:rPr>
      </w:pPr>
      <w:r w:rsidRPr="00AB385F">
        <w:rPr>
          <w:rStyle w:val="Guidance"/>
        </w:rPr>
        <w:t>The names of the relevant Ministers at any time during the reporting period must be disclosed. Ministerial remuneration is only to be disclosed in the financial report of the Department of Parliamentary Services.</w:t>
      </w:r>
      <w:r w:rsidRPr="004F78D7" w:rsidDel="00AB385F">
        <w:rPr>
          <w:rStyle w:val="Guidance"/>
        </w:rPr>
        <w:t xml:space="preserve"> </w:t>
      </w:r>
    </w:p>
    <w:p w14:paraId="7A74DD97" w14:textId="6965ACBD" w:rsidR="003719CD" w:rsidRPr="004F78D7" w:rsidRDefault="003719CD" w:rsidP="002A0038">
      <w:pPr>
        <w:spacing w:before="120" w:after="0"/>
        <w:rPr>
          <w:rStyle w:val="Guidance"/>
        </w:rPr>
      </w:pPr>
      <w:r w:rsidRPr="004F78D7">
        <w:rPr>
          <w:rStyle w:val="Guidance"/>
        </w:rPr>
        <w:t>For further disclosure guidance in relation to responsible persons, please refer to FRD 21.</w:t>
      </w:r>
    </w:p>
    <w:p w14:paraId="7065D154" w14:textId="77777777" w:rsidR="003719CD" w:rsidRDefault="003719CD" w:rsidP="007D536F">
      <w:pPr>
        <w:pStyle w:val="GuidanceEnd"/>
      </w:pPr>
    </w:p>
    <w:p w14:paraId="0D1C7DE1" w14:textId="63A34A3F" w:rsidR="003719CD" w:rsidRDefault="003719CD" w:rsidP="007762BE">
      <w:pPr>
        <w:pStyle w:val="Heading2numbered"/>
      </w:pPr>
      <w:bookmarkStart w:id="10803" w:name="_Toc64983183"/>
      <w:bookmarkStart w:id="10804" w:name="_Toc96709990"/>
      <w:bookmarkStart w:id="10805" w:name="_Toc179816780"/>
      <w:bookmarkStart w:id="10806" w:name="_Toc179822480"/>
      <w:bookmarkStart w:id="10807" w:name="_Toc179828180"/>
      <w:bookmarkStart w:id="10808" w:name="_Toc179833820"/>
      <w:bookmarkStart w:id="10809" w:name="_Toc179865350"/>
      <w:bookmarkStart w:id="10810" w:name="_Toc179871455"/>
      <w:bookmarkStart w:id="10811" w:name="_Toc179875848"/>
      <w:bookmarkStart w:id="10812" w:name="_Toc179880241"/>
      <w:bookmarkStart w:id="10813" w:name="_Toc179880334"/>
      <w:bookmarkStart w:id="10814" w:name="_Toc190333408"/>
      <w:bookmarkStart w:id="10815" w:name="_Toc222999585"/>
      <w:r>
        <w:t>Remuneration of executives</w:t>
      </w:r>
      <w:bookmarkEnd w:id="10803"/>
      <w:bookmarkEnd w:id="10804"/>
      <w:bookmarkEnd w:id="10805"/>
      <w:bookmarkEnd w:id="10806"/>
      <w:bookmarkEnd w:id="10807"/>
      <w:bookmarkEnd w:id="10808"/>
      <w:bookmarkEnd w:id="10809"/>
      <w:bookmarkEnd w:id="10810"/>
      <w:bookmarkEnd w:id="10811"/>
      <w:bookmarkEnd w:id="10812"/>
      <w:bookmarkEnd w:id="10813"/>
      <w:bookmarkEnd w:id="10814"/>
      <w:r w:rsidR="001259FF">
        <w:t xml:space="preserve"> </w:t>
      </w:r>
      <w:r w:rsidR="001259FF" w:rsidRPr="00E51206">
        <w:rPr>
          <w:color w:val="C00000"/>
        </w:rPr>
        <w:t>[REVISED]</w:t>
      </w:r>
      <w:bookmarkEnd w:id="10815"/>
    </w:p>
    <w:p w14:paraId="734D6CBD" w14:textId="37A0F6B0" w:rsidR="003719CD" w:rsidRDefault="003719CD" w:rsidP="00DC39DE">
      <w:r>
        <w:t xml:space="preserve">The number of </w:t>
      </w:r>
      <w:r w:rsidR="002333AB">
        <w:t xml:space="preserve">senior </w:t>
      </w:r>
      <w:r>
        <w:t xml:space="preserve">executive </w:t>
      </w:r>
      <w:r w:rsidR="002333AB">
        <w:t>service members</w:t>
      </w:r>
      <w:r>
        <w:t xml:space="preserve">, other than Ministers and accountable officers, and their total remuneration during the reporting period are shown in the table </w:t>
      </w:r>
      <w:r w:rsidR="009A6B2E">
        <w:t>below</w:t>
      </w:r>
      <w:r>
        <w:t xml:space="preserve">. Total annualised employee equivalents </w:t>
      </w:r>
      <w:r w:rsidR="00DF63AA">
        <w:t>provide</w:t>
      </w:r>
      <w:r>
        <w:t xml:space="preserve"> a measure of full time equivalent executive officers over the reporting period.</w:t>
      </w:r>
    </w:p>
    <w:p w14:paraId="7C518844" w14:textId="24A05F5D" w:rsidR="003719CD" w:rsidRDefault="003719CD" w:rsidP="00DC39DE">
      <w:r>
        <w:t xml:space="preserve">Remuneration comprises employee benefits (as defined in </w:t>
      </w:r>
      <w:r w:rsidR="0007383E">
        <w:t>AASB </w:t>
      </w:r>
      <w:r>
        <w:t xml:space="preserve">119 </w:t>
      </w:r>
      <w:r w:rsidRPr="07146F38">
        <w:rPr>
          <w:i/>
          <w:iCs/>
        </w:rPr>
        <w:t>Employee Benefits</w:t>
      </w:r>
      <w:r>
        <w:t>) in all forms of consideration paid, payable or provided by the entity, or on behalf of the entity, in exchange for services rendered. Accordingly, remuneration is determined on an accrual basis</w:t>
      </w:r>
      <w:r w:rsidR="48D13D6C">
        <w:t>.</w:t>
      </w:r>
    </w:p>
    <w:p w14:paraId="68939882" w14:textId="6DB04917" w:rsidR="003719CD" w:rsidRDefault="003719CD" w:rsidP="00DC39DE">
      <w:pPr>
        <w:rPr>
          <w:rStyle w:val="Reference"/>
        </w:rPr>
      </w:pPr>
      <w:r>
        <w:t xml:space="preserve">Several factors affected total remuneration payable to executives over the year. </w:t>
      </w:r>
      <w:proofErr w:type="gramStart"/>
      <w:r>
        <w:t>A number of</w:t>
      </w:r>
      <w:proofErr w:type="gramEnd"/>
      <w:r>
        <w:t xml:space="preserve"> employment contracts were completed and renegotiated and </w:t>
      </w:r>
      <w:proofErr w:type="gramStart"/>
      <w:r>
        <w:t>a number of</w:t>
      </w:r>
      <w:proofErr w:type="gramEnd"/>
      <w:r>
        <w:t xml:space="preserve"> </w:t>
      </w:r>
      <w:r w:rsidR="00E227CB">
        <w:t xml:space="preserve">senior </w:t>
      </w:r>
      <w:r>
        <w:t xml:space="preserve">executive </w:t>
      </w:r>
      <w:r w:rsidR="00E227CB">
        <w:t>service members</w:t>
      </w:r>
      <w:r>
        <w:t xml:space="preserve"> retired, resigned or were retrenched in the past year</w:t>
      </w:r>
      <w:r w:rsidR="000D34BD">
        <w:t>.</w:t>
      </w:r>
    </w:p>
    <w:p w14:paraId="014EAA5E" w14:textId="77777777" w:rsidR="003719CD" w:rsidRDefault="003719CD" w:rsidP="007D536F">
      <w:pPr>
        <w:pStyle w:val="TableUnits"/>
      </w:pPr>
      <w:r>
        <w:t>($ thousand)</w:t>
      </w:r>
    </w:p>
    <w:tbl>
      <w:tblPr>
        <w:tblStyle w:val="DTFTable"/>
        <w:tblW w:w="9639" w:type="dxa"/>
        <w:tblLayout w:type="fixed"/>
        <w:tblLook w:val="06A0" w:firstRow="1" w:lastRow="0" w:firstColumn="1" w:lastColumn="0" w:noHBand="1" w:noVBand="1"/>
      </w:tblPr>
      <w:tblGrid>
        <w:gridCol w:w="7825"/>
        <w:gridCol w:w="907"/>
        <w:gridCol w:w="907"/>
      </w:tblGrid>
      <w:tr w:rsidR="00182709" w14:paraId="72EB3D9D" w14:textId="77777777" w:rsidTr="046D2DC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7825" w:type="dxa"/>
          </w:tcPr>
          <w:p w14:paraId="54AE18E7" w14:textId="77777777" w:rsidR="00182709" w:rsidRDefault="00182709">
            <w:pPr>
              <w:keepNext/>
            </w:pPr>
          </w:p>
        </w:tc>
        <w:tc>
          <w:tcPr>
            <w:tcW w:w="1814" w:type="dxa"/>
            <w:gridSpan w:val="2"/>
          </w:tcPr>
          <w:p w14:paraId="35FE2C03" w14:textId="77777777" w:rsidR="00182709" w:rsidRDefault="0044097C">
            <w:pPr>
              <w:keepNext/>
              <w:jc w:val="center"/>
              <w:cnfStyle w:val="100000000000" w:firstRow="1" w:lastRow="0" w:firstColumn="0" w:lastColumn="0" w:oddVBand="0" w:evenVBand="0" w:oddHBand="0" w:evenHBand="0" w:firstRowFirstColumn="0" w:firstRowLastColumn="0" w:lastRowFirstColumn="0" w:lastRowLastColumn="0"/>
            </w:pPr>
            <w:r>
              <w:t>Total remuneration</w:t>
            </w:r>
          </w:p>
        </w:tc>
      </w:tr>
      <w:tr w:rsidR="00182709" w14:paraId="06E9FC2E" w14:textId="77777777" w:rsidTr="046D2DC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7825" w:type="dxa"/>
          </w:tcPr>
          <w:p w14:paraId="45A797A9" w14:textId="03E37CAD" w:rsidR="00182709" w:rsidRDefault="0044097C">
            <w:pPr>
              <w:keepNext/>
            </w:pPr>
            <w:r>
              <w:t xml:space="preserve">Remuneration of </w:t>
            </w:r>
            <w:r w:rsidR="005801B7">
              <w:t xml:space="preserve">the </w:t>
            </w:r>
            <w:r w:rsidR="00397196">
              <w:t xml:space="preserve">senior </w:t>
            </w:r>
            <w:r>
              <w:t xml:space="preserve">executive </w:t>
            </w:r>
            <w:r w:rsidR="00397196">
              <w:t>service</w:t>
            </w:r>
          </w:p>
        </w:tc>
        <w:tc>
          <w:tcPr>
            <w:tcW w:w="907" w:type="dxa"/>
          </w:tcPr>
          <w:p w14:paraId="49721053" w14:textId="77777777" w:rsidR="00182709" w:rsidRDefault="0044097C">
            <w:pPr>
              <w:keepNext/>
              <w:cnfStyle w:val="100000000000" w:firstRow="1" w:lastRow="0" w:firstColumn="0" w:lastColumn="0" w:oddVBand="0" w:evenVBand="0" w:oddHBand="0" w:evenHBand="0" w:firstRowFirstColumn="0" w:firstRowLastColumn="0" w:lastRowFirstColumn="0" w:lastRowLastColumn="0"/>
            </w:pPr>
            <w:r>
              <w:t>20X2</w:t>
            </w:r>
          </w:p>
        </w:tc>
        <w:tc>
          <w:tcPr>
            <w:tcW w:w="907" w:type="dxa"/>
          </w:tcPr>
          <w:p w14:paraId="37E92981" w14:textId="77777777" w:rsidR="00182709" w:rsidRDefault="0044097C">
            <w:pPr>
              <w:keepNext/>
              <w:cnfStyle w:val="100000000000" w:firstRow="1" w:lastRow="0" w:firstColumn="0" w:lastColumn="0" w:oddVBand="0" w:evenVBand="0" w:oddHBand="0" w:evenHBand="0" w:firstRowFirstColumn="0" w:firstRowLastColumn="0" w:lastRowFirstColumn="0" w:lastRowLastColumn="0"/>
            </w:pPr>
            <w:r>
              <w:t>20X1</w:t>
            </w:r>
          </w:p>
        </w:tc>
      </w:tr>
      <w:tr w:rsidR="00182709" w14:paraId="0293A6CA" w14:textId="77777777" w:rsidTr="046D2DC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7825" w:type="dxa"/>
          </w:tcPr>
          <w:p w14:paraId="597C1AAB" w14:textId="31C08EF4" w:rsidR="00182709" w:rsidRDefault="0044097C">
            <w:pPr>
              <w:keepNext/>
            </w:pPr>
            <w:r>
              <w:t xml:space="preserve">(including Key Management Personnel disclosed in </w:t>
            </w:r>
            <w:r w:rsidRPr="002A0038">
              <w:rPr>
                <w:color w:val="FFFFFF" w:themeColor="background1"/>
                <w:highlight w:val="black"/>
              </w:rPr>
              <w:t xml:space="preserve">Note </w:t>
            </w:r>
            <w:r w:rsidR="000C34EF" w:rsidRPr="002A0038">
              <w:rPr>
                <w:color w:val="FFFFFF" w:themeColor="background1"/>
                <w:highlight w:val="black"/>
                <w:lang w:eastAsia="zh-CN"/>
              </w:rPr>
              <w:t>8</w:t>
            </w:r>
            <w:r w:rsidRPr="002A0038">
              <w:rPr>
                <w:color w:val="FFFFFF" w:themeColor="background1"/>
                <w:highlight w:val="black"/>
              </w:rPr>
              <w:t>.</w:t>
            </w:r>
            <w:r w:rsidR="001C51B2" w:rsidRPr="002A0038">
              <w:rPr>
                <w:color w:val="FFFFFF" w:themeColor="background1"/>
                <w:highlight w:val="black"/>
              </w:rPr>
              <w:t>5</w:t>
            </w:r>
            <w:r w:rsidRPr="002A0038">
              <w:rPr>
                <w:color w:val="FFFFFF" w:themeColor="background1"/>
                <w:highlight w:val="black"/>
              </w:rPr>
              <w:t>)</w:t>
            </w:r>
            <w:r w:rsidRPr="002A0038">
              <w:rPr>
                <w:color w:val="FFFFFF" w:themeColor="background1"/>
                <w:highlight w:val="black"/>
                <w:vertAlign w:val="superscript"/>
              </w:rPr>
              <w:t xml:space="preserve"> (a)</w:t>
            </w:r>
          </w:p>
        </w:tc>
        <w:tc>
          <w:tcPr>
            <w:tcW w:w="907" w:type="dxa"/>
          </w:tcPr>
          <w:p w14:paraId="0918078A" w14:textId="77777777" w:rsidR="00182709" w:rsidRDefault="00182709">
            <w:pPr>
              <w:keepNext/>
              <w:cnfStyle w:val="100000000000" w:firstRow="1" w:lastRow="0" w:firstColumn="0" w:lastColumn="0" w:oddVBand="0" w:evenVBand="0" w:oddHBand="0" w:evenHBand="0" w:firstRowFirstColumn="0" w:firstRowLastColumn="0" w:lastRowFirstColumn="0" w:lastRowLastColumn="0"/>
            </w:pPr>
          </w:p>
        </w:tc>
        <w:tc>
          <w:tcPr>
            <w:tcW w:w="907" w:type="dxa"/>
          </w:tcPr>
          <w:p w14:paraId="79E5DE72" w14:textId="77777777" w:rsidR="00182709" w:rsidRDefault="00182709">
            <w:pPr>
              <w:keepNext/>
              <w:cnfStyle w:val="100000000000" w:firstRow="1" w:lastRow="0" w:firstColumn="0" w:lastColumn="0" w:oddVBand="0" w:evenVBand="0" w:oddHBand="0" w:evenHBand="0" w:firstRowFirstColumn="0" w:firstRowLastColumn="0" w:lastRowFirstColumn="0" w:lastRowLastColumn="0"/>
            </w:pPr>
          </w:p>
        </w:tc>
      </w:tr>
      <w:tr w:rsidR="00182709" w14:paraId="3D1646D6" w14:textId="77777777" w:rsidTr="046D2DC2">
        <w:tc>
          <w:tcPr>
            <w:cnfStyle w:val="001000000000" w:firstRow="0" w:lastRow="0" w:firstColumn="1" w:lastColumn="0" w:oddVBand="0" w:evenVBand="0" w:oddHBand="0" w:evenHBand="0" w:firstRowFirstColumn="0" w:firstRowLastColumn="0" w:lastRowFirstColumn="0" w:lastRowLastColumn="0"/>
            <w:tcW w:w="7825" w:type="dxa"/>
            <w:tcBorders>
              <w:bottom w:val="single" w:sz="12" w:space="0" w:color="auto"/>
            </w:tcBorders>
          </w:tcPr>
          <w:p w14:paraId="3E0A2245" w14:textId="25E4E394" w:rsidR="00182709" w:rsidRDefault="0044097C">
            <w:r>
              <w:rPr>
                <w:b/>
              </w:rPr>
              <w:t xml:space="preserve">Total remuneration </w:t>
            </w:r>
            <w:r>
              <w:rPr>
                <w:b/>
                <w:vertAlign w:val="superscript"/>
              </w:rPr>
              <w:t>(a)</w:t>
            </w:r>
          </w:p>
        </w:tc>
        <w:tc>
          <w:tcPr>
            <w:tcW w:w="907" w:type="dxa"/>
            <w:tcBorders>
              <w:bottom w:val="single" w:sz="12" w:space="0" w:color="auto"/>
            </w:tcBorders>
          </w:tcPr>
          <w:p w14:paraId="25D17939" w14:textId="77777777" w:rsidR="00182709" w:rsidRDefault="0044097C">
            <w:pPr>
              <w:cnfStyle w:val="000000000000" w:firstRow="0" w:lastRow="0" w:firstColumn="0" w:lastColumn="0" w:oddVBand="0" w:evenVBand="0" w:oddHBand="0" w:evenHBand="0" w:firstRowFirstColumn="0" w:firstRowLastColumn="0" w:lastRowFirstColumn="0" w:lastRowLastColumn="0"/>
            </w:pPr>
            <w:r>
              <w:rPr>
                <w:b/>
              </w:rPr>
              <w:t>8 915</w:t>
            </w:r>
          </w:p>
        </w:tc>
        <w:tc>
          <w:tcPr>
            <w:tcW w:w="907" w:type="dxa"/>
            <w:tcBorders>
              <w:bottom w:val="single" w:sz="12" w:space="0" w:color="auto"/>
            </w:tcBorders>
          </w:tcPr>
          <w:p w14:paraId="70245679" w14:textId="77777777" w:rsidR="00182709" w:rsidRDefault="0044097C">
            <w:pPr>
              <w:cnfStyle w:val="000000000000" w:firstRow="0" w:lastRow="0" w:firstColumn="0" w:lastColumn="0" w:oddVBand="0" w:evenVBand="0" w:oddHBand="0" w:evenHBand="0" w:firstRowFirstColumn="0" w:firstRowLastColumn="0" w:lastRowFirstColumn="0" w:lastRowLastColumn="0"/>
            </w:pPr>
            <w:r>
              <w:rPr>
                <w:b/>
              </w:rPr>
              <w:t>7 701</w:t>
            </w:r>
          </w:p>
        </w:tc>
      </w:tr>
      <w:tr w:rsidR="00671D55" w14:paraId="3651A143" w14:textId="77777777" w:rsidTr="046D2DC2">
        <w:tc>
          <w:tcPr>
            <w:cnfStyle w:val="001000000000" w:firstRow="0" w:lastRow="0" w:firstColumn="1" w:lastColumn="0" w:oddVBand="0" w:evenVBand="0" w:oddHBand="0" w:evenHBand="0" w:firstRowFirstColumn="0" w:firstRowLastColumn="0" w:lastRowFirstColumn="0" w:lastRowLastColumn="0"/>
            <w:tcW w:w="7825" w:type="dxa"/>
          </w:tcPr>
          <w:p w14:paraId="1AA8425B" w14:textId="77777777" w:rsidR="00182709" w:rsidRDefault="0044097C">
            <w:r>
              <w:rPr>
                <w:b/>
              </w:rPr>
              <w:t>Total number of executives</w:t>
            </w:r>
          </w:p>
        </w:tc>
        <w:tc>
          <w:tcPr>
            <w:tcW w:w="907" w:type="dxa"/>
          </w:tcPr>
          <w:p w14:paraId="440662E4" w14:textId="77777777" w:rsidR="00182709" w:rsidRDefault="0044097C">
            <w:pPr>
              <w:cnfStyle w:val="000000000000" w:firstRow="0" w:lastRow="0" w:firstColumn="0" w:lastColumn="0" w:oddVBand="0" w:evenVBand="0" w:oddHBand="0" w:evenHBand="0" w:firstRowFirstColumn="0" w:firstRowLastColumn="0" w:lastRowFirstColumn="0" w:lastRowLastColumn="0"/>
            </w:pPr>
            <w:r>
              <w:rPr>
                <w:b/>
              </w:rPr>
              <w:t>79</w:t>
            </w:r>
          </w:p>
        </w:tc>
        <w:tc>
          <w:tcPr>
            <w:tcW w:w="907" w:type="dxa"/>
          </w:tcPr>
          <w:p w14:paraId="440CA9C2" w14:textId="77777777" w:rsidR="00182709" w:rsidRDefault="0044097C">
            <w:pPr>
              <w:cnfStyle w:val="000000000000" w:firstRow="0" w:lastRow="0" w:firstColumn="0" w:lastColumn="0" w:oddVBand="0" w:evenVBand="0" w:oddHBand="0" w:evenHBand="0" w:firstRowFirstColumn="0" w:firstRowLastColumn="0" w:lastRowFirstColumn="0" w:lastRowLastColumn="0"/>
            </w:pPr>
            <w:r>
              <w:rPr>
                <w:b/>
              </w:rPr>
              <w:t>77</w:t>
            </w:r>
          </w:p>
        </w:tc>
      </w:tr>
      <w:tr w:rsidR="00671D55" w14:paraId="5F4E091C" w14:textId="77777777" w:rsidTr="046D2DC2">
        <w:tc>
          <w:tcPr>
            <w:cnfStyle w:val="001000000000" w:firstRow="0" w:lastRow="0" w:firstColumn="1" w:lastColumn="0" w:oddVBand="0" w:evenVBand="0" w:oddHBand="0" w:evenHBand="0" w:firstRowFirstColumn="0" w:firstRowLastColumn="0" w:lastRowFirstColumn="0" w:lastRowLastColumn="0"/>
            <w:tcW w:w="7825" w:type="dxa"/>
          </w:tcPr>
          <w:p w14:paraId="0E2B97F5" w14:textId="77777777" w:rsidR="00182709" w:rsidRDefault="0044097C">
            <w:r>
              <w:rPr>
                <w:b/>
              </w:rPr>
              <w:t xml:space="preserve">Total annualised employee equivalents </w:t>
            </w:r>
            <w:r>
              <w:rPr>
                <w:b/>
                <w:vertAlign w:val="superscript"/>
              </w:rPr>
              <w:t>(b)</w:t>
            </w:r>
          </w:p>
        </w:tc>
        <w:tc>
          <w:tcPr>
            <w:tcW w:w="907" w:type="dxa"/>
          </w:tcPr>
          <w:p w14:paraId="39714AF3" w14:textId="77777777" w:rsidR="00182709" w:rsidRDefault="0044097C">
            <w:pPr>
              <w:cnfStyle w:val="000000000000" w:firstRow="0" w:lastRow="0" w:firstColumn="0" w:lastColumn="0" w:oddVBand="0" w:evenVBand="0" w:oddHBand="0" w:evenHBand="0" w:firstRowFirstColumn="0" w:firstRowLastColumn="0" w:lastRowFirstColumn="0" w:lastRowLastColumn="0"/>
            </w:pPr>
            <w:r>
              <w:rPr>
                <w:b/>
              </w:rPr>
              <w:t>76.2</w:t>
            </w:r>
          </w:p>
        </w:tc>
        <w:tc>
          <w:tcPr>
            <w:tcW w:w="907" w:type="dxa"/>
          </w:tcPr>
          <w:p w14:paraId="4A5527EA" w14:textId="77777777" w:rsidR="00182709" w:rsidRDefault="0044097C">
            <w:pPr>
              <w:cnfStyle w:val="000000000000" w:firstRow="0" w:lastRow="0" w:firstColumn="0" w:lastColumn="0" w:oddVBand="0" w:evenVBand="0" w:oddHBand="0" w:evenHBand="0" w:firstRowFirstColumn="0" w:firstRowLastColumn="0" w:lastRowFirstColumn="0" w:lastRowLastColumn="0"/>
            </w:pPr>
            <w:r>
              <w:rPr>
                <w:b/>
              </w:rPr>
              <w:t>75.8</w:t>
            </w:r>
          </w:p>
        </w:tc>
      </w:tr>
    </w:tbl>
    <w:p w14:paraId="08C9BB1F" w14:textId="77777777" w:rsidR="003719CD" w:rsidRDefault="003719CD" w:rsidP="007D536F">
      <w:pPr>
        <w:pStyle w:val="Note"/>
      </w:pPr>
      <w:r>
        <w:t>Notes:</w:t>
      </w:r>
    </w:p>
    <w:p w14:paraId="3E1C4A23" w14:textId="67F9A590" w:rsidR="003719CD" w:rsidRDefault="003719CD" w:rsidP="007D536F">
      <w:pPr>
        <w:pStyle w:val="Note"/>
      </w:pPr>
      <w:r>
        <w:t xml:space="preserve">(a) </w:t>
      </w:r>
      <w:r>
        <w:tab/>
        <w:t xml:space="preserve">The total number of </w:t>
      </w:r>
      <w:r w:rsidR="005801B7">
        <w:t xml:space="preserve">senior </w:t>
      </w:r>
      <w:r>
        <w:t xml:space="preserve">executive </w:t>
      </w:r>
      <w:r w:rsidR="005801B7">
        <w:t>service members</w:t>
      </w:r>
      <w:r>
        <w:t xml:space="preserve"> includes persons who meet the definition of Key Management Personnel (KMP) of the entity under </w:t>
      </w:r>
      <w:r w:rsidR="0007383E">
        <w:t>AASB </w:t>
      </w:r>
      <w:r>
        <w:t xml:space="preserve">124 </w:t>
      </w:r>
      <w:r w:rsidRPr="004F78D7">
        <w:rPr>
          <w:i w:val="0"/>
          <w:iCs/>
        </w:rPr>
        <w:t>Related Party Disclosures</w:t>
      </w:r>
      <w:r>
        <w:t xml:space="preserve"> and are also reported within the related parties note </w:t>
      </w:r>
      <w:r w:rsidRPr="00706101">
        <w:t xml:space="preserve">disclosure (Note </w:t>
      </w:r>
      <w:r w:rsidR="00602847" w:rsidRPr="00706101">
        <w:t>8.5</w:t>
      </w:r>
      <w:r w:rsidRPr="00706101">
        <w:t>).</w:t>
      </w:r>
      <w:r>
        <w:t xml:space="preserve"> </w:t>
      </w:r>
      <w:r w:rsidR="009F1EBF" w:rsidRPr="004F3AB8">
        <w:rPr>
          <w:iCs/>
          <w:color w:val="4472C4" w:themeColor="accent1"/>
        </w:rPr>
        <w:t>This footnote only applies for entities that may have executives who also meet the definition of a KMP under AASB 124.9, to provide clarification to readers so that remuneration is not misinterpreted or double-counted. This circumstance may not be applicable to all entities and should only be included where appropriate.</w:t>
      </w:r>
    </w:p>
    <w:p w14:paraId="5E54EB31" w14:textId="77777777" w:rsidR="003719CD" w:rsidRDefault="003719CD">
      <w:pPr>
        <w:pStyle w:val="Note"/>
      </w:pPr>
      <w:r>
        <w:t>(b)</w:t>
      </w:r>
      <w:r>
        <w:tab/>
        <w:t xml:space="preserve">Annualised employee equivalent is based on the time fraction worked over the reporting period. </w:t>
      </w:r>
    </w:p>
    <w:p w14:paraId="7ACFA5C4" w14:textId="77777777" w:rsidR="003719CD" w:rsidRDefault="003719CD" w:rsidP="002A0038">
      <w:pPr>
        <w:pStyle w:val="Note"/>
        <w:spacing w:before="160" w:after="80" w:line="264" w:lineRule="auto"/>
      </w:pPr>
    </w:p>
    <w:p w14:paraId="0B1750C9" w14:textId="0B85BB06" w:rsidR="003719CD" w:rsidRPr="004F78D7" w:rsidRDefault="003719CD" w:rsidP="007D536F">
      <w:pPr>
        <w:pStyle w:val="GuidanceBlockHeading"/>
      </w:pPr>
      <w:bookmarkStart w:id="10816" w:name="_Toc179816781"/>
      <w:bookmarkStart w:id="10817" w:name="_Toc179822481"/>
      <w:bookmarkStart w:id="10818" w:name="_Toc179828181"/>
      <w:r w:rsidRPr="004F78D7">
        <w:t>Guidance – Remuneration of executives</w:t>
      </w:r>
      <w:bookmarkEnd w:id="10816"/>
      <w:bookmarkEnd w:id="10817"/>
      <w:bookmarkEnd w:id="10818"/>
      <w:r w:rsidR="00612AA4">
        <w:t xml:space="preserve"> [REVISED]</w:t>
      </w:r>
    </w:p>
    <w:p w14:paraId="42898279" w14:textId="07571AA1" w:rsidR="007B09F4" w:rsidRDefault="007B09F4" w:rsidP="002A0038">
      <w:pPr>
        <w:spacing w:before="120" w:after="0"/>
        <w:rPr>
          <w:rStyle w:val="Guidance"/>
        </w:rPr>
      </w:pPr>
      <w:r w:rsidRPr="002A0038">
        <w:rPr>
          <w:rStyle w:val="Guidance"/>
        </w:rPr>
        <w:t>An entity shall disclose the following in relation to executive officers</w:t>
      </w:r>
      <w:r>
        <w:rPr>
          <w:rStyle w:val="Guidance"/>
        </w:rPr>
        <w:t>:</w:t>
      </w:r>
    </w:p>
    <w:p w14:paraId="2BDCCB0B" w14:textId="3BF06D97" w:rsidR="00A034CA" w:rsidRPr="002A0038" w:rsidRDefault="00114FE1" w:rsidP="002A0038">
      <w:pPr>
        <w:pStyle w:val="ListParagraph"/>
        <w:numPr>
          <w:ilvl w:val="0"/>
          <w:numId w:val="362"/>
        </w:numPr>
        <w:spacing w:before="40" w:line="264" w:lineRule="auto"/>
        <w:ind w:left="357" w:hanging="357"/>
        <w:rPr>
          <w:rStyle w:val="Guidance"/>
        </w:rPr>
      </w:pPr>
      <w:r>
        <w:rPr>
          <w:rStyle w:val="Guidance"/>
        </w:rPr>
        <w:t>T</w:t>
      </w:r>
      <w:r w:rsidR="00A034CA" w:rsidRPr="002A0038">
        <w:rPr>
          <w:rStyle w:val="Guidance"/>
        </w:rPr>
        <w:t>he number of executive officers with total remuneration received or receivable in connection to their position as an executive officer over the reporting period</w:t>
      </w:r>
    </w:p>
    <w:p w14:paraId="5066201D" w14:textId="11A90D54" w:rsidR="00A034CA" w:rsidRPr="002A0038" w:rsidRDefault="00114FE1" w:rsidP="002A0038">
      <w:pPr>
        <w:pStyle w:val="ListParagraph"/>
        <w:numPr>
          <w:ilvl w:val="0"/>
          <w:numId w:val="362"/>
        </w:numPr>
        <w:spacing w:before="40" w:line="264" w:lineRule="auto"/>
        <w:ind w:left="357" w:hanging="357"/>
        <w:rPr>
          <w:rStyle w:val="Guidance"/>
        </w:rPr>
      </w:pPr>
      <w:r>
        <w:rPr>
          <w:rStyle w:val="Guidance"/>
        </w:rPr>
        <w:t>T</w:t>
      </w:r>
      <w:r w:rsidR="00A034CA" w:rsidRPr="002A0038">
        <w:rPr>
          <w:rStyle w:val="Guidance"/>
        </w:rPr>
        <w:t>he total remuneration received or receivable by executive officers identified in paragraph 4.3(a) over the reporting period</w:t>
      </w:r>
    </w:p>
    <w:p w14:paraId="78EADE6F" w14:textId="1D711055" w:rsidR="00A034CA" w:rsidRPr="002A0038" w:rsidRDefault="00114FE1" w:rsidP="002A0038">
      <w:pPr>
        <w:pStyle w:val="ListParagraph"/>
        <w:numPr>
          <w:ilvl w:val="0"/>
          <w:numId w:val="362"/>
        </w:numPr>
        <w:spacing w:before="40" w:line="264" w:lineRule="auto"/>
        <w:ind w:left="357" w:hanging="357"/>
        <w:rPr>
          <w:rStyle w:val="Guidance"/>
        </w:rPr>
      </w:pPr>
      <w:r>
        <w:rPr>
          <w:rStyle w:val="Guidance"/>
        </w:rPr>
        <w:t>T</w:t>
      </w:r>
      <w:r w:rsidR="00A034CA" w:rsidRPr="002A0038">
        <w:rPr>
          <w:rStyle w:val="Guidance"/>
        </w:rPr>
        <w:t>he total annualised employee equivalent (AEE) of executive officers identified in paragraph 4.3(a) over the reporting period</w:t>
      </w:r>
    </w:p>
    <w:p w14:paraId="2605A026" w14:textId="158C44EE" w:rsidR="007B09F4" w:rsidRPr="00A705F9" w:rsidRDefault="00114FE1" w:rsidP="002A0038">
      <w:pPr>
        <w:pStyle w:val="ListParagraph"/>
        <w:numPr>
          <w:ilvl w:val="0"/>
          <w:numId w:val="362"/>
        </w:numPr>
        <w:spacing w:before="40" w:line="264" w:lineRule="auto"/>
        <w:ind w:left="357" w:hanging="357"/>
        <w:rPr>
          <w:rStyle w:val="Guidance"/>
        </w:rPr>
      </w:pPr>
      <w:r>
        <w:rPr>
          <w:rStyle w:val="Guidance"/>
        </w:rPr>
        <w:t>T</w:t>
      </w:r>
      <w:r w:rsidR="00A034CA" w:rsidRPr="002A0038">
        <w:rPr>
          <w:rStyle w:val="Guidance"/>
        </w:rPr>
        <w:t>he reasons for significant variations between the current and previous reporting period.</w:t>
      </w:r>
      <w:r w:rsidR="004E0B7B">
        <w:rPr>
          <w:rStyle w:val="Guidance"/>
        </w:rPr>
        <w:t xml:space="preserve"> </w:t>
      </w:r>
      <w:r w:rsidR="004E0B7B" w:rsidRPr="004F78D7">
        <w:rPr>
          <w:rStyle w:val="Reference"/>
        </w:rPr>
        <w:t xml:space="preserve">[FRD </w:t>
      </w:r>
      <w:r w:rsidR="004E0B7B">
        <w:rPr>
          <w:rStyle w:val="Reference"/>
        </w:rPr>
        <w:t>21.</w:t>
      </w:r>
      <w:r w:rsidR="00A705F9">
        <w:rPr>
          <w:rStyle w:val="Reference"/>
        </w:rPr>
        <w:t>4.3</w:t>
      </w:r>
      <w:r w:rsidR="001F5260">
        <w:rPr>
          <w:rStyle w:val="Reference"/>
        </w:rPr>
        <w:t>-4.4</w:t>
      </w:r>
      <w:r w:rsidR="004E0B7B" w:rsidRPr="004F78D7">
        <w:rPr>
          <w:rStyle w:val="Reference"/>
        </w:rPr>
        <w:t>]</w:t>
      </w:r>
    </w:p>
    <w:p w14:paraId="1F2BC363" w14:textId="7E81D085" w:rsidR="00C70938" w:rsidRDefault="003719CD" w:rsidP="002A0038">
      <w:pPr>
        <w:rPr>
          <w:rStyle w:val="Guidance"/>
          <w:b/>
          <w:bCs/>
        </w:rPr>
      </w:pPr>
      <w:r w:rsidRPr="004F78D7">
        <w:rPr>
          <w:rStyle w:val="Guidance"/>
        </w:rPr>
        <w:t xml:space="preserve">For guidance on how to disclose an executive’s total remuneration package and other specific employee benefits, refer to the ‘Guidelines for reporting remuneration in accordance with </w:t>
      </w:r>
      <w:r w:rsidR="0007383E">
        <w:rPr>
          <w:rStyle w:val="Guidance"/>
        </w:rPr>
        <w:t>AASB </w:t>
      </w:r>
      <w:r w:rsidRPr="004F78D7">
        <w:rPr>
          <w:rStyle w:val="Guidance"/>
        </w:rPr>
        <w:t>124</w:t>
      </w:r>
      <w:r w:rsidR="003C2B9A">
        <w:rPr>
          <w:rStyle w:val="Guidance"/>
        </w:rPr>
        <w:t xml:space="preserve"> </w:t>
      </w:r>
      <w:r w:rsidR="003C2B9A" w:rsidRPr="003C2B9A">
        <w:rPr>
          <w:rStyle w:val="Guidance"/>
          <w:i/>
          <w:iCs/>
        </w:rPr>
        <w:t>Related Party Disclosures</w:t>
      </w:r>
      <w:r w:rsidR="00067442">
        <w:rPr>
          <w:rStyle w:val="Guidance"/>
        </w:rPr>
        <w:t>’</w:t>
      </w:r>
      <w:r w:rsidR="003C2B9A">
        <w:rPr>
          <w:rStyle w:val="Guidance"/>
        </w:rPr>
        <w:t xml:space="preserve"> </w:t>
      </w:r>
      <w:r w:rsidRPr="004F78D7">
        <w:rPr>
          <w:rStyle w:val="Guidance"/>
        </w:rPr>
        <w:t xml:space="preserve">document </w:t>
      </w:r>
      <w:hyperlink r:id="rId120" w:history="1">
        <w:r w:rsidRPr="00CD06B1">
          <w:rPr>
            <w:rStyle w:val="Hyperlink"/>
          </w:rPr>
          <w:t xml:space="preserve">available </w:t>
        </w:r>
        <w:bookmarkStart w:id="10819" w:name="_Hlt96089059"/>
        <w:bookmarkStart w:id="10820" w:name="_Hlt96089060"/>
        <w:r w:rsidRPr="00CD06B1">
          <w:rPr>
            <w:rStyle w:val="Hyperlink"/>
          </w:rPr>
          <w:t>o</w:t>
        </w:r>
        <w:bookmarkEnd w:id="10819"/>
        <w:bookmarkEnd w:id="10820"/>
        <w:r w:rsidRPr="00CD06B1">
          <w:rPr>
            <w:rStyle w:val="Hyperlink"/>
          </w:rPr>
          <w:t>n the DTF website</w:t>
        </w:r>
      </w:hyperlink>
      <w:r w:rsidR="00777C72">
        <w:rPr>
          <w:rStyle w:val="Guidance"/>
        </w:rPr>
        <w:t>.</w:t>
      </w:r>
    </w:p>
    <w:p w14:paraId="4E92EE0C" w14:textId="62BD9C8D" w:rsidR="003719CD" w:rsidRPr="004F78D7" w:rsidRDefault="003719CD" w:rsidP="002A0038">
      <w:pPr>
        <w:spacing w:before="120" w:after="0"/>
        <w:rPr>
          <w:rStyle w:val="Guidance"/>
        </w:rPr>
      </w:pPr>
      <w:r w:rsidRPr="004F78D7">
        <w:rPr>
          <w:rStyle w:val="Guidance"/>
          <w:b/>
          <w:bCs/>
        </w:rPr>
        <w:t>Annualised employee equivalent</w:t>
      </w:r>
      <w:r w:rsidRPr="004F78D7">
        <w:rPr>
          <w:rStyle w:val="Guidance"/>
        </w:rPr>
        <w:t xml:space="preserve"> (AEE) is required to be disclosed in addition to the headcount disclosure of </w:t>
      </w:r>
      <w:r w:rsidR="00B82D42">
        <w:rPr>
          <w:rStyle w:val="Guidance"/>
        </w:rPr>
        <w:t xml:space="preserve">the senior </w:t>
      </w:r>
      <w:r w:rsidRPr="004F78D7">
        <w:rPr>
          <w:rStyle w:val="Guidance"/>
        </w:rPr>
        <w:t xml:space="preserve">executive </w:t>
      </w:r>
      <w:r w:rsidR="00B82D42">
        <w:rPr>
          <w:rStyle w:val="Guidance"/>
        </w:rPr>
        <w:t>service</w:t>
      </w:r>
      <w:r w:rsidRPr="004F78D7">
        <w:rPr>
          <w:rStyle w:val="Guidance"/>
        </w:rPr>
        <w:t>. AEE is defined and explained in FRD 21 in the financial statements. It is calculated by dividing the total number of days that an employee is engaged to work during the week by the total number of full-time working days per week.</w:t>
      </w:r>
    </w:p>
    <w:p w14:paraId="25D21B4F" w14:textId="77777777" w:rsidR="003719CD" w:rsidRPr="004F78D7" w:rsidRDefault="003719CD" w:rsidP="002A0038">
      <w:pPr>
        <w:spacing w:before="120" w:after="0"/>
        <w:rPr>
          <w:rStyle w:val="Guidance"/>
        </w:rPr>
      </w:pPr>
      <w:r w:rsidRPr="004F78D7">
        <w:rPr>
          <w:rStyle w:val="Guidance"/>
        </w:rPr>
        <w:t xml:space="preserve">If a person becomes an executive during the reporting period, no disclosure is required for remuneration paid to that person prior to their appointment as an executive. </w:t>
      </w:r>
    </w:p>
    <w:p w14:paraId="086E5CED" w14:textId="77777777" w:rsidR="003719CD" w:rsidRPr="004F78D7" w:rsidRDefault="003719CD" w:rsidP="002A0038">
      <w:pPr>
        <w:spacing w:before="120" w:after="0"/>
        <w:rPr>
          <w:rStyle w:val="Guidance"/>
        </w:rPr>
      </w:pPr>
      <w:r w:rsidRPr="004F78D7">
        <w:rPr>
          <w:rStyle w:val="Guidance"/>
        </w:rPr>
        <w:t xml:space="preserve">If a person ceases to be an executive during the reporting period, the disclosure should only include their remuneration for the reporting period up until the end of their term of employment as an executive. </w:t>
      </w:r>
    </w:p>
    <w:p w14:paraId="0CEF9E8F" w14:textId="3B813B61" w:rsidR="003719CD" w:rsidRPr="004F78D7" w:rsidRDefault="003719CD" w:rsidP="002A0038">
      <w:pPr>
        <w:spacing w:before="120" w:after="0"/>
        <w:rPr>
          <w:rStyle w:val="Guidance"/>
        </w:rPr>
      </w:pPr>
      <w:r w:rsidRPr="004F78D7">
        <w:rPr>
          <w:rStyle w:val="Guidance"/>
        </w:rPr>
        <w:t xml:space="preserve">The disclosure of </w:t>
      </w:r>
      <w:r w:rsidR="00B82D42">
        <w:rPr>
          <w:rStyle w:val="Guidance"/>
        </w:rPr>
        <w:t xml:space="preserve">senior </w:t>
      </w:r>
      <w:r w:rsidRPr="004F78D7">
        <w:rPr>
          <w:rStyle w:val="Guidance"/>
        </w:rPr>
        <w:t xml:space="preserve">executive </w:t>
      </w:r>
      <w:r w:rsidR="00B82D42">
        <w:rPr>
          <w:rStyle w:val="Guidance"/>
        </w:rPr>
        <w:t>service</w:t>
      </w:r>
      <w:r w:rsidRPr="004F78D7">
        <w:rPr>
          <w:rStyle w:val="Guidance"/>
        </w:rPr>
        <w:t xml:space="preserve"> remuneration does not relate to any VPS 6 or 7 staff acting on a temporary basis in executive roles, while the substantive </w:t>
      </w:r>
      <w:r w:rsidR="001E5833">
        <w:rPr>
          <w:rStyle w:val="Guidance"/>
        </w:rPr>
        <w:t xml:space="preserve">senior </w:t>
      </w:r>
      <w:r w:rsidRPr="004F78D7">
        <w:rPr>
          <w:rStyle w:val="Guidance"/>
        </w:rPr>
        <w:t xml:space="preserve">executive </w:t>
      </w:r>
      <w:r w:rsidR="001E5833">
        <w:rPr>
          <w:rStyle w:val="Guidance"/>
        </w:rPr>
        <w:t xml:space="preserve">service member </w:t>
      </w:r>
      <w:r w:rsidRPr="004F78D7">
        <w:rPr>
          <w:rStyle w:val="Guidance"/>
        </w:rPr>
        <w:t>is on paid leave or secondment.</w:t>
      </w:r>
    </w:p>
    <w:p w14:paraId="4D96551C" w14:textId="413D0CD8" w:rsidR="00B13838" w:rsidRDefault="003719CD" w:rsidP="002A0038">
      <w:pPr>
        <w:spacing w:before="120" w:after="0"/>
        <w:rPr>
          <w:rStyle w:val="Reference"/>
        </w:rPr>
      </w:pPr>
      <w:r w:rsidRPr="004F78D7">
        <w:rPr>
          <w:rStyle w:val="Guidance"/>
        </w:rPr>
        <w:t xml:space="preserve">Where a </w:t>
      </w:r>
      <w:r w:rsidR="00F11FD7">
        <w:rPr>
          <w:rStyle w:val="Guidance"/>
        </w:rPr>
        <w:t xml:space="preserve">member of the senior </w:t>
      </w:r>
      <w:r w:rsidRPr="004F78D7">
        <w:rPr>
          <w:rStyle w:val="Guidance"/>
        </w:rPr>
        <w:t xml:space="preserve">executive </w:t>
      </w:r>
      <w:r w:rsidR="00F11FD7">
        <w:rPr>
          <w:rStyle w:val="Guidance"/>
        </w:rPr>
        <w:t>service</w:t>
      </w:r>
      <w:r w:rsidRPr="004F78D7">
        <w:rPr>
          <w:rStyle w:val="Guidance"/>
        </w:rPr>
        <w:t xml:space="preserve"> from the same department backfills for another executive while on paid leave or secondment in that same department, then both </w:t>
      </w:r>
      <w:r w:rsidR="00F11FD7">
        <w:rPr>
          <w:rStyle w:val="Guidance"/>
        </w:rPr>
        <w:t xml:space="preserve">senior </w:t>
      </w:r>
      <w:r w:rsidRPr="004F78D7">
        <w:rPr>
          <w:rStyle w:val="Guidance"/>
        </w:rPr>
        <w:t xml:space="preserve">executive </w:t>
      </w:r>
      <w:r w:rsidR="00F11FD7">
        <w:rPr>
          <w:rStyle w:val="Guidance"/>
        </w:rPr>
        <w:t>service members</w:t>
      </w:r>
      <w:r w:rsidRPr="004F78D7">
        <w:rPr>
          <w:rStyle w:val="Guidance"/>
        </w:rPr>
        <w:t xml:space="preserve"> are included in </w:t>
      </w:r>
      <w:r w:rsidR="00B13838">
        <w:rPr>
          <w:rStyle w:val="Guidance"/>
        </w:rPr>
        <w:t>this</w:t>
      </w:r>
      <w:r w:rsidR="00B13838" w:rsidRPr="004F78D7">
        <w:rPr>
          <w:rStyle w:val="Guidance"/>
        </w:rPr>
        <w:t xml:space="preserve"> </w:t>
      </w:r>
      <w:r w:rsidRPr="004F78D7">
        <w:rPr>
          <w:rStyle w:val="Guidance"/>
        </w:rPr>
        <w:t xml:space="preserve">disclosure. </w:t>
      </w:r>
      <w:r w:rsidRPr="004F78D7">
        <w:rPr>
          <w:rStyle w:val="Reference"/>
        </w:rPr>
        <w:t>[FRD 15]</w:t>
      </w:r>
    </w:p>
    <w:p w14:paraId="6AE595D3" w14:textId="77777777" w:rsidR="008E638F" w:rsidRPr="004F78D7" w:rsidRDefault="008E638F" w:rsidP="008E638F">
      <w:pPr>
        <w:pStyle w:val="GuidanceHeading"/>
        <w:rPr>
          <w:rStyle w:val="Guidance"/>
        </w:rPr>
      </w:pPr>
      <w:r w:rsidRPr="004F78D7">
        <w:rPr>
          <w:rStyle w:val="Guidance"/>
        </w:rPr>
        <w:t>Reconciliation with ‘executive data’ in the Report of Operations</w:t>
      </w:r>
    </w:p>
    <w:p w14:paraId="05F673D3" w14:textId="1D900AB0" w:rsidR="008E638F" w:rsidRDefault="008E638F" w:rsidP="00E51206">
      <w:pPr>
        <w:rPr>
          <w:rStyle w:val="Reference"/>
          <w:b/>
        </w:rPr>
      </w:pPr>
      <w:r w:rsidRPr="004F78D7">
        <w:rPr>
          <w:rStyle w:val="Guidance"/>
        </w:rPr>
        <w:t xml:space="preserve">Entities must also ensure that the total number of executives reported in the note to the financial statements corresponds with the total numbers of </w:t>
      </w:r>
      <w:r>
        <w:rPr>
          <w:rStyle w:val="Guidance"/>
        </w:rPr>
        <w:t xml:space="preserve">senior </w:t>
      </w:r>
      <w:r w:rsidRPr="004F78D7">
        <w:rPr>
          <w:rStyle w:val="Guidance"/>
        </w:rPr>
        <w:t xml:space="preserve">executive </w:t>
      </w:r>
      <w:r>
        <w:rPr>
          <w:rStyle w:val="Guidance"/>
        </w:rPr>
        <w:t>service members</w:t>
      </w:r>
      <w:r w:rsidRPr="004F78D7">
        <w:rPr>
          <w:rStyle w:val="Guidance"/>
        </w:rPr>
        <w:t xml:space="preserve"> reported in the executive data disclosure in the Report of Operations</w:t>
      </w:r>
      <w:r>
        <w:rPr>
          <w:rStyle w:val="Guidance"/>
        </w:rPr>
        <w:t>.</w:t>
      </w:r>
    </w:p>
    <w:p w14:paraId="1326E1BB" w14:textId="77777777" w:rsidR="00342E36" w:rsidRDefault="00342E36" w:rsidP="00342E36">
      <w:pPr>
        <w:pStyle w:val="GuidanceEnd"/>
      </w:pPr>
    </w:p>
    <w:p w14:paraId="0FC503D3" w14:textId="73DC723F" w:rsidR="003719CD" w:rsidRDefault="003719CD" w:rsidP="007762BE">
      <w:pPr>
        <w:pStyle w:val="Heading2numbered"/>
      </w:pPr>
      <w:bookmarkStart w:id="10821" w:name="_Toc64983184"/>
      <w:bookmarkStart w:id="10822" w:name="_Toc96709991"/>
      <w:bookmarkStart w:id="10823" w:name="_Toc179816782"/>
      <w:bookmarkStart w:id="10824" w:name="_Toc179822482"/>
      <w:bookmarkStart w:id="10825" w:name="_Toc179828182"/>
      <w:bookmarkStart w:id="10826" w:name="_Toc179833821"/>
      <w:bookmarkStart w:id="10827" w:name="_Toc179865351"/>
      <w:bookmarkStart w:id="10828" w:name="_Toc179871456"/>
      <w:bookmarkStart w:id="10829" w:name="_Toc179875849"/>
      <w:bookmarkStart w:id="10830" w:name="_Toc179880242"/>
      <w:bookmarkStart w:id="10831" w:name="_Toc179880335"/>
      <w:bookmarkStart w:id="10832" w:name="_Toc190333409"/>
      <w:bookmarkStart w:id="10833" w:name="_Toc222999586"/>
      <w:r>
        <w:t>Related parties</w:t>
      </w:r>
      <w:bookmarkEnd w:id="10821"/>
      <w:bookmarkEnd w:id="10822"/>
      <w:bookmarkEnd w:id="10823"/>
      <w:bookmarkEnd w:id="10824"/>
      <w:bookmarkEnd w:id="10825"/>
      <w:bookmarkEnd w:id="10826"/>
      <w:bookmarkEnd w:id="10827"/>
      <w:bookmarkEnd w:id="10828"/>
      <w:bookmarkEnd w:id="10829"/>
      <w:bookmarkEnd w:id="10830"/>
      <w:bookmarkEnd w:id="10831"/>
      <w:bookmarkEnd w:id="10832"/>
      <w:bookmarkEnd w:id="10833"/>
    </w:p>
    <w:p w14:paraId="7A7BF95A" w14:textId="15C628E4" w:rsidR="003719CD" w:rsidRDefault="006B48BC" w:rsidP="002A0038">
      <w:r>
        <w:t>TV</w:t>
      </w:r>
      <w:r w:rsidR="003719CD">
        <w:t xml:space="preserve"> is a wholly owned and controlled entity of the State of Victoria. Related parties of </w:t>
      </w:r>
      <w:r>
        <w:t>TV</w:t>
      </w:r>
      <w:r w:rsidR="00A454C7">
        <w:rPr>
          <w:rFonts w:hint="eastAsia"/>
          <w:lang w:eastAsia="zh-CN"/>
        </w:rPr>
        <w:t xml:space="preserve"> </w:t>
      </w:r>
      <w:r w:rsidR="003719CD">
        <w:t>include:</w:t>
      </w:r>
    </w:p>
    <w:p w14:paraId="0119E756" w14:textId="6597762C" w:rsidR="003719CD" w:rsidRDefault="003719CD" w:rsidP="002A0038">
      <w:pPr>
        <w:pStyle w:val="ListBullet"/>
        <w:numPr>
          <w:ilvl w:val="0"/>
          <w:numId w:val="370"/>
        </w:numPr>
      </w:pPr>
      <w:r>
        <w:t>all key management personnel and their close family members and personal business interests (controlled entities, joint ventures and entities they have significant influence over)</w:t>
      </w:r>
    </w:p>
    <w:p w14:paraId="59CC889C" w14:textId="7E9D6A7F" w:rsidR="003719CD" w:rsidRDefault="003719CD" w:rsidP="002A0038">
      <w:pPr>
        <w:pStyle w:val="ListBullet"/>
        <w:numPr>
          <w:ilvl w:val="0"/>
          <w:numId w:val="370"/>
        </w:numPr>
      </w:pPr>
      <w:r>
        <w:t>all Cabinet Ministers and their close family members</w:t>
      </w:r>
    </w:p>
    <w:p w14:paraId="16A1B59F" w14:textId="77777777" w:rsidR="003719CD" w:rsidRDefault="003719CD" w:rsidP="002A0038">
      <w:pPr>
        <w:pStyle w:val="ListBullet"/>
        <w:numPr>
          <w:ilvl w:val="0"/>
          <w:numId w:val="370"/>
        </w:numPr>
      </w:pPr>
      <w:r>
        <w:t>all departments and public sector entities that are controlled and consolidated into the whole of state consolidated financial statements.</w:t>
      </w:r>
    </w:p>
    <w:p w14:paraId="54C157BF" w14:textId="77777777" w:rsidR="003719CD" w:rsidRDefault="003719CD" w:rsidP="00DC39DE">
      <w:r>
        <w:t>All related party transactions have been entered into on an arm’s length basis.</w:t>
      </w:r>
    </w:p>
    <w:p w14:paraId="18502310" w14:textId="5E227EA7" w:rsidR="003719CD" w:rsidRDefault="003719CD" w:rsidP="002E407E">
      <w:pPr>
        <w:pStyle w:val="Heading3"/>
        <w:pageBreakBefore/>
      </w:pPr>
      <w:bookmarkStart w:id="10834" w:name="_Toc179816783"/>
      <w:bookmarkStart w:id="10835" w:name="_Toc179822483"/>
      <w:bookmarkStart w:id="10836" w:name="_Toc179828183"/>
      <w:bookmarkStart w:id="10837" w:name="_Toc179833822"/>
      <w:bookmarkStart w:id="10838" w:name="_Toc179865352"/>
      <w:r>
        <w:t>Significant transactions with government-related entities</w:t>
      </w:r>
      <w:bookmarkEnd w:id="10834"/>
      <w:bookmarkEnd w:id="10835"/>
      <w:bookmarkEnd w:id="10836"/>
      <w:bookmarkEnd w:id="10837"/>
      <w:bookmarkEnd w:id="10838"/>
      <w:r w:rsidR="00900C0C">
        <w:t xml:space="preserve"> </w:t>
      </w:r>
    </w:p>
    <w:p w14:paraId="061691CC" w14:textId="6C61B1BE" w:rsidR="00B57BFD" w:rsidRDefault="00B57BFD" w:rsidP="00B57BFD">
      <w:r>
        <w:t>TV received funding from</w:t>
      </w:r>
      <w:r w:rsidR="00BC6CBC">
        <w:t>,</w:t>
      </w:r>
      <w:r>
        <w:t xml:space="preserve"> and made payments to</w:t>
      </w:r>
      <w:r w:rsidR="00BC6CBC">
        <w:t>,</w:t>
      </w:r>
      <w:r>
        <w:t xml:space="preserve"> government related entities of $</w:t>
      </w:r>
      <w:r w:rsidR="0026467B">
        <w:t>15.5</w:t>
      </w:r>
      <w:r>
        <w:t xml:space="preserve"> million (20</w:t>
      </w:r>
      <w:r w:rsidR="0026467B">
        <w:t>X</w:t>
      </w:r>
      <w:r>
        <w:t>1: $</w:t>
      </w:r>
      <w:r w:rsidR="006E2ADA">
        <w:t>14.37</w:t>
      </w:r>
      <w:r>
        <w:t xml:space="preserve"> million) and $1</w:t>
      </w:r>
      <w:r w:rsidR="00B103AF">
        <w:t xml:space="preserve">0.18 </w:t>
      </w:r>
      <w:r>
        <w:t>million (20</w:t>
      </w:r>
      <w:r w:rsidR="00900C0C">
        <w:t>X</w:t>
      </w:r>
      <w:r>
        <w:t>1: $9.62 million) respectively.</w:t>
      </w:r>
    </w:p>
    <w:p w14:paraId="0F5F26C4" w14:textId="5C9468A9" w:rsidR="003719CD" w:rsidRPr="00E51206" w:rsidRDefault="00900C0C" w:rsidP="00DC39DE">
      <w:pPr>
        <w:rPr>
          <w:color w:val="4472C4" w:themeColor="accent1"/>
        </w:rPr>
      </w:pPr>
      <w:r w:rsidRPr="00E51206">
        <w:rPr>
          <w:color w:val="4472C4" w:themeColor="accent1"/>
        </w:rPr>
        <w:t>[</w:t>
      </w:r>
      <w:r w:rsidR="003719CD" w:rsidRPr="00E51206">
        <w:rPr>
          <w:color w:val="4472C4" w:themeColor="accent1"/>
        </w:rPr>
        <w:t xml:space="preserve">During the year, </w:t>
      </w:r>
      <w:r w:rsidR="006B48BC" w:rsidRPr="00E51206">
        <w:rPr>
          <w:color w:val="4472C4" w:themeColor="accent1"/>
        </w:rPr>
        <w:t>TV</w:t>
      </w:r>
      <w:r w:rsidR="003719CD" w:rsidRPr="00E51206">
        <w:rPr>
          <w:color w:val="4472C4" w:themeColor="accent1"/>
        </w:rPr>
        <w:t xml:space="preserve"> had the following government-related entity transactions:</w:t>
      </w:r>
    </w:p>
    <w:p w14:paraId="505EF8E1" w14:textId="68AE4E8B" w:rsidR="003719CD" w:rsidRPr="00E51206" w:rsidRDefault="00A600C2" w:rsidP="002A0038">
      <w:pPr>
        <w:pStyle w:val="ListBullet"/>
        <w:numPr>
          <w:ilvl w:val="0"/>
          <w:numId w:val="370"/>
        </w:numPr>
        <w:rPr>
          <w:color w:val="4472C4" w:themeColor="accent1"/>
        </w:rPr>
      </w:pPr>
      <w:r>
        <w:rPr>
          <w:color w:val="4472C4" w:themeColor="accent1"/>
        </w:rPr>
        <w:t>T</w:t>
      </w:r>
      <w:r w:rsidR="003719CD" w:rsidRPr="00E51206">
        <w:rPr>
          <w:color w:val="4472C4" w:themeColor="accent1"/>
        </w:rPr>
        <w:t xml:space="preserve">he following information in sufficient detail to enable </w:t>
      </w:r>
      <w:r w:rsidR="00DF63AA" w:rsidRPr="00E51206">
        <w:rPr>
          <w:color w:val="4472C4" w:themeColor="accent1"/>
        </w:rPr>
        <w:t>users</w:t>
      </w:r>
      <w:r w:rsidR="003719CD" w:rsidRPr="00E51206">
        <w:rPr>
          <w:color w:val="4472C4" w:themeColor="accent1"/>
        </w:rPr>
        <w:t xml:space="preserve"> of the entity’s financial statements to understand the effect of related party transaction on its financial statements:</w:t>
      </w:r>
    </w:p>
    <w:p w14:paraId="667EBB1C" w14:textId="081D1818" w:rsidR="003719CD" w:rsidRPr="00E51206" w:rsidRDefault="003719CD" w:rsidP="002E407E">
      <w:pPr>
        <w:pStyle w:val="ListBullet2"/>
        <w:rPr>
          <w:color w:val="4472C4" w:themeColor="accent1"/>
        </w:rPr>
      </w:pPr>
      <w:r w:rsidRPr="00E51206">
        <w:rPr>
          <w:color w:val="4472C4" w:themeColor="accent1"/>
        </w:rPr>
        <w:t>the nature and amount of each individually significant transaction</w:t>
      </w:r>
    </w:p>
    <w:p w14:paraId="26DD062D" w14:textId="1BF76874" w:rsidR="003719CD" w:rsidRPr="00E51206" w:rsidRDefault="003719CD" w:rsidP="002E407E">
      <w:pPr>
        <w:pStyle w:val="ListBullet2"/>
        <w:rPr>
          <w:color w:val="4472C4" w:themeColor="accent1"/>
        </w:rPr>
      </w:pPr>
      <w:r w:rsidRPr="00E51206">
        <w:rPr>
          <w:color w:val="4472C4" w:themeColor="accent1"/>
        </w:rPr>
        <w:t>for other transactions that are collectively, but not individually significant, a qualitative or quantitative indication of their extent.</w:t>
      </w:r>
      <w:r w:rsidR="00900C0C" w:rsidRPr="00E51206">
        <w:rPr>
          <w:color w:val="4472C4" w:themeColor="accent1"/>
        </w:rPr>
        <w:t>]</w:t>
      </w:r>
    </w:p>
    <w:p w14:paraId="0842C07F" w14:textId="02080AA2" w:rsidR="003719CD" w:rsidRDefault="003719CD" w:rsidP="00DC39DE">
      <w:r w:rsidRPr="003C5ECC">
        <w:rPr>
          <w:b/>
          <w:bCs/>
        </w:rPr>
        <w:t xml:space="preserve">Key management personnel (KMP) </w:t>
      </w:r>
      <w:r>
        <w:t xml:space="preserve">of </w:t>
      </w:r>
      <w:r w:rsidR="006B48BC">
        <w:t>TV</w:t>
      </w:r>
      <w:r>
        <w:t xml:space="preserve"> </w:t>
      </w:r>
      <w:r w:rsidR="00900C0C">
        <w:t>include</w:t>
      </w:r>
      <w:r>
        <w:t xml:space="preserve"> the Portfolio Ministers, the Hon. John Bristol MP and the Hon. Laura </w:t>
      </w:r>
      <w:proofErr w:type="spellStart"/>
      <w:r>
        <w:t>Toddingham</w:t>
      </w:r>
      <w:proofErr w:type="spellEnd"/>
      <w:r>
        <w:t xml:space="preserve"> MP, the Secretary, Jane Smith, and members of the Senior Executive Team, which includes: </w:t>
      </w:r>
    </w:p>
    <w:p w14:paraId="03DF7AF1" w14:textId="780B7548" w:rsidR="003719CD" w:rsidRDefault="003719CD" w:rsidP="002A0038">
      <w:pPr>
        <w:pStyle w:val="ListBullet"/>
        <w:numPr>
          <w:ilvl w:val="0"/>
          <w:numId w:val="370"/>
        </w:numPr>
      </w:pPr>
      <w:r>
        <w:t>Head of the Strategic Policy Advice division, John Tails</w:t>
      </w:r>
    </w:p>
    <w:p w14:paraId="2F7C28DF" w14:textId="6A9F41C4" w:rsidR="003719CD" w:rsidRDefault="003719CD" w:rsidP="002A0038">
      <w:pPr>
        <w:pStyle w:val="ListBullet"/>
        <w:numPr>
          <w:ilvl w:val="0"/>
          <w:numId w:val="370"/>
        </w:numPr>
      </w:pPr>
      <w:r>
        <w:t>Head of the Research and Development Biological Technologies division, Paul Germs</w:t>
      </w:r>
    </w:p>
    <w:p w14:paraId="4938CB21" w14:textId="131BE47D" w:rsidR="003719CD" w:rsidRDefault="003719CD" w:rsidP="002A0038">
      <w:pPr>
        <w:pStyle w:val="ListBullet"/>
        <w:numPr>
          <w:ilvl w:val="0"/>
          <w:numId w:val="370"/>
        </w:numPr>
      </w:pPr>
      <w:r>
        <w:t xml:space="preserve">Head of the Information Technology and Telecommunication Services division, Gail Mods </w:t>
      </w:r>
    </w:p>
    <w:p w14:paraId="22D57BD8" w14:textId="77777777" w:rsidR="003719CD" w:rsidRDefault="003719CD" w:rsidP="002A0038">
      <w:pPr>
        <w:pStyle w:val="ListBullet"/>
        <w:numPr>
          <w:ilvl w:val="0"/>
          <w:numId w:val="370"/>
        </w:numPr>
      </w:pPr>
      <w:r>
        <w:t xml:space="preserve">Chief Finance and Accounting Officer, Robert McIvor. </w:t>
      </w:r>
    </w:p>
    <w:p w14:paraId="0B7EBE77" w14:textId="77777777" w:rsidR="003719CD" w:rsidRDefault="003719CD" w:rsidP="007D536F">
      <w:pPr>
        <w:pStyle w:val="Heading3"/>
      </w:pPr>
      <w:bookmarkStart w:id="10839" w:name="_Toc179816784"/>
      <w:bookmarkStart w:id="10840" w:name="_Toc179822484"/>
      <w:bookmarkStart w:id="10841" w:name="_Toc179828184"/>
      <w:bookmarkStart w:id="10842" w:name="_Toc179833823"/>
      <w:bookmarkStart w:id="10843" w:name="_Toc179865353"/>
      <w:r>
        <w:t>Remuneration of key management personnel</w:t>
      </w:r>
      <w:bookmarkEnd w:id="10839"/>
      <w:bookmarkEnd w:id="10840"/>
      <w:bookmarkEnd w:id="10841"/>
      <w:bookmarkEnd w:id="10842"/>
      <w:bookmarkEnd w:id="10843"/>
    </w:p>
    <w:p w14:paraId="185DA470" w14:textId="341E57A5" w:rsidR="003719CD" w:rsidRDefault="003719CD" w:rsidP="00DC39DE">
      <w:r>
        <w:t xml:space="preserve">The compensation detailed below excludes the salaries and benefits the </w:t>
      </w:r>
      <w:proofErr w:type="gramStart"/>
      <w:r>
        <w:t>Portfolio Minister</w:t>
      </w:r>
      <w:proofErr w:type="gramEnd"/>
      <w:r>
        <w:t xml:space="preserve"> receives. The Minister’s remuneration and allowances is set by the </w:t>
      </w:r>
      <w:r w:rsidRPr="003C5ECC">
        <w:rPr>
          <w:i/>
          <w:iCs/>
        </w:rPr>
        <w:t>Parliamentary Salaries and Superannuation Act 1968</w:t>
      </w:r>
      <w:r>
        <w:t xml:space="preserve"> and is reported within the </w:t>
      </w:r>
      <w:r w:rsidR="00554563">
        <w:t>State’s A</w:t>
      </w:r>
      <w:r w:rsidR="00940885">
        <w:t>nnual</w:t>
      </w:r>
      <w:r>
        <w:t xml:space="preserve"> Financial Report.</w:t>
      </w:r>
    </w:p>
    <w:p w14:paraId="6C33C34B" w14:textId="6FCAF5FD" w:rsidR="00A74743" w:rsidRDefault="00A74743" w:rsidP="00A74743">
      <w:pPr>
        <w:pStyle w:val="TableUnits"/>
      </w:pPr>
      <w:r>
        <w:t>($ thousand)</w:t>
      </w:r>
    </w:p>
    <w:tbl>
      <w:tblPr>
        <w:tblStyle w:val="DTFTable"/>
        <w:tblW w:w="9776" w:type="dxa"/>
        <w:tblLayout w:type="fixed"/>
        <w:tblLook w:val="06A0" w:firstRow="1" w:lastRow="0" w:firstColumn="1" w:lastColumn="0" w:noHBand="1" w:noVBand="1"/>
      </w:tblPr>
      <w:tblGrid>
        <w:gridCol w:w="2547"/>
        <w:gridCol w:w="4541"/>
        <w:gridCol w:w="2688"/>
      </w:tblGrid>
      <w:tr w:rsidR="00182709" w14:paraId="61F20F74" w14:textId="77777777" w:rsidTr="002A003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547" w:type="dxa"/>
            <w:tcBorders>
              <w:top w:val="nil"/>
              <w:left w:val="nil"/>
              <w:bottom w:val="nil"/>
              <w:right w:val="nil"/>
            </w:tcBorders>
          </w:tcPr>
          <w:p w14:paraId="5CA704C0" w14:textId="4E26D787" w:rsidR="00182709" w:rsidRDefault="002E407E">
            <w:pPr>
              <w:keepNext/>
            </w:pPr>
            <w:r>
              <w:t>Compensation of KMPs</w:t>
            </w:r>
          </w:p>
        </w:tc>
        <w:tc>
          <w:tcPr>
            <w:tcW w:w="4541" w:type="dxa"/>
            <w:tcBorders>
              <w:top w:val="nil"/>
              <w:left w:val="nil"/>
              <w:bottom w:val="nil"/>
              <w:right w:val="nil"/>
            </w:tcBorders>
          </w:tcPr>
          <w:p w14:paraId="0E6E2FEA" w14:textId="77777777" w:rsidR="00182709" w:rsidRDefault="0044097C">
            <w:pPr>
              <w:keepNext/>
              <w:cnfStyle w:val="100000000000" w:firstRow="1" w:lastRow="0" w:firstColumn="0" w:lastColumn="0" w:oddVBand="0" w:evenVBand="0" w:oddHBand="0" w:evenHBand="0" w:firstRowFirstColumn="0" w:firstRowLastColumn="0" w:lastRowFirstColumn="0" w:lastRowLastColumn="0"/>
            </w:pPr>
            <w:r>
              <w:t>20X2</w:t>
            </w:r>
          </w:p>
        </w:tc>
        <w:tc>
          <w:tcPr>
            <w:tcW w:w="2688" w:type="dxa"/>
            <w:tcBorders>
              <w:top w:val="nil"/>
              <w:left w:val="nil"/>
              <w:bottom w:val="nil"/>
              <w:right w:val="nil"/>
            </w:tcBorders>
          </w:tcPr>
          <w:p w14:paraId="3430E8A5" w14:textId="77777777" w:rsidR="00182709" w:rsidRDefault="0044097C">
            <w:pPr>
              <w:keepNext/>
              <w:cnfStyle w:val="100000000000" w:firstRow="1" w:lastRow="0" w:firstColumn="0" w:lastColumn="0" w:oddVBand="0" w:evenVBand="0" w:oddHBand="0" w:evenHBand="0" w:firstRowFirstColumn="0" w:firstRowLastColumn="0" w:lastRowFirstColumn="0" w:lastRowLastColumn="0"/>
            </w:pPr>
            <w:r>
              <w:t>20X1</w:t>
            </w:r>
          </w:p>
        </w:tc>
      </w:tr>
      <w:tr w:rsidR="00671D55" w14:paraId="202A2F2D" w14:textId="77777777" w:rsidTr="002A0038">
        <w:tc>
          <w:tcPr>
            <w:cnfStyle w:val="001000000000" w:firstRow="0" w:lastRow="0" w:firstColumn="1" w:lastColumn="0" w:oddVBand="0" w:evenVBand="0" w:oddHBand="0" w:evenHBand="0" w:firstRowFirstColumn="0" w:firstRowLastColumn="0" w:lastRowFirstColumn="0" w:lastRowLastColumn="0"/>
            <w:tcW w:w="2547" w:type="dxa"/>
            <w:tcBorders>
              <w:bottom w:val="single" w:sz="4" w:space="0" w:color="auto"/>
            </w:tcBorders>
          </w:tcPr>
          <w:p w14:paraId="21FBBF53" w14:textId="6BAD20AA" w:rsidR="00182709" w:rsidRDefault="0044097C">
            <w:r>
              <w:rPr>
                <w:b/>
              </w:rPr>
              <w:t>Total</w:t>
            </w:r>
            <w:r>
              <w:rPr>
                <w:b/>
                <w:vertAlign w:val="superscript"/>
              </w:rPr>
              <w:t xml:space="preserve"> (</w:t>
            </w:r>
            <w:r w:rsidR="00DC60D6">
              <w:rPr>
                <w:b/>
                <w:vertAlign w:val="superscript"/>
              </w:rPr>
              <w:t>a</w:t>
            </w:r>
            <w:r>
              <w:rPr>
                <w:b/>
                <w:vertAlign w:val="superscript"/>
              </w:rPr>
              <w:t>)</w:t>
            </w:r>
          </w:p>
        </w:tc>
        <w:tc>
          <w:tcPr>
            <w:tcW w:w="4541" w:type="dxa"/>
            <w:tcBorders>
              <w:bottom w:val="single" w:sz="4" w:space="0" w:color="auto"/>
            </w:tcBorders>
          </w:tcPr>
          <w:p w14:paraId="51E799CF" w14:textId="77777777" w:rsidR="00182709" w:rsidRDefault="0044097C">
            <w:pPr>
              <w:cnfStyle w:val="000000000000" w:firstRow="0" w:lastRow="0" w:firstColumn="0" w:lastColumn="0" w:oddVBand="0" w:evenVBand="0" w:oddHBand="0" w:evenHBand="0" w:firstRowFirstColumn="0" w:firstRowLastColumn="0" w:lastRowFirstColumn="0" w:lastRowLastColumn="0"/>
            </w:pPr>
            <w:r>
              <w:rPr>
                <w:b/>
              </w:rPr>
              <w:t>4 287</w:t>
            </w:r>
          </w:p>
        </w:tc>
        <w:tc>
          <w:tcPr>
            <w:tcW w:w="2688" w:type="dxa"/>
            <w:tcBorders>
              <w:bottom w:val="single" w:sz="4" w:space="0" w:color="auto"/>
            </w:tcBorders>
          </w:tcPr>
          <w:p w14:paraId="3D047F0E" w14:textId="77777777" w:rsidR="00182709" w:rsidRDefault="0044097C">
            <w:pPr>
              <w:cnfStyle w:val="000000000000" w:firstRow="0" w:lastRow="0" w:firstColumn="0" w:lastColumn="0" w:oddVBand="0" w:evenVBand="0" w:oddHBand="0" w:evenHBand="0" w:firstRowFirstColumn="0" w:firstRowLastColumn="0" w:lastRowFirstColumn="0" w:lastRowLastColumn="0"/>
            </w:pPr>
            <w:r>
              <w:rPr>
                <w:b/>
              </w:rPr>
              <w:t>3 845</w:t>
            </w:r>
          </w:p>
        </w:tc>
      </w:tr>
    </w:tbl>
    <w:p w14:paraId="176CF5EF" w14:textId="4241891D" w:rsidR="003719CD" w:rsidRDefault="003719CD" w:rsidP="007D536F">
      <w:pPr>
        <w:pStyle w:val="Note"/>
      </w:pPr>
      <w:r>
        <w:t xml:space="preserve">Note: </w:t>
      </w:r>
    </w:p>
    <w:p w14:paraId="5183D836" w14:textId="028D89B2" w:rsidR="003719CD" w:rsidRDefault="003719CD" w:rsidP="007D536F">
      <w:pPr>
        <w:pStyle w:val="Note"/>
      </w:pPr>
      <w:r>
        <w:t>(</w:t>
      </w:r>
      <w:r w:rsidR="00DC60D6">
        <w:t>a</w:t>
      </w:r>
      <w:r>
        <w:t>)</w:t>
      </w:r>
      <w:r>
        <w:tab/>
      </w:r>
      <w:r w:rsidR="007F4D27" w:rsidRPr="007F4D27">
        <w:t xml:space="preserve">Note that KMPs are also reported in the disclosure of remuneration of executive officers (Note </w:t>
      </w:r>
      <w:r w:rsidR="007354BE">
        <w:rPr>
          <w:rFonts w:hint="eastAsia"/>
          <w:lang w:eastAsia="zh-CN"/>
        </w:rPr>
        <w:t>8.4</w:t>
      </w:r>
      <w:r w:rsidR="007F4D27" w:rsidRPr="007F4D27">
        <w:t>)</w:t>
      </w:r>
    </w:p>
    <w:p w14:paraId="0C937E25" w14:textId="77777777" w:rsidR="003719CD" w:rsidRDefault="003719CD" w:rsidP="007D536F">
      <w:pPr>
        <w:pStyle w:val="Heading3"/>
      </w:pPr>
      <w:bookmarkStart w:id="10844" w:name="_Toc179816785"/>
      <w:bookmarkStart w:id="10845" w:name="_Toc179822485"/>
      <w:bookmarkStart w:id="10846" w:name="_Toc179828185"/>
      <w:bookmarkStart w:id="10847" w:name="_Toc179833824"/>
      <w:bookmarkStart w:id="10848" w:name="_Toc179865354"/>
      <w:r>
        <w:t>Transactions and balances with key management personnel and other related parties</w:t>
      </w:r>
      <w:bookmarkEnd w:id="10844"/>
      <w:bookmarkEnd w:id="10845"/>
      <w:bookmarkEnd w:id="10846"/>
      <w:bookmarkEnd w:id="10847"/>
      <w:bookmarkEnd w:id="10848"/>
    </w:p>
    <w:p w14:paraId="115B09DE" w14:textId="08D7EB61" w:rsidR="003719CD" w:rsidRDefault="003719CD" w:rsidP="00433C72">
      <w:pPr>
        <w:spacing w:before="120"/>
      </w:pPr>
      <w:r>
        <w:t>Given the breadth and depth of State government activities, related parties transact with the Victorian public sector in a manner consistent with other members of the public e.g. stamp duty and other government fees and charges. Further employment of processes within the Victorian public sector occur</w:t>
      </w:r>
      <w:r w:rsidR="006E65CB">
        <w:rPr>
          <w:rFonts w:hint="eastAsia"/>
          <w:lang w:eastAsia="zh-CN"/>
        </w:rPr>
        <w:t>s</w:t>
      </w:r>
      <w:r>
        <w:t xml:space="preserve"> on terms and conditions consistent with the </w:t>
      </w:r>
      <w:r w:rsidRPr="003C5ECC">
        <w:rPr>
          <w:i/>
          <w:iCs/>
        </w:rPr>
        <w:t>Public Administration Act 2004</w:t>
      </w:r>
      <w:r>
        <w:t xml:space="preserve"> and Codes of Conduct and Standards issued by the Victorian Public Sector Commission. Procurement processes occur on terms and conditions consistent with the Victorian Government Purchasing Board requirements. </w:t>
      </w:r>
    </w:p>
    <w:p w14:paraId="6199C047" w14:textId="618A6708" w:rsidR="003719CD" w:rsidRDefault="003719CD" w:rsidP="002A0038">
      <w:pPr>
        <w:spacing w:before="120"/>
      </w:pPr>
      <w:r>
        <w:t xml:space="preserve">Outside of normal citizen type transactions with the </w:t>
      </w:r>
      <w:r w:rsidR="00126FA5">
        <w:t>Technology Victoria</w:t>
      </w:r>
      <w:r>
        <w:t xml:space="preserve">, there were no related party transactions that involved key management personnel, their close family members and their personal business interests. No provision has been required, nor any expense recognised, for impairment of receivables from related parties. </w:t>
      </w:r>
    </w:p>
    <w:p w14:paraId="62724D97" w14:textId="77777777" w:rsidR="003719CD" w:rsidRDefault="003719CD" w:rsidP="00DC39DE">
      <w:r>
        <w:t>No provision has been required, nor any expense recognised, for impairment of receivables from related parties.</w:t>
      </w:r>
    </w:p>
    <w:p w14:paraId="655F1A50" w14:textId="1488F9BF" w:rsidR="003719CD" w:rsidRPr="003C5ECC" w:rsidRDefault="003719CD" w:rsidP="007D536F">
      <w:pPr>
        <w:pStyle w:val="GuidanceBlockHeading"/>
      </w:pPr>
      <w:bookmarkStart w:id="10849" w:name="_Toc179816786"/>
      <w:bookmarkStart w:id="10850" w:name="_Toc179822486"/>
      <w:bookmarkStart w:id="10851" w:name="_Toc179828186"/>
      <w:r w:rsidRPr="003C5ECC">
        <w:t xml:space="preserve">Guidance – </w:t>
      </w:r>
      <w:r w:rsidR="009766C0">
        <w:t>KMP and r</w:t>
      </w:r>
      <w:r w:rsidRPr="003C5ECC">
        <w:t>elated parties</w:t>
      </w:r>
      <w:bookmarkEnd w:id="10849"/>
      <w:bookmarkEnd w:id="10850"/>
      <w:bookmarkEnd w:id="10851"/>
      <w:r w:rsidR="00254EEA">
        <w:t xml:space="preserve"> [REVISED]</w:t>
      </w:r>
    </w:p>
    <w:p w14:paraId="49DC66B7" w14:textId="6DBFB5EF" w:rsidR="00C803F9" w:rsidRDefault="00C803F9" w:rsidP="005044C5">
      <w:pPr>
        <w:spacing w:before="120" w:after="0"/>
        <w:rPr>
          <w:rStyle w:val="Guidance"/>
          <w:b/>
          <w:bCs/>
          <w:lang w:eastAsia="zh-CN"/>
        </w:rPr>
      </w:pPr>
      <w:r>
        <w:rPr>
          <w:rStyle w:val="Guidance"/>
          <w:b/>
          <w:bCs/>
          <w:lang w:eastAsia="zh-CN"/>
        </w:rPr>
        <w:t xml:space="preserve">Key </w:t>
      </w:r>
      <w:r w:rsidR="002A7F46">
        <w:rPr>
          <w:rStyle w:val="Guidance"/>
          <w:b/>
          <w:bCs/>
          <w:lang w:eastAsia="zh-CN"/>
        </w:rPr>
        <w:t>Management Personnel</w:t>
      </w:r>
    </w:p>
    <w:p w14:paraId="03E400E2" w14:textId="42B56872" w:rsidR="002A7F46" w:rsidRPr="002A0038" w:rsidRDefault="00093353" w:rsidP="002C31E8">
      <w:pPr>
        <w:spacing w:before="120" w:after="0"/>
        <w:rPr>
          <w:rStyle w:val="Guidance"/>
          <w:lang w:eastAsia="zh-CN"/>
        </w:rPr>
      </w:pPr>
      <w:r w:rsidRPr="002A0038">
        <w:rPr>
          <w:color w:val="4472C4" w:themeColor="accent1"/>
          <w:lang w:eastAsia="zh-CN"/>
        </w:rPr>
        <w:t>An entity shall disclose key management personnel compensation in total.</w:t>
      </w:r>
      <w:r>
        <w:rPr>
          <w:color w:val="4472C4" w:themeColor="accent1"/>
          <w:lang w:eastAsia="zh-CN"/>
        </w:rPr>
        <w:t xml:space="preserve"> </w:t>
      </w:r>
      <w:r w:rsidRPr="004F78D7">
        <w:rPr>
          <w:rStyle w:val="Reference"/>
        </w:rPr>
        <w:t>[</w:t>
      </w:r>
      <w:r w:rsidR="0007383E">
        <w:rPr>
          <w:rStyle w:val="Reference"/>
        </w:rPr>
        <w:t>AASB </w:t>
      </w:r>
      <w:r>
        <w:rPr>
          <w:rStyle w:val="Reference"/>
        </w:rPr>
        <w:t>1060.194</w:t>
      </w:r>
      <w:r w:rsidRPr="004F78D7">
        <w:rPr>
          <w:rStyle w:val="Reference"/>
        </w:rPr>
        <w:t>]</w:t>
      </w:r>
      <w:r w:rsidR="00C15AC9">
        <w:rPr>
          <w:rStyle w:val="Reference"/>
        </w:rPr>
        <w:t xml:space="preserve"> </w:t>
      </w:r>
    </w:p>
    <w:p w14:paraId="4323A600" w14:textId="4B007D4C" w:rsidR="00093353" w:rsidRPr="002A0038" w:rsidRDefault="00093353" w:rsidP="002A0038">
      <w:pPr>
        <w:pStyle w:val="GuidanceHeading"/>
        <w:spacing w:before="120"/>
        <w:rPr>
          <w:bCs/>
        </w:rPr>
      </w:pPr>
      <w:r w:rsidRPr="002A0038">
        <w:rPr>
          <w:b w:val="0"/>
          <w:bCs/>
          <w:sz w:val="18"/>
        </w:rPr>
        <w:t xml:space="preserve">If an entity obtains key management personnel services from another entity (the ‘management entity’), the entity is not required to apply the requirements in paragraph 194 to the compensation paid or payable by the </w:t>
      </w:r>
      <w:r w:rsidRPr="00093353">
        <w:rPr>
          <w:b w:val="0"/>
          <w:bCs/>
          <w:sz w:val="18"/>
        </w:rPr>
        <w:t>management entity to the management entity’s employees or directors</w:t>
      </w:r>
      <w:r>
        <w:rPr>
          <w:b w:val="0"/>
          <w:bCs/>
          <w:sz w:val="18"/>
        </w:rPr>
        <w:t xml:space="preserve">. </w:t>
      </w:r>
      <w:r w:rsidRPr="002A0038">
        <w:rPr>
          <w:rStyle w:val="Reference"/>
          <w:b w:val="0"/>
          <w:bCs/>
        </w:rPr>
        <w:t>[</w:t>
      </w:r>
      <w:r w:rsidR="0007383E">
        <w:rPr>
          <w:rStyle w:val="Reference"/>
          <w:b w:val="0"/>
          <w:bCs/>
        </w:rPr>
        <w:t>AASB </w:t>
      </w:r>
      <w:r w:rsidRPr="002A0038">
        <w:rPr>
          <w:rStyle w:val="Reference"/>
          <w:b w:val="0"/>
          <w:bCs/>
        </w:rPr>
        <w:t>1060.19</w:t>
      </w:r>
      <w:r>
        <w:rPr>
          <w:rStyle w:val="Reference"/>
          <w:b w:val="0"/>
          <w:bCs/>
        </w:rPr>
        <w:t>5</w:t>
      </w:r>
      <w:r w:rsidRPr="002A0038">
        <w:rPr>
          <w:rStyle w:val="Reference"/>
          <w:b w:val="0"/>
          <w:bCs/>
        </w:rPr>
        <w:t>]</w:t>
      </w:r>
    </w:p>
    <w:p w14:paraId="5A93F1AC" w14:textId="0D608A11" w:rsidR="008F07F5" w:rsidRDefault="008F07F5" w:rsidP="002A0038">
      <w:pPr>
        <w:pStyle w:val="GuidanceHeading"/>
        <w:spacing w:before="120"/>
        <w:rPr>
          <w:rStyle w:val="Reference"/>
          <w:b w:val="0"/>
          <w:bCs/>
        </w:rPr>
      </w:pPr>
      <w:r w:rsidRPr="002A0038">
        <w:rPr>
          <w:b w:val="0"/>
          <w:bCs/>
          <w:sz w:val="18"/>
        </w:rPr>
        <w:t xml:space="preserve">Amounts incurred by the entity for the provision of key management personnel services that are provided by </w:t>
      </w:r>
      <w:r w:rsidRPr="008F07F5">
        <w:rPr>
          <w:b w:val="0"/>
          <w:bCs/>
          <w:sz w:val="18"/>
        </w:rPr>
        <w:t>a separate management entity shall be disclosed.</w:t>
      </w:r>
      <w:r>
        <w:rPr>
          <w:b w:val="0"/>
          <w:bCs/>
          <w:sz w:val="18"/>
        </w:rPr>
        <w:t xml:space="preserve"> </w:t>
      </w:r>
      <w:r w:rsidRPr="005865C6">
        <w:rPr>
          <w:rStyle w:val="Reference"/>
          <w:b w:val="0"/>
          <w:bCs/>
        </w:rPr>
        <w:t>[</w:t>
      </w:r>
      <w:r w:rsidR="0007383E">
        <w:rPr>
          <w:rStyle w:val="Reference"/>
          <w:b w:val="0"/>
          <w:bCs/>
        </w:rPr>
        <w:t>AASB </w:t>
      </w:r>
      <w:r w:rsidRPr="005865C6">
        <w:rPr>
          <w:rStyle w:val="Reference"/>
          <w:b w:val="0"/>
          <w:bCs/>
        </w:rPr>
        <w:t>1060.19</w:t>
      </w:r>
      <w:r>
        <w:rPr>
          <w:rStyle w:val="Reference"/>
          <w:b w:val="0"/>
          <w:bCs/>
        </w:rPr>
        <w:t>6</w:t>
      </w:r>
      <w:r w:rsidRPr="005865C6">
        <w:rPr>
          <w:rStyle w:val="Reference"/>
          <w:b w:val="0"/>
          <w:bCs/>
        </w:rPr>
        <w:t>]</w:t>
      </w:r>
    </w:p>
    <w:p w14:paraId="516B3112" w14:textId="098C9E0E" w:rsidR="00F551B4" w:rsidRDefault="00F551B4" w:rsidP="00F551B4">
      <w:pPr>
        <w:rPr>
          <w:color w:val="4472C4" w:themeColor="accent1"/>
          <w:lang w:eastAsia="zh-CN"/>
        </w:rPr>
      </w:pPr>
      <w:r>
        <w:rPr>
          <w:rFonts w:hint="eastAsia"/>
          <w:color w:val="4472C4" w:themeColor="accent1"/>
          <w:lang w:eastAsia="zh-CN"/>
        </w:rPr>
        <w:t>Remuneration of other personnel (contractors with significant management responsibilities): Other personnel were defined as personnel engaged by an entity as contractors and charged with significant management responsibilities. As these contractors are responsible for planning, directing or controlling, directly or indirectly, TV</w:t>
      </w:r>
      <w:r>
        <w:rPr>
          <w:color w:val="4472C4" w:themeColor="accent1"/>
          <w:lang w:eastAsia="zh-CN"/>
        </w:rPr>
        <w:t>’</w:t>
      </w:r>
      <w:r>
        <w:rPr>
          <w:rFonts w:hint="eastAsia"/>
          <w:color w:val="4472C4" w:themeColor="accent1"/>
          <w:lang w:eastAsia="zh-CN"/>
        </w:rPr>
        <w:t xml:space="preserve">s activities, they meet the definition of Key Management Personnel (KMP) under </w:t>
      </w:r>
      <w:r w:rsidR="0007383E">
        <w:rPr>
          <w:rFonts w:hint="eastAsia"/>
          <w:color w:val="4472C4" w:themeColor="accent1"/>
          <w:lang w:eastAsia="zh-CN"/>
        </w:rPr>
        <w:t>AASB</w:t>
      </w:r>
      <w:r w:rsidR="0007383E">
        <w:rPr>
          <w:color w:val="4472C4" w:themeColor="accent1"/>
          <w:lang w:eastAsia="zh-CN"/>
        </w:rPr>
        <w:t> </w:t>
      </w:r>
      <w:r>
        <w:rPr>
          <w:rFonts w:hint="eastAsia"/>
          <w:color w:val="4472C4" w:themeColor="accent1"/>
          <w:lang w:eastAsia="zh-CN"/>
        </w:rPr>
        <w:t>12</w:t>
      </w:r>
      <w:r w:rsidR="00B90901">
        <w:rPr>
          <w:color w:val="4472C4" w:themeColor="accent1"/>
          <w:lang w:eastAsia="zh-CN"/>
        </w:rPr>
        <w:t>4</w:t>
      </w:r>
      <w:r>
        <w:rPr>
          <w:rFonts w:hint="eastAsia"/>
          <w:color w:val="4472C4" w:themeColor="accent1"/>
          <w:lang w:eastAsia="zh-CN"/>
        </w:rPr>
        <w:t xml:space="preserve">. </w:t>
      </w:r>
      <w:r>
        <w:rPr>
          <w:color w:val="4472C4" w:themeColor="accent1"/>
          <w:lang w:eastAsia="zh-CN"/>
        </w:rPr>
        <w:t>As</w:t>
      </w:r>
      <w:r>
        <w:rPr>
          <w:rFonts w:hint="eastAsia"/>
          <w:color w:val="4472C4" w:themeColor="accent1"/>
          <w:lang w:eastAsia="zh-CN"/>
        </w:rPr>
        <w:t xml:space="preserve"> a result, </w:t>
      </w:r>
      <w:r>
        <w:rPr>
          <w:color w:val="4472C4" w:themeColor="accent1"/>
          <w:lang w:eastAsia="zh-CN"/>
        </w:rPr>
        <w:t>contractor</w:t>
      </w:r>
      <w:r>
        <w:rPr>
          <w:rFonts w:hint="eastAsia"/>
          <w:color w:val="4472C4" w:themeColor="accent1"/>
          <w:lang w:eastAsia="zh-CN"/>
        </w:rPr>
        <w:t xml:space="preserve">s with significant </w:t>
      </w:r>
      <w:r>
        <w:rPr>
          <w:color w:val="4472C4" w:themeColor="accent1"/>
          <w:lang w:eastAsia="zh-CN"/>
        </w:rPr>
        <w:t>management</w:t>
      </w:r>
      <w:r>
        <w:rPr>
          <w:rFonts w:hint="eastAsia"/>
          <w:color w:val="4472C4" w:themeColor="accent1"/>
          <w:lang w:eastAsia="zh-CN"/>
        </w:rPr>
        <w:t xml:space="preserve"> responsibilities will be captured as part of the related </w:t>
      </w:r>
      <w:proofErr w:type="gramStart"/>
      <w:r>
        <w:rPr>
          <w:rFonts w:hint="eastAsia"/>
          <w:color w:val="4472C4" w:themeColor="accent1"/>
          <w:lang w:eastAsia="zh-CN"/>
        </w:rPr>
        <w:t>parties</w:t>
      </w:r>
      <w:proofErr w:type="gramEnd"/>
      <w:r>
        <w:rPr>
          <w:rFonts w:hint="eastAsia"/>
          <w:color w:val="4472C4" w:themeColor="accent1"/>
          <w:lang w:eastAsia="zh-CN"/>
        </w:rPr>
        <w:t xml:space="preserve"> disclosure.</w:t>
      </w:r>
    </w:p>
    <w:p w14:paraId="3A16F29C" w14:textId="77777777" w:rsidR="00065D19" w:rsidRPr="00F551B4" w:rsidRDefault="00065D19" w:rsidP="00F551B4">
      <w:pPr>
        <w:rPr>
          <w:color w:val="4472C4" w:themeColor="accent1"/>
          <w:lang w:eastAsia="zh-CN"/>
        </w:rPr>
      </w:pPr>
    </w:p>
    <w:p w14:paraId="1505650D" w14:textId="6A911022" w:rsidR="00917BE1" w:rsidRPr="002A0038" w:rsidRDefault="00C803F9" w:rsidP="002A0038">
      <w:pPr>
        <w:spacing w:before="120" w:after="0"/>
        <w:rPr>
          <w:rStyle w:val="Guidance"/>
          <w:b/>
          <w:bCs/>
          <w:lang w:eastAsia="zh-CN"/>
        </w:rPr>
      </w:pPr>
      <w:r>
        <w:rPr>
          <w:rStyle w:val="Guidance"/>
          <w:b/>
          <w:bCs/>
          <w:lang w:eastAsia="zh-CN"/>
        </w:rPr>
        <w:t xml:space="preserve">Related </w:t>
      </w:r>
      <w:r w:rsidR="002A7F46">
        <w:rPr>
          <w:rStyle w:val="Guidance"/>
          <w:b/>
          <w:bCs/>
          <w:lang w:eastAsia="zh-CN"/>
        </w:rPr>
        <w:t>parties</w:t>
      </w:r>
    </w:p>
    <w:p w14:paraId="6AA7840D" w14:textId="551BF72C" w:rsidR="00455A3E" w:rsidRPr="00455A3E" w:rsidRDefault="00455A3E" w:rsidP="002A0038">
      <w:pPr>
        <w:spacing w:before="120" w:after="0"/>
        <w:rPr>
          <w:color w:val="4472C4" w:themeColor="accent1"/>
        </w:rPr>
      </w:pPr>
      <w:r w:rsidRPr="00455A3E">
        <w:rPr>
          <w:color w:val="4472C4" w:themeColor="accent1"/>
        </w:rPr>
        <w:t>If an entity has related party transactions, it shall disclose the nature of the related party relationship as well</w:t>
      </w:r>
      <w:r>
        <w:rPr>
          <w:color w:val="4472C4" w:themeColor="accent1"/>
        </w:rPr>
        <w:t xml:space="preserve"> </w:t>
      </w:r>
      <w:r w:rsidRPr="00455A3E">
        <w:rPr>
          <w:color w:val="4472C4" w:themeColor="accent1"/>
        </w:rPr>
        <w:t>as information about the transactions, outstanding balances and commitments necessary for an understanding</w:t>
      </w:r>
      <w:r>
        <w:rPr>
          <w:color w:val="4472C4" w:themeColor="accent1"/>
        </w:rPr>
        <w:t xml:space="preserve"> </w:t>
      </w:r>
      <w:r w:rsidRPr="00455A3E">
        <w:rPr>
          <w:color w:val="4472C4" w:themeColor="accent1"/>
        </w:rPr>
        <w:t>of the potential effect of the relationship on the financial statements. Those disclosure requirements are in</w:t>
      </w:r>
      <w:r>
        <w:rPr>
          <w:color w:val="4472C4" w:themeColor="accent1"/>
        </w:rPr>
        <w:t xml:space="preserve"> </w:t>
      </w:r>
      <w:r w:rsidRPr="00455A3E">
        <w:rPr>
          <w:color w:val="4472C4" w:themeColor="accent1"/>
        </w:rPr>
        <w:t>addition to the requirements in paragraph 194 to disclose key management personnel compensation. At a</w:t>
      </w:r>
      <w:r>
        <w:rPr>
          <w:color w:val="4472C4" w:themeColor="accent1"/>
        </w:rPr>
        <w:t xml:space="preserve"> </w:t>
      </w:r>
      <w:r w:rsidRPr="00455A3E">
        <w:rPr>
          <w:color w:val="4472C4" w:themeColor="accent1"/>
        </w:rPr>
        <w:t>minimum, disclosures shall include:</w:t>
      </w:r>
    </w:p>
    <w:p w14:paraId="3781DFA8" w14:textId="55E24A35" w:rsidR="00455A3E" w:rsidRPr="002A0038" w:rsidRDefault="00455A3E" w:rsidP="002A0038">
      <w:pPr>
        <w:pStyle w:val="ListParagraph"/>
        <w:numPr>
          <w:ilvl w:val="1"/>
          <w:numId w:val="363"/>
        </w:numPr>
        <w:spacing w:before="40" w:line="264" w:lineRule="auto"/>
        <w:rPr>
          <w:color w:val="4472C4" w:themeColor="accent1"/>
        </w:rPr>
      </w:pPr>
      <w:r w:rsidRPr="002A0038">
        <w:rPr>
          <w:color w:val="4472C4" w:themeColor="accent1"/>
        </w:rPr>
        <w:t>the amount of the transactions</w:t>
      </w:r>
    </w:p>
    <w:p w14:paraId="0C6E1051" w14:textId="642C758E" w:rsidR="00455A3E" w:rsidRPr="002A0038" w:rsidRDefault="00455A3E" w:rsidP="002A0038">
      <w:pPr>
        <w:pStyle w:val="ListParagraph"/>
        <w:numPr>
          <w:ilvl w:val="1"/>
          <w:numId w:val="363"/>
        </w:numPr>
        <w:spacing w:before="40" w:line="264" w:lineRule="auto"/>
        <w:rPr>
          <w:color w:val="4472C4" w:themeColor="accent1"/>
        </w:rPr>
      </w:pPr>
      <w:r w:rsidRPr="002A0038">
        <w:rPr>
          <w:color w:val="4472C4" w:themeColor="accent1"/>
        </w:rPr>
        <w:t xml:space="preserve">the </w:t>
      </w:r>
      <w:proofErr w:type="gramStart"/>
      <w:r w:rsidRPr="002A0038">
        <w:rPr>
          <w:color w:val="4472C4" w:themeColor="accent1"/>
        </w:rPr>
        <w:t>amount</w:t>
      </w:r>
      <w:proofErr w:type="gramEnd"/>
      <w:r w:rsidRPr="002A0038">
        <w:rPr>
          <w:color w:val="4472C4" w:themeColor="accent1"/>
        </w:rPr>
        <w:t xml:space="preserve"> of outstanding balances and:</w:t>
      </w:r>
    </w:p>
    <w:p w14:paraId="198C8290" w14:textId="6545B40F" w:rsidR="00455A3E" w:rsidRPr="003C2B9A" w:rsidRDefault="00455A3E" w:rsidP="002A0038">
      <w:pPr>
        <w:pStyle w:val="ListParagraph"/>
        <w:numPr>
          <w:ilvl w:val="0"/>
          <w:numId w:val="364"/>
        </w:numPr>
        <w:spacing w:before="40" w:line="264" w:lineRule="auto"/>
        <w:ind w:left="697" w:hanging="357"/>
        <w:rPr>
          <w:color w:val="4472C4" w:themeColor="accent1"/>
        </w:rPr>
      </w:pPr>
      <w:r w:rsidRPr="003C2B9A">
        <w:rPr>
          <w:color w:val="4472C4" w:themeColor="accent1"/>
        </w:rPr>
        <w:t>their terms and conditions, including whether they are secured and the nature of the</w:t>
      </w:r>
      <w:r w:rsidR="00643DA3" w:rsidRPr="003C2B9A">
        <w:rPr>
          <w:color w:val="4472C4" w:themeColor="accent1"/>
        </w:rPr>
        <w:t xml:space="preserve"> </w:t>
      </w:r>
      <w:r w:rsidRPr="003C2B9A">
        <w:rPr>
          <w:color w:val="4472C4" w:themeColor="accent1"/>
        </w:rPr>
        <w:t>consideration to be provided in settlement</w:t>
      </w:r>
    </w:p>
    <w:p w14:paraId="3E799678" w14:textId="3DE0F02D" w:rsidR="00455A3E" w:rsidRPr="003C2B9A" w:rsidRDefault="00455A3E" w:rsidP="002A0038">
      <w:pPr>
        <w:pStyle w:val="ListParagraph"/>
        <w:numPr>
          <w:ilvl w:val="0"/>
          <w:numId w:val="364"/>
        </w:numPr>
        <w:spacing w:before="40" w:line="264" w:lineRule="auto"/>
        <w:ind w:left="697" w:hanging="357"/>
        <w:rPr>
          <w:color w:val="4472C4" w:themeColor="accent1"/>
        </w:rPr>
      </w:pPr>
      <w:r w:rsidRPr="003C2B9A">
        <w:rPr>
          <w:color w:val="4472C4" w:themeColor="accent1"/>
        </w:rPr>
        <w:t xml:space="preserve">details of any guarantees given or </w:t>
      </w:r>
      <w:proofErr w:type="gramStart"/>
      <w:r w:rsidRPr="003C2B9A">
        <w:rPr>
          <w:color w:val="4472C4" w:themeColor="accent1"/>
        </w:rPr>
        <w:t>received;</w:t>
      </w:r>
      <w:proofErr w:type="gramEnd"/>
    </w:p>
    <w:p w14:paraId="598E505C" w14:textId="4A009F97" w:rsidR="00455A3E" w:rsidRPr="002A0038" w:rsidRDefault="00455A3E" w:rsidP="002A0038">
      <w:pPr>
        <w:pStyle w:val="ListParagraph"/>
        <w:numPr>
          <w:ilvl w:val="1"/>
          <w:numId w:val="363"/>
        </w:numPr>
        <w:spacing w:before="40" w:line="264" w:lineRule="auto"/>
        <w:rPr>
          <w:color w:val="4472C4" w:themeColor="accent1"/>
        </w:rPr>
      </w:pPr>
      <w:r w:rsidRPr="002A0038">
        <w:rPr>
          <w:color w:val="4472C4" w:themeColor="accent1"/>
        </w:rPr>
        <w:t xml:space="preserve">provisions for uncollectable receivables related to the </w:t>
      </w:r>
      <w:proofErr w:type="gramStart"/>
      <w:r w:rsidRPr="002A0038">
        <w:rPr>
          <w:color w:val="4472C4" w:themeColor="accent1"/>
        </w:rPr>
        <w:t>amount</w:t>
      </w:r>
      <w:proofErr w:type="gramEnd"/>
      <w:r w:rsidRPr="002A0038">
        <w:rPr>
          <w:color w:val="4472C4" w:themeColor="accent1"/>
        </w:rPr>
        <w:t xml:space="preserve"> of outstanding balances; and</w:t>
      </w:r>
    </w:p>
    <w:p w14:paraId="7BB70C81" w14:textId="6006FD0F" w:rsidR="00455A3E" w:rsidRPr="002A0038" w:rsidRDefault="00455A3E" w:rsidP="002A0038">
      <w:pPr>
        <w:pStyle w:val="ListParagraph"/>
        <w:numPr>
          <w:ilvl w:val="1"/>
          <w:numId w:val="363"/>
        </w:numPr>
        <w:spacing w:before="40" w:line="264" w:lineRule="auto"/>
        <w:rPr>
          <w:color w:val="4472C4" w:themeColor="accent1"/>
        </w:rPr>
      </w:pPr>
      <w:r w:rsidRPr="002A0038">
        <w:rPr>
          <w:color w:val="4472C4" w:themeColor="accent1"/>
        </w:rPr>
        <w:t>the expense recognised during the period in respect of bad or doubtful debts due from related</w:t>
      </w:r>
      <w:r w:rsidR="00643DA3" w:rsidRPr="002A0038">
        <w:rPr>
          <w:color w:val="4472C4" w:themeColor="accent1"/>
        </w:rPr>
        <w:t xml:space="preserve"> </w:t>
      </w:r>
      <w:r w:rsidRPr="002A0038">
        <w:rPr>
          <w:color w:val="4472C4" w:themeColor="accent1"/>
        </w:rPr>
        <w:t>parties.</w:t>
      </w:r>
    </w:p>
    <w:p w14:paraId="471A81E7" w14:textId="6EDC4951" w:rsidR="003719CD" w:rsidRPr="003C5ECC" w:rsidRDefault="00455A3E" w:rsidP="002A0038">
      <w:pPr>
        <w:spacing w:before="120" w:after="0"/>
        <w:rPr>
          <w:rStyle w:val="Guidance"/>
        </w:rPr>
      </w:pPr>
      <w:r w:rsidRPr="00455A3E">
        <w:rPr>
          <w:color w:val="4472C4" w:themeColor="accent1"/>
        </w:rPr>
        <w:t>Such transactions could include purchases, sales or transfers of goods or services; leases; guarantees; and</w:t>
      </w:r>
      <w:r w:rsidR="00643DA3">
        <w:rPr>
          <w:color w:val="4472C4" w:themeColor="accent1"/>
        </w:rPr>
        <w:t xml:space="preserve"> </w:t>
      </w:r>
      <w:r w:rsidRPr="00455A3E">
        <w:rPr>
          <w:color w:val="4472C4" w:themeColor="accent1"/>
        </w:rPr>
        <w:t>settlements by the entity on behalf of the related party or vice versa.</w:t>
      </w:r>
      <w:r w:rsidR="005044C5">
        <w:rPr>
          <w:color w:val="4472C4" w:themeColor="accent1"/>
        </w:rPr>
        <w:t xml:space="preserve"> </w:t>
      </w:r>
      <w:r w:rsidR="005044C5" w:rsidRPr="004F78D7">
        <w:rPr>
          <w:rStyle w:val="Reference"/>
        </w:rPr>
        <w:t>[</w:t>
      </w:r>
      <w:r w:rsidR="0007383E">
        <w:rPr>
          <w:rStyle w:val="Reference"/>
        </w:rPr>
        <w:t>AASB </w:t>
      </w:r>
      <w:r w:rsidR="005044C5">
        <w:rPr>
          <w:rStyle w:val="Reference"/>
        </w:rPr>
        <w:t>1060.198</w:t>
      </w:r>
      <w:r w:rsidR="005044C5" w:rsidRPr="004F78D7">
        <w:rPr>
          <w:rStyle w:val="Reference"/>
        </w:rPr>
        <w:t>]</w:t>
      </w:r>
    </w:p>
    <w:p w14:paraId="4274953E" w14:textId="77777777" w:rsidR="00C53E24" w:rsidRPr="002A0038" w:rsidRDefault="00C53E24" w:rsidP="002A0038">
      <w:pPr>
        <w:pStyle w:val="GuidanceHeading"/>
        <w:spacing w:before="120" w:after="0"/>
        <w:rPr>
          <w:b w:val="0"/>
          <w:sz w:val="18"/>
        </w:rPr>
      </w:pPr>
      <w:r w:rsidRPr="002A0038">
        <w:rPr>
          <w:b w:val="0"/>
          <w:sz w:val="18"/>
        </w:rPr>
        <w:t>An entity shall make the disclosures required by paragraph 198 separately for each of the following categories:</w:t>
      </w:r>
    </w:p>
    <w:p w14:paraId="0D8E5267" w14:textId="72983136" w:rsidR="00C53E24" w:rsidRPr="002A0038" w:rsidRDefault="00A600C2" w:rsidP="002A0038">
      <w:pPr>
        <w:pStyle w:val="GuidanceHeading"/>
        <w:numPr>
          <w:ilvl w:val="1"/>
          <w:numId w:val="365"/>
        </w:numPr>
        <w:spacing w:before="40" w:after="0"/>
        <w:ind w:left="357" w:hanging="357"/>
        <w:rPr>
          <w:b w:val="0"/>
          <w:sz w:val="18"/>
        </w:rPr>
      </w:pPr>
      <w:r>
        <w:rPr>
          <w:b w:val="0"/>
          <w:sz w:val="18"/>
        </w:rPr>
        <w:t>E</w:t>
      </w:r>
      <w:r w:rsidR="00C53E24" w:rsidRPr="002A0038">
        <w:rPr>
          <w:b w:val="0"/>
          <w:sz w:val="18"/>
        </w:rPr>
        <w:t>ntities with control, joint control or significant influence over the entity</w:t>
      </w:r>
    </w:p>
    <w:p w14:paraId="27FBFBF5" w14:textId="53A4E94E" w:rsidR="00C53E24" w:rsidRPr="002A0038" w:rsidRDefault="00A600C2" w:rsidP="002A0038">
      <w:pPr>
        <w:pStyle w:val="GuidanceHeading"/>
        <w:numPr>
          <w:ilvl w:val="1"/>
          <w:numId w:val="365"/>
        </w:numPr>
        <w:spacing w:before="40" w:after="0"/>
        <w:ind w:left="357" w:hanging="357"/>
        <w:rPr>
          <w:b w:val="0"/>
          <w:sz w:val="18"/>
        </w:rPr>
      </w:pPr>
      <w:r>
        <w:rPr>
          <w:b w:val="0"/>
          <w:sz w:val="18"/>
        </w:rPr>
        <w:t>E</w:t>
      </w:r>
      <w:r w:rsidR="00C53E24" w:rsidRPr="002A0038">
        <w:rPr>
          <w:b w:val="0"/>
          <w:sz w:val="18"/>
        </w:rPr>
        <w:t>ntities over which the entity has control, joint control or significant influence</w:t>
      </w:r>
    </w:p>
    <w:p w14:paraId="52218ECA" w14:textId="78973A43" w:rsidR="00C803F9" w:rsidRDefault="00A600C2" w:rsidP="003C2B9A">
      <w:pPr>
        <w:pStyle w:val="GuidanceHeading"/>
        <w:numPr>
          <w:ilvl w:val="1"/>
          <w:numId w:val="365"/>
        </w:numPr>
        <w:spacing w:before="40" w:after="0"/>
        <w:ind w:left="357" w:hanging="357"/>
        <w:rPr>
          <w:b w:val="0"/>
          <w:sz w:val="18"/>
        </w:rPr>
      </w:pPr>
      <w:r>
        <w:rPr>
          <w:b w:val="0"/>
          <w:sz w:val="18"/>
        </w:rPr>
        <w:t>K</w:t>
      </w:r>
      <w:r w:rsidR="00C53E24" w:rsidRPr="002A0038">
        <w:rPr>
          <w:b w:val="0"/>
          <w:sz w:val="18"/>
        </w:rPr>
        <w:t>ey management personnel of the entity or its parent (in the aggregate); and</w:t>
      </w:r>
    </w:p>
    <w:p w14:paraId="47522F2E" w14:textId="5CA30FE1" w:rsidR="00C41BB3" w:rsidRPr="002A0038" w:rsidRDefault="00A600C2" w:rsidP="002A0038">
      <w:pPr>
        <w:pStyle w:val="GuidanceHeading"/>
        <w:numPr>
          <w:ilvl w:val="1"/>
          <w:numId w:val="365"/>
        </w:numPr>
        <w:spacing w:before="40" w:after="0"/>
        <w:ind w:left="357" w:hanging="357"/>
        <w:rPr>
          <w:b w:val="0"/>
          <w:sz w:val="18"/>
        </w:rPr>
      </w:pPr>
      <w:r>
        <w:rPr>
          <w:b w:val="0"/>
          <w:sz w:val="18"/>
        </w:rPr>
        <w:t>O</w:t>
      </w:r>
      <w:r w:rsidR="00C53E24" w:rsidRPr="00FA2C5E">
        <w:rPr>
          <w:b w:val="0"/>
          <w:sz w:val="18"/>
        </w:rPr>
        <w:t>ther related parties.</w:t>
      </w:r>
      <w:r w:rsidR="00C41BB3">
        <w:rPr>
          <w:b w:val="0"/>
          <w:sz w:val="18"/>
        </w:rPr>
        <w:t xml:space="preserve"> </w:t>
      </w:r>
      <w:r w:rsidR="00C41BB3" w:rsidRPr="00FA2C5E">
        <w:rPr>
          <w:rStyle w:val="Reference"/>
          <w:b w:val="0"/>
        </w:rPr>
        <w:t>[</w:t>
      </w:r>
      <w:r w:rsidR="0007383E">
        <w:rPr>
          <w:rStyle w:val="Reference"/>
          <w:b w:val="0"/>
        </w:rPr>
        <w:t>AASB </w:t>
      </w:r>
      <w:r w:rsidR="00C41BB3" w:rsidRPr="00FA2C5E">
        <w:rPr>
          <w:rStyle w:val="Reference"/>
          <w:b w:val="0"/>
        </w:rPr>
        <w:t>1060.19</w:t>
      </w:r>
      <w:r w:rsidR="00C41BB3">
        <w:rPr>
          <w:rStyle w:val="Reference"/>
          <w:b w:val="0"/>
        </w:rPr>
        <w:t>9</w:t>
      </w:r>
      <w:r w:rsidR="00C41BB3" w:rsidRPr="00FA2C5E">
        <w:rPr>
          <w:rStyle w:val="Reference"/>
          <w:b w:val="0"/>
        </w:rPr>
        <w:t>]</w:t>
      </w:r>
    </w:p>
    <w:p w14:paraId="67CDF6B3" w14:textId="03B9DF7F" w:rsidR="00386AE7" w:rsidRPr="002A0038" w:rsidRDefault="00386AE7" w:rsidP="002A0038">
      <w:pPr>
        <w:keepLines w:val="0"/>
        <w:autoSpaceDE w:val="0"/>
        <w:autoSpaceDN w:val="0"/>
        <w:adjustRightInd w:val="0"/>
        <w:spacing w:before="120" w:after="0"/>
        <w:rPr>
          <w:color w:val="4472C4" w:themeColor="accent1"/>
        </w:rPr>
      </w:pPr>
      <w:r w:rsidRPr="002A0038">
        <w:rPr>
          <w:color w:val="4472C4" w:themeColor="accent1"/>
        </w:rPr>
        <w:t xml:space="preserve">An entity is exempt from the disclosure requirements of </w:t>
      </w:r>
      <w:r w:rsidR="0007383E">
        <w:rPr>
          <w:color w:val="4472C4" w:themeColor="accent1"/>
        </w:rPr>
        <w:t>AASB </w:t>
      </w:r>
      <w:r w:rsidR="003C2B9A">
        <w:rPr>
          <w:color w:val="4472C4" w:themeColor="accent1"/>
        </w:rPr>
        <w:t>1060.</w:t>
      </w:r>
      <w:r w:rsidRPr="002A0038">
        <w:rPr>
          <w:color w:val="4472C4" w:themeColor="accent1"/>
        </w:rPr>
        <w:t>198 in relation to:</w:t>
      </w:r>
    </w:p>
    <w:p w14:paraId="762E8FE9" w14:textId="1B3714AE" w:rsidR="00386AE7" w:rsidRPr="002A0038" w:rsidRDefault="00386AE7" w:rsidP="002A0038">
      <w:pPr>
        <w:pStyle w:val="GuidanceHeading"/>
        <w:numPr>
          <w:ilvl w:val="1"/>
          <w:numId w:val="366"/>
        </w:numPr>
        <w:spacing w:before="40" w:after="0"/>
        <w:rPr>
          <w:sz w:val="18"/>
        </w:rPr>
      </w:pPr>
      <w:r w:rsidRPr="002A0038">
        <w:rPr>
          <w:b w:val="0"/>
          <w:sz w:val="18"/>
        </w:rPr>
        <w:t>a state (a national, regional or local government) that has control, joint control or significant</w:t>
      </w:r>
      <w:r>
        <w:rPr>
          <w:b w:val="0"/>
          <w:sz w:val="18"/>
        </w:rPr>
        <w:t xml:space="preserve"> </w:t>
      </w:r>
      <w:r w:rsidRPr="002A0038">
        <w:rPr>
          <w:b w:val="0"/>
          <w:sz w:val="18"/>
        </w:rPr>
        <w:t>influence over the reporting entity; and</w:t>
      </w:r>
    </w:p>
    <w:p w14:paraId="737B3F43" w14:textId="72759795" w:rsidR="00386AE7" w:rsidRDefault="00386AE7" w:rsidP="002A0038">
      <w:pPr>
        <w:pStyle w:val="GuidanceHeading"/>
        <w:numPr>
          <w:ilvl w:val="1"/>
          <w:numId w:val="366"/>
        </w:numPr>
        <w:spacing w:before="40" w:after="0"/>
        <w:rPr>
          <w:b w:val="0"/>
          <w:sz w:val="18"/>
        </w:rPr>
      </w:pPr>
      <w:r w:rsidRPr="002A0038">
        <w:rPr>
          <w:b w:val="0"/>
          <w:sz w:val="18"/>
        </w:rPr>
        <w:t>another entity that is a related party because the same state has control, joint control or significant</w:t>
      </w:r>
      <w:r>
        <w:rPr>
          <w:b w:val="0"/>
          <w:sz w:val="18"/>
        </w:rPr>
        <w:t xml:space="preserve"> </w:t>
      </w:r>
      <w:r w:rsidRPr="002A0038">
        <w:rPr>
          <w:b w:val="0"/>
          <w:sz w:val="18"/>
        </w:rPr>
        <w:t>influence over both the reporting entity and the other entity.</w:t>
      </w:r>
    </w:p>
    <w:p w14:paraId="2096BA5E" w14:textId="77777777" w:rsidR="00254EEA" w:rsidRDefault="00F551B4" w:rsidP="00885865">
      <w:pPr>
        <w:rPr>
          <w:color w:val="4472C4" w:themeColor="accent1"/>
          <w:lang w:eastAsia="zh-CN"/>
        </w:rPr>
      </w:pPr>
      <w:r>
        <w:rPr>
          <w:rFonts w:hint="eastAsia"/>
          <w:color w:val="4472C4" w:themeColor="accent1"/>
          <w:lang w:eastAsia="zh-CN"/>
        </w:rPr>
        <w:t xml:space="preserve">However, the entity must still disclose a </w:t>
      </w:r>
      <w:r>
        <w:rPr>
          <w:color w:val="4472C4" w:themeColor="accent1"/>
          <w:lang w:eastAsia="zh-CN"/>
        </w:rPr>
        <w:t>parent</w:t>
      </w:r>
      <w:r>
        <w:rPr>
          <w:rFonts w:hint="eastAsia"/>
          <w:color w:val="4472C4" w:themeColor="accent1"/>
          <w:lang w:eastAsia="zh-CN"/>
        </w:rPr>
        <w:t xml:space="preserve"> </w:t>
      </w:r>
      <w:r>
        <w:rPr>
          <w:color w:val="4472C4" w:themeColor="accent1"/>
          <w:lang w:eastAsia="zh-CN"/>
        </w:rPr>
        <w:t>–</w:t>
      </w:r>
      <w:r>
        <w:rPr>
          <w:rFonts w:hint="eastAsia"/>
          <w:color w:val="4472C4" w:themeColor="accent1"/>
          <w:lang w:eastAsia="zh-CN"/>
        </w:rPr>
        <w:t xml:space="preserve"> subsidiary relationship as required by AASB</w:t>
      </w:r>
      <w:r w:rsidR="00DC267D">
        <w:rPr>
          <w:color w:val="4472C4" w:themeColor="accent1"/>
          <w:lang w:eastAsia="zh-CN"/>
        </w:rPr>
        <w:t xml:space="preserve"> </w:t>
      </w:r>
      <w:r w:rsidR="00B449F1">
        <w:rPr>
          <w:color w:val="4472C4" w:themeColor="accent1"/>
          <w:lang w:eastAsia="zh-CN"/>
        </w:rPr>
        <w:t>1060.</w:t>
      </w:r>
      <w:r>
        <w:rPr>
          <w:rFonts w:hint="eastAsia"/>
          <w:color w:val="4472C4" w:themeColor="accent1"/>
          <w:lang w:eastAsia="zh-CN"/>
        </w:rPr>
        <w:t>192.</w:t>
      </w:r>
    </w:p>
    <w:p w14:paraId="1049CA7A" w14:textId="673CF10F" w:rsidR="00254EEA" w:rsidRPr="00E51206" w:rsidRDefault="00254EEA" w:rsidP="00E51206">
      <w:pPr>
        <w:rPr>
          <w:bCs/>
          <w:color w:val="4472C4" w:themeColor="accent1"/>
          <w:lang w:eastAsia="zh-CN"/>
        </w:rPr>
      </w:pPr>
      <w:r w:rsidRPr="00E51206">
        <w:rPr>
          <w:b/>
          <w:bCs/>
          <w:color w:val="4472C4" w:themeColor="accent1"/>
          <w:lang w:eastAsia="zh-CN"/>
        </w:rPr>
        <w:t xml:space="preserve">Example of </w:t>
      </w:r>
      <w:r w:rsidR="006F7931">
        <w:rPr>
          <w:b/>
          <w:bCs/>
          <w:color w:val="4472C4" w:themeColor="accent1"/>
          <w:lang w:eastAsia="zh-CN"/>
        </w:rPr>
        <w:t xml:space="preserve">a </w:t>
      </w:r>
      <w:r w:rsidR="00885865">
        <w:rPr>
          <w:b/>
          <w:bCs/>
          <w:color w:val="4472C4" w:themeColor="accent1"/>
          <w:lang w:eastAsia="zh-CN"/>
        </w:rPr>
        <w:t xml:space="preserve">related party note </w:t>
      </w:r>
      <w:r w:rsidRPr="00E51206">
        <w:rPr>
          <w:b/>
          <w:bCs/>
          <w:color w:val="4472C4" w:themeColor="accent1"/>
          <w:lang w:eastAsia="zh-CN"/>
        </w:rPr>
        <w:t xml:space="preserve">disclosure </w:t>
      </w:r>
    </w:p>
    <w:p w14:paraId="79E9765F" w14:textId="674ABBF6" w:rsidR="00254EEA" w:rsidRPr="00E51206" w:rsidRDefault="00254EEA" w:rsidP="00E51206">
      <w:pPr>
        <w:rPr>
          <w:color w:val="4472C4" w:themeColor="accent1"/>
          <w:lang w:eastAsia="zh-CN"/>
        </w:rPr>
      </w:pPr>
      <w:r w:rsidRPr="00E51206">
        <w:rPr>
          <w:color w:val="4472C4" w:themeColor="accent1"/>
          <w:lang w:eastAsia="zh-CN"/>
        </w:rPr>
        <w:t xml:space="preserve">During the year, a company of which the spouse of John Bristol MP, the </w:t>
      </w:r>
      <w:proofErr w:type="gramStart"/>
      <w:r w:rsidRPr="00E51206">
        <w:rPr>
          <w:color w:val="4472C4" w:themeColor="accent1"/>
          <w:lang w:eastAsia="zh-CN"/>
        </w:rPr>
        <w:t>Portfolio Minister</w:t>
      </w:r>
      <w:proofErr w:type="gramEnd"/>
      <w:r w:rsidR="0046350A">
        <w:rPr>
          <w:color w:val="4472C4" w:themeColor="accent1"/>
          <w:lang w:eastAsia="zh-CN"/>
        </w:rPr>
        <w:t>,</w:t>
      </w:r>
      <w:r w:rsidRPr="00E51206">
        <w:rPr>
          <w:color w:val="4472C4" w:themeColor="accent1"/>
          <w:lang w:eastAsia="zh-CN"/>
        </w:rPr>
        <w:t xml:space="preserve"> is a senior partner was awarded a contract under the selective tender process on terms and conditions equivalent for those that prevail in arm’s length transactions under the State’s procurement process. The transaction involved the provision of IT support services to support the migration of the Department’s general ledger to a new platform with a total value of $100 million over five years.</w:t>
      </w:r>
      <w:r w:rsidR="00885865">
        <w:rPr>
          <w:color w:val="4472C4" w:themeColor="accent1"/>
          <w:lang w:eastAsia="zh-CN"/>
        </w:rPr>
        <w:t xml:space="preserve"> </w:t>
      </w:r>
    </w:p>
    <w:p w14:paraId="173E1F87" w14:textId="3A6D72F3" w:rsidR="00254EEA" w:rsidRPr="00254EEA" w:rsidRDefault="00254EEA" w:rsidP="00254EEA">
      <w:pPr>
        <w:rPr>
          <w:color w:val="4472C4" w:themeColor="accent1"/>
          <w:lang w:eastAsia="zh-CN"/>
        </w:rPr>
      </w:pPr>
      <w:r w:rsidRPr="00E51206">
        <w:rPr>
          <w:color w:val="4472C4" w:themeColor="accent1"/>
          <w:lang w:eastAsia="zh-CN"/>
        </w:rPr>
        <w:t xml:space="preserve">All other transactions that have occurred with KMP and their related parties have not been considered material for disclosure. In this context, transactions are only disclosed when they are considered necessary to draw attention to the possibility that the </w:t>
      </w:r>
      <w:r>
        <w:rPr>
          <w:color w:val="4472C4" w:themeColor="accent1"/>
          <w:lang w:eastAsia="zh-CN"/>
        </w:rPr>
        <w:t>entity’s</w:t>
      </w:r>
      <w:r w:rsidRPr="00E51206">
        <w:rPr>
          <w:color w:val="4472C4" w:themeColor="accent1"/>
          <w:lang w:eastAsia="zh-CN"/>
        </w:rPr>
        <w:t xml:space="preserve"> financial position and profit or loss may have been affected by the existence of related parties and by transactions and outstanding balances, including commitments, with such parties.</w:t>
      </w:r>
    </w:p>
    <w:p w14:paraId="5C18A918" w14:textId="77777777" w:rsidR="003719CD" w:rsidRDefault="003719CD" w:rsidP="007D536F">
      <w:pPr>
        <w:pStyle w:val="GuidanceEnd"/>
      </w:pPr>
    </w:p>
    <w:p w14:paraId="391BF2D5" w14:textId="2BF81037" w:rsidR="003719CD" w:rsidRDefault="003719CD" w:rsidP="007762BE">
      <w:pPr>
        <w:pStyle w:val="Heading2numbered"/>
        <w:ind w:left="851" w:hanging="851"/>
      </w:pPr>
      <w:bookmarkStart w:id="10852" w:name="_Toc64983185"/>
      <w:bookmarkStart w:id="10853" w:name="_Toc96709992"/>
      <w:bookmarkStart w:id="10854" w:name="_Toc179816787"/>
      <w:bookmarkStart w:id="10855" w:name="_Toc179822487"/>
      <w:bookmarkStart w:id="10856" w:name="_Toc179828187"/>
      <w:bookmarkStart w:id="10857" w:name="_Toc179833825"/>
      <w:bookmarkStart w:id="10858" w:name="_Toc179865355"/>
      <w:bookmarkStart w:id="10859" w:name="_Toc179871457"/>
      <w:bookmarkStart w:id="10860" w:name="_Toc179875850"/>
      <w:bookmarkStart w:id="10861" w:name="_Toc179880243"/>
      <w:bookmarkStart w:id="10862" w:name="_Toc179880336"/>
      <w:bookmarkStart w:id="10863" w:name="_Toc190333410"/>
      <w:bookmarkStart w:id="10864" w:name="_Toc222999587"/>
      <w:r>
        <w:t>Remuneration of auditors</w:t>
      </w:r>
      <w:bookmarkEnd w:id="10852"/>
      <w:bookmarkEnd w:id="10853"/>
      <w:bookmarkEnd w:id="10854"/>
      <w:bookmarkEnd w:id="10855"/>
      <w:bookmarkEnd w:id="10856"/>
      <w:bookmarkEnd w:id="10857"/>
      <w:bookmarkEnd w:id="10858"/>
      <w:bookmarkEnd w:id="10859"/>
      <w:bookmarkEnd w:id="10860"/>
      <w:bookmarkEnd w:id="10861"/>
      <w:bookmarkEnd w:id="10862"/>
      <w:bookmarkEnd w:id="10863"/>
      <w:bookmarkEnd w:id="10864"/>
    </w:p>
    <w:p w14:paraId="003FAB8D" w14:textId="77777777" w:rsidR="003719CD" w:rsidRDefault="003719CD" w:rsidP="007D536F">
      <w:pPr>
        <w:pStyle w:val="TableUnits"/>
      </w:pPr>
      <w:r>
        <w:t>($ thousand)</w:t>
      </w:r>
    </w:p>
    <w:tbl>
      <w:tblPr>
        <w:tblStyle w:val="DTFTable"/>
        <w:tblW w:w="9639" w:type="dxa"/>
        <w:tblLayout w:type="fixed"/>
        <w:tblLook w:val="0620" w:firstRow="1" w:lastRow="0" w:firstColumn="0" w:lastColumn="0" w:noHBand="1" w:noVBand="1"/>
      </w:tblPr>
      <w:tblGrid>
        <w:gridCol w:w="1349"/>
        <w:gridCol w:w="6558"/>
        <w:gridCol w:w="866"/>
        <w:gridCol w:w="866"/>
      </w:tblGrid>
      <w:tr w:rsidR="00182709" w14:paraId="50D39DB5" w14:textId="77777777" w:rsidTr="067473FC">
        <w:trPr>
          <w:cnfStyle w:val="100000000000" w:firstRow="1" w:lastRow="0" w:firstColumn="0" w:lastColumn="0" w:oddVBand="0" w:evenVBand="0" w:oddHBand="0" w:evenHBand="0" w:firstRowFirstColumn="0" w:firstRowLastColumn="0" w:lastRowFirstColumn="0" w:lastRowLastColumn="0"/>
          <w:tblHeader/>
        </w:trPr>
        <w:tc>
          <w:tcPr>
            <w:tcW w:w="1417" w:type="dxa"/>
            <w:tcBorders>
              <w:top w:val="nil"/>
              <w:bottom w:val="nil"/>
            </w:tcBorders>
            <w:shd w:val="clear" w:color="auto" w:fill="FFFFFF" w:themeFill="background1"/>
          </w:tcPr>
          <w:p w14:paraId="0042BC1C" w14:textId="77777777" w:rsidR="00182709" w:rsidRDefault="0044097C">
            <w:pPr>
              <w:keepNext/>
              <w:jc w:val="left"/>
            </w:pPr>
            <w:r>
              <w:rPr>
                <w:color w:val="4472C4"/>
                <w:sz w:val="13"/>
              </w:rPr>
              <w:t>Source reference</w:t>
            </w:r>
          </w:p>
        </w:tc>
        <w:tc>
          <w:tcPr>
            <w:tcW w:w="6917" w:type="dxa"/>
          </w:tcPr>
          <w:p w14:paraId="1B372584" w14:textId="77777777" w:rsidR="00182709" w:rsidRDefault="00182709">
            <w:pPr>
              <w:keepNext/>
              <w:jc w:val="left"/>
            </w:pPr>
          </w:p>
        </w:tc>
        <w:tc>
          <w:tcPr>
            <w:tcW w:w="907" w:type="dxa"/>
          </w:tcPr>
          <w:p w14:paraId="2DA6EAED" w14:textId="77777777" w:rsidR="00182709" w:rsidRDefault="0044097C">
            <w:pPr>
              <w:keepNext/>
            </w:pPr>
            <w:r>
              <w:t>20X2</w:t>
            </w:r>
          </w:p>
        </w:tc>
        <w:tc>
          <w:tcPr>
            <w:tcW w:w="907" w:type="dxa"/>
          </w:tcPr>
          <w:p w14:paraId="778F5598" w14:textId="77777777" w:rsidR="00182709" w:rsidRDefault="0044097C">
            <w:pPr>
              <w:keepNext/>
            </w:pPr>
            <w:r>
              <w:t>20X1</w:t>
            </w:r>
          </w:p>
        </w:tc>
      </w:tr>
      <w:tr w:rsidR="00182709" w14:paraId="1546D15F" w14:textId="77777777" w:rsidTr="067473FC">
        <w:tc>
          <w:tcPr>
            <w:tcW w:w="1417" w:type="dxa"/>
          </w:tcPr>
          <w:p w14:paraId="6155FB66" w14:textId="3325BD07" w:rsidR="00182709" w:rsidRDefault="0007383E">
            <w:pPr>
              <w:jc w:val="left"/>
            </w:pPr>
            <w:r>
              <w:rPr>
                <w:color w:val="4472C4" w:themeColor="accent1"/>
                <w:sz w:val="13"/>
                <w:szCs w:val="13"/>
              </w:rPr>
              <w:t>AASB </w:t>
            </w:r>
            <w:r w:rsidR="2791A347" w:rsidRPr="067473FC">
              <w:rPr>
                <w:color w:val="4472C4" w:themeColor="accent1"/>
                <w:sz w:val="13"/>
                <w:szCs w:val="13"/>
              </w:rPr>
              <w:t>1060.98</w:t>
            </w:r>
          </w:p>
        </w:tc>
        <w:tc>
          <w:tcPr>
            <w:tcW w:w="6917" w:type="dxa"/>
          </w:tcPr>
          <w:p w14:paraId="3A9A5F4E" w14:textId="77777777" w:rsidR="00182709" w:rsidRDefault="0044097C">
            <w:pPr>
              <w:jc w:val="left"/>
            </w:pPr>
            <w:r>
              <w:rPr>
                <w:b/>
              </w:rPr>
              <w:t>Victorian Auditor‑General’s Office</w:t>
            </w:r>
          </w:p>
        </w:tc>
        <w:tc>
          <w:tcPr>
            <w:tcW w:w="907" w:type="dxa"/>
          </w:tcPr>
          <w:p w14:paraId="4F4718B7" w14:textId="77777777" w:rsidR="00182709" w:rsidRDefault="00182709"/>
        </w:tc>
        <w:tc>
          <w:tcPr>
            <w:tcW w:w="907" w:type="dxa"/>
          </w:tcPr>
          <w:p w14:paraId="758BF51A" w14:textId="77777777" w:rsidR="00182709" w:rsidRDefault="00182709"/>
        </w:tc>
      </w:tr>
      <w:tr w:rsidR="00182709" w14:paraId="416402A0" w14:textId="77777777" w:rsidTr="067473FC">
        <w:tc>
          <w:tcPr>
            <w:tcW w:w="1417" w:type="dxa"/>
          </w:tcPr>
          <w:p w14:paraId="58DAE4C7" w14:textId="051DAF4E" w:rsidR="00182709" w:rsidRDefault="0007383E" w:rsidP="067473FC">
            <w:pPr>
              <w:jc w:val="left"/>
              <w:rPr>
                <w:color w:val="4472C4" w:themeColor="accent1"/>
                <w:sz w:val="13"/>
                <w:szCs w:val="13"/>
              </w:rPr>
            </w:pPr>
            <w:r>
              <w:rPr>
                <w:color w:val="4472C4" w:themeColor="accent1"/>
                <w:sz w:val="13"/>
                <w:szCs w:val="13"/>
              </w:rPr>
              <w:t>AASB </w:t>
            </w:r>
            <w:r w:rsidR="703455A5" w:rsidRPr="067473FC">
              <w:rPr>
                <w:color w:val="4472C4" w:themeColor="accent1"/>
                <w:sz w:val="13"/>
                <w:szCs w:val="13"/>
              </w:rPr>
              <w:t>1060.98 (a)</w:t>
            </w:r>
          </w:p>
        </w:tc>
        <w:tc>
          <w:tcPr>
            <w:tcW w:w="6917" w:type="dxa"/>
            <w:tcBorders>
              <w:bottom w:val="single" w:sz="12" w:space="0" w:color="auto"/>
            </w:tcBorders>
          </w:tcPr>
          <w:p w14:paraId="60879A21" w14:textId="77777777" w:rsidR="00182709" w:rsidRDefault="0044097C">
            <w:pPr>
              <w:jc w:val="left"/>
            </w:pPr>
            <w:r>
              <w:t>Audit or review of the financial statements</w:t>
            </w:r>
          </w:p>
        </w:tc>
        <w:tc>
          <w:tcPr>
            <w:tcW w:w="907" w:type="dxa"/>
            <w:tcBorders>
              <w:bottom w:val="single" w:sz="12" w:space="0" w:color="auto"/>
            </w:tcBorders>
          </w:tcPr>
          <w:p w14:paraId="4D30DD26" w14:textId="6BBC03A6" w:rsidR="00182709" w:rsidRDefault="0044097C">
            <w:r>
              <w:t>1 0</w:t>
            </w:r>
            <w:r w:rsidR="00A1146B">
              <w:t>00</w:t>
            </w:r>
          </w:p>
        </w:tc>
        <w:tc>
          <w:tcPr>
            <w:tcW w:w="907" w:type="dxa"/>
            <w:tcBorders>
              <w:bottom w:val="single" w:sz="12" w:space="0" w:color="auto"/>
            </w:tcBorders>
          </w:tcPr>
          <w:p w14:paraId="66A0C9A1" w14:textId="26E4F8A2" w:rsidR="00182709" w:rsidRDefault="0044097C">
            <w:r>
              <w:t xml:space="preserve">1 </w:t>
            </w:r>
            <w:r w:rsidR="00A1146B">
              <w:t>100</w:t>
            </w:r>
          </w:p>
        </w:tc>
      </w:tr>
      <w:tr w:rsidR="00671D55" w14:paraId="4FA86CB7" w14:textId="77777777" w:rsidTr="067473FC">
        <w:tc>
          <w:tcPr>
            <w:tcW w:w="1417" w:type="dxa"/>
          </w:tcPr>
          <w:p w14:paraId="34C58580" w14:textId="13C21E24" w:rsidR="00182709" w:rsidRDefault="0007383E">
            <w:pPr>
              <w:jc w:val="left"/>
            </w:pPr>
            <w:r>
              <w:rPr>
                <w:color w:val="4472C4" w:themeColor="accent1"/>
                <w:sz w:val="13"/>
                <w:szCs w:val="13"/>
              </w:rPr>
              <w:t>AASB </w:t>
            </w:r>
            <w:r w:rsidR="28985650" w:rsidRPr="067473FC">
              <w:rPr>
                <w:color w:val="4472C4" w:themeColor="accent1"/>
                <w:sz w:val="13"/>
                <w:szCs w:val="13"/>
              </w:rPr>
              <w:t>1060.98 (b)</w:t>
            </w:r>
          </w:p>
        </w:tc>
        <w:tc>
          <w:tcPr>
            <w:tcW w:w="6917" w:type="dxa"/>
          </w:tcPr>
          <w:p w14:paraId="189F3D05" w14:textId="6B10572E" w:rsidR="00182709" w:rsidRDefault="0044097C">
            <w:pPr>
              <w:jc w:val="left"/>
            </w:pPr>
            <w:r>
              <w:rPr>
                <w:b/>
              </w:rPr>
              <w:t>Other non‑audit services</w:t>
            </w:r>
            <w:r>
              <w:rPr>
                <w:b/>
                <w:vertAlign w:val="superscript"/>
              </w:rPr>
              <w:t xml:space="preserve"> (a)</w:t>
            </w:r>
          </w:p>
        </w:tc>
        <w:tc>
          <w:tcPr>
            <w:tcW w:w="907" w:type="dxa"/>
          </w:tcPr>
          <w:p w14:paraId="2FF4A12A" w14:textId="3923261C" w:rsidR="00182709" w:rsidRDefault="00A1146B">
            <w:r>
              <w:rPr>
                <w:b/>
              </w:rPr>
              <w:t>14</w:t>
            </w:r>
          </w:p>
        </w:tc>
        <w:tc>
          <w:tcPr>
            <w:tcW w:w="907" w:type="dxa"/>
          </w:tcPr>
          <w:p w14:paraId="56D79283" w14:textId="1479D00C" w:rsidR="00182709" w:rsidRDefault="00A1146B">
            <w:r>
              <w:rPr>
                <w:b/>
              </w:rPr>
              <w:t>77</w:t>
            </w:r>
          </w:p>
        </w:tc>
      </w:tr>
      <w:tr w:rsidR="00671D55" w14:paraId="68EC62E9" w14:textId="77777777" w:rsidTr="067473FC">
        <w:tc>
          <w:tcPr>
            <w:tcW w:w="1417" w:type="dxa"/>
            <w:tcBorders>
              <w:bottom w:val="nil"/>
            </w:tcBorders>
          </w:tcPr>
          <w:p w14:paraId="0C403E40" w14:textId="77777777" w:rsidR="00182709" w:rsidRDefault="00182709">
            <w:pPr>
              <w:jc w:val="left"/>
            </w:pPr>
          </w:p>
        </w:tc>
        <w:tc>
          <w:tcPr>
            <w:tcW w:w="6917" w:type="dxa"/>
          </w:tcPr>
          <w:p w14:paraId="17A0C3EA" w14:textId="77777777" w:rsidR="00182709" w:rsidRDefault="0044097C">
            <w:pPr>
              <w:jc w:val="left"/>
            </w:pPr>
            <w:r>
              <w:rPr>
                <w:b/>
              </w:rPr>
              <w:t>Total remuneration of auditors</w:t>
            </w:r>
          </w:p>
        </w:tc>
        <w:tc>
          <w:tcPr>
            <w:tcW w:w="907" w:type="dxa"/>
          </w:tcPr>
          <w:p w14:paraId="0D88B75C" w14:textId="77777777" w:rsidR="00182709" w:rsidRDefault="0044097C">
            <w:r>
              <w:rPr>
                <w:b/>
              </w:rPr>
              <w:t>1 014</w:t>
            </w:r>
          </w:p>
        </w:tc>
        <w:tc>
          <w:tcPr>
            <w:tcW w:w="907" w:type="dxa"/>
          </w:tcPr>
          <w:p w14:paraId="50EF059C" w14:textId="77777777" w:rsidR="00182709" w:rsidRDefault="0044097C">
            <w:r>
              <w:rPr>
                <w:b/>
              </w:rPr>
              <w:t>1 177</w:t>
            </w:r>
          </w:p>
        </w:tc>
      </w:tr>
    </w:tbl>
    <w:p w14:paraId="027F8D14" w14:textId="77777777" w:rsidR="003719CD" w:rsidRDefault="003719CD" w:rsidP="007D536F">
      <w:pPr>
        <w:pStyle w:val="Note"/>
      </w:pPr>
      <w:r>
        <w:t>Note:</w:t>
      </w:r>
    </w:p>
    <w:p w14:paraId="7253DEC7" w14:textId="77777777" w:rsidR="003719CD" w:rsidRDefault="003719CD" w:rsidP="007D536F">
      <w:pPr>
        <w:pStyle w:val="Note"/>
      </w:pPr>
      <w:r>
        <w:t xml:space="preserve">(a) </w:t>
      </w:r>
      <w:r>
        <w:tab/>
        <w:t>The Victorian Auditor-General’s Office is prohibited from providing non-audit services.</w:t>
      </w:r>
    </w:p>
    <w:p w14:paraId="16966013" w14:textId="77777777" w:rsidR="003719CD" w:rsidRDefault="003719CD" w:rsidP="00DC39DE"/>
    <w:p w14:paraId="21F072F9" w14:textId="77777777" w:rsidR="003719CD" w:rsidRDefault="003719CD" w:rsidP="007D536F">
      <w:pPr>
        <w:pStyle w:val="GuidanceBlockHeading"/>
      </w:pPr>
      <w:bookmarkStart w:id="10865" w:name="_Toc179816788"/>
      <w:bookmarkStart w:id="10866" w:name="_Toc179822488"/>
      <w:bookmarkStart w:id="10867" w:name="_Toc179828188"/>
      <w:r>
        <w:t>Guidance – Remuneration of auditors</w:t>
      </w:r>
      <w:bookmarkEnd w:id="10865"/>
      <w:bookmarkEnd w:id="10866"/>
      <w:bookmarkEnd w:id="10867"/>
    </w:p>
    <w:p w14:paraId="20778B88" w14:textId="54C90B49" w:rsidR="003719CD" w:rsidRPr="003C5ECC" w:rsidRDefault="003719CD" w:rsidP="002A0038">
      <w:pPr>
        <w:spacing w:before="120" w:after="0"/>
        <w:rPr>
          <w:rStyle w:val="Guidance"/>
          <w:rFonts w:asciiTheme="majorHAnsi" w:eastAsiaTheme="majorEastAsia" w:hAnsiTheme="majorHAnsi" w:cstheme="majorBidi"/>
          <w:b/>
          <w:bCs/>
          <w:iCs/>
          <w:sz w:val="20"/>
          <w:szCs w:val="24"/>
        </w:rPr>
      </w:pPr>
      <w:r w:rsidRPr="003C5ECC">
        <w:rPr>
          <w:rStyle w:val="Guidance"/>
        </w:rPr>
        <w:t xml:space="preserve">The amount paid or due and payable to the Auditor-General for auditing the financial statements of </w:t>
      </w:r>
      <w:r w:rsidR="006B48BC">
        <w:rPr>
          <w:rStyle w:val="Guidance"/>
        </w:rPr>
        <w:t>TV</w:t>
      </w:r>
      <w:r w:rsidRPr="003C5ECC">
        <w:rPr>
          <w:rStyle w:val="Guidance"/>
        </w:rPr>
        <w:t xml:space="preserve"> pursuant to the </w:t>
      </w:r>
      <w:r w:rsidRPr="00E10CD7">
        <w:rPr>
          <w:rStyle w:val="Guidance"/>
          <w:i/>
          <w:iCs/>
        </w:rPr>
        <w:t>Audit Act 1994</w:t>
      </w:r>
      <w:r w:rsidRPr="003C5ECC">
        <w:rPr>
          <w:rStyle w:val="Guidance"/>
        </w:rPr>
        <w:t xml:space="preserve"> must be disclosed and should be net of GST except where the GST included in fees is not recoverable from the tax authority. GST that is not recoverable should be included as part of the remuneration. </w:t>
      </w:r>
      <w:r w:rsidRPr="003C5ECC">
        <w:rPr>
          <w:rStyle w:val="Reference"/>
        </w:rPr>
        <w:t>[</w:t>
      </w:r>
      <w:r w:rsidR="0007383E">
        <w:rPr>
          <w:rStyle w:val="Reference"/>
        </w:rPr>
        <w:t>AASB </w:t>
      </w:r>
      <w:r w:rsidRPr="003C5ECC">
        <w:rPr>
          <w:rStyle w:val="Reference"/>
        </w:rPr>
        <w:t>Interpretation 1031.6,7]</w:t>
      </w:r>
    </w:p>
    <w:p w14:paraId="2530A86A" w14:textId="2E940185" w:rsidR="003719CD" w:rsidRPr="003C5ECC" w:rsidRDefault="003719CD" w:rsidP="002A0038">
      <w:pPr>
        <w:spacing w:before="120" w:after="0"/>
        <w:rPr>
          <w:rStyle w:val="Guidance"/>
        </w:rPr>
      </w:pPr>
      <w:r w:rsidRPr="003C5ECC">
        <w:rPr>
          <w:rStyle w:val="Guidance"/>
        </w:rPr>
        <w:t>An entity shall disclose fees to each auditor or reviewer, including any network firm, separately for</w:t>
      </w:r>
      <w:r w:rsidR="00342988">
        <w:rPr>
          <w:rStyle w:val="Guidance"/>
          <w:rFonts w:hint="eastAsia"/>
          <w:lang w:eastAsia="zh-CN"/>
        </w:rPr>
        <w:t xml:space="preserve"> </w:t>
      </w:r>
      <w:r w:rsidR="00342988" w:rsidRPr="067473FC">
        <w:rPr>
          <w:rStyle w:val="Reference"/>
        </w:rPr>
        <w:t>[</w:t>
      </w:r>
      <w:r w:rsidR="0007383E">
        <w:rPr>
          <w:rStyle w:val="Reference"/>
        </w:rPr>
        <w:t>AASB </w:t>
      </w:r>
      <w:r w:rsidR="00342988" w:rsidRPr="067473FC">
        <w:rPr>
          <w:rStyle w:val="Reference"/>
        </w:rPr>
        <w:t>1060.9</w:t>
      </w:r>
      <w:r w:rsidR="00342988">
        <w:rPr>
          <w:rStyle w:val="Reference"/>
          <w:rFonts w:hint="eastAsia"/>
          <w:lang w:eastAsia="zh-CN"/>
        </w:rPr>
        <w:t>8</w:t>
      </w:r>
      <w:r w:rsidR="00342988" w:rsidRPr="067473FC">
        <w:rPr>
          <w:rStyle w:val="Reference"/>
        </w:rPr>
        <w:t>]</w:t>
      </w:r>
      <w:r w:rsidRPr="003C5ECC">
        <w:rPr>
          <w:rStyle w:val="Guidance"/>
        </w:rPr>
        <w:t>:</w:t>
      </w:r>
    </w:p>
    <w:p w14:paraId="56B9B356" w14:textId="5057F929" w:rsidR="003719CD" w:rsidRPr="003C5ECC" w:rsidRDefault="003719CD" w:rsidP="002A0038">
      <w:pPr>
        <w:pStyle w:val="ListBullet"/>
        <w:numPr>
          <w:ilvl w:val="0"/>
          <w:numId w:val="367"/>
        </w:numPr>
        <w:spacing w:after="0"/>
        <w:rPr>
          <w:rStyle w:val="Guidance"/>
        </w:rPr>
      </w:pPr>
      <w:r w:rsidRPr="003C5ECC">
        <w:rPr>
          <w:rStyle w:val="Guidance"/>
        </w:rPr>
        <w:t xml:space="preserve">the audit or review of the financial statements </w:t>
      </w:r>
    </w:p>
    <w:p w14:paraId="17C426D4" w14:textId="77777777" w:rsidR="000E4911" w:rsidRDefault="35E00C1F" w:rsidP="002A0038">
      <w:pPr>
        <w:pStyle w:val="ListBullet"/>
        <w:numPr>
          <w:ilvl w:val="0"/>
          <w:numId w:val="367"/>
        </w:numPr>
        <w:spacing w:after="0"/>
        <w:rPr>
          <w:rStyle w:val="Guidance"/>
        </w:rPr>
      </w:pPr>
      <w:r w:rsidRPr="067473FC">
        <w:rPr>
          <w:rStyle w:val="Guidance"/>
        </w:rPr>
        <w:t xml:space="preserve">all other services performed during the reporting period </w:t>
      </w:r>
    </w:p>
    <w:p w14:paraId="2D21D95D" w14:textId="64D7982A" w:rsidR="003719CD" w:rsidRPr="003C5ECC" w:rsidRDefault="35E00C1F" w:rsidP="002A0038">
      <w:pPr>
        <w:pStyle w:val="ListBullet"/>
        <w:numPr>
          <w:ilvl w:val="0"/>
          <w:numId w:val="0"/>
        </w:numPr>
        <w:spacing w:after="0"/>
        <w:rPr>
          <w:rStyle w:val="Guidance"/>
        </w:rPr>
      </w:pPr>
      <w:r w:rsidRPr="067473FC">
        <w:rPr>
          <w:rStyle w:val="Guidance"/>
        </w:rPr>
        <w:t xml:space="preserve">with a description of the nature of the services performed. </w:t>
      </w:r>
      <w:r w:rsidRPr="067473FC">
        <w:rPr>
          <w:rStyle w:val="Reference"/>
        </w:rPr>
        <w:t>[</w:t>
      </w:r>
      <w:r w:rsidR="0007383E">
        <w:rPr>
          <w:rStyle w:val="Reference"/>
        </w:rPr>
        <w:t>AASB </w:t>
      </w:r>
      <w:r w:rsidR="1402C3D2" w:rsidRPr="067473FC">
        <w:rPr>
          <w:rStyle w:val="Reference"/>
        </w:rPr>
        <w:t>1060.99</w:t>
      </w:r>
      <w:r w:rsidRPr="067473FC">
        <w:rPr>
          <w:rStyle w:val="Reference"/>
        </w:rPr>
        <w:t>]</w:t>
      </w:r>
    </w:p>
    <w:p w14:paraId="069C8693" w14:textId="77777777" w:rsidR="003719CD" w:rsidRDefault="003719CD" w:rsidP="007D536F">
      <w:pPr>
        <w:pStyle w:val="GuidanceEnd"/>
      </w:pPr>
    </w:p>
    <w:p w14:paraId="3DE37B50" w14:textId="7FDCE475" w:rsidR="003719CD" w:rsidRDefault="003719CD" w:rsidP="00B04213">
      <w:pPr>
        <w:pStyle w:val="Heading2numbered"/>
        <w:keepLines w:val="0"/>
        <w:ind w:left="850" w:hanging="850"/>
      </w:pPr>
      <w:bookmarkStart w:id="10868" w:name="_Toc64983186"/>
      <w:bookmarkStart w:id="10869" w:name="_Toc96709993"/>
      <w:bookmarkStart w:id="10870" w:name="_Toc179816789"/>
      <w:bookmarkStart w:id="10871" w:name="_Toc179822489"/>
      <w:bookmarkStart w:id="10872" w:name="_Toc179828189"/>
      <w:bookmarkStart w:id="10873" w:name="_Toc179833826"/>
      <w:bookmarkStart w:id="10874" w:name="_Toc179865356"/>
      <w:bookmarkStart w:id="10875" w:name="_Toc179871458"/>
      <w:bookmarkStart w:id="10876" w:name="_Toc179875851"/>
      <w:bookmarkStart w:id="10877" w:name="_Toc179880244"/>
      <w:bookmarkStart w:id="10878" w:name="_Toc179880337"/>
      <w:bookmarkStart w:id="10879" w:name="_Toc190333411"/>
      <w:bookmarkStart w:id="10880" w:name="_Toc222999588"/>
      <w:r>
        <w:t>Subsequent events</w:t>
      </w:r>
      <w:bookmarkEnd w:id="10868"/>
      <w:bookmarkEnd w:id="10869"/>
      <w:bookmarkEnd w:id="10870"/>
      <w:bookmarkEnd w:id="10871"/>
      <w:bookmarkEnd w:id="10872"/>
      <w:bookmarkEnd w:id="10873"/>
      <w:bookmarkEnd w:id="10874"/>
      <w:bookmarkEnd w:id="10875"/>
      <w:bookmarkEnd w:id="10876"/>
      <w:bookmarkEnd w:id="10877"/>
      <w:bookmarkEnd w:id="10878"/>
      <w:bookmarkEnd w:id="10879"/>
      <w:bookmarkEnd w:id="10880"/>
    </w:p>
    <w:p w14:paraId="5AFE7198" w14:textId="753F808C" w:rsidR="003719CD" w:rsidRDefault="003719CD" w:rsidP="00B04213">
      <w:r>
        <w:t xml:space="preserve">The </w:t>
      </w:r>
      <w:r w:rsidR="00126FA5">
        <w:t>Technology Victoria</w:t>
      </w:r>
      <w:r>
        <w:t xml:space="preserve"> (</w:t>
      </w:r>
      <w:r w:rsidR="006B48BC">
        <w:t>TV</w:t>
      </w:r>
      <w:r>
        <w:t xml:space="preserve">) intends to privatise its consulting division </w:t>
      </w:r>
      <w:proofErr w:type="gramStart"/>
      <w:r>
        <w:t>subsequent to</w:t>
      </w:r>
      <w:proofErr w:type="gramEnd"/>
      <w:r>
        <w:t xml:space="preserve"> the current reporting period. Given that the expertise of this division is highly regarded in the private sector, several expressions of interests have been received. Further announcements, including the financial effect on the operations of </w:t>
      </w:r>
      <w:r w:rsidR="006B48BC">
        <w:t>TV</w:t>
      </w:r>
      <w:r>
        <w:t>, will be made once agreements are finalised.</w:t>
      </w:r>
    </w:p>
    <w:p w14:paraId="6E58C3A2" w14:textId="77777777" w:rsidR="003719CD" w:rsidRDefault="003719CD" w:rsidP="00A74743">
      <w:pPr>
        <w:keepLines w:val="0"/>
      </w:pPr>
      <w:r>
        <w:t>The policy in connection with recognising subsequent events that are for events that occur between the end of the reporting period and the date when the financial statements are authorised for issue is as follows:</w:t>
      </w:r>
    </w:p>
    <w:p w14:paraId="5E5621E0" w14:textId="59FE6A5E" w:rsidR="003719CD" w:rsidRDefault="003719CD" w:rsidP="002A0038">
      <w:pPr>
        <w:pStyle w:val="ListBullet"/>
        <w:numPr>
          <w:ilvl w:val="0"/>
          <w:numId w:val="370"/>
        </w:numPr>
      </w:pPr>
      <w:r>
        <w:t>adjustments are made to amounts recognised in the financial statements where those events provide information about conditions that existed at the reporting date</w:t>
      </w:r>
    </w:p>
    <w:p w14:paraId="295E6A50" w14:textId="77777777" w:rsidR="003719CD" w:rsidRDefault="003719CD" w:rsidP="002A0038">
      <w:pPr>
        <w:pStyle w:val="ListBullet"/>
        <w:numPr>
          <w:ilvl w:val="0"/>
          <w:numId w:val="370"/>
        </w:numPr>
      </w:pPr>
      <w:r>
        <w:t xml:space="preserve">disclosure is made where the events relate to conditions that arose after the end of the reporting period that </w:t>
      </w:r>
      <w:proofErr w:type="gramStart"/>
      <w:r>
        <w:t>are considered to be</w:t>
      </w:r>
      <w:proofErr w:type="gramEnd"/>
      <w:r>
        <w:t xml:space="preserve"> of material interest.</w:t>
      </w:r>
    </w:p>
    <w:p w14:paraId="26215408" w14:textId="77777777" w:rsidR="003719CD" w:rsidRDefault="003719CD" w:rsidP="00DC39DE"/>
    <w:p w14:paraId="67A18FFE" w14:textId="77777777" w:rsidR="003719CD" w:rsidRDefault="003719CD" w:rsidP="007D536F">
      <w:pPr>
        <w:pStyle w:val="GuidanceBlockHeading"/>
      </w:pPr>
      <w:bookmarkStart w:id="10881" w:name="_Toc179816790"/>
      <w:bookmarkStart w:id="10882" w:name="_Toc179822490"/>
      <w:bookmarkStart w:id="10883" w:name="_Toc179828190"/>
      <w:r>
        <w:t>Guidance – Subsequent events</w:t>
      </w:r>
      <w:bookmarkEnd w:id="10881"/>
      <w:bookmarkEnd w:id="10882"/>
      <w:bookmarkEnd w:id="10883"/>
    </w:p>
    <w:p w14:paraId="63373B9A" w14:textId="5EF91081" w:rsidR="008630B9" w:rsidRPr="002A0038" w:rsidRDefault="008630B9" w:rsidP="002A0038">
      <w:pPr>
        <w:spacing w:before="120" w:after="0"/>
        <w:rPr>
          <w:rStyle w:val="Guidance"/>
          <w:b/>
          <w:bCs/>
          <w:sz w:val="20"/>
          <w:szCs w:val="20"/>
        </w:rPr>
      </w:pPr>
      <w:r w:rsidRPr="002A0038">
        <w:rPr>
          <w:rStyle w:val="Guidance"/>
          <w:b/>
          <w:bCs/>
          <w:sz w:val="20"/>
          <w:szCs w:val="20"/>
        </w:rPr>
        <w:t>Adjusting events after the end of reporting period</w:t>
      </w:r>
    </w:p>
    <w:p w14:paraId="56394497" w14:textId="0CB5EF14" w:rsidR="008630B9" w:rsidRDefault="00E83248" w:rsidP="002A0038">
      <w:pPr>
        <w:spacing w:before="120" w:after="0"/>
        <w:rPr>
          <w:rStyle w:val="Guidance"/>
        </w:rPr>
      </w:pPr>
      <w:r w:rsidRPr="00E83248">
        <w:rPr>
          <w:color w:val="4472C4" w:themeColor="accent1"/>
        </w:rPr>
        <w:t>An entity shall adjust the amounts recognised in its financial statements, including related disclosures, to</w:t>
      </w:r>
      <w:r>
        <w:rPr>
          <w:color w:val="4472C4" w:themeColor="accent1"/>
        </w:rPr>
        <w:t xml:space="preserve"> </w:t>
      </w:r>
      <w:r w:rsidRPr="00E83248">
        <w:rPr>
          <w:color w:val="4472C4" w:themeColor="accent1"/>
        </w:rPr>
        <w:t>reflect adjusting events after the end of the reporting period.</w:t>
      </w:r>
      <w:r>
        <w:rPr>
          <w:color w:val="4472C4" w:themeColor="accent1"/>
        </w:rPr>
        <w:t xml:space="preserve"> </w:t>
      </w:r>
      <w:r w:rsidRPr="005865C6">
        <w:rPr>
          <w:rStyle w:val="Reference"/>
        </w:rPr>
        <w:t>[</w:t>
      </w:r>
      <w:r w:rsidR="0007383E">
        <w:rPr>
          <w:rStyle w:val="Reference"/>
        </w:rPr>
        <w:t>AASB </w:t>
      </w:r>
      <w:r w:rsidRPr="005865C6">
        <w:rPr>
          <w:rStyle w:val="Reference"/>
        </w:rPr>
        <w:t>1060.18</w:t>
      </w:r>
      <w:r>
        <w:rPr>
          <w:rStyle w:val="Reference"/>
        </w:rPr>
        <w:t>5</w:t>
      </w:r>
      <w:r w:rsidRPr="005865C6">
        <w:rPr>
          <w:rStyle w:val="Reference"/>
        </w:rPr>
        <w:t>]</w:t>
      </w:r>
    </w:p>
    <w:p w14:paraId="62E27085" w14:textId="080CAE48" w:rsidR="00184319" w:rsidRPr="002A0038" w:rsidRDefault="00184319" w:rsidP="002A0038">
      <w:pPr>
        <w:spacing w:before="120" w:after="0"/>
        <w:rPr>
          <w:rStyle w:val="Guidance"/>
          <w:b/>
          <w:bCs/>
          <w:sz w:val="20"/>
          <w:szCs w:val="20"/>
        </w:rPr>
      </w:pPr>
      <w:r w:rsidRPr="002A0038">
        <w:rPr>
          <w:rStyle w:val="Guidance"/>
          <w:b/>
          <w:bCs/>
          <w:sz w:val="20"/>
          <w:szCs w:val="20"/>
        </w:rPr>
        <w:t>Non-adjusting events after the end of reporting period</w:t>
      </w:r>
    </w:p>
    <w:p w14:paraId="3C1E025A" w14:textId="4CB56EE7" w:rsidR="003719CD" w:rsidRPr="003C5ECC" w:rsidRDefault="007B28A4" w:rsidP="002A0038">
      <w:pPr>
        <w:spacing w:before="120" w:after="0"/>
        <w:rPr>
          <w:rStyle w:val="Guidance"/>
        </w:rPr>
      </w:pPr>
      <w:r w:rsidRPr="007B28A4">
        <w:rPr>
          <w:color w:val="4472C4" w:themeColor="accent1"/>
        </w:rPr>
        <w:t>An entity shall disclose the following for each category of non-adjusting event after the end of the reporting</w:t>
      </w:r>
      <w:r>
        <w:rPr>
          <w:color w:val="4472C4" w:themeColor="accent1"/>
        </w:rPr>
        <w:t xml:space="preserve"> </w:t>
      </w:r>
      <w:r w:rsidRPr="007B28A4">
        <w:rPr>
          <w:color w:val="4472C4" w:themeColor="accent1"/>
        </w:rPr>
        <w:t>period:</w:t>
      </w:r>
    </w:p>
    <w:p w14:paraId="664D12EE" w14:textId="3919CD05" w:rsidR="003719CD" w:rsidRPr="003C5ECC" w:rsidRDefault="00833000" w:rsidP="002A0038">
      <w:pPr>
        <w:pStyle w:val="ListBullet"/>
        <w:numPr>
          <w:ilvl w:val="0"/>
          <w:numId w:val="368"/>
        </w:numPr>
        <w:spacing w:after="0"/>
        <w:rPr>
          <w:rStyle w:val="Guidance"/>
        </w:rPr>
      </w:pPr>
      <w:r>
        <w:rPr>
          <w:rStyle w:val="Guidance"/>
        </w:rPr>
        <w:t>T</w:t>
      </w:r>
      <w:r w:rsidR="003719CD" w:rsidRPr="003C5ECC">
        <w:rPr>
          <w:rStyle w:val="Guidance"/>
        </w:rPr>
        <w:t xml:space="preserve">he nature of the event </w:t>
      </w:r>
    </w:p>
    <w:p w14:paraId="0984F622" w14:textId="2DDB0DF0" w:rsidR="007B28A4" w:rsidRDefault="00833000" w:rsidP="002A0038">
      <w:pPr>
        <w:pStyle w:val="ListBullet"/>
        <w:numPr>
          <w:ilvl w:val="0"/>
          <w:numId w:val="368"/>
        </w:numPr>
        <w:spacing w:after="0"/>
        <w:rPr>
          <w:rStyle w:val="Guidance"/>
        </w:rPr>
      </w:pPr>
      <w:r>
        <w:rPr>
          <w:rStyle w:val="Guidance"/>
        </w:rPr>
        <w:t>A</w:t>
      </w:r>
      <w:r w:rsidR="003719CD" w:rsidRPr="003C5ECC">
        <w:rPr>
          <w:rStyle w:val="Guidance"/>
        </w:rPr>
        <w:t>n estimate of its financial effect, or a statement that such an estimate cannot be made.</w:t>
      </w:r>
      <w:r w:rsidR="008016F6">
        <w:rPr>
          <w:rStyle w:val="Guidance"/>
        </w:rPr>
        <w:t xml:space="preserve"> </w:t>
      </w:r>
      <w:r w:rsidR="008016F6" w:rsidRPr="005865C6">
        <w:rPr>
          <w:rStyle w:val="Reference"/>
        </w:rPr>
        <w:t>[</w:t>
      </w:r>
      <w:r w:rsidR="0007383E">
        <w:rPr>
          <w:rStyle w:val="Reference"/>
        </w:rPr>
        <w:t>AASB </w:t>
      </w:r>
      <w:r w:rsidR="008016F6" w:rsidRPr="005865C6">
        <w:rPr>
          <w:rStyle w:val="Reference"/>
        </w:rPr>
        <w:t>1060.187]</w:t>
      </w:r>
    </w:p>
    <w:p w14:paraId="5A27F2ED" w14:textId="77777777" w:rsidR="0094797C" w:rsidRPr="0094797C" w:rsidRDefault="00184319" w:rsidP="0094797C">
      <w:pPr>
        <w:spacing w:before="120" w:after="0"/>
        <w:rPr>
          <w:rStyle w:val="Guidance"/>
        </w:rPr>
      </w:pPr>
      <w:r w:rsidRPr="0094797C">
        <w:rPr>
          <w:color w:val="4472C4" w:themeColor="accent1"/>
        </w:rPr>
        <w:t>The following are examples of non-adjusting events after the end of the reporting period that would generally result in disclosure; the disclosures will reflect information that becomes known after the end of the reporting period but before the financial statements are authorised for issue:</w:t>
      </w:r>
    </w:p>
    <w:p w14:paraId="1F8BA95F" w14:textId="47B270DA" w:rsidR="003719CD" w:rsidRPr="003C5ECC" w:rsidRDefault="00BC27CE" w:rsidP="002A0038">
      <w:pPr>
        <w:pStyle w:val="ListBullet"/>
        <w:numPr>
          <w:ilvl w:val="0"/>
          <w:numId w:val="369"/>
        </w:numPr>
        <w:spacing w:after="0"/>
        <w:rPr>
          <w:rStyle w:val="Guidance"/>
        </w:rPr>
      </w:pPr>
      <w:r>
        <w:rPr>
          <w:rStyle w:val="Guidance"/>
        </w:rPr>
        <w:t>A</w:t>
      </w:r>
      <w:r w:rsidR="003719CD" w:rsidRPr="003C5ECC">
        <w:rPr>
          <w:rStyle w:val="Guidance"/>
        </w:rPr>
        <w:t xml:space="preserve"> major business combination after the end of the reporting period or disposing of a major subsidiary</w:t>
      </w:r>
    </w:p>
    <w:p w14:paraId="4BED6A44" w14:textId="23A02BAC" w:rsidR="003719CD" w:rsidRPr="003C5ECC" w:rsidRDefault="00BC27CE" w:rsidP="002A0038">
      <w:pPr>
        <w:pStyle w:val="ListBullet"/>
        <w:numPr>
          <w:ilvl w:val="0"/>
          <w:numId w:val="369"/>
        </w:numPr>
        <w:spacing w:after="0"/>
        <w:rPr>
          <w:rStyle w:val="Guidance"/>
        </w:rPr>
      </w:pPr>
      <w:r>
        <w:rPr>
          <w:rStyle w:val="Guidance"/>
        </w:rPr>
        <w:t>A</w:t>
      </w:r>
      <w:r w:rsidR="003719CD" w:rsidRPr="003C5ECC">
        <w:rPr>
          <w:rStyle w:val="Guidance"/>
        </w:rPr>
        <w:t>nnouncing a plan to discontinue an operation</w:t>
      </w:r>
    </w:p>
    <w:p w14:paraId="6E129ADA" w14:textId="52B81C1B" w:rsidR="003719CD" w:rsidRPr="003C5ECC" w:rsidRDefault="00BC27CE" w:rsidP="002A0038">
      <w:pPr>
        <w:pStyle w:val="ListBullet"/>
        <w:numPr>
          <w:ilvl w:val="0"/>
          <w:numId w:val="369"/>
        </w:numPr>
        <w:spacing w:after="0"/>
        <w:rPr>
          <w:rStyle w:val="Guidance"/>
        </w:rPr>
      </w:pPr>
      <w:r>
        <w:rPr>
          <w:rStyle w:val="Guidance"/>
        </w:rPr>
        <w:t>M</w:t>
      </w:r>
      <w:r w:rsidR="003719CD" w:rsidRPr="003C5ECC">
        <w:rPr>
          <w:rStyle w:val="Guidance"/>
        </w:rPr>
        <w:t>ajor purchases of assets, classifications of assets as held for sale, other disposals of assets, or expropriation of major assets by government</w:t>
      </w:r>
    </w:p>
    <w:p w14:paraId="5ACB8977" w14:textId="7C1B219B" w:rsidR="003719CD" w:rsidRPr="003C5ECC" w:rsidRDefault="00BC27CE" w:rsidP="002A0038">
      <w:pPr>
        <w:pStyle w:val="ListBullet"/>
        <w:numPr>
          <w:ilvl w:val="0"/>
          <w:numId w:val="369"/>
        </w:numPr>
        <w:spacing w:after="0"/>
        <w:rPr>
          <w:rStyle w:val="Guidance"/>
        </w:rPr>
      </w:pPr>
      <w:r>
        <w:rPr>
          <w:rStyle w:val="Guidance"/>
        </w:rPr>
        <w:t>D</w:t>
      </w:r>
      <w:r w:rsidR="003719CD" w:rsidRPr="003C5ECC">
        <w:rPr>
          <w:rStyle w:val="Guidance"/>
        </w:rPr>
        <w:t>estruction of a major production plant by a fire, more widespread destruction</w:t>
      </w:r>
    </w:p>
    <w:p w14:paraId="4D658634" w14:textId="37E5236E" w:rsidR="003719CD" w:rsidRPr="003C5ECC" w:rsidRDefault="00BC27CE" w:rsidP="002A0038">
      <w:pPr>
        <w:pStyle w:val="ListBullet"/>
        <w:numPr>
          <w:ilvl w:val="0"/>
          <w:numId w:val="369"/>
        </w:numPr>
        <w:spacing w:after="0"/>
        <w:rPr>
          <w:rStyle w:val="Guidance"/>
        </w:rPr>
      </w:pPr>
      <w:r>
        <w:rPr>
          <w:rStyle w:val="Guidance"/>
        </w:rPr>
        <w:t>A</w:t>
      </w:r>
      <w:r w:rsidR="003719CD" w:rsidRPr="003C5ECC">
        <w:rPr>
          <w:rStyle w:val="Guidance"/>
        </w:rPr>
        <w:t>nnouncing, or commencing the implementation of, a major restructure</w:t>
      </w:r>
    </w:p>
    <w:p w14:paraId="4ADA48EA" w14:textId="6C8D10FE" w:rsidR="003719CD" w:rsidRPr="003C5ECC" w:rsidRDefault="00BC27CE" w:rsidP="002A0038">
      <w:pPr>
        <w:pStyle w:val="ListBullet"/>
        <w:numPr>
          <w:ilvl w:val="0"/>
          <w:numId w:val="369"/>
        </w:numPr>
        <w:spacing w:after="0"/>
        <w:rPr>
          <w:rStyle w:val="Guidance"/>
        </w:rPr>
      </w:pPr>
      <w:r>
        <w:rPr>
          <w:rStyle w:val="Guidance"/>
        </w:rPr>
        <w:t>A</w:t>
      </w:r>
      <w:r w:rsidR="003719CD" w:rsidRPr="003C5ECC">
        <w:rPr>
          <w:rStyle w:val="Guidance"/>
        </w:rPr>
        <w:t>bnormally large changes after the reporting period in asset prices or foreign exchange rates</w:t>
      </w:r>
    </w:p>
    <w:p w14:paraId="332C128C" w14:textId="7AD1DEE6" w:rsidR="003719CD" w:rsidRPr="003C5ECC" w:rsidRDefault="00BC27CE" w:rsidP="002A0038">
      <w:pPr>
        <w:pStyle w:val="ListBullet"/>
        <w:numPr>
          <w:ilvl w:val="0"/>
          <w:numId w:val="369"/>
        </w:numPr>
        <w:spacing w:after="0"/>
        <w:rPr>
          <w:rStyle w:val="Guidance"/>
        </w:rPr>
      </w:pPr>
      <w:proofErr w:type="gramStart"/>
      <w:r>
        <w:rPr>
          <w:rStyle w:val="Guidance"/>
        </w:rPr>
        <w:t>E</w:t>
      </w:r>
      <w:r w:rsidR="003719CD" w:rsidRPr="003C5ECC">
        <w:rPr>
          <w:rStyle w:val="Guidance"/>
        </w:rPr>
        <w:t>ntering into</w:t>
      </w:r>
      <w:proofErr w:type="gramEnd"/>
      <w:r w:rsidR="003719CD" w:rsidRPr="003C5ECC">
        <w:rPr>
          <w:rStyle w:val="Guidance"/>
        </w:rPr>
        <w:t xml:space="preserve"> significant commitments or contingent liabilities, for example, by issuing significant guarantees</w:t>
      </w:r>
    </w:p>
    <w:p w14:paraId="3CD06106" w14:textId="60611CDB" w:rsidR="003719CD" w:rsidRPr="003C5ECC" w:rsidRDefault="00BC27CE" w:rsidP="002A0038">
      <w:pPr>
        <w:pStyle w:val="ListBullet"/>
        <w:numPr>
          <w:ilvl w:val="0"/>
          <w:numId w:val="369"/>
        </w:numPr>
        <w:spacing w:after="0"/>
        <w:rPr>
          <w:rStyle w:val="Guidance"/>
        </w:rPr>
      </w:pPr>
      <w:r>
        <w:rPr>
          <w:rStyle w:val="Guidance"/>
        </w:rPr>
        <w:t>C</w:t>
      </w:r>
      <w:r w:rsidR="003719CD" w:rsidRPr="003C5ECC">
        <w:rPr>
          <w:rStyle w:val="Guidance"/>
        </w:rPr>
        <w:t>ommencing major litigation arising solely out of events that occurred after the reporting period.</w:t>
      </w:r>
      <w:r w:rsidR="00184319">
        <w:rPr>
          <w:rStyle w:val="Guidance"/>
        </w:rPr>
        <w:t xml:space="preserve"> </w:t>
      </w:r>
      <w:r w:rsidR="00184319" w:rsidRPr="005865C6">
        <w:rPr>
          <w:rStyle w:val="Reference"/>
        </w:rPr>
        <w:t>[</w:t>
      </w:r>
      <w:r w:rsidR="0007383E">
        <w:rPr>
          <w:rStyle w:val="Reference"/>
        </w:rPr>
        <w:t>AASB </w:t>
      </w:r>
      <w:r w:rsidR="00184319" w:rsidRPr="005865C6">
        <w:rPr>
          <w:rStyle w:val="Reference"/>
        </w:rPr>
        <w:t>1060.188]</w:t>
      </w:r>
    </w:p>
    <w:bookmarkEnd w:id="8996"/>
    <w:p w14:paraId="2126E6B1" w14:textId="77777777" w:rsidR="003719CD" w:rsidRDefault="003719CD" w:rsidP="007D536F">
      <w:pPr>
        <w:pStyle w:val="GuidanceEnd"/>
      </w:pPr>
    </w:p>
    <w:p w14:paraId="20665E22" w14:textId="77777777" w:rsidR="001F33FF" w:rsidRDefault="001F33FF">
      <w:pPr>
        <w:keepLines w:val="0"/>
        <w:rPr>
          <w:rFonts w:asciiTheme="majorHAnsi" w:eastAsiaTheme="majorEastAsia" w:hAnsiTheme="majorHAnsi" w:cstheme="majorBidi"/>
          <w:b/>
          <w:sz w:val="26"/>
          <w:szCs w:val="26"/>
        </w:rPr>
      </w:pPr>
      <w:bookmarkStart w:id="10884" w:name="_Toc64983187"/>
      <w:r>
        <w:br w:type="page"/>
      </w:r>
    </w:p>
    <w:p w14:paraId="2B0D5295" w14:textId="32F3EF4E" w:rsidR="003719CD" w:rsidRPr="00F6022B" w:rsidRDefault="00F6022B" w:rsidP="00E867DE">
      <w:pPr>
        <w:pStyle w:val="SectionTitle"/>
      </w:pPr>
      <w:bookmarkStart w:id="10885" w:name="_Toc66196255"/>
      <w:bookmarkStart w:id="10886" w:name="_Toc175574056"/>
      <w:bookmarkStart w:id="10887" w:name="_Toc179816791"/>
      <w:bookmarkStart w:id="10888" w:name="_Toc179822491"/>
      <w:bookmarkStart w:id="10889" w:name="_Toc179828191"/>
      <w:bookmarkStart w:id="10890" w:name="_Toc179833827"/>
      <w:bookmarkStart w:id="10891" w:name="_Toc179865357"/>
      <w:bookmarkStart w:id="10892" w:name="_Toc179871459"/>
      <w:bookmarkStart w:id="10893" w:name="_Toc179875852"/>
      <w:bookmarkStart w:id="10894" w:name="_Toc179880245"/>
      <w:bookmarkStart w:id="10895" w:name="_Toc179880338"/>
      <w:bookmarkEnd w:id="10884"/>
      <w:r w:rsidRPr="00E867DE">
        <w:t>Guidance</w:t>
      </w:r>
      <w:r w:rsidRPr="00F6022B">
        <w:t xml:space="preserve"> section</w:t>
      </w:r>
      <w:bookmarkEnd w:id="10885"/>
      <w:bookmarkEnd w:id="10886"/>
      <w:bookmarkEnd w:id="10887"/>
      <w:bookmarkEnd w:id="10888"/>
      <w:bookmarkEnd w:id="10889"/>
      <w:bookmarkEnd w:id="10890"/>
      <w:bookmarkEnd w:id="10891"/>
      <w:bookmarkEnd w:id="10892"/>
      <w:bookmarkEnd w:id="10893"/>
      <w:bookmarkEnd w:id="10894"/>
      <w:bookmarkEnd w:id="10895"/>
    </w:p>
    <w:tbl>
      <w:tblPr>
        <w:tblStyle w:val="DTFTextTable"/>
        <w:tblW w:w="9752" w:type="dxa"/>
        <w:tblLayout w:type="fixed"/>
        <w:tblLook w:val="0600" w:firstRow="0" w:lastRow="0" w:firstColumn="0" w:lastColumn="0" w:noHBand="1" w:noVBand="1"/>
      </w:tblPr>
      <w:tblGrid>
        <w:gridCol w:w="8960"/>
        <w:gridCol w:w="792"/>
      </w:tblGrid>
      <w:tr w:rsidR="003719CD" w:rsidRPr="00507F3D" w14:paraId="6A47D033" w14:textId="77777777" w:rsidTr="007D536F">
        <w:trPr>
          <w:trHeight w:val="70"/>
        </w:trPr>
        <w:tc>
          <w:tcPr>
            <w:tcW w:w="8960" w:type="dxa"/>
            <w:tcBorders>
              <w:bottom w:val="nil"/>
            </w:tcBorders>
            <w:shd w:val="clear" w:color="auto" w:fill="D9D9D9" w:themeFill="background1" w:themeFillShade="D9"/>
          </w:tcPr>
          <w:p w14:paraId="0078B8D7" w14:textId="77777777" w:rsidR="003719CD" w:rsidRPr="00507F3D" w:rsidRDefault="003719CD" w:rsidP="007D536F">
            <w:pPr>
              <w:rPr>
                <w:b/>
                <w:bCs/>
              </w:rPr>
            </w:pPr>
            <w:r w:rsidRPr="00507F3D">
              <w:rPr>
                <w:b/>
                <w:bCs/>
              </w:rPr>
              <w:t>Guidance section 1</w:t>
            </w:r>
          </w:p>
        </w:tc>
        <w:tc>
          <w:tcPr>
            <w:tcW w:w="792" w:type="dxa"/>
            <w:tcBorders>
              <w:bottom w:val="nil"/>
            </w:tcBorders>
            <w:shd w:val="clear" w:color="auto" w:fill="D9D9D9" w:themeFill="background1" w:themeFillShade="D9"/>
          </w:tcPr>
          <w:p w14:paraId="3257B858" w14:textId="6EEE4040" w:rsidR="003719CD" w:rsidRPr="00507F3D" w:rsidRDefault="00E60980" w:rsidP="007D536F">
            <w:pPr>
              <w:jc w:val="right"/>
              <w:rPr>
                <w:b/>
                <w:bCs/>
              </w:rPr>
            </w:pPr>
            <w:r>
              <w:rPr>
                <w:b/>
                <w:bCs/>
              </w:rPr>
              <w:t>6</w:t>
            </w:r>
            <w:r w:rsidR="00EF5B0E">
              <w:rPr>
                <w:b/>
                <w:bCs/>
              </w:rPr>
              <w:t>9</w:t>
            </w:r>
          </w:p>
        </w:tc>
      </w:tr>
      <w:tr w:rsidR="003719CD" w:rsidRPr="00DE1E47" w14:paraId="35FD8A0D" w14:textId="77777777" w:rsidTr="007D536F">
        <w:trPr>
          <w:trHeight w:val="70"/>
        </w:trPr>
        <w:tc>
          <w:tcPr>
            <w:tcW w:w="8960" w:type="dxa"/>
            <w:tcBorders>
              <w:top w:val="nil"/>
              <w:bottom w:val="nil"/>
            </w:tcBorders>
          </w:tcPr>
          <w:p w14:paraId="2581B349" w14:textId="4220F73F" w:rsidR="003719CD" w:rsidRPr="00DE1E47" w:rsidRDefault="003719CD" w:rsidP="007D536F">
            <w:r w:rsidRPr="00DE1E47">
              <w:t>General and specific disclosure requirements, including presentation requirements</w:t>
            </w:r>
          </w:p>
        </w:tc>
        <w:tc>
          <w:tcPr>
            <w:tcW w:w="792" w:type="dxa"/>
            <w:tcBorders>
              <w:top w:val="nil"/>
              <w:bottom w:val="nil"/>
            </w:tcBorders>
          </w:tcPr>
          <w:p w14:paraId="7BC7AB24" w14:textId="77777777" w:rsidR="003719CD" w:rsidRPr="00D40E9E" w:rsidRDefault="003719CD" w:rsidP="007D536F"/>
        </w:tc>
      </w:tr>
    </w:tbl>
    <w:p w14:paraId="6B55F57F" w14:textId="77777777" w:rsidR="003719CD" w:rsidRDefault="003719CD" w:rsidP="00DC39DE"/>
    <w:p w14:paraId="531693E1" w14:textId="77777777" w:rsidR="000332A8" w:rsidRDefault="000332A8" w:rsidP="00DC39DE">
      <w:pPr>
        <w:sectPr w:rsidR="000332A8" w:rsidSect="006843A9">
          <w:type w:val="continuous"/>
          <w:pgSz w:w="11906" w:h="16838" w:code="9"/>
          <w:pgMar w:top="1134" w:right="1134" w:bottom="1134" w:left="1134" w:header="624" w:footer="567" w:gutter="0"/>
          <w:cols w:space="708"/>
          <w:docGrid w:linePitch="360"/>
        </w:sectPr>
      </w:pPr>
    </w:p>
    <w:p w14:paraId="24340039" w14:textId="6009FA8A" w:rsidR="003719CD" w:rsidRDefault="003719CD" w:rsidP="007D536F">
      <w:pPr>
        <w:pStyle w:val="Heading1"/>
      </w:pPr>
      <w:bookmarkStart w:id="10896" w:name="_GUIDANCE_SECTION_1:"/>
      <w:bookmarkStart w:id="10897" w:name="Guidance_1"/>
      <w:bookmarkStart w:id="10898" w:name="_Toc179816792"/>
      <w:bookmarkStart w:id="10899" w:name="_Toc179822492"/>
      <w:bookmarkStart w:id="10900" w:name="_Toc179828192"/>
      <w:bookmarkStart w:id="10901" w:name="_Toc179833828"/>
      <w:bookmarkStart w:id="10902" w:name="_Toc179865358"/>
      <w:bookmarkStart w:id="10903" w:name="_Toc179871460"/>
      <w:bookmarkStart w:id="10904" w:name="_Toc179875853"/>
      <w:bookmarkStart w:id="10905" w:name="_Toc179880246"/>
      <w:bookmarkStart w:id="10906" w:name="_Toc179880282"/>
      <w:bookmarkStart w:id="10907" w:name="_Toc179880339"/>
      <w:bookmarkEnd w:id="10896"/>
      <w:r>
        <w:t>GUIDANCE SECTION 1</w:t>
      </w:r>
      <w:bookmarkEnd w:id="10897"/>
      <w:r>
        <w:t>: GENERAL AND SPECIFIC DISCLOSURE REQUIREMENTS, INCLUDING PRESENTATION REQUIREMENTS</w:t>
      </w:r>
      <w:bookmarkEnd w:id="10898"/>
      <w:bookmarkEnd w:id="10899"/>
      <w:bookmarkEnd w:id="10900"/>
      <w:bookmarkEnd w:id="10901"/>
      <w:bookmarkEnd w:id="10902"/>
      <w:bookmarkEnd w:id="10903"/>
      <w:bookmarkEnd w:id="10904"/>
      <w:bookmarkEnd w:id="10905"/>
      <w:bookmarkEnd w:id="10906"/>
      <w:bookmarkEnd w:id="10907"/>
      <w:r w:rsidR="00AB550F">
        <w:t xml:space="preserve"> </w:t>
      </w:r>
      <w:r w:rsidR="00AB550F" w:rsidRPr="00E51206">
        <w:rPr>
          <w:color w:val="C00000"/>
          <w:sz w:val="20"/>
          <w:szCs w:val="20"/>
        </w:rPr>
        <w:t>[REVISED]</w:t>
      </w:r>
    </w:p>
    <w:p w14:paraId="79F94A3E" w14:textId="77777777" w:rsidR="003719CD" w:rsidRDefault="003719CD" w:rsidP="007D536F">
      <w:pPr>
        <w:pStyle w:val="Heading3"/>
      </w:pPr>
      <w:bookmarkStart w:id="10908" w:name="_Toc179816793"/>
      <w:bookmarkStart w:id="10909" w:name="_Toc179822493"/>
      <w:bookmarkStart w:id="10910" w:name="_Toc179828193"/>
      <w:bookmarkStart w:id="10911" w:name="_Toc179833829"/>
      <w:bookmarkStart w:id="10912" w:name="_Toc179865359"/>
      <w:r>
        <w:t>Requirements that apply to all aspects of the preparation of financial statements</w:t>
      </w:r>
      <w:bookmarkEnd w:id="10908"/>
      <w:bookmarkEnd w:id="10909"/>
      <w:bookmarkEnd w:id="10910"/>
      <w:bookmarkEnd w:id="10911"/>
      <w:bookmarkEnd w:id="10912"/>
    </w:p>
    <w:p w14:paraId="6BA22DEC" w14:textId="586F1294" w:rsidR="003719CD" w:rsidRDefault="003719CD" w:rsidP="00DC39DE">
      <w:r>
        <w:t xml:space="preserve">This guidance section </w:t>
      </w:r>
      <w:bookmarkStart w:id="10913" w:name="_Hlk129790183"/>
      <w:r>
        <w:t xml:space="preserve">highlights those requirements that all agencies need to adhere to in preparing financial statements. </w:t>
      </w:r>
      <w:bookmarkEnd w:id="10913"/>
    </w:p>
    <w:p w14:paraId="47C8AB3F" w14:textId="41BE7DF8" w:rsidR="003719CD" w:rsidRDefault="003719CD" w:rsidP="00DC39DE">
      <w:r w:rsidRPr="00747A86">
        <w:rPr>
          <w:b/>
          <w:bCs/>
        </w:rPr>
        <w:t>Consistency</w:t>
      </w:r>
      <w:r>
        <w:t>: The presentation and classification of items in the financial statements shall be retained from one period to the next unless</w:t>
      </w:r>
      <w:r w:rsidR="005D691A">
        <w:t xml:space="preserve"> either:</w:t>
      </w:r>
    </w:p>
    <w:p w14:paraId="785E7B1B" w14:textId="4504082D" w:rsidR="003719CD" w:rsidRDefault="003719CD" w:rsidP="002A0038">
      <w:pPr>
        <w:pStyle w:val="ListBullet"/>
        <w:numPr>
          <w:ilvl w:val="0"/>
          <w:numId w:val="370"/>
        </w:numPr>
      </w:pPr>
      <w:r>
        <w:t xml:space="preserve">it is apparent, following a significant change in the nature of the entity’s operations or a review of its financial statements, that another presentation or classification would be more appropriate having regard to the criteria for the selection and application of accounting policies in </w:t>
      </w:r>
      <w:r w:rsidR="0007383E">
        <w:t>AASB </w:t>
      </w:r>
      <w:r>
        <w:t>108</w:t>
      </w:r>
    </w:p>
    <w:p w14:paraId="36631E23" w14:textId="41E92FE6" w:rsidR="004A3725" w:rsidRDefault="47B97287" w:rsidP="002A0038">
      <w:pPr>
        <w:pStyle w:val="ListBullet"/>
        <w:numPr>
          <w:ilvl w:val="0"/>
          <w:numId w:val="370"/>
        </w:numPr>
      </w:pPr>
      <w:r w:rsidRPr="784691EA">
        <w:t xml:space="preserve">Australian Accounting Standards – Simplified Disclosures require a change in presentation. </w:t>
      </w:r>
      <w:r w:rsidRPr="002A0038">
        <w:rPr>
          <w:rStyle w:val="Reference"/>
        </w:rPr>
        <w:t>[</w:t>
      </w:r>
      <w:r w:rsidR="0007383E">
        <w:rPr>
          <w:rStyle w:val="Reference"/>
        </w:rPr>
        <w:t>AASB </w:t>
      </w:r>
      <w:r w:rsidRPr="002A0038">
        <w:rPr>
          <w:rStyle w:val="Reference"/>
        </w:rPr>
        <w:t>1060.17(b)]</w:t>
      </w:r>
    </w:p>
    <w:p w14:paraId="7F99D8B1" w14:textId="6CF62D0D" w:rsidR="003719CD" w:rsidRDefault="77F5D8ED" w:rsidP="5ADF3F90">
      <w:pPr>
        <w:rPr>
          <w:rStyle w:val="Reference"/>
        </w:rPr>
      </w:pPr>
      <w:r w:rsidRPr="784691EA">
        <w:rPr>
          <w:b/>
          <w:bCs/>
        </w:rPr>
        <w:t>Materiality and aggregation</w:t>
      </w:r>
      <w:r>
        <w:t>: Each material class of similar items shall be presented separately in the financial statements. Items of a similar nature or function shall be presented separately unless they are immaterial</w:t>
      </w:r>
      <w:r w:rsidR="00493A92">
        <w:t xml:space="preserve">. </w:t>
      </w:r>
      <w:r w:rsidR="6819F9C5" w:rsidRPr="784691EA">
        <w:rPr>
          <w:rStyle w:val="Reference"/>
        </w:rPr>
        <w:t>[</w:t>
      </w:r>
      <w:r w:rsidR="0007383E">
        <w:rPr>
          <w:rStyle w:val="Reference"/>
        </w:rPr>
        <w:t>AASB </w:t>
      </w:r>
      <w:r w:rsidR="6819F9C5" w:rsidRPr="784691EA">
        <w:rPr>
          <w:rStyle w:val="Reference"/>
        </w:rPr>
        <w:t>1060.21]</w:t>
      </w:r>
    </w:p>
    <w:p w14:paraId="4C1B0B04" w14:textId="77777777" w:rsidR="003719CD" w:rsidRDefault="003719CD" w:rsidP="00DC39DE">
      <w:r>
        <w:t>An agency must assess and make judgements to determine if an item is material. As a general guide, financial information will be considered material if their omission, misstatement or non-disclosure has the potential, individually or collectively, to:</w:t>
      </w:r>
    </w:p>
    <w:p w14:paraId="44827716" w14:textId="6AA455A5" w:rsidR="003719CD" w:rsidRDefault="003719CD" w:rsidP="002A0038">
      <w:pPr>
        <w:pStyle w:val="ListBullet"/>
        <w:numPr>
          <w:ilvl w:val="0"/>
          <w:numId w:val="370"/>
        </w:numPr>
      </w:pPr>
      <w:r>
        <w:t xml:space="preserve">influence the economic decisions that users make </w:t>
      </w:r>
      <w:proofErr w:type="gramStart"/>
      <w:r>
        <w:t>on the basis of</w:t>
      </w:r>
      <w:proofErr w:type="gramEnd"/>
      <w:r>
        <w:t xml:space="preserve"> the financial statements</w:t>
      </w:r>
    </w:p>
    <w:p w14:paraId="5C1F70A4" w14:textId="64D7EDA2" w:rsidR="003719CD" w:rsidRDefault="003719CD" w:rsidP="002A0038">
      <w:pPr>
        <w:pStyle w:val="ListBullet"/>
        <w:numPr>
          <w:ilvl w:val="0"/>
          <w:numId w:val="370"/>
        </w:numPr>
      </w:pPr>
      <w:r>
        <w:t>affect the discharge of accountability by management or governing body of the entity.</w:t>
      </w:r>
      <w:r w:rsidR="00AB550F" w:rsidRPr="00AB550F">
        <w:rPr>
          <w:rStyle w:val="Reference"/>
        </w:rPr>
        <w:t xml:space="preserve"> </w:t>
      </w:r>
      <w:r w:rsidR="00AB550F" w:rsidRPr="784691EA">
        <w:rPr>
          <w:rStyle w:val="Reference"/>
        </w:rPr>
        <w:t>[</w:t>
      </w:r>
      <w:r w:rsidR="00AB550F">
        <w:rPr>
          <w:rStyle w:val="Reference"/>
        </w:rPr>
        <w:t>AASB </w:t>
      </w:r>
      <w:r w:rsidR="00AB550F" w:rsidRPr="784691EA">
        <w:rPr>
          <w:rStyle w:val="Reference"/>
        </w:rPr>
        <w:t>1060.2</w:t>
      </w:r>
      <w:r w:rsidR="00AB550F">
        <w:rPr>
          <w:rStyle w:val="Reference"/>
        </w:rPr>
        <w:t>2</w:t>
      </w:r>
      <w:r w:rsidR="00AB550F" w:rsidRPr="784691EA">
        <w:rPr>
          <w:rStyle w:val="Reference"/>
        </w:rPr>
        <w:t>]</w:t>
      </w:r>
    </w:p>
    <w:p w14:paraId="3D3121C3" w14:textId="77777777" w:rsidR="003719CD" w:rsidRDefault="003719CD" w:rsidP="00DC39DE">
      <w:r>
        <w:t>Items that are immaterial both individually and in aggregate may be combined and presented as a single line item. However, the value of such line item is unlikely to exceed 10 per cent of the total value of the financial statement component that it forms part of.</w:t>
      </w:r>
    </w:p>
    <w:p w14:paraId="20E91C0B" w14:textId="6B324D4E" w:rsidR="003719CD" w:rsidRDefault="77F5D8ED" w:rsidP="5ADF3F90">
      <w:pPr>
        <w:rPr>
          <w:rStyle w:val="Reference"/>
        </w:rPr>
      </w:pPr>
      <w:r w:rsidRPr="784691EA">
        <w:rPr>
          <w:b/>
          <w:bCs/>
        </w:rPr>
        <w:t>Offsetting</w:t>
      </w:r>
      <w:r>
        <w:t xml:space="preserve">: Income, expenses, assets and liabilities shall not be offset unless required by an AAS or permitted by an FRD. </w:t>
      </w:r>
      <w:r w:rsidR="7ECA83BD" w:rsidRPr="784691EA">
        <w:rPr>
          <w:rStyle w:val="Reference"/>
        </w:rPr>
        <w:t>[</w:t>
      </w:r>
      <w:r w:rsidR="0007383E">
        <w:rPr>
          <w:rStyle w:val="Reference"/>
        </w:rPr>
        <w:t>AASB </w:t>
      </w:r>
      <w:r w:rsidR="7ECA83BD" w:rsidRPr="784691EA">
        <w:rPr>
          <w:rStyle w:val="Reference"/>
        </w:rPr>
        <w:t>1060.24]</w:t>
      </w:r>
    </w:p>
    <w:p w14:paraId="29E5A28C" w14:textId="77777777" w:rsidR="003719CD" w:rsidRDefault="003719CD" w:rsidP="00DC39DE">
      <w:r>
        <w:t>For financial instruments, a financial asset and a financial liability shall be offset and the net amount presented in the balance sheet only when an entity:</w:t>
      </w:r>
    </w:p>
    <w:p w14:paraId="69999273" w14:textId="3D767D19" w:rsidR="003719CD" w:rsidRDefault="003719CD" w:rsidP="002A0038">
      <w:pPr>
        <w:pStyle w:val="ListBullet"/>
        <w:numPr>
          <w:ilvl w:val="0"/>
          <w:numId w:val="370"/>
        </w:numPr>
      </w:pPr>
      <w:r>
        <w:t>currently has a legally enforceable right to set off the recognised amounts</w:t>
      </w:r>
    </w:p>
    <w:p w14:paraId="43942B75" w14:textId="77777777" w:rsidR="003719CD" w:rsidRDefault="003719CD" w:rsidP="002A0038">
      <w:pPr>
        <w:pStyle w:val="ListBullet"/>
        <w:numPr>
          <w:ilvl w:val="0"/>
          <w:numId w:val="370"/>
        </w:numPr>
      </w:pPr>
      <w:r>
        <w:t>intends either to settle on a net basis, or to realise the asset and settle the liability simultaneously.</w:t>
      </w:r>
    </w:p>
    <w:p w14:paraId="2653EDA4" w14:textId="5891BE81" w:rsidR="003719CD" w:rsidRDefault="003719CD" w:rsidP="002A0038">
      <w:pPr>
        <w:pStyle w:val="ListParagraph"/>
        <w:rPr>
          <w:rFonts w:ascii="Arial" w:eastAsia="Arial" w:hAnsi="Arial" w:cs="Arial"/>
        </w:rPr>
      </w:pPr>
      <w:r>
        <w:t xml:space="preserve">In accounting for a transfer of a financial asset that does not qualify for derecognition, the entity shall not offset the transferred asset and the associated liability. </w:t>
      </w:r>
      <w:r w:rsidRPr="1217D946">
        <w:rPr>
          <w:rStyle w:val="Reference"/>
        </w:rPr>
        <w:t>[</w:t>
      </w:r>
      <w:r w:rsidR="0007383E">
        <w:rPr>
          <w:rStyle w:val="Reference"/>
        </w:rPr>
        <w:t>AASB </w:t>
      </w:r>
      <w:r w:rsidRPr="1217D946">
        <w:rPr>
          <w:rStyle w:val="Reference"/>
        </w:rPr>
        <w:t>132.42]</w:t>
      </w:r>
    </w:p>
    <w:p w14:paraId="7CD060A6" w14:textId="0690FA56" w:rsidR="003719CD" w:rsidRPr="00747A86" w:rsidRDefault="3A3F8D9B" w:rsidP="00DC39DE">
      <w:pPr>
        <w:rPr>
          <w:rStyle w:val="Reference"/>
        </w:rPr>
      </w:pPr>
      <w:r w:rsidRPr="5ADF3F90">
        <w:rPr>
          <w:b/>
          <w:bCs/>
        </w:rPr>
        <w:t>Comparative information</w:t>
      </w:r>
      <w:r>
        <w:t xml:space="preserve"> shall be disclosed in respect of the previous period for all amounts reported in the complete set of financial statements unless </w:t>
      </w:r>
      <w:r w:rsidR="0007383E">
        <w:t>AASB </w:t>
      </w:r>
      <w:r w:rsidR="609C1C6E">
        <w:t>1060</w:t>
      </w:r>
      <w:r>
        <w:t xml:space="preserve"> permits otherwise. Comparative information shall be included for narrative and descriptive information when it is relevant to an understanding of the current period’s complete set of financial statements</w:t>
      </w:r>
      <w:r w:rsidR="00493A92">
        <w:t xml:space="preserve">. </w:t>
      </w:r>
      <w:r w:rsidR="0A64AEE0" w:rsidRPr="5ADF3F90">
        <w:rPr>
          <w:rStyle w:val="Reference"/>
        </w:rPr>
        <w:t>[</w:t>
      </w:r>
      <w:r w:rsidR="0007383E">
        <w:rPr>
          <w:rStyle w:val="Reference"/>
        </w:rPr>
        <w:t>AASB </w:t>
      </w:r>
      <w:r w:rsidR="0A64AEE0" w:rsidRPr="5ADF3F90">
        <w:rPr>
          <w:rStyle w:val="Reference"/>
        </w:rPr>
        <w:t>1060.20]</w:t>
      </w:r>
    </w:p>
    <w:p w14:paraId="6118C9B9" w14:textId="77777777" w:rsidR="003719CD" w:rsidRDefault="003719CD" w:rsidP="00DC39DE">
      <w:r w:rsidRPr="00747A86">
        <w:rPr>
          <w:b/>
          <w:bCs/>
        </w:rPr>
        <w:t>Reclassification of financial information</w:t>
      </w:r>
      <w:r>
        <w:t>: When the presentation or classification of items in the complete set of financial statements is amended, comparative amounts shall be reclassified unless the reclassification is impracticable. When comparative amounts are reclassified, an entity shall disclose:</w:t>
      </w:r>
    </w:p>
    <w:p w14:paraId="0EFF9D25" w14:textId="05A9FFFA" w:rsidR="003719CD" w:rsidRDefault="003719CD" w:rsidP="002A0038">
      <w:pPr>
        <w:pStyle w:val="ListBullet"/>
        <w:numPr>
          <w:ilvl w:val="0"/>
          <w:numId w:val="370"/>
        </w:numPr>
      </w:pPr>
      <w:r>
        <w:t>the nature of the reclassification</w:t>
      </w:r>
    </w:p>
    <w:p w14:paraId="049D0634" w14:textId="77777777" w:rsidR="003A7B45" w:rsidRDefault="003719CD" w:rsidP="003A7B45">
      <w:pPr>
        <w:pStyle w:val="ListBullet"/>
        <w:numPr>
          <w:ilvl w:val="0"/>
          <w:numId w:val="370"/>
        </w:numPr>
      </w:pPr>
      <w:r>
        <w:t>the amount of each item or class of items that is reclassified</w:t>
      </w:r>
    </w:p>
    <w:p w14:paraId="476BEADC" w14:textId="73DC6682" w:rsidR="003719CD" w:rsidRPr="003A7B45" w:rsidRDefault="3A3F8D9B" w:rsidP="003A7B45">
      <w:pPr>
        <w:pStyle w:val="ListBullet"/>
        <w:numPr>
          <w:ilvl w:val="0"/>
          <w:numId w:val="370"/>
        </w:numPr>
        <w:rPr>
          <w:rStyle w:val="Reference"/>
          <w:color w:val="auto"/>
          <w:sz w:val="18"/>
        </w:rPr>
      </w:pPr>
      <w:r>
        <w:t>the reason for the reclassification</w:t>
      </w:r>
      <w:r w:rsidR="00493A92">
        <w:t xml:space="preserve">. </w:t>
      </w:r>
      <w:r w:rsidR="3BA6A895" w:rsidRPr="5ADF3F90">
        <w:rPr>
          <w:rStyle w:val="Reference"/>
        </w:rPr>
        <w:t>[</w:t>
      </w:r>
      <w:r w:rsidR="0007383E">
        <w:rPr>
          <w:rStyle w:val="Reference"/>
        </w:rPr>
        <w:t>AASB </w:t>
      </w:r>
      <w:r w:rsidR="3BA6A895" w:rsidRPr="5ADF3F90">
        <w:rPr>
          <w:rStyle w:val="Reference"/>
        </w:rPr>
        <w:t>1060.18]</w:t>
      </w:r>
    </w:p>
    <w:p w14:paraId="121DE1B3" w14:textId="77777777" w:rsidR="003719CD" w:rsidRDefault="003719CD" w:rsidP="00DC39DE">
      <w:r>
        <w:t>When it is impracticable to reclassify comparative amounts, an entity shall disclose:</w:t>
      </w:r>
    </w:p>
    <w:p w14:paraId="1F685976" w14:textId="171E790B" w:rsidR="003719CD" w:rsidRDefault="3A3F8D9B" w:rsidP="002A0038">
      <w:pPr>
        <w:pStyle w:val="ListBullet"/>
        <w:numPr>
          <w:ilvl w:val="0"/>
          <w:numId w:val="370"/>
        </w:numPr>
      </w:pPr>
      <w:r>
        <w:t>the reason for not reclassifying the amounts</w:t>
      </w:r>
      <w:r w:rsidR="1E7EF66D">
        <w:t xml:space="preserve"> </w:t>
      </w:r>
      <w:r w:rsidR="1E7EF66D" w:rsidRPr="002A0038">
        <w:rPr>
          <w:rStyle w:val="Reference"/>
        </w:rPr>
        <w:t>[</w:t>
      </w:r>
      <w:r w:rsidR="0007383E">
        <w:rPr>
          <w:rStyle w:val="Reference"/>
        </w:rPr>
        <w:t>AASB </w:t>
      </w:r>
      <w:r w:rsidR="1E7EF66D" w:rsidRPr="002A0038">
        <w:rPr>
          <w:rStyle w:val="Reference"/>
        </w:rPr>
        <w:t>1060.19]</w:t>
      </w:r>
    </w:p>
    <w:p w14:paraId="115DFC20" w14:textId="003FED71" w:rsidR="003719CD" w:rsidRDefault="003719CD" w:rsidP="001F33FF">
      <w:pPr>
        <w:keepNext/>
      </w:pPr>
      <w:r w:rsidRPr="00747A86">
        <w:rPr>
          <w:b/>
          <w:bCs/>
        </w:rPr>
        <w:t>Goods and Services Tax (GST)</w:t>
      </w:r>
      <w:r>
        <w:t xml:space="preserve">: </w:t>
      </w:r>
      <w:r w:rsidR="0007383E">
        <w:t>AASB </w:t>
      </w:r>
      <w:r>
        <w:t>Interpretation 1031 provides that revenue, expenses and assets must be recognised, net of the amount of GST, except where GST relating to the expenditure items is not recoverable from the taxation authority, in which case the item is recognised GST inclusive.</w:t>
      </w:r>
    </w:p>
    <w:p w14:paraId="5D9E2088" w14:textId="0FA2982C" w:rsidR="003719CD" w:rsidRDefault="003719CD" w:rsidP="00DC39DE">
      <w:r>
        <w:t xml:space="preserve">Agencies that </w:t>
      </w:r>
      <w:proofErr w:type="gramStart"/>
      <w:r>
        <w:t>are not able to</w:t>
      </w:r>
      <w:proofErr w:type="gramEnd"/>
      <w:r>
        <w:t xml:space="preserve"> recover GST relating to </w:t>
      </w:r>
      <w:proofErr w:type="gramStart"/>
      <w:r>
        <w:t>particular expenditure</w:t>
      </w:r>
      <w:proofErr w:type="gramEnd"/>
      <w:r>
        <w:t xml:space="preserve"> items should include a disclosure note indicating which items are inclusive of non-recoverable GST and amend the wording of specific disclosures to make it clear that the amounts disclosed are inclusive of non-recoverable GST. </w:t>
      </w:r>
      <w:r w:rsidRPr="00747A86">
        <w:rPr>
          <w:rStyle w:val="Reference"/>
        </w:rPr>
        <w:t>[</w:t>
      </w:r>
      <w:r w:rsidR="0007383E">
        <w:rPr>
          <w:rStyle w:val="Reference"/>
        </w:rPr>
        <w:t>AASB </w:t>
      </w:r>
      <w:r w:rsidRPr="00747A86">
        <w:rPr>
          <w:rStyle w:val="Reference"/>
        </w:rPr>
        <w:t>Interpretation 1031.6 and 1031.7]</w:t>
      </w:r>
    </w:p>
    <w:p w14:paraId="1652DCA2" w14:textId="071E57CD" w:rsidR="003719CD" w:rsidRDefault="003719CD" w:rsidP="00DC39DE">
      <w:r>
        <w:t xml:space="preserve">Receivables and payables shall be stated with the amount of GST included. </w:t>
      </w:r>
      <w:r w:rsidRPr="00747A86">
        <w:rPr>
          <w:rStyle w:val="Reference"/>
        </w:rPr>
        <w:t>[</w:t>
      </w:r>
      <w:r w:rsidR="0007383E">
        <w:rPr>
          <w:rStyle w:val="Reference"/>
        </w:rPr>
        <w:t>AASB </w:t>
      </w:r>
      <w:r w:rsidRPr="00747A86">
        <w:rPr>
          <w:rStyle w:val="Reference"/>
        </w:rPr>
        <w:t>Interpretation 1031.8]</w:t>
      </w:r>
    </w:p>
    <w:p w14:paraId="03E6FF22" w14:textId="53115C80" w:rsidR="003719CD" w:rsidRPr="00747A86" w:rsidRDefault="003719CD" w:rsidP="00DC39DE">
      <w:pPr>
        <w:rPr>
          <w:rStyle w:val="Reference"/>
        </w:rPr>
      </w:pPr>
      <w:r>
        <w:t xml:space="preserve">The gross amount of GST recoverable from, or payable to, the taxation authority shall be included as part of either receivables or other liabilities in the balance sheet. </w:t>
      </w:r>
      <w:r w:rsidRPr="00747A86">
        <w:rPr>
          <w:rStyle w:val="Reference"/>
        </w:rPr>
        <w:t>[</w:t>
      </w:r>
      <w:r w:rsidR="0007383E">
        <w:rPr>
          <w:rStyle w:val="Reference"/>
        </w:rPr>
        <w:t>AASB </w:t>
      </w:r>
      <w:r w:rsidRPr="00747A86">
        <w:rPr>
          <w:rStyle w:val="Reference"/>
        </w:rPr>
        <w:t>Interpretation 1031.9]</w:t>
      </w:r>
    </w:p>
    <w:p w14:paraId="4FD66B61" w14:textId="636BCB6F" w:rsidR="003719CD" w:rsidRDefault="003719CD" w:rsidP="00DC39DE">
      <w:r>
        <w:t xml:space="preserve">The GST component of cash flows arising from investing and financing activities that is recoverable from, or payable to, the taxation authority shall be classified as operating cash flows and will be included in receipts from customers or payments to suppliers, as appropriate. </w:t>
      </w:r>
      <w:r w:rsidRPr="00747A86">
        <w:rPr>
          <w:rStyle w:val="Reference"/>
        </w:rPr>
        <w:t>[</w:t>
      </w:r>
      <w:r w:rsidR="0007383E">
        <w:rPr>
          <w:rStyle w:val="Reference"/>
        </w:rPr>
        <w:t>AASB </w:t>
      </w:r>
      <w:r w:rsidRPr="00747A86">
        <w:rPr>
          <w:rStyle w:val="Reference"/>
        </w:rPr>
        <w:t>Interpretation 1031.10, 1031.11]</w:t>
      </w:r>
    </w:p>
    <w:p w14:paraId="1A055A28" w14:textId="0F1C2585" w:rsidR="2DD68E2B" w:rsidRDefault="3B6C23F8" w:rsidP="2DD68E2B">
      <w:pPr>
        <w:rPr>
          <w:rStyle w:val="Reference"/>
        </w:rPr>
      </w:pPr>
      <w:r w:rsidRPr="784691EA">
        <w:rPr>
          <w:b/>
          <w:bCs/>
        </w:rPr>
        <w:t>True and fair override</w:t>
      </w:r>
      <w:r>
        <w:t>: A complete set of financial statements shall present fairly the financial position, financial performance and cash flows of an entity. Fair presentation requires the faithful representation of the effects of transactions, other events and conditions in accordance with the definitions and recognition criteria for assets, liabilities, income and expenses set out in the AASB’s conceptual framework (the framework)</w:t>
      </w:r>
      <w:r w:rsidR="00493A92">
        <w:t xml:space="preserve">. </w:t>
      </w:r>
      <w:r w:rsidR="700DC7C2" w:rsidRPr="784691EA">
        <w:rPr>
          <w:rFonts w:ascii="Arial" w:eastAsia="Arial" w:hAnsi="Arial" w:cs="Arial"/>
        </w:rPr>
        <w:t xml:space="preserve">The application of the recognition and measurement requirements in Australian Accounting Standards and the disclosures in this Standard, with additional </w:t>
      </w:r>
      <w:proofErr w:type="gramStart"/>
      <w:r w:rsidR="700DC7C2" w:rsidRPr="784691EA">
        <w:rPr>
          <w:rFonts w:ascii="Arial" w:eastAsia="Arial" w:hAnsi="Arial" w:cs="Arial"/>
        </w:rPr>
        <w:t>disclosure</w:t>
      </w:r>
      <w:proofErr w:type="gramEnd"/>
      <w:r w:rsidR="700DC7C2" w:rsidRPr="784691EA">
        <w:rPr>
          <w:rFonts w:ascii="Arial" w:eastAsia="Arial" w:hAnsi="Arial" w:cs="Arial"/>
        </w:rPr>
        <w:t xml:space="preserve"> when necessary, is presumed to result in financial statements that achieve a fair presentation of the financial position, financial performance and cash flows of </w:t>
      </w:r>
      <w:r w:rsidR="0007383E">
        <w:rPr>
          <w:rFonts w:ascii="Arial" w:eastAsia="Arial" w:hAnsi="Arial" w:cs="Arial"/>
        </w:rPr>
        <w:t>Tier </w:t>
      </w:r>
      <w:r w:rsidR="700DC7C2" w:rsidRPr="784691EA">
        <w:rPr>
          <w:rFonts w:ascii="Arial" w:eastAsia="Arial" w:hAnsi="Arial" w:cs="Arial"/>
        </w:rPr>
        <w:t>2 entities.</w:t>
      </w:r>
      <w:r w:rsidR="0A148718" w:rsidRPr="784691EA">
        <w:rPr>
          <w:rFonts w:ascii="Arial" w:eastAsia="Arial" w:hAnsi="Arial" w:cs="Arial"/>
        </w:rPr>
        <w:t xml:space="preserve"> </w:t>
      </w:r>
      <w:r w:rsidR="0A148718" w:rsidRPr="002A0038">
        <w:rPr>
          <w:rStyle w:val="Reference"/>
        </w:rPr>
        <w:t>[</w:t>
      </w:r>
      <w:r w:rsidR="0007383E">
        <w:rPr>
          <w:rStyle w:val="Reference"/>
        </w:rPr>
        <w:t>AASB </w:t>
      </w:r>
      <w:r w:rsidR="0A148718" w:rsidRPr="002A0038">
        <w:rPr>
          <w:rStyle w:val="Reference"/>
        </w:rPr>
        <w:t>1060.9</w:t>
      </w:r>
      <w:r w:rsidR="0014262D">
        <w:rPr>
          <w:rStyle w:val="Reference"/>
        </w:rPr>
        <w:t>; AusCF9</w:t>
      </w:r>
      <w:r w:rsidR="0A148718" w:rsidRPr="002A0038">
        <w:rPr>
          <w:rStyle w:val="Reference"/>
        </w:rPr>
        <w:t>]</w:t>
      </w:r>
    </w:p>
    <w:p w14:paraId="58890E5B" w14:textId="77777777" w:rsidR="003719CD" w:rsidRDefault="003719CD" w:rsidP="00DC39DE">
      <w:r>
        <w:t>In the extremely rare circumstance when management concludes that compliance with a requirement in an AAS would be so misleading that it would conflict with the objective of financial statements set out in the framework, the agency shall, to the maximum extent possible, reduce the perceived misleading aspects of compliance by disclosing:</w:t>
      </w:r>
    </w:p>
    <w:p w14:paraId="6169935A" w14:textId="1DC0DE3D" w:rsidR="002A2AB4" w:rsidRDefault="003719CD" w:rsidP="002A2AB4">
      <w:pPr>
        <w:pStyle w:val="ListBullet"/>
        <w:numPr>
          <w:ilvl w:val="0"/>
          <w:numId w:val="370"/>
        </w:numPr>
      </w:pPr>
      <w:r>
        <w:t xml:space="preserve">the title of the AAS in question, the nature of the requirement, and the reason why management has concluded that complying with that requirement is so misleading in the circumstances that it conflicts with the objective of financial statements set out in the framework </w:t>
      </w:r>
      <w:r w:rsidR="0268CC73" w:rsidRPr="002A0038">
        <w:rPr>
          <w:rStyle w:val="Reference"/>
        </w:rPr>
        <w:t>[</w:t>
      </w:r>
      <w:r w:rsidR="0007383E">
        <w:rPr>
          <w:rStyle w:val="Reference"/>
        </w:rPr>
        <w:t>AASB </w:t>
      </w:r>
      <w:r w:rsidR="0268CC73" w:rsidRPr="002A0038">
        <w:rPr>
          <w:rStyle w:val="Reference"/>
        </w:rPr>
        <w:t>1060.13(a)]</w:t>
      </w:r>
      <w:r w:rsidR="002A2AB4">
        <w:rPr>
          <w:rFonts w:hint="eastAsia"/>
          <w:lang w:eastAsia="zh-CN"/>
        </w:rPr>
        <w:t xml:space="preserve"> </w:t>
      </w:r>
    </w:p>
    <w:p w14:paraId="089842AD" w14:textId="0D80E57B" w:rsidR="003719CD" w:rsidRPr="002A2AB4" w:rsidRDefault="003719CD" w:rsidP="002A2AB4">
      <w:pPr>
        <w:pStyle w:val="ListBullet"/>
        <w:numPr>
          <w:ilvl w:val="0"/>
          <w:numId w:val="370"/>
        </w:numPr>
        <w:rPr>
          <w:rStyle w:val="Reference"/>
          <w:color w:val="auto"/>
          <w:sz w:val="18"/>
        </w:rPr>
      </w:pPr>
      <w:r w:rsidRPr="002A2AB4">
        <w:t xml:space="preserve">for </w:t>
      </w:r>
      <w:r>
        <w:t>each period presented, the adjustments to each item in the financial statements that management has concluded would be necessary to achieve a fair presentation</w:t>
      </w:r>
      <w:r w:rsidR="00493A92">
        <w:t xml:space="preserve">. </w:t>
      </w:r>
      <w:r w:rsidR="78D2C15E" w:rsidRPr="2D4F3F5B">
        <w:rPr>
          <w:rStyle w:val="Reference"/>
        </w:rPr>
        <w:t>[</w:t>
      </w:r>
      <w:r w:rsidR="0007383E">
        <w:rPr>
          <w:rStyle w:val="Reference"/>
        </w:rPr>
        <w:t>AASB </w:t>
      </w:r>
      <w:r w:rsidR="78D2C15E" w:rsidRPr="2D4F3F5B">
        <w:rPr>
          <w:rStyle w:val="Reference"/>
        </w:rPr>
        <w:t>1060.13(b)</w:t>
      </w:r>
      <w:r w:rsidR="006227AE">
        <w:rPr>
          <w:rStyle w:val="Reference"/>
        </w:rPr>
        <w:t>; AusCF13</w:t>
      </w:r>
      <w:r w:rsidR="78D2C15E" w:rsidRPr="2D4F3F5B">
        <w:rPr>
          <w:rStyle w:val="Reference"/>
        </w:rPr>
        <w:t>]</w:t>
      </w:r>
    </w:p>
    <w:p w14:paraId="0FCCA8D8" w14:textId="76146DB4" w:rsidR="77F5D8ED" w:rsidRDefault="3A3F8D9B" w:rsidP="002A0038">
      <w:pPr>
        <w:pStyle w:val="Heading4"/>
      </w:pPr>
      <w:bookmarkStart w:id="10914" w:name="_Toc179816794"/>
      <w:bookmarkStart w:id="10915" w:name="_Toc179822494"/>
      <w:bookmarkStart w:id="10916" w:name="_Toc179828194"/>
      <w:r>
        <w:t xml:space="preserve">Going concern </w:t>
      </w:r>
      <w:r w:rsidR="003565D5">
        <w:t xml:space="preserve">basis </w:t>
      </w:r>
      <w:r w:rsidR="003565D5" w:rsidRPr="5ADF3F90">
        <w:rPr>
          <w:rStyle w:val="Reference"/>
        </w:rPr>
        <w:t>[</w:t>
      </w:r>
      <w:r w:rsidR="0007383E">
        <w:rPr>
          <w:rStyle w:val="Reference"/>
        </w:rPr>
        <w:t>AASB </w:t>
      </w:r>
      <w:r w:rsidR="42FD9807" w:rsidRPr="5ADF3F90">
        <w:rPr>
          <w:rStyle w:val="Reference"/>
        </w:rPr>
        <w:t>1060.14]</w:t>
      </w:r>
      <w:bookmarkEnd w:id="10914"/>
      <w:bookmarkEnd w:id="10915"/>
      <w:bookmarkEnd w:id="10916"/>
    </w:p>
    <w:p w14:paraId="15C8897D" w14:textId="51B4EFEC" w:rsidR="77B0705E" w:rsidRDefault="77B0705E" w:rsidP="784691EA">
      <w:r w:rsidRPr="784691EA">
        <w:rPr>
          <w:rFonts w:ascii="Arial" w:eastAsia="Arial" w:hAnsi="Arial" w:cs="Arial"/>
        </w:rPr>
        <w:t xml:space="preserve">When preparing financial statements, the management of an entity using Australian Accounting Standards – Simplified Disclosures shall </w:t>
      </w:r>
      <w:proofErr w:type="gramStart"/>
      <w:r w:rsidRPr="784691EA">
        <w:rPr>
          <w:rFonts w:ascii="Arial" w:eastAsia="Arial" w:hAnsi="Arial" w:cs="Arial"/>
        </w:rPr>
        <w:t>make an assessment of</w:t>
      </w:r>
      <w:proofErr w:type="gramEnd"/>
      <w:r w:rsidRPr="784691EA">
        <w:rPr>
          <w:rFonts w:ascii="Arial" w:eastAsia="Arial" w:hAnsi="Arial" w:cs="Arial"/>
        </w:rPr>
        <w:t xml:space="preserve"> the entity’s ability to continue as a going concern. An entity is a going concern unless management either intends to liquidate the entity or to cease </w:t>
      </w:r>
      <w:proofErr w:type="gramStart"/>
      <w:r w:rsidRPr="784691EA">
        <w:rPr>
          <w:rFonts w:ascii="Arial" w:eastAsia="Arial" w:hAnsi="Arial" w:cs="Arial"/>
        </w:rPr>
        <w:t>operations, or</w:t>
      </w:r>
      <w:proofErr w:type="gramEnd"/>
      <w:r w:rsidRPr="784691EA">
        <w:rPr>
          <w:rFonts w:ascii="Arial" w:eastAsia="Arial" w:hAnsi="Arial" w:cs="Arial"/>
        </w:rPr>
        <w:t xml:space="preserve"> has no realistic alternative but to do so. In assessing whether the going concern assumption is appropriate, management </w:t>
      </w:r>
      <w:proofErr w:type="gramStart"/>
      <w:r w:rsidRPr="784691EA">
        <w:rPr>
          <w:rFonts w:ascii="Arial" w:eastAsia="Arial" w:hAnsi="Arial" w:cs="Arial"/>
        </w:rPr>
        <w:t>takes into account</w:t>
      </w:r>
      <w:proofErr w:type="gramEnd"/>
      <w:r w:rsidRPr="784691EA">
        <w:rPr>
          <w:rFonts w:ascii="Arial" w:eastAsia="Arial" w:hAnsi="Arial" w:cs="Arial"/>
        </w:rPr>
        <w:t xml:space="preserve"> all available information about the future, which is at least, but is not limited to, twelve months from the reporting date.</w:t>
      </w:r>
    </w:p>
    <w:p w14:paraId="5A5D5657" w14:textId="4EC6A827" w:rsidR="77B0705E" w:rsidRDefault="77B0705E" w:rsidP="784691EA">
      <w:r w:rsidRPr="784691EA">
        <w:rPr>
          <w:rFonts w:ascii="Arial" w:eastAsia="Arial" w:hAnsi="Arial" w:cs="Arial"/>
        </w:rPr>
        <w:t xml:space="preserve">When management is aware, in making its assessment, of material uncertainties related to events or conditions that cast significant doubt upon the entity’s ability to continue as a going concern, the entity shall disclose those uncertainties. When an entity does not prepare financial statements on a going concern basis, it shall disclose that fact, together with the basis on which it prepared the financial statements and the reason why the entity is not regarded as a going </w:t>
      </w:r>
      <w:r w:rsidR="003565D5" w:rsidRPr="784691EA">
        <w:rPr>
          <w:rFonts w:ascii="Arial" w:eastAsia="Arial" w:hAnsi="Arial" w:cs="Arial"/>
        </w:rPr>
        <w:t>concern.</w:t>
      </w:r>
      <w:r w:rsidR="003565D5" w:rsidRPr="002A0038">
        <w:rPr>
          <w:rStyle w:val="Reference"/>
        </w:rPr>
        <w:t xml:space="preserve"> [</w:t>
      </w:r>
      <w:r w:rsidR="0007383E">
        <w:rPr>
          <w:rStyle w:val="Reference"/>
        </w:rPr>
        <w:t>AASB </w:t>
      </w:r>
      <w:r w:rsidR="008C4002" w:rsidRPr="002A0038">
        <w:rPr>
          <w:rStyle w:val="Reference"/>
        </w:rPr>
        <w:t>1060.1</w:t>
      </w:r>
      <w:r w:rsidR="008C4002">
        <w:rPr>
          <w:rStyle w:val="Reference"/>
        </w:rPr>
        <w:t>5</w:t>
      </w:r>
      <w:r w:rsidR="008C4002" w:rsidRPr="002A0038">
        <w:rPr>
          <w:rStyle w:val="Reference"/>
        </w:rPr>
        <w:t>]</w:t>
      </w:r>
    </w:p>
    <w:p w14:paraId="7A8A75B3" w14:textId="77777777" w:rsidR="003719CD" w:rsidRDefault="003719CD" w:rsidP="00DC39DE"/>
    <w:p w14:paraId="1B5254A1" w14:textId="73C4FFF3" w:rsidR="003719CD" w:rsidRPr="00747A86" w:rsidRDefault="003719CD">
      <w:pPr>
        <w:keepLines w:val="0"/>
      </w:pPr>
    </w:p>
    <w:p w14:paraId="34E8CCF6" w14:textId="77777777" w:rsidR="003719CD" w:rsidRDefault="003719CD" w:rsidP="007D536F">
      <w:pPr>
        <w:pStyle w:val="Heading1"/>
        <w:sectPr w:rsidR="003719CD" w:rsidSect="00676CBC">
          <w:headerReference w:type="even" r:id="rId121"/>
          <w:headerReference w:type="default" r:id="rId122"/>
          <w:headerReference w:type="first" r:id="rId123"/>
          <w:footerReference w:type="first" r:id="rId124"/>
          <w:pgSz w:w="11906" w:h="16838" w:code="9"/>
          <w:pgMar w:top="1440" w:right="1138" w:bottom="1138" w:left="1138" w:header="619" w:footer="562" w:gutter="0"/>
          <w:cols w:space="708"/>
          <w:docGrid w:linePitch="360"/>
        </w:sectPr>
      </w:pPr>
    </w:p>
    <w:p w14:paraId="36B3DE12" w14:textId="77777777" w:rsidR="007E61C5" w:rsidRPr="00F6022B" w:rsidRDefault="007E61C5" w:rsidP="007E61C5">
      <w:pPr>
        <w:pStyle w:val="SectionTitle"/>
      </w:pPr>
      <w:bookmarkStart w:id="10917" w:name="_Toc179816795"/>
      <w:bookmarkStart w:id="10918" w:name="_Toc179822495"/>
      <w:bookmarkStart w:id="10919" w:name="_Toc179828195"/>
      <w:bookmarkStart w:id="10920" w:name="_Toc179833830"/>
      <w:bookmarkStart w:id="10921" w:name="_Toc179865360"/>
      <w:bookmarkStart w:id="10922" w:name="_Toc179871461"/>
      <w:bookmarkStart w:id="10923" w:name="_Toc179875854"/>
      <w:bookmarkStart w:id="10924" w:name="_Toc179880247"/>
      <w:bookmarkStart w:id="10925" w:name="_Toc179880340"/>
      <w:r w:rsidRPr="00F6022B">
        <w:t>Appendices</w:t>
      </w:r>
      <w:bookmarkEnd w:id="10917"/>
      <w:bookmarkEnd w:id="10918"/>
      <w:bookmarkEnd w:id="10919"/>
      <w:bookmarkEnd w:id="10920"/>
      <w:bookmarkEnd w:id="10921"/>
      <w:bookmarkEnd w:id="10922"/>
      <w:bookmarkEnd w:id="10923"/>
      <w:bookmarkEnd w:id="10924"/>
      <w:bookmarkEnd w:id="10925"/>
      <w:r w:rsidRPr="00F6022B">
        <w:t xml:space="preserve"> </w:t>
      </w:r>
    </w:p>
    <w:tbl>
      <w:tblPr>
        <w:tblStyle w:val="PlainTable4"/>
        <w:tblW w:w="9752" w:type="dxa"/>
        <w:tblLayout w:type="fixed"/>
        <w:tblLook w:val="0600" w:firstRow="0" w:lastRow="0" w:firstColumn="0" w:lastColumn="0" w:noHBand="1" w:noVBand="1"/>
      </w:tblPr>
      <w:tblGrid>
        <w:gridCol w:w="1350"/>
        <w:gridCol w:w="7740"/>
        <w:gridCol w:w="662"/>
      </w:tblGrid>
      <w:tr w:rsidR="007E61C5" w:rsidRPr="00DE1E47" w14:paraId="7CF12FA0" w14:textId="77777777" w:rsidTr="006832FD">
        <w:trPr>
          <w:trHeight w:val="574"/>
        </w:trPr>
        <w:tc>
          <w:tcPr>
            <w:tcW w:w="1350" w:type="dxa"/>
            <w:shd w:val="clear" w:color="auto" w:fill="FFFFFF" w:themeFill="background1"/>
          </w:tcPr>
          <w:p w14:paraId="3601F787" w14:textId="26287A91" w:rsidR="007E61C5" w:rsidRPr="00864CFD" w:rsidRDefault="007E61C5" w:rsidP="006832FD">
            <w:pPr>
              <w:spacing w:before="120" w:after="120"/>
            </w:pPr>
            <w:r w:rsidRPr="00864CFD">
              <w:t xml:space="preserve">Appendix </w:t>
            </w:r>
            <w:r w:rsidR="000B3E87">
              <w:t>1</w:t>
            </w:r>
          </w:p>
        </w:tc>
        <w:tc>
          <w:tcPr>
            <w:tcW w:w="7740" w:type="dxa"/>
            <w:shd w:val="clear" w:color="auto" w:fill="FFFFFF" w:themeFill="background1"/>
          </w:tcPr>
          <w:p w14:paraId="0481CA31" w14:textId="77777777" w:rsidR="007E61C5" w:rsidRPr="00864CFD" w:rsidRDefault="007E61C5" w:rsidP="006832FD">
            <w:pPr>
              <w:spacing w:before="120" w:after="120"/>
            </w:pPr>
            <w:r w:rsidRPr="00864CFD">
              <w:t>Index of accounting guidance and associated checklists on the DTF webpage</w:t>
            </w:r>
          </w:p>
        </w:tc>
        <w:tc>
          <w:tcPr>
            <w:tcW w:w="662" w:type="dxa"/>
            <w:shd w:val="clear" w:color="auto" w:fill="FFFFFF" w:themeFill="background1"/>
          </w:tcPr>
          <w:p w14:paraId="02366C9B" w14:textId="3B3374E0" w:rsidR="007E61C5" w:rsidRPr="00864CFD" w:rsidRDefault="002A08B4" w:rsidP="006832FD">
            <w:pPr>
              <w:spacing w:before="120" w:after="120"/>
              <w:jc w:val="right"/>
            </w:pPr>
            <w:r>
              <w:fldChar w:fldCharType="begin"/>
            </w:r>
            <w:r>
              <w:instrText xml:space="preserve"> PAGEREF Appendix_1 \h </w:instrText>
            </w:r>
            <w:r>
              <w:fldChar w:fldCharType="separate"/>
            </w:r>
            <w:r w:rsidR="00CC74E4">
              <w:rPr>
                <w:noProof/>
              </w:rPr>
              <w:t>73</w:t>
            </w:r>
            <w:r>
              <w:fldChar w:fldCharType="end"/>
            </w:r>
          </w:p>
        </w:tc>
      </w:tr>
      <w:tr w:rsidR="007E61C5" w:rsidRPr="00DE1E47" w14:paraId="50604FE7" w14:textId="77777777" w:rsidTr="006832FD">
        <w:trPr>
          <w:trHeight w:val="574"/>
        </w:trPr>
        <w:tc>
          <w:tcPr>
            <w:tcW w:w="1350" w:type="dxa"/>
            <w:shd w:val="clear" w:color="auto" w:fill="FFFFFF" w:themeFill="background1"/>
          </w:tcPr>
          <w:p w14:paraId="4BBD0B9B" w14:textId="720FDAD6" w:rsidR="007E61C5" w:rsidRPr="002A0038" w:rsidRDefault="007E61C5" w:rsidP="006832FD">
            <w:pPr>
              <w:spacing w:before="120" w:after="120"/>
            </w:pPr>
            <w:r w:rsidRPr="002A0038">
              <w:t xml:space="preserve">Appendix </w:t>
            </w:r>
            <w:r w:rsidR="000B3E87">
              <w:t>2</w:t>
            </w:r>
          </w:p>
        </w:tc>
        <w:tc>
          <w:tcPr>
            <w:tcW w:w="7740" w:type="dxa"/>
            <w:shd w:val="clear" w:color="auto" w:fill="FFFFFF" w:themeFill="background1"/>
          </w:tcPr>
          <w:p w14:paraId="2E731B3E" w14:textId="0EEC46F9" w:rsidR="007E61C5" w:rsidRPr="002A0038" w:rsidRDefault="007E61C5" w:rsidP="006832FD">
            <w:pPr>
              <w:spacing w:before="120" w:after="120"/>
            </w:pPr>
            <w:r w:rsidRPr="002A0038">
              <w:t xml:space="preserve">Non-routine transactions not covered by the </w:t>
            </w:r>
            <w:r w:rsidR="0007383E">
              <w:t>Tier </w:t>
            </w:r>
            <w:r w:rsidRPr="002A0038">
              <w:t xml:space="preserve">2 Model and associated </w:t>
            </w:r>
            <w:r w:rsidR="00794D0B" w:rsidRPr="00794D0B">
              <w:t>disclosure</w:t>
            </w:r>
            <w:r w:rsidRPr="002A0038">
              <w:t xml:space="preserve"> requirements</w:t>
            </w:r>
          </w:p>
        </w:tc>
        <w:tc>
          <w:tcPr>
            <w:tcW w:w="662" w:type="dxa"/>
            <w:shd w:val="clear" w:color="auto" w:fill="FFFFFF" w:themeFill="background1"/>
          </w:tcPr>
          <w:p w14:paraId="10E8DC83" w14:textId="578E0A1C" w:rsidR="007E61C5" w:rsidRPr="002A0038" w:rsidRDefault="002A08B4" w:rsidP="006832FD">
            <w:pPr>
              <w:spacing w:before="120" w:after="120"/>
              <w:jc w:val="right"/>
            </w:pPr>
            <w:r>
              <w:fldChar w:fldCharType="begin"/>
            </w:r>
            <w:r>
              <w:instrText xml:space="preserve"> PAGEREF Appendix_2 \h </w:instrText>
            </w:r>
            <w:r>
              <w:fldChar w:fldCharType="separate"/>
            </w:r>
            <w:r w:rsidR="00CC74E4">
              <w:rPr>
                <w:noProof/>
              </w:rPr>
              <w:t>75</w:t>
            </w:r>
            <w:r>
              <w:fldChar w:fldCharType="end"/>
            </w:r>
          </w:p>
        </w:tc>
      </w:tr>
    </w:tbl>
    <w:p w14:paraId="19E6213E" w14:textId="77777777" w:rsidR="007E61C5" w:rsidRDefault="007E61C5" w:rsidP="007E61C5"/>
    <w:p w14:paraId="2C961693" w14:textId="77777777" w:rsidR="007E61C5" w:rsidRDefault="007E61C5" w:rsidP="007E61C5">
      <w:pPr>
        <w:sectPr w:rsidR="007E61C5" w:rsidSect="00C540DB">
          <w:headerReference w:type="first" r:id="rId125"/>
          <w:pgSz w:w="11906" w:h="16838" w:code="9"/>
          <w:pgMar w:top="1138" w:right="1138" w:bottom="1138" w:left="1138" w:header="619" w:footer="562" w:gutter="0"/>
          <w:cols w:space="708"/>
          <w:titlePg/>
          <w:docGrid w:linePitch="360"/>
        </w:sectPr>
      </w:pPr>
    </w:p>
    <w:p w14:paraId="73B0C1A9" w14:textId="29F63465" w:rsidR="003719CD" w:rsidRDefault="003719CD" w:rsidP="006832FD">
      <w:pPr>
        <w:pStyle w:val="Heading1"/>
      </w:pPr>
      <w:bookmarkStart w:id="10926" w:name="Appendix_1"/>
      <w:bookmarkStart w:id="10927" w:name="_Toc179816796"/>
      <w:bookmarkStart w:id="10928" w:name="_Toc179822496"/>
      <w:bookmarkStart w:id="10929" w:name="_Toc179828196"/>
      <w:bookmarkStart w:id="10930" w:name="_Toc179833831"/>
      <w:bookmarkStart w:id="10931" w:name="_Toc179865361"/>
      <w:bookmarkStart w:id="10932" w:name="_Toc179871462"/>
      <w:bookmarkStart w:id="10933" w:name="_Toc179875855"/>
      <w:bookmarkStart w:id="10934" w:name="_Toc179880248"/>
      <w:bookmarkStart w:id="10935" w:name="_Toc179880284"/>
      <w:bookmarkStart w:id="10936" w:name="_Toc179880341"/>
      <w:r>
        <w:t xml:space="preserve">APPENDIX </w:t>
      </w:r>
      <w:r w:rsidR="000B3E87">
        <w:t>1</w:t>
      </w:r>
      <w:bookmarkEnd w:id="10926"/>
      <w:r>
        <w:t>:</w:t>
      </w:r>
      <w:r w:rsidR="00590421">
        <w:t xml:space="preserve"> </w:t>
      </w:r>
      <w:r>
        <w:t>INDEX OF ACCOUNTING GUIDANCE AND ASSOCIATED CHECKLISTS ON THE DTF WEBSITE</w:t>
      </w:r>
      <w:bookmarkEnd w:id="10927"/>
      <w:bookmarkEnd w:id="10928"/>
      <w:bookmarkEnd w:id="10929"/>
      <w:bookmarkEnd w:id="10930"/>
      <w:bookmarkEnd w:id="10931"/>
      <w:bookmarkEnd w:id="10932"/>
      <w:bookmarkEnd w:id="10933"/>
      <w:bookmarkEnd w:id="10934"/>
      <w:bookmarkEnd w:id="10935"/>
      <w:bookmarkEnd w:id="10936"/>
      <w:r>
        <w:t xml:space="preserve"> </w:t>
      </w:r>
      <w:r w:rsidR="007F203E" w:rsidRPr="00E51206">
        <w:rPr>
          <w:color w:val="C00000"/>
          <w:sz w:val="20"/>
          <w:szCs w:val="20"/>
        </w:rPr>
        <w:t>[REVISED]</w:t>
      </w:r>
    </w:p>
    <w:p w14:paraId="5F02788A" w14:textId="2A41311F" w:rsidR="003719CD" w:rsidRDefault="003719CD" w:rsidP="00DC39DE">
      <w:r>
        <w:t xml:space="preserve">Supporting information on the Australian </w:t>
      </w:r>
      <w:r w:rsidR="00EE6B15">
        <w:t>A</w:t>
      </w:r>
      <w:r>
        <w:t xml:space="preserve">ccounting </w:t>
      </w:r>
      <w:r w:rsidR="00EE6B15">
        <w:t>S</w:t>
      </w:r>
      <w:r>
        <w:t xml:space="preserve">tandards is available on the DTF website. This incorporates accounting guidance and assessment checklists that were previously included in past editions of the Model </w:t>
      </w:r>
      <w:r w:rsidR="00EE6B15">
        <w:t>R</w:t>
      </w:r>
      <w:r>
        <w:t xml:space="preserve">eport appendices. </w:t>
      </w:r>
    </w:p>
    <w:p w14:paraId="7CD7219E" w14:textId="77777777" w:rsidR="003719CD" w:rsidRDefault="003719CD" w:rsidP="00DC39DE">
      <w:r>
        <w:t xml:space="preserve">These documents should be used as a general guide only and note there may be exceptions specific to the arrangements of the user. </w:t>
      </w:r>
    </w:p>
    <w:p w14:paraId="6431A248" w14:textId="72389AF4" w:rsidR="003719CD" w:rsidRDefault="003719CD" w:rsidP="00DC39DE">
      <w:r>
        <w:t>The following table provides a summary of the supporting information available at</w:t>
      </w:r>
      <w:r w:rsidR="00194140">
        <w:t>:</w:t>
      </w:r>
      <w:r>
        <w:t xml:space="preserve"> </w:t>
      </w:r>
      <w:hyperlink r:id="rId126">
        <w:r w:rsidRPr="4863CCAD">
          <w:rPr>
            <w:rStyle w:val="Hyperlink"/>
          </w:rPr>
          <w:t>www.dtf.</w:t>
        </w:r>
        <w:bookmarkStart w:id="10937" w:name="_Hlt175227419"/>
        <w:r w:rsidRPr="4863CCAD">
          <w:rPr>
            <w:rStyle w:val="Hyperlink"/>
          </w:rPr>
          <w:t>v</w:t>
        </w:r>
        <w:bookmarkEnd w:id="10937"/>
        <w:r w:rsidRPr="4863CCAD">
          <w:rPr>
            <w:rStyle w:val="Hyperlink"/>
          </w:rPr>
          <w:t>ic.gov.au/financial-reporting-policy/accounting-standards-checklists</w:t>
        </w:r>
      </w:hyperlink>
    </w:p>
    <w:tbl>
      <w:tblPr>
        <w:tblStyle w:val="DTFTextTable"/>
        <w:tblW w:w="0" w:type="auto"/>
        <w:tblLook w:val="0420" w:firstRow="1" w:lastRow="0" w:firstColumn="0" w:lastColumn="0" w:noHBand="0" w:noVBand="1"/>
      </w:tblPr>
      <w:tblGrid>
        <w:gridCol w:w="1979"/>
        <w:gridCol w:w="2878"/>
        <w:gridCol w:w="4773"/>
      </w:tblGrid>
      <w:tr w:rsidR="00F9116F" w:rsidRPr="002A40E4" w14:paraId="19072A78" w14:textId="77777777" w:rsidTr="00493A92">
        <w:trPr>
          <w:cnfStyle w:val="100000000000" w:firstRow="1" w:lastRow="0" w:firstColumn="0" w:lastColumn="0" w:oddVBand="0" w:evenVBand="0" w:oddHBand="0" w:evenHBand="0" w:firstRowFirstColumn="0" w:firstRowLastColumn="0" w:lastRowFirstColumn="0" w:lastRowLastColumn="0"/>
          <w:tblHeader/>
        </w:trPr>
        <w:tc>
          <w:tcPr>
            <w:tcW w:w="1980" w:type="dxa"/>
          </w:tcPr>
          <w:p w14:paraId="5F2B95F9" w14:textId="77777777" w:rsidR="003719CD" w:rsidRPr="002A40E4" w:rsidRDefault="003719CD" w:rsidP="007D536F">
            <w:pPr>
              <w:rPr>
                <w:sz w:val="17"/>
                <w:szCs w:val="17"/>
              </w:rPr>
            </w:pPr>
            <w:r w:rsidRPr="002A40E4">
              <w:rPr>
                <w:sz w:val="17"/>
                <w:szCs w:val="17"/>
              </w:rPr>
              <w:t>Accounting standard</w:t>
            </w:r>
          </w:p>
        </w:tc>
        <w:tc>
          <w:tcPr>
            <w:tcW w:w="2880" w:type="dxa"/>
          </w:tcPr>
          <w:p w14:paraId="262547ED" w14:textId="77777777" w:rsidR="003719CD" w:rsidRPr="002A40E4" w:rsidRDefault="003719CD" w:rsidP="007D536F">
            <w:pPr>
              <w:rPr>
                <w:sz w:val="17"/>
                <w:szCs w:val="17"/>
              </w:rPr>
            </w:pPr>
            <w:r w:rsidRPr="002A40E4">
              <w:rPr>
                <w:sz w:val="17"/>
                <w:szCs w:val="17"/>
              </w:rPr>
              <w:t>Title of the document</w:t>
            </w:r>
          </w:p>
        </w:tc>
        <w:tc>
          <w:tcPr>
            <w:tcW w:w="4778" w:type="dxa"/>
          </w:tcPr>
          <w:p w14:paraId="7F451A19" w14:textId="77777777" w:rsidR="003719CD" w:rsidRPr="002A40E4" w:rsidRDefault="003719CD" w:rsidP="007D536F">
            <w:pPr>
              <w:rPr>
                <w:sz w:val="17"/>
                <w:szCs w:val="17"/>
              </w:rPr>
            </w:pPr>
            <w:r w:rsidRPr="002A40E4">
              <w:rPr>
                <w:sz w:val="17"/>
                <w:szCs w:val="17"/>
              </w:rPr>
              <w:t>Summary</w:t>
            </w:r>
          </w:p>
        </w:tc>
      </w:tr>
      <w:tr w:rsidR="006A3C05" w:rsidRPr="002A40E4" w14:paraId="3E9E0EE7" w14:textId="77777777" w:rsidTr="00493A92">
        <w:trPr>
          <w:cnfStyle w:val="000000100000" w:firstRow="0" w:lastRow="0" w:firstColumn="0" w:lastColumn="0" w:oddVBand="0" w:evenVBand="0" w:oddHBand="1" w:evenHBand="0" w:firstRowFirstColumn="0" w:firstRowLastColumn="0" w:lastRowFirstColumn="0" w:lastRowLastColumn="0"/>
        </w:trPr>
        <w:tc>
          <w:tcPr>
            <w:tcW w:w="1980" w:type="dxa"/>
          </w:tcPr>
          <w:p w14:paraId="42F4FAF6" w14:textId="140C077A" w:rsidR="003719CD" w:rsidRPr="002A40E4" w:rsidRDefault="0007383E" w:rsidP="007D536F">
            <w:pPr>
              <w:rPr>
                <w:sz w:val="17"/>
                <w:szCs w:val="17"/>
              </w:rPr>
            </w:pPr>
            <w:r w:rsidRPr="002A40E4">
              <w:rPr>
                <w:sz w:val="17"/>
                <w:szCs w:val="17"/>
              </w:rPr>
              <w:t>AASB </w:t>
            </w:r>
            <w:r w:rsidR="003719CD" w:rsidRPr="002A40E4">
              <w:rPr>
                <w:sz w:val="17"/>
                <w:szCs w:val="17"/>
              </w:rPr>
              <w:t xml:space="preserve">10 </w:t>
            </w:r>
            <w:r w:rsidR="003719CD" w:rsidRPr="002A40E4">
              <w:rPr>
                <w:i/>
                <w:iCs/>
                <w:sz w:val="17"/>
                <w:szCs w:val="17"/>
              </w:rPr>
              <w:t>Consolidated Financial Statements</w:t>
            </w:r>
          </w:p>
        </w:tc>
        <w:tc>
          <w:tcPr>
            <w:tcW w:w="2880" w:type="dxa"/>
          </w:tcPr>
          <w:p w14:paraId="4B4C8024" w14:textId="33797839" w:rsidR="003719CD" w:rsidRPr="002A40E4" w:rsidRDefault="003719CD" w:rsidP="007D536F">
            <w:pPr>
              <w:rPr>
                <w:sz w:val="17"/>
                <w:szCs w:val="17"/>
              </w:rPr>
            </w:pPr>
            <w:r w:rsidRPr="002A40E4">
              <w:rPr>
                <w:sz w:val="17"/>
                <w:szCs w:val="17"/>
              </w:rPr>
              <w:t xml:space="preserve">Control analysis for Victorian Public Sector Entities – checklist </w:t>
            </w:r>
          </w:p>
        </w:tc>
        <w:tc>
          <w:tcPr>
            <w:tcW w:w="4778" w:type="dxa"/>
          </w:tcPr>
          <w:p w14:paraId="50DCB793" w14:textId="699B0BA1" w:rsidR="003719CD" w:rsidRPr="002A40E4" w:rsidRDefault="003719CD" w:rsidP="007D536F">
            <w:pPr>
              <w:rPr>
                <w:sz w:val="17"/>
                <w:szCs w:val="17"/>
              </w:rPr>
            </w:pPr>
            <w:r w:rsidRPr="002A40E4">
              <w:rPr>
                <w:sz w:val="17"/>
                <w:szCs w:val="17"/>
              </w:rPr>
              <w:t xml:space="preserve">The assessment template assists users to determine whether an entity is required to be consolidated into another entity under </w:t>
            </w:r>
            <w:r w:rsidR="0007383E" w:rsidRPr="002A40E4">
              <w:rPr>
                <w:sz w:val="17"/>
                <w:szCs w:val="17"/>
              </w:rPr>
              <w:t>AASB </w:t>
            </w:r>
            <w:r w:rsidRPr="002A40E4">
              <w:rPr>
                <w:sz w:val="17"/>
                <w:szCs w:val="17"/>
              </w:rPr>
              <w:t>10.</w:t>
            </w:r>
          </w:p>
        </w:tc>
      </w:tr>
      <w:tr w:rsidR="007A5D40" w:rsidRPr="002A40E4" w14:paraId="28C6C51C" w14:textId="77777777" w:rsidTr="00493A92">
        <w:trPr>
          <w:cnfStyle w:val="000000010000" w:firstRow="0" w:lastRow="0" w:firstColumn="0" w:lastColumn="0" w:oddVBand="0" w:evenVBand="0" w:oddHBand="0" w:evenHBand="1" w:firstRowFirstColumn="0" w:firstRowLastColumn="0" w:lastRowFirstColumn="0" w:lastRowLastColumn="0"/>
        </w:trPr>
        <w:tc>
          <w:tcPr>
            <w:tcW w:w="1980" w:type="dxa"/>
          </w:tcPr>
          <w:p w14:paraId="1D7A691A" w14:textId="0D36A967" w:rsidR="003719CD" w:rsidRPr="002A40E4" w:rsidRDefault="0007383E" w:rsidP="007D536F">
            <w:pPr>
              <w:rPr>
                <w:sz w:val="17"/>
                <w:szCs w:val="17"/>
              </w:rPr>
            </w:pPr>
            <w:r w:rsidRPr="002A40E4">
              <w:rPr>
                <w:sz w:val="17"/>
                <w:szCs w:val="17"/>
              </w:rPr>
              <w:t>AASB </w:t>
            </w:r>
            <w:r w:rsidR="003719CD" w:rsidRPr="002A40E4">
              <w:rPr>
                <w:sz w:val="17"/>
                <w:szCs w:val="17"/>
              </w:rPr>
              <w:t xml:space="preserve">5 </w:t>
            </w:r>
            <w:proofErr w:type="gramStart"/>
            <w:r w:rsidR="003719CD" w:rsidRPr="002A40E4">
              <w:rPr>
                <w:i/>
                <w:iCs/>
                <w:sz w:val="17"/>
                <w:szCs w:val="17"/>
              </w:rPr>
              <w:t>Non-current</w:t>
            </w:r>
            <w:proofErr w:type="gramEnd"/>
            <w:r w:rsidR="003719CD" w:rsidRPr="002A40E4">
              <w:rPr>
                <w:i/>
                <w:iCs/>
                <w:sz w:val="17"/>
                <w:szCs w:val="17"/>
              </w:rPr>
              <w:t xml:space="preserve"> assets held for sale and discontinued operations</w:t>
            </w:r>
            <w:r w:rsidR="003719CD" w:rsidRPr="002A40E4">
              <w:rPr>
                <w:sz w:val="17"/>
                <w:szCs w:val="17"/>
              </w:rPr>
              <w:t xml:space="preserve"> </w:t>
            </w:r>
          </w:p>
        </w:tc>
        <w:tc>
          <w:tcPr>
            <w:tcW w:w="2880" w:type="dxa"/>
          </w:tcPr>
          <w:p w14:paraId="7C1EDA51" w14:textId="5F248F9C" w:rsidR="003719CD" w:rsidRPr="002A40E4" w:rsidRDefault="003719CD" w:rsidP="007D536F">
            <w:pPr>
              <w:rPr>
                <w:sz w:val="17"/>
                <w:szCs w:val="17"/>
              </w:rPr>
            </w:pPr>
            <w:r w:rsidRPr="002A40E4">
              <w:rPr>
                <w:sz w:val="17"/>
                <w:szCs w:val="17"/>
              </w:rPr>
              <w:t>When to account for surplus assets as ‘held for sale’</w:t>
            </w:r>
          </w:p>
        </w:tc>
        <w:tc>
          <w:tcPr>
            <w:tcW w:w="4778" w:type="dxa"/>
          </w:tcPr>
          <w:p w14:paraId="46AA4764" w14:textId="76538922" w:rsidR="003719CD" w:rsidRPr="002A40E4" w:rsidRDefault="003719CD" w:rsidP="007D536F">
            <w:pPr>
              <w:rPr>
                <w:sz w:val="17"/>
                <w:szCs w:val="17"/>
              </w:rPr>
            </w:pPr>
            <w:r w:rsidRPr="002A40E4">
              <w:rPr>
                <w:sz w:val="17"/>
                <w:szCs w:val="17"/>
              </w:rPr>
              <w:t xml:space="preserve">The document provides accounting guidance on the classification of surplus assets as ‘held for sale’, including a checklist to aid the assessment on whether the surplus asset meets the recognition criteria of ‘held for sale’ under </w:t>
            </w:r>
            <w:r w:rsidR="0007383E" w:rsidRPr="002A40E4">
              <w:rPr>
                <w:sz w:val="17"/>
                <w:szCs w:val="17"/>
              </w:rPr>
              <w:t>AASB </w:t>
            </w:r>
            <w:r w:rsidRPr="002A40E4">
              <w:rPr>
                <w:sz w:val="17"/>
                <w:szCs w:val="17"/>
              </w:rPr>
              <w:t xml:space="preserve">5. </w:t>
            </w:r>
          </w:p>
        </w:tc>
      </w:tr>
      <w:tr w:rsidR="006A3C05" w:rsidRPr="002A40E4" w14:paraId="38D443C0" w14:textId="77777777" w:rsidTr="00493A92">
        <w:trPr>
          <w:cnfStyle w:val="000000100000" w:firstRow="0" w:lastRow="0" w:firstColumn="0" w:lastColumn="0" w:oddVBand="0" w:evenVBand="0" w:oddHBand="1" w:evenHBand="0" w:firstRowFirstColumn="0" w:firstRowLastColumn="0" w:lastRowFirstColumn="0" w:lastRowLastColumn="0"/>
        </w:trPr>
        <w:tc>
          <w:tcPr>
            <w:tcW w:w="1980" w:type="dxa"/>
          </w:tcPr>
          <w:p w14:paraId="42A8EDEE" w14:textId="6803C4BB" w:rsidR="003719CD" w:rsidRPr="002A40E4" w:rsidRDefault="0007383E" w:rsidP="007D536F">
            <w:pPr>
              <w:rPr>
                <w:sz w:val="17"/>
                <w:szCs w:val="17"/>
              </w:rPr>
            </w:pPr>
            <w:r w:rsidRPr="002A40E4">
              <w:rPr>
                <w:sz w:val="17"/>
                <w:szCs w:val="17"/>
              </w:rPr>
              <w:t>AASB </w:t>
            </w:r>
            <w:r w:rsidR="003719CD" w:rsidRPr="002A40E4">
              <w:rPr>
                <w:sz w:val="17"/>
                <w:szCs w:val="17"/>
              </w:rPr>
              <w:t xml:space="preserve">12 </w:t>
            </w:r>
            <w:r w:rsidR="003719CD" w:rsidRPr="002A40E4">
              <w:rPr>
                <w:i/>
                <w:iCs/>
                <w:sz w:val="17"/>
                <w:szCs w:val="17"/>
              </w:rPr>
              <w:t>Disclosure for interest in subsidiaries</w:t>
            </w:r>
          </w:p>
        </w:tc>
        <w:tc>
          <w:tcPr>
            <w:tcW w:w="2880" w:type="dxa"/>
          </w:tcPr>
          <w:p w14:paraId="65BC931C" w14:textId="7C5D3953" w:rsidR="003719CD" w:rsidRPr="002A40E4" w:rsidRDefault="003719CD" w:rsidP="007D536F">
            <w:pPr>
              <w:rPr>
                <w:sz w:val="17"/>
                <w:szCs w:val="17"/>
              </w:rPr>
            </w:pPr>
            <w:r w:rsidRPr="002A40E4">
              <w:rPr>
                <w:sz w:val="17"/>
                <w:szCs w:val="17"/>
              </w:rPr>
              <w:t>Interests in subsidiary and unconsolidated structured entities</w:t>
            </w:r>
          </w:p>
        </w:tc>
        <w:tc>
          <w:tcPr>
            <w:tcW w:w="4778" w:type="dxa"/>
          </w:tcPr>
          <w:p w14:paraId="0E64763C" w14:textId="3D107333" w:rsidR="003719CD" w:rsidRPr="002A40E4" w:rsidRDefault="003719CD" w:rsidP="007D536F">
            <w:pPr>
              <w:rPr>
                <w:sz w:val="17"/>
                <w:szCs w:val="17"/>
              </w:rPr>
            </w:pPr>
            <w:r w:rsidRPr="002A40E4">
              <w:rPr>
                <w:sz w:val="17"/>
                <w:szCs w:val="17"/>
              </w:rPr>
              <w:t xml:space="preserve">The document provides guidance on the disclosure requirements for interests in subsidiaries and interest in unconsolidated structured entities under </w:t>
            </w:r>
            <w:r w:rsidR="0007383E" w:rsidRPr="002A40E4">
              <w:rPr>
                <w:sz w:val="17"/>
                <w:szCs w:val="17"/>
              </w:rPr>
              <w:t>AASB </w:t>
            </w:r>
            <w:r w:rsidRPr="002A40E4">
              <w:rPr>
                <w:sz w:val="17"/>
                <w:szCs w:val="17"/>
              </w:rPr>
              <w:t>12.</w:t>
            </w:r>
          </w:p>
        </w:tc>
      </w:tr>
      <w:tr w:rsidR="007A5D40" w:rsidRPr="002A40E4" w14:paraId="251D731C" w14:textId="77777777" w:rsidTr="00493A92">
        <w:trPr>
          <w:cnfStyle w:val="000000010000" w:firstRow="0" w:lastRow="0" w:firstColumn="0" w:lastColumn="0" w:oddVBand="0" w:evenVBand="0" w:oddHBand="0" w:evenHBand="1" w:firstRowFirstColumn="0" w:firstRowLastColumn="0" w:lastRowFirstColumn="0" w:lastRowLastColumn="0"/>
        </w:trPr>
        <w:tc>
          <w:tcPr>
            <w:tcW w:w="1980" w:type="dxa"/>
          </w:tcPr>
          <w:p w14:paraId="2FACDA87" w14:textId="5FCCFBEC" w:rsidR="003719CD" w:rsidRPr="002A40E4" w:rsidRDefault="0007383E" w:rsidP="007D536F">
            <w:pPr>
              <w:rPr>
                <w:sz w:val="17"/>
                <w:szCs w:val="17"/>
              </w:rPr>
            </w:pPr>
            <w:r w:rsidRPr="002A40E4">
              <w:rPr>
                <w:sz w:val="17"/>
                <w:szCs w:val="17"/>
              </w:rPr>
              <w:t>AASB </w:t>
            </w:r>
            <w:r w:rsidR="003719CD" w:rsidRPr="002A40E4">
              <w:rPr>
                <w:sz w:val="17"/>
                <w:szCs w:val="17"/>
              </w:rPr>
              <w:t xml:space="preserve">119 </w:t>
            </w:r>
            <w:r w:rsidR="003719CD" w:rsidRPr="002A40E4">
              <w:rPr>
                <w:i/>
                <w:iCs/>
                <w:sz w:val="17"/>
                <w:szCs w:val="17"/>
              </w:rPr>
              <w:t>Employee Benefits</w:t>
            </w:r>
            <w:r w:rsidR="003719CD" w:rsidRPr="002A40E4">
              <w:rPr>
                <w:sz w:val="17"/>
                <w:szCs w:val="17"/>
              </w:rPr>
              <w:t xml:space="preserve"> </w:t>
            </w:r>
          </w:p>
        </w:tc>
        <w:tc>
          <w:tcPr>
            <w:tcW w:w="2880" w:type="dxa"/>
          </w:tcPr>
          <w:p w14:paraId="15484B61" w14:textId="7128F5D9" w:rsidR="003719CD" w:rsidRPr="002A40E4" w:rsidRDefault="003719CD" w:rsidP="007D536F">
            <w:pPr>
              <w:rPr>
                <w:sz w:val="17"/>
                <w:szCs w:val="17"/>
              </w:rPr>
            </w:pPr>
            <w:r w:rsidRPr="002A40E4">
              <w:rPr>
                <w:sz w:val="17"/>
                <w:szCs w:val="17"/>
              </w:rPr>
              <w:t xml:space="preserve">Annual leave provisions </w:t>
            </w:r>
          </w:p>
        </w:tc>
        <w:tc>
          <w:tcPr>
            <w:tcW w:w="4778" w:type="dxa"/>
          </w:tcPr>
          <w:p w14:paraId="11809604" w14:textId="79528191" w:rsidR="003719CD" w:rsidRPr="002A40E4" w:rsidRDefault="003719CD" w:rsidP="007D536F">
            <w:pPr>
              <w:rPr>
                <w:sz w:val="17"/>
                <w:szCs w:val="17"/>
              </w:rPr>
            </w:pPr>
            <w:r w:rsidRPr="002A40E4">
              <w:rPr>
                <w:sz w:val="17"/>
                <w:szCs w:val="17"/>
              </w:rPr>
              <w:t xml:space="preserve">The document provides guidance on the revised requirements for short-term employee benefits under </w:t>
            </w:r>
            <w:r w:rsidR="0007383E" w:rsidRPr="002A40E4">
              <w:rPr>
                <w:sz w:val="17"/>
                <w:szCs w:val="17"/>
              </w:rPr>
              <w:t>AASB </w:t>
            </w:r>
            <w:r w:rsidRPr="002A40E4">
              <w:rPr>
                <w:sz w:val="17"/>
                <w:szCs w:val="17"/>
              </w:rPr>
              <w:t xml:space="preserve">119, including an example illustration with calculation guidance, </w:t>
            </w:r>
          </w:p>
        </w:tc>
      </w:tr>
      <w:tr w:rsidR="006A3C05" w:rsidRPr="002A40E4" w14:paraId="6F80A555" w14:textId="77777777" w:rsidTr="00493A92">
        <w:trPr>
          <w:cnfStyle w:val="000000100000" w:firstRow="0" w:lastRow="0" w:firstColumn="0" w:lastColumn="0" w:oddVBand="0" w:evenVBand="0" w:oddHBand="1" w:evenHBand="0" w:firstRowFirstColumn="0" w:firstRowLastColumn="0" w:lastRowFirstColumn="0" w:lastRowLastColumn="0"/>
        </w:trPr>
        <w:tc>
          <w:tcPr>
            <w:tcW w:w="1980" w:type="dxa"/>
          </w:tcPr>
          <w:p w14:paraId="021FFA2F" w14:textId="38C2B85D" w:rsidR="003719CD" w:rsidRPr="002A40E4" w:rsidRDefault="003719CD" w:rsidP="007D536F">
            <w:pPr>
              <w:rPr>
                <w:sz w:val="17"/>
                <w:szCs w:val="17"/>
              </w:rPr>
            </w:pPr>
            <w:r w:rsidRPr="002A40E4">
              <w:rPr>
                <w:sz w:val="17"/>
                <w:szCs w:val="17"/>
              </w:rPr>
              <w:t>Practical classification guide between transactions and other economic flows</w:t>
            </w:r>
          </w:p>
        </w:tc>
        <w:tc>
          <w:tcPr>
            <w:tcW w:w="2880" w:type="dxa"/>
          </w:tcPr>
          <w:p w14:paraId="1FCD9559" w14:textId="05E985E6" w:rsidR="003719CD" w:rsidRPr="002A40E4" w:rsidRDefault="003719CD" w:rsidP="007D536F">
            <w:pPr>
              <w:rPr>
                <w:sz w:val="17"/>
                <w:szCs w:val="17"/>
              </w:rPr>
            </w:pPr>
            <w:r w:rsidRPr="002A40E4">
              <w:rPr>
                <w:sz w:val="17"/>
                <w:szCs w:val="17"/>
              </w:rPr>
              <w:t>Classification guide</w:t>
            </w:r>
          </w:p>
        </w:tc>
        <w:tc>
          <w:tcPr>
            <w:tcW w:w="4778" w:type="dxa"/>
          </w:tcPr>
          <w:p w14:paraId="2CE73A9F" w14:textId="5459584C" w:rsidR="003719CD" w:rsidRPr="002A40E4" w:rsidRDefault="003719CD" w:rsidP="007D536F">
            <w:pPr>
              <w:rPr>
                <w:sz w:val="17"/>
                <w:szCs w:val="17"/>
              </w:rPr>
            </w:pPr>
            <w:r w:rsidRPr="002A40E4">
              <w:rPr>
                <w:sz w:val="17"/>
                <w:szCs w:val="17"/>
              </w:rPr>
              <w:t xml:space="preserve">The document provides guidance on the classification of items between transactions, OEF included in net result and OEF-OCI for presentation in the operating statement. </w:t>
            </w:r>
          </w:p>
        </w:tc>
      </w:tr>
      <w:tr w:rsidR="006A3C05" w:rsidRPr="002A40E4" w14:paraId="1965A9E3" w14:textId="77777777" w:rsidTr="00493A92">
        <w:trPr>
          <w:cnfStyle w:val="000000010000" w:firstRow="0" w:lastRow="0" w:firstColumn="0" w:lastColumn="0" w:oddVBand="0" w:evenVBand="0" w:oddHBand="0" w:evenHBand="1" w:firstRowFirstColumn="0" w:firstRowLastColumn="0" w:lastRowFirstColumn="0" w:lastRowLastColumn="0"/>
        </w:trPr>
        <w:tc>
          <w:tcPr>
            <w:tcW w:w="1980" w:type="dxa"/>
          </w:tcPr>
          <w:p w14:paraId="57760354" w14:textId="077AEF5A" w:rsidR="003719CD" w:rsidRPr="002A40E4" w:rsidRDefault="0007383E" w:rsidP="007D536F">
            <w:pPr>
              <w:rPr>
                <w:sz w:val="17"/>
                <w:szCs w:val="17"/>
              </w:rPr>
            </w:pPr>
            <w:r w:rsidRPr="002A40E4">
              <w:rPr>
                <w:sz w:val="17"/>
                <w:szCs w:val="17"/>
              </w:rPr>
              <w:t>AASB </w:t>
            </w:r>
            <w:r w:rsidR="003719CD" w:rsidRPr="002A40E4">
              <w:rPr>
                <w:sz w:val="17"/>
                <w:szCs w:val="17"/>
              </w:rPr>
              <w:t xml:space="preserve">1059 </w:t>
            </w:r>
            <w:r w:rsidR="003719CD" w:rsidRPr="002A40E4">
              <w:rPr>
                <w:i/>
                <w:iCs/>
                <w:sz w:val="17"/>
                <w:szCs w:val="17"/>
              </w:rPr>
              <w:t>Service Concession Arrangements: Grantors</w:t>
            </w:r>
            <w:r w:rsidR="003719CD" w:rsidRPr="002A40E4">
              <w:rPr>
                <w:sz w:val="17"/>
                <w:szCs w:val="17"/>
              </w:rPr>
              <w:t xml:space="preserve"> </w:t>
            </w:r>
          </w:p>
        </w:tc>
        <w:tc>
          <w:tcPr>
            <w:tcW w:w="2880" w:type="dxa"/>
          </w:tcPr>
          <w:p w14:paraId="656A87A7" w14:textId="77777777" w:rsidR="003719CD" w:rsidRPr="002A40E4" w:rsidRDefault="003719CD" w:rsidP="007D536F">
            <w:pPr>
              <w:rPr>
                <w:sz w:val="17"/>
                <w:szCs w:val="17"/>
              </w:rPr>
            </w:pPr>
            <w:r w:rsidRPr="002A40E4">
              <w:rPr>
                <w:sz w:val="17"/>
                <w:szCs w:val="17"/>
              </w:rPr>
              <w:t>Classification of Arrangements checklist</w:t>
            </w:r>
          </w:p>
        </w:tc>
        <w:tc>
          <w:tcPr>
            <w:tcW w:w="4778" w:type="dxa"/>
          </w:tcPr>
          <w:p w14:paraId="42E2FF37" w14:textId="4ACEF3B9" w:rsidR="003719CD" w:rsidRPr="002A40E4" w:rsidRDefault="003719CD" w:rsidP="007D536F">
            <w:pPr>
              <w:rPr>
                <w:sz w:val="17"/>
                <w:szCs w:val="17"/>
              </w:rPr>
            </w:pPr>
            <w:r w:rsidRPr="002A40E4">
              <w:rPr>
                <w:sz w:val="17"/>
                <w:szCs w:val="17"/>
              </w:rPr>
              <w:t xml:space="preserve">The Service Concessions guidance checklist assists with analysing whether a contract between the State and the private sector is a service concession arrangement under </w:t>
            </w:r>
            <w:r w:rsidR="0007383E" w:rsidRPr="002A40E4">
              <w:rPr>
                <w:sz w:val="17"/>
                <w:szCs w:val="17"/>
              </w:rPr>
              <w:t>AASB </w:t>
            </w:r>
            <w:r w:rsidRPr="002A40E4">
              <w:rPr>
                <w:sz w:val="17"/>
                <w:szCs w:val="17"/>
              </w:rPr>
              <w:t xml:space="preserve">1059. </w:t>
            </w:r>
          </w:p>
        </w:tc>
      </w:tr>
      <w:tr w:rsidR="00150FDD" w:rsidRPr="002A40E4" w14:paraId="63D1109E" w14:textId="77777777" w:rsidTr="00493A92">
        <w:trPr>
          <w:cnfStyle w:val="000000100000" w:firstRow="0" w:lastRow="0" w:firstColumn="0" w:lastColumn="0" w:oddVBand="0" w:evenVBand="0" w:oddHBand="1" w:evenHBand="0" w:firstRowFirstColumn="0" w:firstRowLastColumn="0" w:lastRowFirstColumn="0" w:lastRowLastColumn="0"/>
        </w:trPr>
        <w:tc>
          <w:tcPr>
            <w:tcW w:w="1980" w:type="dxa"/>
          </w:tcPr>
          <w:p w14:paraId="6C333930" w14:textId="52EBFFBC" w:rsidR="003719CD" w:rsidRPr="002A40E4" w:rsidRDefault="0007383E" w:rsidP="007D536F">
            <w:pPr>
              <w:rPr>
                <w:sz w:val="17"/>
                <w:szCs w:val="17"/>
              </w:rPr>
            </w:pPr>
            <w:r w:rsidRPr="002A40E4">
              <w:rPr>
                <w:sz w:val="17"/>
                <w:szCs w:val="17"/>
              </w:rPr>
              <w:t>AASB </w:t>
            </w:r>
            <w:r w:rsidR="003719CD" w:rsidRPr="002A40E4">
              <w:rPr>
                <w:sz w:val="17"/>
                <w:szCs w:val="17"/>
              </w:rPr>
              <w:t xml:space="preserve">9 </w:t>
            </w:r>
            <w:r w:rsidR="003719CD" w:rsidRPr="002A40E4">
              <w:rPr>
                <w:i/>
                <w:iCs/>
                <w:sz w:val="17"/>
                <w:szCs w:val="17"/>
              </w:rPr>
              <w:t>Financial Instruments</w:t>
            </w:r>
          </w:p>
        </w:tc>
        <w:tc>
          <w:tcPr>
            <w:tcW w:w="2880" w:type="dxa"/>
          </w:tcPr>
          <w:p w14:paraId="0425CA79" w14:textId="77777777" w:rsidR="003719CD" w:rsidRPr="002A40E4" w:rsidRDefault="003719CD" w:rsidP="007D536F">
            <w:pPr>
              <w:rPr>
                <w:sz w:val="17"/>
                <w:szCs w:val="17"/>
              </w:rPr>
            </w:pPr>
            <w:r w:rsidRPr="002A40E4">
              <w:rPr>
                <w:sz w:val="17"/>
                <w:szCs w:val="17"/>
              </w:rPr>
              <w:t xml:space="preserve">Guidance </w:t>
            </w:r>
          </w:p>
        </w:tc>
        <w:tc>
          <w:tcPr>
            <w:tcW w:w="4778" w:type="dxa"/>
          </w:tcPr>
          <w:p w14:paraId="38D523F4" w14:textId="2A0665C5" w:rsidR="003719CD" w:rsidRPr="002A40E4" w:rsidRDefault="003719CD" w:rsidP="007D536F">
            <w:pPr>
              <w:rPr>
                <w:sz w:val="17"/>
                <w:szCs w:val="17"/>
              </w:rPr>
            </w:pPr>
            <w:r w:rsidRPr="002A40E4">
              <w:rPr>
                <w:sz w:val="17"/>
                <w:szCs w:val="17"/>
              </w:rPr>
              <w:t xml:space="preserve">The document provides accounting guidance on </w:t>
            </w:r>
            <w:r w:rsidR="0007383E" w:rsidRPr="002A40E4">
              <w:rPr>
                <w:sz w:val="17"/>
                <w:szCs w:val="17"/>
              </w:rPr>
              <w:t>AASB </w:t>
            </w:r>
            <w:r w:rsidRPr="002A40E4">
              <w:rPr>
                <w:sz w:val="17"/>
                <w:szCs w:val="17"/>
              </w:rPr>
              <w:t>9.</w:t>
            </w:r>
          </w:p>
        </w:tc>
      </w:tr>
      <w:tr w:rsidR="006A3C05" w:rsidRPr="002A40E4" w14:paraId="640BD717" w14:textId="77777777" w:rsidTr="00493A92">
        <w:trPr>
          <w:cnfStyle w:val="000000010000" w:firstRow="0" w:lastRow="0" w:firstColumn="0" w:lastColumn="0" w:oddVBand="0" w:evenVBand="0" w:oddHBand="0" w:evenHBand="1" w:firstRowFirstColumn="0" w:firstRowLastColumn="0" w:lastRowFirstColumn="0" w:lastRowLastColumn="0"/>
        </w:trPr>
        <w:tc>
          <w:tcPr>
            <w:tcW w:w="1980" w:type="dxa"/>
          </w:tcPr>
          <w:p w14:paraId="66777A74" w14:textId="55DAFB55" w:rsidR="003719CD" w:rsidRPr="002A40E4" w:rsidRDefault="0007383E" w:rsidP="007D536F">
            <w:pPr>
              <w:rPr>
                <w:sz w:val="17"/>
                <w:szCs w:val="17"/>
              </w:rPr>
            </w:pPr>
            <w:r w:rsidRPr="002A40E4">
              <w:rPr>
                <w:sz w:val="17"/>
                <w:szCs w:val="17"/>
              </w:rPr>
              <w:t>AASB </w:t>
            </w:r>
            <w:r w:rsidR="003719CD" w:rsidRPr="002A40E4">
              <w:rPr>
                <w:sz w:val="17"/>
                <w:szCs w:val="17"/>
              </w:rPr>
              <w:t xml:space="preserve">16 </w:t>
            </w:r>
            <w:r w:rsidR="003719CD" w:rsidRPr="002A40E4">
              <w:rPr>
                <w:i/>
                <w:iCs/>
                <w:sz w:val="17"/>
                <w:szCs w:val="17"/>
              </w:rPr>
              <w:t>Leases</w:t>
            </w:r>
          </w:p>
        </w:tc>
        <w:tc>
          <w:tcPr>
            <w:tcW w:w="2880" w:type="dxa"/>
          </w:tcPr>
          <w:p w14:paraId="10A1940D" w14:textId="77777777" w:rsidR="003719CD" w:rsidRPr="002A40E4" w:rsidRDefault="003719CD" w:rsidP="007D536F">
            <w:pPr>
              <w:rPr>
                <w:sz w:val="17"/>
                <w:szCs w:val="17"/>
              </w:rPr>
            </w:pPr>
            <w:r w:rsidRPr="002A40E4">
              <w:rPr>
                <w:sz w:val="17"/>
                <w:szCs w:val="17"/>
              </w:rPr>
              <w:t>Identification of a lease checklist</w:t>
            </w:r>
          </w:p>
        </w:tc>
        <w:tc>
          <w:tcPr>
            <w:tcW w:w="4778" w:type="dxa"/>
          </w:tcPr>
          <w:p w14:paraId="21B97D62" w14:textId="77777777" w:rsidR="003719CD" w:rsidRPr="002A40E4" w:rsidRDefault="003719CD" w:rsidP="007D536F">
            <w:pPr>
              <w:rPr>
                <w:sz w:val="17"/>
                <w:szCs w:val="17"/>
              </w:rPr>
            </w:pPr>
            <w:r w:rsidRPr="002A40E4">
              <w:rPr>
                <w:sz w:val="17"/>
                <w:szCs w:val="17"/>
              </w:rPr>
              <w:t xml:space="preserve">The Leases questionnaire assists users to identify whether a contract is, or contains, a lease. </w:t>
            </w:r>
          </w:p>
        </w:tc>
      </w:tr>
      <w:tr w:rsidR="00150FDD" w:rsidRPr="002A40E4" w14:paraId="2A188CE8" w14:textId="77777777" w:rsidTr="00493A92">
        <w:trPr>
          <w:cnfStyle w:val="000000100000" w:firstRow="0" w:lastRow="0" w:firstColumn="0" w:lastColumn="0" w:oddVBand="0" w:evenVBand="0" w:oddHBand="1" w:evenHBand="0" w:firstRowFirstColumn="0" w:firstRowLastColumn="0" w:lastRowFirstColumn="0" w:lastRowLastColumn="0"/>
        </w:trPr>
        <w:tc>
          <w:tcPr>
            <w:tcW w:w="1980" w:type="dxa"/>
            <w:vMerge w:val="restart"/>
          </w:tcPr>
          <w:p w14:paraId="354779ED" w14:textId="2476CD7F" w:rsidR="003719CD" w:rsidRPr="002A40E4" w:rsidRDefault="0007383E" w:rsidP="00321079">
            <w:pPr>
              <w:keepNext/>
              <w:rPr>
                <w:sz w:val="17"/>
                <w:szCs w:val="17"/>
              </w:rPr>
            </w:pPr>
            <w:r w:rsidRPr="002A40E4">
              <w:rPr>
                <w:sz w:val="17"/>
                <w:szCs w:val="17"/>
              </w:rPr>
              <w:t>AASB </w:t>
            </w:r>
            <w:r w:rsidR="003719CD" w:rsidRPr="002A40E4">
              <w:rPr>
                <w:sz w:val="17"/>
                <w:szCs w:val="17"/>
              </w:rPr>
              <w:t xml:space="preserve">15 </w:t>
            </w:r>
            <w:r w:rsidR="003719CD" w:rsidRPr="002A40E4">
              <w:rPr>
                <w:i/>
                <w:iCs/>
                <w:sz w:val="17"/>
                <w:szCs w:val="17"/>
              </w:rPr>
              <w:t>Revenue from Contracts with Customers</w:t>
            </w:r>
          </w:p>
          <w:p w14:paraId="121D5A82" w14:textId="77777777" w:rsidR="003719CD" w:rsidRPr="002A40E4" w:rsidRDefault="003719CD" w:rsidP="007D536F">
            <w:pPr>
              <w:rPr>
                <w:sz w:val="17"/>
                <w:szCs w:val="17"/>
              </w:rPr>
            </w:pPr>
            <w:r w:rsidRPr="002A40E4">
              <w:rPr>
                <w:sz w:val="17"/>
                <w:szCs w:val="17"/>
              </w:rPr>
              <w:t xml:space="preserve">and </w:t>
            </w:r>
          </w:p>
          <w:p w14:paraId="0B25E5CD" w14:textId="2C0AAE18" w:rsidR="003719CD" w:rsidRPr="002A40E4" w:rsidRDefault="0007383E" w:rsidP="007D536F">
            <w:pPr>
              <w:rPr>
                <w:sz w:val="17"/>
                <w:szCs w:val="17"/>
              </w:rPr>
            </w:pPr>
            <w:r w:rsidRPr="002A40E4">
              <w:rPr>
                <w:sz w:val="17"/>
                <w:szCs w:val="17"/>
              </w:rPr>
              <w:t>AASB </w:t>
            </w:r>
            <w:r w:rsidR="003719CD" w:rsidRPr="002A40E4">
              <w:rPr>
                <w:sz w:val="17"/>
                <w:szCs w:val="17"/>
              </w:rPr>
              <w:t xml:space="preserve">1058 </w:t>
            </w:r>
            <w:r w:rsidR="003719CD" w:rsidRPr="002A40E4">
              <w:rPr>
                <w:i/>
                <w:iCs/>
                <w:sz w:val="17"/>
                <w:szCs w:val="17"/>
              </w:rPr>
              <w:t>Income of not-for-profit entities</w:t>
            </w:r>
            <w:r w:rsidR="003719CD" w:rsidRPr="002A40E4">
              <w:rPr>
                <w:sz w:val="17"/>
                <w:szCs w:val="17"/>
              </w:rPr>
              <w:t xml:space="preserve"> </w:t>
            </w:r>
          </w:p>
        </w:tc>
        <w:tc>
          <w:tcPr>
            <w:tcW w:w="2880" w:type="dxa"/>
          </w:tcPr>
          <w:p w14:paraId="47EDA245" w14:textId="7CA92131" w:rsidR="003719CD" w:rsidRPr="002A40E4" w:rsidRDefault="0007383E" w:rsidP="007D536F">
            <w:pPr>
              <w:rPr>
                <w:sz w:val="17"/>
                <w:szCs w:val="17"/>
              </w:rPr>
            </w:pPr>
            <w:r w:rsidRPr="002A40E4">
              <w:rPr>
                <w:sz w:val="17"/>
                <w:szCs w:val="17"/>
              </w:rPr>
              <w:t>AASB </w:t>
            </w:r>
            <w:r w:rsidR="003719CD" w:rsidRPr="002A40E4">
              <w:rPr>
                <w:sz w:val="17"/>
                <w:szCs w:val="17"/>
              </w:rPr>
              <w:t xml:space="preserve">15 </w:t>
            </w:r>
            <w:r w:rsidR="003719CD" w:rsidRPr="002A40E4">
              <w:rPr>
                <w:i/>
                <w:iCs/>
                <w:sz w:val="17"/>
                <w:szCs w:val="17"/>
              </w:rPr>
              <w:t>Revenue from contract with customers</w:t>
            </w:r>
            <w:r w:rsidR="003719CD" w:rsidRPr="002A40E4">
              <w:rPr>
                <w:sz w:val="17"/>
                <w:szCs w:val="17"/>
              </w:rPr>
              <w:t xml:space="preserve"> and </w:t>
            </w:r>
            <w:r w:rsidRPr="002A40E4">
              <w:rPr>
                <w:sz w:val="17"/>
                <w:szCs w:val="17"/>
              </w:rPr>
              <w:t>AASB </w:t>
            </w:r>
            <w:r w:rsidR="003719CD" w:rsidRPr="002A40E4">
              <w:rPr>
                <w:sz w:val="17"/>
                <w:szCs w:val="17"/>
              </w:rPr>
              <w:t xml:space="preserve">1058 </w:t>
            </w:r>
            <w:r w:rsidR="003719CD" w:rsidRPr="002A40E4">
              <w:rPr>
                <w:i/>
                <w:iCs/>
                <w:sz w:val="17"/>
                <w:szCs w:val="17"/>
              </w:rPr>
              <w:t xml:space="preserve">Income of Not-for-Profit entities – </w:t>
            </w:r>
            <w:r w:rsidR="003719CD" w:rsidRPr="002A40E4">
              <w:rPr>
                <w:sz w:val="17"/>
                <w:szCs w:val="17"/>
              </w:rPr>
              <w:t>assessment checklist</w:t>
            </w:r>
          </w:p>
        </w:tc>
        <w:tc>
          <w:tcPr>
            <w:tcW w:w="4778" w:type="dxa"/>
          </w:tcPr>
          <w:p w14:paraId="0276FEC5" w14:textId="3D2326F9" w:rsidR="003719CD" w:rsidRPr="002A40E4" w:rsidRDefault="003719CD" w:rsidP="007D536F">
            <w:pPr>
              <w:rPr>
                <w:sz w:val="17"/>
                <w:szCs w:val="17"/>
              </w:rPr>
            </w:pPr>
            <w:r w:rsidRPr="002A40E4">
              <w:rPr>
                <w:sz w:val="17"/>
                <w:szCs w:val="17"/>
              </w:rPr>
              <w:t xml:space="preserve">The document provides accounting guidance on </w:t>
            </w:r>
            <w:r w:rsidR="0007383E" w:rsidRPr="002A40E4">
              <w:rPr>
                <w:sz w:val="17"/>
                <w:szCs w:val="17"/>
              </w:rPr>
              <w:t>AASB </w:t>
            </w:r>
            <w:r w:rsidRPr="002A40E4">
              <w:rPr>
                <w:sz w:val="17"/>
                <w:szCs w:val="17"/>
              </w:rPr>
              <w:t xml:space="preserve">15 and </w:t>
            </w:r>
            <w:r w:rsidR="0007383E" w:rsidRPr="002A40E4">
              <w:rPr>
                <w:sz w:val="17"/>
                <w:szCs w:val="17"/>
              </w:rPr>
              <w:t>AASB </w:t>
            </w:r>
            <w:r w:rsidRPr="002A40E4">
              <w:rPr>
                <w:sz w:val="17"/>
                <w:szCs w:val="17"/>
              </w:rPr>
              <w:t>1058.</w:t>
            </w:r>
          </w:p>
        </w:tc>
      </w:tr>
      <w:tr w:rsidR="00150FDD" w:rsidRPr="002A40E4" w14:paraId="3E3A2E34" w14:textId="77777777" w:rsidTr="00E51206">
        <w:trPr>
          <w:cnfStyle w:val="000000010000" w:firstRow="0" w:lastRow="0" w:firstColumn="0" w:lastColumn="0" w:oddVBand="0" w:evenVBand="0" w:oddHBand="0" w:evenHBand="1" w:firstRowFirstColumn="0" w:firstRowLastColumn="0" w:lastRowFirstColumn="0" w:lastRowLastColumn="0"/>
        </w:trPr>
        <w:tc>
          <w:tcPr>
            <w:tcW w:w="0" w:type="dxa"/>
            <w:vMerge/>
          </w:tcPr>
          <w:p w14:paraId="0AE262C0" w14:textId="77777777" w:rsidR="003719CD" w:rsidRPr="002A40E4" w:rsidRDefault="003719CD" w:rsidP="007D536F">
            <w:pPr>
              <w:rPr>
                <w:sz w:val="17"/>
                <w:szCs w:val="17"/>
              </w:rPr>
            </w:pPr>
          </w:p>
        </w:tc>
        <w:tc>
          <w:tcPr>
            <w:tcW w:w="0" w:type="dxa"/>
          </w:tcPr>
          <w:p w14:paraId="29F3084A" w14:textId="3965AD9D" w:rsidR="003719CD" w:rsidRPr="002A40E4" w:rsidRDefault="0007383E" w:rsidP="007D536F">
            <w:pPr>
              <w:rPr>
                <w:sz w:val="17"/>
                <w:szCs w:val="17"/>
              </w:rPr>
            </w:pPr>
            <w:r w:rsidRPr="002A40E4">
              <w:rPr>
                <w:sz w:val="17"/>
                <w:szCs w:val="17"/>
              </w:rPr>
              <w:t>AASB </w:t>
            </w:r>
            <w:r w:rsidR="003719CD" w:rsidRPr="002A40E4">
              <w:rPr>
                <w:sz w:val="17"/>
                <w:szCs w:val="17"/>
              </w:rPr>
              <w:t>15 Enforceability checklist</w:t>
            </w:r>
          </w:p>
        </w:tc>
        <w:tc>
          <w:tcPr>
            <w:tcW w:w="0" w:type="dxa"/>
          </w:tcPr>
          <w:p w14:paraId="6B91BC9F" w14:textId="114D2265" w:rsidR="003719CD" w:rsidRPr="002A40E4" w:rsidRDefault="003719CD" w:rsidP="007D536F">
            <w:pPr>
              <w:rPr>
                <w:sz w:val="17"/>
                <w:szCs w:val="17"/>
              </w:rPr>
            </w:pPr>
            <w:r w:rsidRPr="002A40E4">
              <w:rPr>
                <w:sz w:val="17"/>
                <w:szCs w:val="17"/>
              </w:rPr>
              <w:t xml:space="preserve">For revenue to be recognised under </w:t>
            </w:r>
            <w:r w:rsidR="0007383E" w:rsidRPr="002A40E4">
              <w:rPr>
                <w:sz w:val="17"/>
                <w:szCs w:val="17"/>
              </w:rPr>
              <w:t>AASB </w:t>
            </w:r>
            <w:r w:rsidRPr="002A40E4">
              <w:rPr>
                <w:sz w:val="17"/>
                <w:szCs w:val="17"/>
              </w:rPr>
              <w:t xml:space="preserve">15, the contract must be ‘enforceable’ and contain ‘sufficiently specific performance </w:t>
            </w:r>
            <w:proofErr w:type="gramStart"/>
            <w:r w:rsidRPr="002A40E4">
              <w:rPr>
                <w:sz w:val="17"/>
                <w:szCs w:val="17"/>
              </w:rPr>
              <w:t>obligations’</w:t>
            </w:r>
            <w:proofErr w:type="gramEnd"/>
            <w:r w:rsidRPr="002A40E4">
              <w:rPr>
                <w:sz w:val="17"/>
                <w:szCs w:val="17"/>
              </w:rPr>
              <w:t xml:space="preserve">. </w:t>
            </w:r>
          </w:p>
          <w:p w14:paraId="50FE1360" w14:textId="77777777" w:rsidR="003719CD" w:rsidRPr="002A40E4" w:rsidRDefault="003719CD" w:rsidP="007D536F">
            <w:pPr>
              <w:rPr>
                <w:sz w:val="17"/>
                <w:szCs w:val="17"/>
              </w:rPr>
            </w:pPr>
            <w:r w:rsidRPr="002A40E4">
              <w:rPr>
                <w:sz w:val="17"/>
                <w:szCs w:val="17"/>
              </w:rPr>
              <w:t xml:space="preserve">The checklist assists users to identify whether a contract is enforceable. </w:t>
            </w:r>
          </w:p>
        </w:tc>
      </w:tr>
      <w:tr w:rsidR="00150FDD" w:rsidRPr="002A40E4" w14:paraId="00B80054" w14:textId="77777777" w:rsidTr="00E51206">
        <w:trPr>
          <w:cnfStyle w:val="000000100000" w:firstRow="0" w:lastRow="0" w:firstColumn="0" w:lastColumn="0" w:oddVBand="0" w:evenVBand="0" w:oddHBand="1" w:evenHBand="0" w:firstRowFirstColumn="0" w:firstRowLastColumn="0" w:lastRowFirstColumn="0" w:lastRowLastColumn="0"/>
        </w:trPr>
        <w:tc>
          <w:tcPr>
            <w:tcW w:w="0" w:type="dxa"/>
            <w:vMerge/>
          </w:tcPr>
          <w:p w14:paraId="590B630C" w14:textId="77777777" w:rsidR="003719CD" w:rsidRPr="002A40E4" w:rsidRDefault="003719CD" w:rsidP="007D536F">
            <w:pPr>
              <w:rPr>
                <w:sz w:val="17"/>
                <w:szCs w:val="17"/>
              </w:rPr>
            </w:pPr>
          </w:p>
        </w:tc>
        <w:tc>
          <w:tcPr>
            <w:tcW w:w="0" w:type="dxa"/>
          </w:tcPr>
          <w:p w14:paraId="24E39B41" w14:textId="7EF64CC0" w:rsidR="003719CD" w:rsidRPr="002A40E4" w:rsidRDefault="0007383E" w:rsidP="007D536F">
            <w:pPr>
              <w:rPr>
                <w:sz w:val="17"/>
                <w:szCs w:val="17"/>
              </w:rPr>
            </w:pPr>
            <w:r w:rsidRPr="002A40E4">
              <w:rPr>
                <w:sz w:val="17"/>
                <w:szCs w:val="17"/>
              </w:rPr>
              <w:t>AASB </w:t>
            </w:r>
            <w:r w:rsidR="003719CD" w:rsidRPr="002A40E4">
              <w:rPr>
                <w:sz w:val="17"/>
                <w:szCs w:val="17"/>
              </w:rPr>
              <w:t>15 Sufficiently specific performance obligations checklist</w:t>
            </w:r>
          </w:p>
        </w:tc>
        <w:tc>
          <w:tcPr>
            <w:tcW w:w="0" w:type="dxa"/>
          </w:tcPr>
          <w:p w14:paraId="6C7FDFC2" w14:textId="77777777" w:rsidR="003719CD" w:rsidRPr="002A40E4" w:rsidRDefault="003719CD" w:rsidP="007D536F">
            <w:pPr>
              <w:rPr>
                <w:sz w:val="17"/>
                <w:szCs w:val="17"/>
              </w:rPr>
            </w:pPr>
            <w:r w:rsidRPr="002A40E4">
              <w:rPr>
                <w:sz w:val="17"/>
                <w:szCs w:val="17"/>
              </w:rPr>
              <w:t>The checklist assists users to identify whether a contract has sufficiently specific performance obligations.</w:t>
            </w:r>
          </w:p>
        </w:tc>
      </w:tr>
      <w:tr w:rsidR="00150FDD" w:rsidRPr="002A40E4" w14:paraId="4B591C24" w14:textId="77777777" w:rsidTr="00E51206">
        <w:trPr>
          <w:cnfStyle w:val="000000010000" w:firstRow="0" w:lastRow="0" w:firstColumn="0" w:lastColumn="0" w:oddVBand="0" w:evenVBand="0" w:oddHBand="0" w:evenHBand="1" w:firstRowFirstColumn="0" w:firstRowLastColumn="0" w:lastRowFirstColumn="0" w:lastRowLastColumn="0"/>
        </w:trPr>
        <w:tc>
          <w:tcPr>
            <w:tcW w:w="0" w:type="dxa"/>
            <w:vMerge/>
          </w:tcPr>
          <w:p w14:paraId="2DF14AE4" w14:textId="77777777" w:rsidR="003719CD" w:rsidRPr="002A40E4" w:rsidRDefault="003719CD" w:rsidP="007D536F">
            <w:pPr>
              <w:rPr>
                <w:sz w:val="17"/>
                <w:szCs w:val="17"/>
              </w:rPr>
            </w:pPr>
          </w:p>
        </w:tc>
        <w:tc>
          <w:tcPr>
            <w:tcW w:w="0" w:type="dxa"/>
          </w:tcPr>
          <w:p w14:paraId="1CD2E566" w14:textId="1F1B6CD3" w:rsidR="003719CD" w:rsidRPr="002A40E4" w:rsidRDefault="0007383E" w:rsidP="007D536F">
            <w:pPr>
              <w:rPr>
                <w:sz w:val="17"/>
                <w:szCs w:val="17"/>
              </w:rPr>
            </w:pPr>
            <w:r w:rsidRPr="002A40E4">
              <w:rPr>
                <w:sz w:val="17"/>
                <w:szCs w:val="17"/>
              </w:rPr>
              <w:t>AASB </w:t>
            </w:r>
            <w:r w:rsidR="003719CD" w:rsidRPr="002A40E4">
              <w:rPr>
                <w:sz w:val="17"/>
                <w:szCs w:val="17"/>
              </w:rPr>
              <w:t>1058 Accounting for volunteer services checklist</w:t>
            </w:r>
          </w:p>
        </w:tc>
        <w:tc>
          <w:tcPr>
            <w:tcW w:w="0" w:type="dxa"/>
          </w:tcPr>
          <w:p w14:paraId="61B72D7E" w14:textId="77777777" w:rsidR="003719CD" w:rsidRPr="002A40E4" w:rsidRDefault="003719CD" w:rsidP="007D536F">
            <w:pPr>
              <w:rPr>
                <w:sz w:val="17"/>
                <w:szCs w:val="17"/>
              </w:rPr>
            </w:pPr>
            <w:r w:rsidRPr="002A40E4">
              <w:rPr>
                <w:sz w:val="17"/>
                <w:szCs w:val="17"/>
              </w:rPr>
              <w:t xml:space="preserve">Entities are required to assess their specific circumstances and use the checklist to help determine if they meet the requirements to recognise volunteer services. </w:t>
            </w:r>
          </w:p>
        </w:tc>
      </w:tr>
    </w:tbl>
    <w:p w14:paraId="53D4FEFD" w14:textId="77777777" w:rsidR="00D54977" w:rsidRDefault="00D54977" w:rsidP="00DC39DE"/>
    <w:p w14:paraId="229CA438" w14:textId="77777777" w:rsidR="00EE6B15" w:rsidRDefault="00EE6B15" w:rsidP="00DC39DE"/>
    <w:p w14:paraId="6CA4269F" w14:textId="0CD746FC" w:rsidR="00367D84" w:rsidRDefault="00EE6B15" w:rsidP="00DC39DE">
      <w:r>
        <w:t xml:space="preserve">The </w:t>
      </w:r>
      <w:r w:rsidR="003719CD">
        <w:t xml:space="preserve">supporting documents for </w:t>
      </w:r>
      <w:r w:rsidR="0007383E">
        <w:t>AASB </w:t>
      </w:r>
      <w:r w:rsidR="003719CD">
        <w:t xml:space="preserve">124 </w:t>
      </w:r>
      <w:r w:rsidR="003719CD" w:rsidRPr="004E2022">
        <w:rPr>
          <w:i/>
          <w:iCs/>
        </w:rPr>
        <w:t>Related Party Disclosures</w:t>
      </w:r>
      <w:r w:rsidR="003719CD">
        <w:t xml:space="preserve"> are available at</w:t>
      </w:r>
      <w:r w:rsidR="00194140">
        <w:t>:</w:t>
      </w:r>
      <w:r w:rsidR="003719CD">
        <w:t xml:space="preserve"> </w:t>
      </w:r>
      <w:hyperlink r:id="rId127" w:history="1">
        <w:r w:rsidR="003719CD" w:rsidRPr="001C135E">
          <w:rPr>
            <w:rStyle w:val="Hyperlink"/>
          </w:rPr>
          <w:t>www.</w:t>
        </w:r>
        <w:bookmarkStart w:id="10938" w:name="_Hlt96091624"/>
        <w:r w:rsidR="003719CD" w:rsidRPr="001C135E">
          <w:rPr>
            <w:rStyle w:val="Hyperlink"/>
          </w:rPr>
          <w:t>d</w:t>
        </w:r>
        <w:bookmarkEnd w:id="10938"/>
        <w:r w:rsidR="003719CD" w:rsidRPr="001C135E">
          <w:rPr>
            <w:rStyle w:val="Hyperlink"/>
          </w:rPr>
          <w:t>tf.vic.gov.au/financial-reporting-policy/aasb-124-related-party-disclosures</w:t>
        </w:r>
      </w:hyperlink>
      <w:r w:rsidR="003719CD">
        <w:t>.</w:t>
      </w:r>
    </w:p>
    <w:tbl>
      <w:tblPr>
        <w:tblStyle w:val="DTFTextTable"/>
        <w:tblW w:w="0" w:type="auto"/>
        <w:tblLook w:val="0420" w:firstRow="1" w:lastRow="0" w:firstColumn="0" w:lastColumn="0" w:noHBand="0" w:noVBand="1"/>
      </w:tblPr>
      <w:tblGrid>
        <w:gridCol w:w="1980"/>
        <w:gridCol w:w="2880"/>
        <w:gridCol w:w="4659"/>
      </w:tblGrid>
      <w:tr w:rsidR="003719CD" w:rsidRPr="002A40E4" w14:paraId="43D5BD94" w14:textId="77777777" w:rsidTr="002A40E4">
        <w:trPr>
          <w:cnfStyle w:val="100000000000" w:firstRow="1" w:lastRow="0" w:firstColumn="0" w:lastColumn="0" w:oddVBand="0" w:evenVBand="0" w:oddHBand="0" w:evenHBand="0" w:firstRowFirstColumn="0" w:firstRowLastColumn="0" w:lastRowFirstColumn="0" w:lastRowLastColumn="0"/>
        </w:trPr>
        <w:tc>
          <w:tcPr>
            <w:tcW w:w="1980" w:type="dxa"/>
          </w:tcPr>
          <w:p w14:paraId="14BE921A" w14:textId="77777777" w:rsidR="003719CD" w:rsidRPr="002A40E4" w:rsidRDefault="003719CD" w:rsidP="007D536F">
            <w:pPr>
              <w:rPr>
                <w:sz w:val="17"/>
                <w:szCs w:val="17"/>
              </w:rPr>
            </w:pPr>
            <w:r w:rsidRPr="002A40E4">
              <w:rPr>
                <w:sz w:val="17"/>
                <w:szCs w:val="17"/>
              </w:rPr>
              <w:t>Accounting standard</w:t>
            </w:r>
          </w:p>
        </w:tc>
        <w:tc>
          <w:tcPr>
            <w:tcW w:w="2880" w:type="dxa"/>
          </w:tcPr>
          <w:p w14:paraId="6DF7B281" w14:textId="77777777" w:rsidR="003719CD" w:rsidRPr="002A40E4" w:rsidRDefault="003719CD" w:rsidP="007D536F">
            <w:pPr>
              <w:rPr>
                <w:sz w:val="17"/>
                <w:szCs w:val="17"/>
              </w:rPr>
            </w:pPr>
            <w:r w:rsidRPr="002A40E4">
              <w:rPr>
                <w:sz w:val="17"/>
                <w:szCs w:val="17"/>
              </w:rPr>
              <w:t>Title of the document</w:t>
            </w:r>
          </w:p>
        </w:tc>
        <w:tc>
          <w:tcPr>
            <w:tcW w:w="4659" w:type="dxa"/>
          </w:tcPr>
          <w:p w14:paraId="5287EE81" w14:textId="77777777" w:rsidR="003719CD" w:rsidRPr="002A40E4" w:rsidRDefault="003719CD" w:rsidP="007D536F">
            <w:pPr>
              <w:rPr>
                <w:sz w:val="17"/>
                <w:szCs w:val="17"/>
              </w:rPr>
            </w:pPr>
            <w:r w:rsidRPr="002A40E4">
              <w:rPr>
                <w:sz w:val="17"/>
                <w:szCs w:val="17"/>
              </w:rPr>
              <w:t>Summary</w:t>
            </w:r>
          </w:p>
        </w:tc>
      </w:tr>
      <w:tr w:rsidR="003719CD" w:rsidRPr="002A40E4" w14:paraId="601E6007" w14:textId="77777777" w:rsidTr="002A40E4">
        <w:trPr>
          <w:cnfStyle w:val="000000100000" w:firstRow="0" w:lastRow="0" w:firstColumn="0" w:lastColumn="0" w:oddVBand="0" w:evenVBand="0" w:oddHBand="1" w:evenHBand="0" w:firstRowFirstColumn="0" w:firstRowLastColumn="0" w:lastRowFirstColumn="0" w:lastRowLastColumn="0"/>
        </w:trPr>
        <w:tc>
          <w:tcPr>
            <w:tcW w:w="1980" w:type="dxa"/>
          </w:tcPr>
          <w:p w14:paraId="79D6B420" w14:textId="11D5075F" w:rsidR="003719CD" w:rsidRPr="002A40E4" w:rsidRDefault="0007383E" w:rsidP="007D536F">
            <w:pPr>
              <w:rPr>
                <w:sz w:val="17"/>
                <w:szCs w:val="17"/>
              </w:rPr>
            </w:pPr>
            <w:r w:rsidRPr="002A40E4">
              <w:rPr>
                <w:sz w:val="17"/>
                <w:szCs w:val="17"/>
              </w:rPr>
              <w:t>AASB </w:t>
            </w:r>
            <w:r w:rsidR="003719CD" w:rsidRPr="002A40E4">
              <w:rPr>
                <w:sz w:val="17"/>
                <w:szCs w:val="17"/>
              </w:rPr>
              <w:t xml:space="preserve">124 </w:t>
            </w:r>
            <w:r w:rsidR="003719CD" w:rsidRPr="002A40E4">
              <w:rPr>
                <w:i/>
                <w:iCs/>
                <w:sz w:val="17"/>
                <w:szCs w:val="17"/>
              </w:rPr>
              <w:t>Related Party Disclosures</w:t>
            </w:r>
          </w:p>
        </w:tc>
        <w:tc>
          <w:tcPr>
            <w:tcW w:w="2880" w:type="dxa"/>
          </w:tcPr>
          <w:p w14:paraId="3CC915E7" w14:textId="6D558DCB" w:rsidR="003719CD" w:rsidRPr="002A40E4" w:rsidRDefault="003719CD" w:rsidP="007D536F">
            <w:pPr>
              <w:rPr>
                <w:sz w:val="17"/>
                <w:szCs w:val="17"/>
              </w:rPr>
            </w:pPr>
            <w:r w:rsidRPr="002A40E4">
              <w:rPr>
                <w:sz w:val="17"/>
                <w:szCs w:val="17"/>
              </w:rPr>
              <w:t xml:space="preserve">Declaration certificate for executives </w:t>
            </w:r>
          </w:p>
        </w:tc>
        <w:tc>
          <w:tcPr>
            <w:tcW w:w="4659" w:type="dxa"/>
          </w:tcPr>
          <w:p w14:paraId="095A1683" w14:textId="601D4433" w:rsidR="003719CD" w:rsidRPr="002A40E4" w:rsidDel="00EB0E17" w:rsidRDefault="003719CD" w:rsidP="007D536F">
            <w:pPr>
              <w:rPr>
                <w:sz w:val="17"/>
                <w:szCs w:val="17"/>
              </w:rPr>
            </w:pPr>
            <w:r w:rsidRPr="002A40E4">
              <w:rPr>
                <w:sz w:val="17"/>
                <w:szCs w:val="17"/>
              </w:rPr>
              <w:t xml:space="preserve">The document supports preparers’ due diligence processes in the preparation of the related party disclosures under </w:t>
            </w:r>
            <w:r w:rsidR="0007383E" w:rsidRPr="002A40E4">
              <w:rPr>
                <w:sz w:val="17"/>
                <w:szCs w:val="17"/>
              </w:rPr>
              <w:t>AASB </w:t>
            </w:r>
            <w:r w:rsidRPr="002A40E4">
              <w:rPr>
                <w:sz w:val="17"/>
                <w:szCs w:val="17"/>
              </w:rPr>
              <w:t>124.</w:t>
            </w:r>
          </w:p>
        </w:tc>
      </w:tr>
      <w:tr w:rsidR="003719CD" w:rsidRPr="002A40E4" w14:paraId="49D3816A" w14:textId="77777777" w:rsidTr="002A40E4">
        <w:trPr>
          <w:cnfStyle w:val="000000010000" w:firstRow="0" w:lastRow="0" w:firstColumn="0" w:lastColumn="0" w:oddVBand="0" w:evenVBand="0" w:oddHBand="0" w:evenHBand="1" w:firstRowFirstColumn="0" w:firstRowLastColumn="0" w:lastRowFirstColumn="0" w:lastRowLastColumn="0"/>
        </w:trPr>
        <w:tc>
          <w:tcPr>
            <w:tcW w:w="1980" w:type="dxa"/>
          </w:tcPr>
          <w:p w14:paraId="0856CE7A" w14:textId="4EB6408C" w:rsidR="003719CD" w:rsidRPr="002A40E4" w:rsidRDefault="0007383E" w:rsidP="007D536F">
            <w:pPr>
              <w:rPr>
                <w:sz w:val="17"/>
                <w:szCs w:val="17"/>
              </w:rPr>
            </w:pPr>
            <w:r w:rsidRPr="002A40E4">
              <w:rPr>
                <w:sz w:val="17"/>
                <w:szCs w:val="17"/>
              </w:rPr>
              <w:t>AASB </w:t>
            </w:r>
            <w:r w:rsidR="003719CD" w:rsidRPr="002A40E4">
              <w:rPr>
                <w:sz w:val="17"/>
                <w:szCs w:val="17"/>
              </w:rPr>
              <w:t xml:space="preserve">124 </w:t>
            </w:r>
            <w:r w:rsidR="003719CD" w:rsidRPr="002A40E4">
              <w:rPr>
                <w:i/>
                <w:iCs/>
                <w:sz w:val="17"/>
                <w:szCs w:val="17"/>
              </w:rPr>
              <w:t>Related Party Disclosures</w:t>
            </w:r>
          </w:p>
        </w:tc>
        <w:tc>
          <w:tcPr>
            <w:tcW w:w="2880" w:type="dxa"/>
          </w:tcPr>
          <w:p w14:paraId="053BE14F" w14:textId="169B04B1" w:rsidR="003719CD" w:rsidRPr="002A40E4" w:rsidRDefault="0007383E" w:rsidP="007D536F">
            <w:pPr>
              <w:rPr>
                <w:sz w:val="17"/>
                <w:szCs w:val="17"/>
              </w:rPr>
            </w:pPr>
            <w:r w:rsidRPr="002A40E4">
              <w:rPr>
                <w:sz w:val="17"/>
                <w:szCs w:val="17"/>
              </w:rPr>
              <w:t>AASB </w:t>
            </w:r>
            <w:r w:rsidR="003719CD" w:rsidRPr="002A40E4">
              <w:rPr>
                <w:sz w:val="17"/>
                <w:szCs w:val="17"/>
              </w:rPr>
              <w:t xml:space="preserve">124 </w:t>
            </w:r>
            <w:r w:rsidR="003719CD" w:rsidRPr="002A40E4">
              <w:rPr>
                <w:i/>
                <w:iCs/>
                <w:sz w:val="17"/>
                <w:szCs w:val="17"/>
              </w:rPr>
              <w:t>Related Party Disclosures</w:t>
            </w:r>
            <w:r w:rsidR="003719CD" w:rsidRPr="002A40E4">
              <w:rPr>
                <w:sz w:val="17"/>
                <w:szCs w:val="17"/>
              </w:rPr>
              <w:t xml:space="preserve"> – entity management checklist</w:t>
            </w:r>
          </w:p>
        </w:tc>
        <w:tc>
          <w:tcPr>
            <w:tcW w:w="4659" w:type="dxa"/>
          </w:tcPr>
          <w:p w14:paraId="653F5602" w14:textId="401A48A0" w:rsidR="003719CD" w:rsidRPr="002A40E4" w:rsidRDefault="003719CD" w:rsidP="007D536F">
            <w:pPr>
              <w:rPr>
                <w:sz w:val="17"/>
                <w:szCs w:val="17"/>
              </w:rPr>
            </w:pPr>
            <w:r w:rsidRPr="002A40E4">
              <w:rPr>
                <w:sz w:val="17"/>
                <w:szCs w:val="17"/>
              </w:rPr>
              <w:t>The document supports preparers in the preparation of the remuneration disclosures in the financial statements</w:t>
            </w:r>
            <w:r w:rsidR="00493A92" w:rsidRPr="002A40E4">
              <w:rPr>
                <w:sz w:val="17"/>
                <w:szCs w:val="17"/>
              </w:rPr>
              <w:t xml:space="preserve">. </w:t>
            </w:r>
          </w:p>
        </w:tc>
      </w:tr>
    </w:tbl>
    <w:p w14:paraId="3A187AB9" w14:textId="77777777" w:rsidR="00A70247" w:rsidRPr="00FC3D49" w:rsidRDefault="00A70247" w:rsidP="00563483"/>
    <w:p w14:paraId="50B23333" w14:textId="77777777" w:rsidR="00907B3D" w:rsidRDefault="00907B3D">
      <w:pPr>
        <w:keepLines w:val="0"/>
        <w:rPr>
          <w:rFonts w:asciiTheme="majorHAnsi" w:eastAsiaTheme="majorEastAsia" w:hAnsiTheme="majorHAnsi" w:cstheme="majorBidi"/>
          <w:b/>
          <w:caps/>
          <w:sz w:val="32"/>
          <w:szCs w:val="32"/>
        </w:rPr>
      </w:pPr>
      <w:r>
        <w:br w:type="page"/>
      </w:r>
    </w:p>
    <w:p w14:paraId="7B9ABBF6" w14:textId="062D9D62" w:rsidR="005659C6" w:rsidRPr="004263DC" w:rsidRDefault="005659C6" w:rsidP="00701CFB">
      <w:pPr>
        <w:pStyle w:val="Heading1"/>
      </w:pPr>
      <w:bookmarkStart w:id="10939" w:name="Appendix_2"/>
      <w:bookmarkStart w:id="10940" w:name="_Toc179816797"/>
      <w:bookmarkStart w:id="10941" w:name="_Toc179822497"/>
      <w:bookmarkStart w:id="10942" w:name="_Toc179828197"/>
      <w:bookmarkStart w:id="10943" w:name="_Toc179833832"/>
      <w:bookmarkStart w:id="10944" w:name="_Toc179865362"/>
      <w:bookmarkStart w:id="10945" w:name="_Toc179871463"/>
      <w:bookmarkStart w:id="10946" w:name="_Toc179875856"/>
      <w:bookmarkStart w:id="10947" w:name="_Toc179880249"/>
      <w:bookmarkStart w:id="10948" w:name="_Toc179880285"/>
      <w:bookmarkStart w:id="10949" w:name="_Toc179880342"/>
      <w:r>
        <w:t xml:space="preserve">APPENDIX </w:t>
      </w:r>
      <w:r w:rsidR="000B3E87">
        <w:t>2</w:t>
      </w:r>
      <w:bookmarkEnd w:id="10939"/>
      <w:r>
        <w:t>:</w:t>
      </w:r>
      <w:r w:rsidR="00590421">
        <w:t xml:space="preserve"> </w:t>
      </w:r>
      <w:r w:rsidR="004263DC" w:rsidRPr="002A0038">
        <w:t>Non-routine</w:t>
      </w:r>
      <w:r w:rsidRPr="005659C6">
        <w:t xml:space="preserve"> transactions not covered by the </w:t>
      </w:r>
      <w:r w:rsidR="0007383E">
        <w:t>Tier </w:t>
      </w:r>
      <w:r w:rsidRPr="005659C6">
        <w:t>2 Model and ass</w:t>
      </w:r>
      <w:r w:rsidR="00947638">
        <w:t>OCI</w:t>
      </w:r>
      <w:r w:rsidRPr="005659C6">
        <w:t>ated disclosure requirements</w:t>
      </w:r>
      <w:bookmarkEnd w:id="10940"/>
      <w:bookmarkEnd w:id="10941"/>
      <w:bookmarkEnd w:id="10942"/>
      <w:bookmarkEnd w:id="10943"/>
      <w:bookmarkEnd w:id="10944"/>
      <w:bookmarkEnd w:id="10945"/>
      <w:bookmarkEnd w:id="10946"/>
      <w:bookmarkEnd w:id="10947"/>
      <w:bookmarkEnd w:id="10948"/>
      <w:bookmarkEnd w:id="10949"/>
      <w:r w:rsidR="00DB4760">
        <w:t xml:space="preserve"> </w:t>
      </w:r>
      <w:r w:rsidR="007F203E" w:rsidRPr="00E51206">
        <w:rPr>
          <w:color w:val="C00000"/>
          <w:sz w:val="20"/>
          <w:szCs w:val="20"/>
        </w:rPr>
        <w:t>[REVISED]</w:t>
      </w:r>
    </w:p>
    <w:tbl>
      <w:tblPr>
        <w:tblStyle w:val="DTFTextTable"/>
        <w:tblW w:w="0" w:type="auto"/>
        <w:tblLook w:val="0420" w:firstRow="1" w:lastRow="0" w:firstColumn="0" w:lastColumn="0" w:noHBand="0" w:noVBand="1"/>
      </w:tblPr>
      <w:tblGrid>
        <w:gridCol w:w="4751"/>
        <w:gridCol w:w="1548"/>
        <w:gridCol w:w="3331"/>
      </w:tblGrid>
      <w:tr w:rsidR="008C5600" w:rsidRPr="00FE69B4" w14:paraId="28A6D7A3" w14:textId="77777777" w:rsidTr="00E51206">
        <w:trPr>
          <w:cnfStyle w:val="100000000000" w:firstRow="1" w:lastRow="0" w:firstColumn="0" w:lastColumn="0" w:oddVBand="0" w:evenVBand="0" w:oddHBand="0" w:evenHBand="0" w:firstRowFirstColumn="0" w:firstRowLastColumn="0" w:lastRowFirstColumn="0" w:lastRowLastColumn="0"/>
        </w:trPr>
        <w:tc>
          <w:tcPr>
            <w:tcW w:w="4751" w:type="dxa"/>
          </w:tcPr>
          <w:p w14:paraId="3D9B057C" w14:textId="40F3F679" w:rsidR="008C5600" w:rsidRPr="00FE69B4" w:rsidRDefault="007B52B6">
            <w:r>
              <w:rPr>
                <w:rFonts w:hint="eastAsia"/>
                <w:lang w:eastAsia="zh-CN"/>
              </w:rPr>
              <w:t>Transactions/Items</w:t>
            </w:r>
          </w:p>
        </w:tc>
        <w:tc>
          <w:tcPr>
            <w:tcW w:w="1548" w:type="dxa"/>
          </w:tcPr>
          <w:p w14:paraId="7F2E450D" w14:textId="27C19A20" w:rsidR="008C5600" w:rsidRPr="00FE69B4" w:rsidRDefault="0007383E">
            <w:r>
              <w:rPr>
                <w:rFonts w:hint="eastAsia"/>
                <w:lang w:eastAsia="zh-CN"/>
              </w:rPr>
              <w:t>Tier</w:t>
            </w:r>
            <w:r>
              <w:rPr>
                <w:lang w:eastAsia="zh-CN"/>
              </w:rPr>
              <w:t> </w:t>
            </w:r>
            <w:r w:rsidR="007B52B6">
              <w:rPr>
                <w:rFonts w:hint="eastAsia"/>
                <w:lang w:eastAsia="zh-CN"/>
              </w:rPr>
              <w:t xml:space="preserve">2 vs </w:t>
            </w:r>
            <w:r>
              <w:rPr>
                <w:rFonts w:hint="eastAsia"/>
                <w:lang w:eastAsia="zh-CN"/>
              </w:rPr>
              <w:t>Tier</w:t>
            </w:r>
            <w:r>
              <w:rPr>
                <w:lang w:eastAsia="zh-CN"/>
              </w:rPr>
              <w:t> </w:t>
            </w:r>
            <w:r w:rsidR="007B52B6">
              <w:rPr>
                <w:rFonts w:hint="eastAsia"/>
                <w:lang w:eastAsia="zh-CN"/>
              </w:rPr>
              <w:t>1</w:t>
            </w:r>
          </w:p>
        </w:tc>
        <w:tc>
          <w:tcPr>
            <w:tcW w:w="3331" w:type="dxa"/>
          </w:tcPr>
          <w:p w14:paraId="2D1C1037" w14:textId="1738AA41" w:rsidR="008C5600" w:rsidRPr="00FE69B4" w:rsidRDefault="0007383E">
            <w:r>
              <w:rPr>
                <w:rFonts w:hint="eastAsia"/>
                <w:lang w:eastAsia="zh-CN"/>
              </w:rPr>
              <w:t>Tier</w:t>
            </w:r>
            <w:r>
              <w:rPr>
                <w:lang w:eastAsia="zh-CN"/>
              </w:rPr>
              <w:t> </w:t>
            </w:r>
            <w:r w:rsidR="00F6773F">
              <w:rPr>
                <w:rFonts w:hint="eastAsia"/>
                <w:lang w:eastAsia="zh-CN"/>
              </w:rPr>
              <w:t xml:space="preserve">2 </w:t>
            </w:r>
            <w:r w:rsidR="007B52B6">
              <w:rPr>
                <w:rFonts w:hint="eastAsia"/>
                <w:lang w:eastAsia="zh-CN"/>
              </w:rPr>
              <w:t>Disclosure Requirements</w:t>
            </w:r>
          </w:p>
        </w:tc>
      </w:tr>
      <w:tr w:rsidR="005B2292" w:rsidRPr="00FE69B4" w14:paraId="0D1C0276" w14:textId="77777777" w:rsidTr="00E51206">
        <w:trPr>
          <w:cnfStyle w:val="000000100000" w:firstRow="0" w:lastRow="0" w:firstColumn="0" w:lastColumn="0" w:oddVBand="0" w:evenVBand="0" w:oddHBand="1" w:evenHBand="0" w:firstRowFirstColumn="0" w:firstRowLastColumn="0" w:lastRowFirstColumn="0" w:lastRowLastColumn="0"/>
        </w:trPr>
        <w:tc>
          <w:tcPr>
            <w:tcW w:w="4751" w:type="dxa"/>
          </w:tcPr>
          <w:p w14:paraId="327AAA18" w14:textId="61E0FD60" w:rsidR="005B2292" w:rsidRPr="0047498E" w:rsidRDefault="007A2FB6">
            <w:pPr>
              <w:rPr>
                <w:lang w:eastAsia="zh-CN"/>
              </w:rPr>
            </w:pPr>
            <w:r>
              <w:rPr>
                <w:lang w:eastAsia="zh-CN"/>
              </w:rPr>
              <w:t>Budgetary</w:t>
            </w:r>
            <w:r w:rsidR="005B2292">
              <w:rPr>
                <w:lang w:eastAsia="zh-CN"/>
              </w:rPr>
              <w:t xml:space="preserve"> </w:t>
            </w:r>
            <w:r w:rsidR="00BD0C7B">
              <w:rPr>
                <w:lang w:eastAsia="zh-CN"/>
              </w:rPr>
              <w:t xml:space="preserve">reporting </w:t>
            </w:r>
          </w:p>
        </w:tc>
        <w:tc>
          <w:tcPr>
            <w:tcW w:w="1548" w:type="dxa"/>
          </w:tcPr>
          <w:p w14:paraId="26DC2546" w14:textId="0A2303A6" w:rsidR="005B2292" w:rsidRDefault="00D00165">
            <w:pPr>
              <w:rPr>
                <w:lang w:eastAsia="zh-CN"/>
              </w:rPr>
            </w:pPr>
            <w:r>
              <w:rPr>
                <w:lang w:eastAsia="zh-CN"/>
              </w:rPr>
              <w:t>Unchanged</w:t>
            </w:r>
          </w:p>
        </w:tc>
        <w:tc>
          <w:tcPr>
            <w:tcW w:w="3331" w:type="dxa"/>
          </w:tcPr>
          <w:p w14:paraId="668EBE00" w14:textId="30E269AA" w:rsidR="005B2292" w:rsidRPr="0047498E" w:rsidRDefault="00764EBA">
            <w:pPr>
              <w:rPr>
                <w:lang w:eastAsia="zh-CN"/>
              </w:rPr>
            </w:pPr>
            <w:r>
              <w:rPr>
                <w:lang w:eastAsia="zh-CN"/>
              </w:rPr>
              <w:t xml:space="preserve">Not applicable to </w:t>
            </w:r>
            <w:r w:rsidR="0007383E">
              <w:rPr>
                <w:lang w:eastAsia="zh-CN"/>
              </w:rPr>
              <w:t>Tier </w:t>
            </w:r>
            <w:r>
              <w:rPr>
                <w:lang w:eastAsia="zh-CN"/>
              </w:rPr>
              <w:t>2 entities</w:t>
            </w:r>
            <w:r w:rsidR="001D54A2">
              <w:rPr>
                <w:lang w:eastAsia="zh-CN"/>
              </w:rPr>
              <w:t xml:space="preserve"> </w:t>
            </w:r>
            <w:r w:rsidR="001D54A2" w:rsidRPr="00B66B51">
              <w:rPr>
                <w:lang w:eastAsia="zh-CN"/>
              </w:rPr>
              <w:t>[</w:t>
            </w:r>
            <w:r w:rsidR="0007383E">
              <w:rPr>
                <w:lang w:eastAsia="zh-CN"/>
              </w:rPr>
              <w:t>AASB </w:t>
            </w:r>
            <w:r w:rsidR="001D54A2" w:rsidRPr="00B66B51">
              <w:rPr>
                <w:lang w:eastAsia="zh-CN"/>
              </w:rPr>
              <w:t>1060.</w:t>
            </w:r>
            <w:r w:rsidR="001D54A2">
              <w:rPr>
                <w:lang w:eastAsia="zh-CN"/>
              </w:rPr>
              <w:t>222-225</w:t>
            </w:r>
            <w:r w:rsidR="001D54A2" w:rsidRPr="00B66B51">
              <w:rPr>
                <w:lang w:eastAsia="zh-CN"/>
              </w:rPr>
              <w:t>]</w:t>
            </w:r>
          </w:p>
        </w:tc>
      </w:tr>
      <w:tr w:rsidR="006A3C05" w:rsidRPr="00FE69B4" w14:paraId="53AA30A6" w14:textId="77777777" w:rsidTr="00E51206">
        <w:trPr>
          <w:cnfStyle w:val="000000010000" w:firstRow="0" w:lastRow="0" w:firstColumn="0" w:lastColumn="0" w:oddVBand="0" w:evenVBand="0" w:oddHBand="0" w:evenHBand="1" w:firstRowFirstColumn="0" w:firstRowLastColumn="0" w:lastRowFirstColumn="0" w:lastRowLastColumn="0"/>
        </w:trPr>
        <w:tc>
          <w:tcPr>
            <w:tcW w:w="4751" w:type="dxa"/>
          </w:tcPr>
          <w:p w14:paraId="23AB50E6" w14:textId="66E4381A" w:rsidR="008C5600" w:rsidRPr="0047498E" w:rsidRDefault="007B52B6">
            <w:r w:rsidRPr="0047498E">
              <w:rPr>
                <w:rFonts w:hint="eastAsia"/>
                <w:lang w:eastAsia="zh-CN"/>
              </w:rPr>
              <w:t xml:space="preserve">Appropriations </w:t>
            </w:r>
          </w:p>
        </w:tc>
        <w:tc>
          <w:tcPr>
            <w:tcW w:w="1548" w:type="dxa"/>
          </w:tcPr>
          <w:p w14:paraId="7E4B425F" w14:textId="3648F1D4" w:rsidR="008C5600" w:rsidRPr="0047498E" w:rsidRDefault="0033289D">
            <w:r>
              <w:rPr>
                <w:lang w:eastAsia="zh-CN"/>
              </w:rPr>
              <w:t>Unchanged</w:t>
            </w:r>
          </w:p>
        </w:tc>
        <w:tc>
          <w:tcPr>
            <w:tcW w:w="3331" w:type="dxa"/>
          </w:tcPr>
          <w:p w14:paraId="283E26E8" w14:textId="047E075E" w:rsidR="008C5600" w:rsidRPr="0047498E" w:rsidDel="00EB0E17" w:rsidRDefault="007B52B6">
            <w:r w:rsidRPr="0047498E">
              <w:rPr>
                <w:rFonts w:hint="eastAsia"/>
                <w:lang w:eastAsia="zh-CN"/>
              </w:rPr>
              <w:t xml:space="preserve">Refer to </w:t>
            </w:r>
            <w:r w:rsidR="0007383E">
              <w:rPr>
                <w:rFonts w:hint="eastAsia"/>
                <w:lang w:eastAsia="zh-CN"/>
              </w:rPr>
              <w:t>Tier</w:t>
            </w:r>
            <w:r w:rsidR="0007383E">
              <w:rPr>
                <w:lang w:eastAsia="zh-CN"/>
              </w:rPr>
              <w:t> </w:t>
            </w:r>
            <w:r w:rsidRPr="0047498E">
              <w:rPr>
                <w:rFonts w:hint="eastAsia"/>
                <w:lang w:eastAsia="zh-CN"/>
              </w:rPr>
              <w:t>1 Model Report</w:t>
            </w:r>
            <w:r w:rsidR="00B8229C">
              <w:rPr>
                <w:lang w:eastAsia="zh-CN"/>
              </w:rPr>
              <w:t xml:space="preserve"> </w:t>
            </w:r>
            <w:r w:rsidR="00B8229C" w:rsidRPr="00E10CD7">
              <w:rPr>
                <w:lang w:eastAsia="zh-CN"/>
              </w:rPr>
              <w:t>[</w:t>
            </w:r>
            <w:r w:rsidR="0007383E">
              <w:rPr>
                <w:lang w:eastAsia="zh-CN"/>
              </w:rPr>
              <w:t>AASB </w:t>
            </w:r>
            <w:r w:rsidR="00B8229C" w:rsidRPr="00E10CD7">
              <w:rPr>
                <w:lang w:eastAsia="zh-CN"/>
              </w:rPr>
              <w:t>1060.</w:t>
            </w:r>
            <w:r w:rsidR="00CA76C6" w:rsidRPr="00E10CD7">
              <w:rPr>
                <w:lang w:eastAsia="zh-CN"/>
              </w:rPr>
              <w:t xml:space="preserve">229; </w:t>
            </w:r>
            <w:r w:rsidR="00B8229C" w:rsidRPr="00E10CD7">
              <w:rPr>
                <w:lang w:eastAsia="zh-CN"/>
              </w:rPr>
              <w:t>238-241]</w:t>
            </w:r>
          </w:p>
        </w:tc>
      </w:tr>
      <w:tr w:rsidR="008C5600" w:rsidRPr="00FE69B4" w14:paraId="26C8AEF2" w14:textId="77777777" w:rsidTr="00E51206">
        <w:trPr>
          <w:cnfStyle w:val="000000100000" w:firstRow="0" w:lastRow="0" w:firstColumn="0" w:lastColumn="0" w:oddVBand="0" w:evenVBand="0" w:oddHBand="1" w:evenHBand="0" w:firstRowFirstColumn="0" w:firstRowLastColumn="0" w:lastRowFirstColumn="0" w:lastRowLastColumn="0"/>
        </w:trPr>
        <w:tc>
          <w:tcPr>
            <w:tcW w:w="4751" w:type="dxa"/>
          </w:tcPr>
          <w:p w14:paraId="5E9256A0" w14:textId="3E0A8ACB" w:rsidR="008C5600" w:rsidRPr="00FE69B4" w:rsidRDefault="007B52B6">
            <w:r>
              <w:rPr>
                <w:rFonts w:hint="eastAsia"/>
                <w:lang w:eastAsia="zh-CN"/>
              </w:rPr>
              <w:t xml:space="preserve">Service </w:t>
            </w:r>
            <w:r w:rsidR="00BD0C7B">
              <w:rPr>
                <w:lang w:eastAsia="zh-CN"/>
              </w:rPr>
              <w:t>concession arrangements</w:t>
            </w:r>
          </w:p>
        </w:tc>
        <w:tc>
          <w:tcPr>
            <w:tcW w:w="1548" w:type="dxa"/>
          </w:tcPr>
          <w:p w14:paraId="2F122A8B" w14:textId="27721B13" w:rsidR="008C5600" w:rsidRPr="00FE69B4" w:rsidRDefault="0033289D">
            <w:r>
              <w:rPr>
                <w:lang w:eastAsia="zh-CN"/>
              </w:rPr>
              <w:t>Unchanged</w:t>
            </w:r>
          </w:p>
        </w:tc>
        <w:tc>
          <w:tcPr>
            <w:tcW w:w="3331" w:type="dxa"/>
          </w:tcPr>
          <w:p w14:paraId="66F6D7FB" w14:textId="388F52E7" w:rsidR="008C5600" w:rsidRPr="00FE69B4" w:rsidRDefault="007B52B6">
            <w:r>
              <w:rPr>
                <w:rFonts w:hint="eastAsia"/>
                <w:lang w:eastAsia="zh-CN"/>
              </w:rPr>
              <w:t xml:space="preserve">Refer to </w:t>
            </w:r>
            <w:r w:rsidR="0007383E">
              <w:rPr>
                <w:rFonts w:hint="eastAsia"/>
                <w:lang w:eastAsia="zh-CN"/>
              </w:rPr>
              <w:t>Tier</w:t>
            </w:r>
            <w:r w:rsidR="0007383E">
              <w:rPr>
                <w:lang w:eastAsia="zh-CN"/>
              </w:rPr>
              <w:t> </w:t>
            </w:r>
            <w:r>
              <w:rPr>
                <w:rFonts w:hint="eastAsia"/>
                <w:lang w:eastAsia="zh-CN"/>
              </w:rPr>
              <w:t>1 Model Report</w:t>
            </w:r>
            <w:r w:rsidR="00264A5C">
              <w:rPr>
                <w:lang w:eastAsia="zh-CN"/>
              </w:rPr>
              <w:t xml:space="preserve"> </w:t>
            </w:r>
            <w:r w:rsidR="000760AE" w:rsidRPr="009542F3">
              <w:rPr>
                <w:lang w:eastAsia="zh-CN"/>
              </w:rPr>
              <w:t>[</w:t>
            </w:r>
            <w:r w:rsidR="0007383E">
              <w:rPr>
                <w:lang w:eastAsia="zh-CN"/>
              </w:rPr>
              <w:t>AASB </w:t>
            </w:r>
            <w:r w:rsidR="000760AE" w:rsidRPr="009542F3">
              <w:rPr>
                <w:lang w:eastAsia="zh-CN"/>
              </w:rPr>
              <w:t>1060.242-243]</w:t>
            </w:r>
          </w:p>
        </w:tc>
      </w:tr>
      <w:tr w:rsidR="00CB486D" w:rsidRPr="00FE69B4" w14:paraId="0249D8EB" w14:textId="77777777" w:rsidTr="00E51206">
        <w:trPr>
          <w:cnfStyle w:val="000000010000" w:firstRow="0" w:lastRow="0" w:firstColumn="0" w:lastColumn="0" w:oddVBand="0" w:evenVBand="0" w:oddHBand="0" w:evenHBand="1" w:firstRowFirstColumn="0" w:firstRowLastColumn="0" w:lastRowFirstColumn="0" w:lastRowLastColumn="0"/>
        </w:trPr>
        <w:tc>
          <w:tcPr>
            <w:tcW w:w="4751" w:type="dxa"/>
          </w:tcPr>
          <w:p w14:paraId="4576889F" w14:textId="5C4533ED" w:rsidR="00CB486D" w:rsidRPr="000E4F6F" w:rsidRDefault="00CB486D" w:rsidP="00CB486D">
            <w:pPr>
              <w:rPr>
                <w:lang w:eastAsia="zh-CN"/>
              </w:rPr>
            </w:pPr>
            <w:r>
              <w:rPr>
                <w:rFonts w:hint="eastAsia"/>
                <w:lang w:eastAsia="zh-CN"/>
              </w:rPr>
              <w:t>Biological assets</w:t>
            </w:r>
          </w:p>
        </w:tc>
        <w:tc>
          <w:tcPr>
            <w:tcW w:w="1548" w:type="dxa"/>
          </w:tcPr>
          <w:p w14:paraId="6F641C6B" w14:textId="31486287" w:rsidR="00CB486D" w:rsidRDefault="0033289D" w:rsidP="00CB486D">
            <w:pPr>
              <w:rPr>
                <w:lang w:eastAsia="zh-CN"/>
              </w:rPr>
            </w:pPr>
            <w:r>
              <w:rPr>
                <w:lang w:eastAsia="zh-CN"/>
              </w:rPr>
              <w:t>Simplified</w:t>
            </w:r>
          </w:p>
        </w:tc>
        <w:tc>
          <w:tcPr>
            <w:tcW w:w="3331" w:type="dxa"/>
          </w:tcPr>
          <w:p w14:paraId="6EA31AD9" w14:textId="457E7C18" w:rsidR="00CB486D" w:rsidRDefault="00CF1D29" w:rsidP="00CB486D">
            <w:pPr>
              <w:rPr>
                <w:lang w:eastAsia="zh-CN"/>
              </w:rPr>
            </w:pPr>
            <w:r>
              <w:rPr>
                <w:lang w:eastAsia="zh-CN"/>
              </w:rPr>
              <w:t>Refer to Guidance – Biological Assets</w:t>
            </w:r>
          </w:p>
        </w:tc>
      </w:tr>
      <w:tr w:rsidR="00CB486D" w:rsidRPr="00FE69B4" w14:paraId="5DB69AB9" w14:textId="77777777" w:rsidTr="00E51206">
        <w:trPr>
          <w:cnfStyle w:val="000000100000" w:firstRow="0" w:lastRow="0" w:firstColumn="0" w:lastColumn="0" w:oddVBand="0" w:evenVBand="0" w:oddHBand="1" w:evenHBand="0" w:firstRowFirstColumn="0" w:firstRowLastColumn="0" w:lastRowFirstColumn="0" w:lastRowLastColumn="0"/>
        </w:trPr>
        <w:tc>
          <w:tcPr>
            <w:tcW w:w="4751" w:type="dxa"/>
          </w:tcPr>
          <w:p w14:paraId="27790CCA" w14:textId="5F855F33" w:rsidR="00CB486D" w:rsidRDefault="00CB486D" w:rsidP="00CB486D">
            <w:pPr>
              <w:rPr>
                <w:lang w:eastAsia="zh-CN"/>
              </w:rPr>
            </w:pPr>
            <w:r w:rsidRPr="000E4F6F">
              <w:rPr>
                <w:lang w:eastAsia="zh-CN"/>
              </w:rPr>
              <w:t xml:space="preserve">Discontinued </w:t>
            </w:r>
            <w:r>
              <w:rPr>
                <w:rFonts w:hint="eastAsia"/>
                <w:lang w:eastAsia="zh-CN"/>
              </w:rPr>
              <w:t>o</w:t>
            </w:r>
            <w:r w:rsidRPr="000E4F6F">
              <w:rPr>
                <w:lang w:eastAsia="zh-CN"/>
              </w:rPr>
              <w:t>perations</w:t>
            </w:r>
          </w:p>
        </w:tc>
        <w:tc>
          <w:tcPr>
            <w:tcW w:w="1548" w:type="dxa"/>
          </w:tcPr>
          <w:p w14:paraId="69EC632B" w14:textId="6F2259AD" w:rsidR="00CB486D" w:rsidRDefault="0033289D" w:rsidP="00CB486D">
            <w:pPr>
              <w:rPr>
                <w:lang w:eastAsia="zh-CN"/>
              </w:rPr>
            </w:pPr>
            <w:r>
              <w:rPr>
                <w:lang w:eastAsia="zh-CN"/>
              </w:rPr>
              <w:t>Simplified</w:t>
            </w:r>
          </w:p>
        </w:tc>
        <w:tc>
          <w:tcPr>
            <w:tcW w:w="3331" w:type="dxa"/>
          </w:tcPr>
          <w:p w14:paraId="2CA554E5" w14:textId="77DB8290" w:rsidR="00CB486D" w:rsidRDefault="00457BCC" w:rsidP="00CB486D">
            <w:pPr>
              <w:rPr>
                <w:lang w:eastAsia="zh-CN"/>
              </w:rPr>
            </w:pPr>
            <w:r>
              <w:rPr>
                <w:lang w:eastAsia="zh-CN"/>
              </w:rPr>
              <w:t xml:space="preserve">Refer to Guidance – </w:t>
            </w:r>
            <w:r w:rsidR="00343FBE">
              <w:rPr>
                <w:lang w:eastAsia="zh-CN"/>
              </w:rPr>
              <w:t>Discontinued Operations</w:t>
            </w:r>
          </w:p>
        </w:tc>
      </w:tr>
      <w:tr w:rsidR="00CB486D" w:rsidRPr="00FE69B4" w14:paraId="0C56BB14" w14:textId="77777777" w:rsidTr="00E51206">
        <w:trPr>
          <w:cnfStyle w:val="000000010000" w:firstRow="0" w:lastRow="0" w:firstColumn="0" w:lastColumn="0" w:oddVBand="0" w:evenVBand="0" w:oddHBand="0" w:evenHBand="1" w:firstRowFirstColumn="0" w:firstRowLastColumn="0" w:lastRowFirstColumn="0" w:lastRowLastColumn="0"/>
        </w:trPr>
        <w:tc>
          <w:tcPr>
            <w:tcW w:w="4751" w:type="dxa"/>
          </w:tcPr>
          <w:p w14:paraId="7EB176AE" w14:textId="021A0FDD" w:rsidR="00CB486D" w:rsidRDefault="00CB486D" w:rsidP="00CB486D">
            <w:pPr>
              <w:rPr>
                <w:lang w:eastAsia="zh-CN"/>
              </w:rPr>
            </w:pPr>
            <w:r>
              <w:rPr>
                <w:rFonts w:hint="eastAsia"/>
                <w:lang w:eastAsia="zh-CN"/>
              </w:rPr>
              <w:t>Business combination</w:t>
            </w:r>
          </w:p>
        </w:tc>
        <w:tc>
          <w:tcPr>
            <w:tcW w:w="1548" w:type="dxa"/>
          </w:tcPr>
          <w:p w14:paraId="7922E92B" w14:textId="734C0E55" w:rsidR="00CB486D" w:rsidRDefault="0033289D" w:rsidP="00CB486D">
            <w:pPr>
              <w:rPr>
                <w:lang w:eastAsia="zh-CN"/>
              </w:rPr>
            </w:pPr>
            <w:r>
              <w:rPr>
                <w:lang w:eastAsia="zh-CN"/>
              </w:rPr>
              <w:t>Simplified</w:t>
            </w:r>
          </w:p>
        </w:tc>
        <w:tc>
          <w:tcPr>
            <w:tcW w:w="3331" w:type="dxa"/>
          </w:tcPr>
          <w:p w14:paraId="4B580F7B" w14:textId="47EC7460" w:rsidR="00CB486D" w:rsidRDefault="00457BCC" w:rsidP="00CB486D">
            <w:pPr>
              <w:rPr>
                <w:lang w:eastAsia="zh-CN"/>
              </w:rPr>
            </w:pPr>
            <w:r>
              <w:rPr>
                <w:lang w:eastAsia="zh-CN"/>
              </w:rPr>
              <w:t>Refer to Guidance – Business Combination</w:t>
            </w:r>
          </w:p>
        </w:tc>
      </w:tr>
      <w:tr w:rsidR="00CB486D" w:rsidRPr="00FE69B4" w14:paraId="43A16F3B" w14:textId="77777777" w:rsidTr="00E51206">
        <w:trPr>
          <w:cnfStyle w:val="000000100000" w:firstRow="0" w:lastRow="0" w:firstColumn="0" w:lastColumn="0" w:oddVBand="0" w:evenVBand="0" w:oddHBand="1" w:evenHBand="0" w:firstRowFirstColumn="0" w:firstRowLastColumn="0" w:lastRowFirstColumn="0" w:lastRowLastColumn="0"/>
        </w:trPr>
        <w:tc>
          <w:tcPr>
            <w:tcW w:w="4751" w:type="dxa"/>
          </w:tcPr>
          <w:p w14:paraId="415A9AA0" w14:textId="69B3A009" w:rsidR="00CB486D" w:rsidRDefault="00CB486D" w:rsidP="00CB486D">
            <w:pPr>
              <w:rPr>
                <w:lang w:eastAsia="zh-CN"/>
              </w:rPr>
            </w:pPr>
            <w:r>
              <w:rPr>
                <w:rFonts w:hint="eastAsia"/>
                <w:lang w:eastAsia="zh-CN"/>
              </w:rPr>
              <w:t>Investment properties</w:t>
            </w:r>
          </w:p>
        </w:tc>
        <w:tc>
          <w:tcPr>
            <w:tcW w:w="1548" w:type="dxa"/>
          </w:tcPr>
          <w:p w14:paraId="4BEAC9C9" w14:textId="796198DD" w:rsidR="00CB486D" w:rsidRDefault="0033289D" w:rsidP="00CB486D">
            <w:pPr>
              <w:rPr>
                <w:lang w:eastAsia="zh-CN"/>
              </w:rPr>
            </w:pPr>
            <w:r>
              <w:rPr>
                <w:lang w:eastAsia="zh-CN"/>
              </w:rPr>
              <w:t>Simplified</w:t>
            </w:r>
          </w:p>
        </w:tc>
        <w:tc>
          <w:tcPr>
            <w:tcW w:w="3331" w:type="dxa"/>
          </w:tcPr>
          <w:p w14:paraId="094BFFCF" w14:textId="474E0FDA" w:rsidR="00CB486D" w:rsidRDefault="0033289D" w:rsidP="00CB486D">
            <w:pPr>
              <w:rPr>
                <w:lang w:eastAsia="zh-CN"/>
              </w:rPr>
            </w:pPr>
            <w:r>
              <w:rPr>
                <w:lang w:eastAsia="zh-CN"/>
              </w:rPr>
              <w:t>Refer to Guidance – Investment Properties</w:t>
            </w:r>
          </w:p>
        </w:tc>
      </w:tr>
      <w:tr w:rsidR="00CB486D" w:rsidRPr="00FE69B4" w14:paraId="1A7DD937" w14:textId="77777777" w:rsidTr="00E51206">
        <w:trPr>
          <w:cnfStyle w:val="000000010000" w:firstRow="0" w:lastRow="0" w:firstColumn="0" w:lastColumn="0" w:oddVBand="0" w:evenVBand="0" w:oddHBand="0" w:evenHBand="1" w:firstRowFirstColumn="0" w:firstRowLastColumn="0" w:lastRowFirstColumn="0" w:lastRowLastColumn="0"/>
        </w:trPr>
        <w:tc>
          <w:tcPr>
            <w:tcW w:w="4751" w:type="dxa"/>
          </w:tcPr>
          <w:p w14:paraId="7DD16FD2" w14:textId="45C45A42" w:rsidR="00CB486D" w:rsidRDefault="00CB486D" w:rsidP="00CB486D">
            <w:pPr>
              <w:rPr>
                <w:lang w:eastAsia="zh-CN"/>
              </w:rPr>
            </w:pPr>
            <w:r>
              <w:rPr>
                <w:rFonts w:hint="eastAsia"/>
                <w:lang w:eastAsia="zh-CN"/>
              </w:rPr>
              <w:t>Investments and other financial assets</w:t>
            </w:r>
          </w:p>
        </w:tc>
        <w:tc>
          <w:tcPr>
            <w:tcW w:w="1548" w:type="dxa"/>
          </w:tcPr>
          <w:p w14:paraId="66BBD8D4" w14:textId="4C559022" w:rsidR="00CB486D" w:rsidRDefault="0034070F" w:rsidP="00CB486D">
            <w:pPr>
              <w:rPr>
                <w:lang w:eastAsia="zh-CN"/>
              </w:rPr>
            </w:pPr>
            <w:r>
              <w:rPr>
                <w:lang w:eastAsia="zh-CN"/>
              </w:rPr>
              <w:t>Simplified</w:t>
            </w:r>
          </w:p>
        </w:tc>
        <w:tc>
          <w:tcPr>
            <w:tcW w:w="3331" w:type="dxa"/>
          </w:tcPr>
          <w:p w14:paraId="4F7A1B80" w14:textId="3F12C263" w:rsidR="00CB486D" w:rsidRDefault="0034070F" w:rsidP="00CB486D">
            <w:pPr>
              <w:rPr>
                <w:lang w:eastAsia="zh-CN"/>
              </w:rPr>
            </w:pPr>
            <w:r>
              <w:rPr>
                <w:lang w:eastAsia="zh-CN"/>
              </w:rPr>
              <w:t>Refer to Guidance – Investments and Other Financial Assets</w:t>
            </w:r>
          </w:p>
        </w:tc>
      </w:tr>
      <w:tr w:rsidR="006B4F68" w:rsidRPr="00FE69B4" w14:paraId="14434664" w14:textId="77777777" w:rsidTr="00E51206">
        <w:trPr>
          <w:cnfStyle w:val="000000100000" w:firstRow="0" w:lastRow="0" w:firstColumn="0" w:lastColumn="0" w:oddVBand="0" w:evenVBand="0" w:oddHBand="1" w:evenHBand="0" w:firstRowFirstColumn="0" w:firstRowLastColumn="0" w:lastRowFirstColumn="0" w:lastRowLastColumn="0"/>
        </w:trPr>
        <w:tc>
          <w:tcPr>
            <w:tcW w:w="4751" w:type="dxa"/>
          </w:tcPr>
          <w:p w14:paraId="2665F88E" w14:textId="582326E6" w:rsidR="006B4F68" w:rsidRDefault="006B4F68" w:rsidP="00C404B4">
            <w:pPr>
              <w:rPr>
                <w:lang w:eastAsia="zh-CN"/>
              </w:rPr>
            </w:pPr>
            <w:r>
              <w:rPr>
                <w:rFonts w:hint="eastAsia"/>
                <w:lang w:eastAsia="zh-CN"/>
              </w:rPr>
              <w:t>Other financial liabilities</w:t>
            </w:r>
          </w:p>
        </w:tc>
        <w:tc>
          <w:tcPr>
            <w:tcW w:w="1548" w:type="dxa"/>
          </w:tcPr>
          <w:p w14:paraId="30FD2D23" w14:textId="4EBC929D" w:rsidR="006B4F68" w:rsidRDefault="006B4F68" w:rsidP="00C404B4">
            <w:pPr>
              <w:rPr>
                <w:lang w:eastAsia="zh-CN"/>
              </w:rPr>
            </w:pPr>
            <w:r>
              <w:rPr>
                <w:rFonts w:hint="eastAsia"/>
                <w:lang w:eastAsia="zh-CN"/>
              </w:rPr>
              <w:t>Simplified</w:t>
            </w:r>
          </w:p>
        </w:tc>
        <w:tc>
          <w:tcPr>
            <w:tcW w:w="3331" w:type="dxa"/>
          </w:tcPr>
          <w:p w14:paraId="7BB9717A" w14:textId="1716C015" w:rsidR="006B4F68" w:rsidRDefault="006B4F68" w:rsidP="00C404B4">
            <w:pPr>
              <w:rPr>
                <w:lang w:eastAsia="zh-CN"/>
              </w:rPr>
            </w:pPr>
            <w:r>
              <w:rPr>
                <w:lang w:eastAsia="zh-CN"/>
              </w:rPr>
              <w:t>Refer to Guidance –Other Financial</w:t>
            </w:r>
            <w:r>
              <w:rPr>
                <w:rFonts w:hint="eastAsia"/>
                <w:lang w:eastAsia="zh-CN"/>
              </w:rPr>
              <w:t xml:space="preserve"> Liabilities</w:t>
            </w:r>
          </w:p>
        </w:tc>
      </w:tr>
      <w:tr w:rsidR="00CB486D" w:rsidRPr="00FE69B4" w14:paraId="40681C30" w14:textId="77777777" w:rsidTr="00E51206">
        <w:trPr>
          <w:cnfStyle w:val="000000010000" w:firstRow="0" w:lastRow="0" w:firstColumn="0" w:lastColumn="0" w:oddVBand="0" w:evenVBand="0" w:oddHBand="0" w:evenHBand="1" w:firstRowFirstColumn="0" w:firstRowLastColumn="0" w:lastRowFirstColumn="0" w:lastRowLastColumn="0"/>
        </w:trPr>
        <w:tc>
          <w:tcPr>
            <w:tcW w:w="4751" w:type="dxa"/>
          </w:tcPr>
          <w:p w14:paraId="32FC7D4B" w14:textId="64922DAC" w:rsidR="00CB486D" w:rsidRDefault="00CB486D" w:rsidP="00CB486D">
            <w:pPr>
              <w:rPr>
                <w:lang w:eastAsia="zh-CN"/>
              </w:rPr>
            </w:pPr>
            <w:r>
              <w:rPr>
                <w:rFonts w:hint="eastAsia"/>
                <w:lang w:eastAsia="zh-CN"/>
              </w:rPr>
              <w:t>Investment accounted for using the equity method</w:t>
            </w:r>
          </w:p>
        </w:tc>
        <w:tc>
          <w:tcPr>
            <w:tcW w:w="1548" w:type="dxa"/>
          </w:tcPr>
          <w:p w14:paraId="1B5F73B9" w14:textId="76087455" w:rsidR="00CB486D" w:rsidRDefault="00834058" w:rsidP="00CB486D">
            <w:pPr>
              <w:rPr>
                <w:lang w:eastAsia="zh-CN"/>
              </w:rPr>
            </w:pPr>
            <w:r>
              <w:rPr>
                <w:lang w:eastAsia="zh-CN"/>
              </w:rPr>
              <w:t>Simplified</w:t>
            </w:r>
          </w:p>
        </w:tc>
        <w:tc>
          <w:tcPr>
            <w:tcW w:w="3331" w:type="dxa"/>
          </w:tcPr>
          <w:p w14:paraId="37E75301" w14:textId="5EBBA25F" w:rsidR="00CB486D" w:rsidRDefault="008C5A1C" w:rsidP="00CB486D">
            <w:pPr>
              <w:rPr>
                <w:lang w:eastAsia="zh-CN"/>
              </w:rPr>
            </w:pPr>
            <w:r>
              <w:rPr>
                <w:lang w:eastAsia="zh-CN"/>
              </w:rPr>
              <w:t>Refer to Guidance – Investment Accounted for Using the Equity Method</w:t>
            </w:r>
          </w:p>
        </w:tc>
      </w:tr>
      <w:tr w:rsidR="009542F3" w:rsidRPr="00FE69B4" w14:paraId="144090BF" w14:textId="77777777" w:rsidTr="00E51206">
        <w:trPr>
          <w:cnfStyle w:val="000000100000" w:firstRow="0" w:lastRow="0" w:firstColumn="0" w:lastColumn="0" w:oddVBand="0" w:evenVBand="0" w:oddHBand="1" w:evenHBand="0" w:firstRowFirstColumn="0" w:firstRowLastColumn="0" w:lastRowFirstColumn="0" w:lastRowLastColumn="0"/>
        </w:trPr>
        <w:tc>
          <w:tcPr>
            <w:tcW w:w="4751" w:type="dxa"/>
          </w:tcPr>
          <w:p w14:paraId="74481B83" w14:textId="6C2A19E0" w:rsidR="009542F3" w:rsidRDefault="009542F3" w:rsidP="00CB486D">
            <w:pPr>
              <w:rPr>
                <w:lang w:eastAsia="zh-CN"/>
              </w:rPr>
            </w:pPr>
            <w:r>
              <w:rPr>
                <w:lang w:eastAsia="zh-CN"/>
              </w:rPr>
              <w:t>Defaults and breaches on loans payable</w:t>
            </w:r>
          </w:p>
        </w:tc>
        <w:tc>
          <w:tcPr>
            <w:tcW w:w="1548" w:type="dxa"/>
          </w:tcPr>
          <w:p w14:paraId="0D545705" w14:textId="0265C4AF" w:rsidR="009542F3" w:rsidRDefault="009542F3" w:rsidP="00CB486D">
            <w:pPr>
              <w:rPr>
                <w:lang w:eastAsia="zh-CN"/>
              </w:rPr>
            </w:pPr>
            <w:r>
              <w:rPr>
                <w:lang w:eastAsia="zh-CN"/>
              </w:rPr>
              <w:t>Unchanged</w:t>
            </w:r>
          </w:p>
        </w:tc>
        <w:tc>
          <w:tcPr>
            <w:tcW w:w="3331" w:type="dxa"/>
          </w:tcPr>
          <w:p w14:paraId="779B19FA" w14:textId="6AAB1D99" w:rsidR="009542F3" w:rsidRDefault="009542F3" w:rsidP="00CB486D">
            <w:pPr>
              <w:rPr>
                <w:lang w:eastAsia="zh-CN"/>
              </w:rPr>
            </w:pPr>
            <w:r>
              <w:rPr>
                <w:lang w:eastAsia="zh-CN"/>
              </w:rPr>
              <w:t xml:space="preserve">Refer to </w:t>
            </w:r>
            <w:r w:rsidR="0007383E">
              <w:rPr>
                <w:lang w:eastAsia="zh-CN"/>
              </w:rPr>
              <w:t>Tier </w:t>
            </w:r>
            <w:r>
              <w:rPr>
                <w:lang w:eastAsia="zh-CN"/>
              </w:rPr>
              <w:t xml:space="preserve">1 Model </w:t>
            </w:r>
            <w:r w:rsidRPr="009542F3">
              <w:rPr>
                <w:lang w:eastAsia="zh-CN"/>
              </w:rPr>
              <w:t xml:space="preserve">Report </w:t>
            </w:r>
            <w:r w:rsidRPr="00E10CD7">
              <w:rPr>
                <w:lang w:eastAsia="zh-CN"/>
              </w:rPr>
              <w:t>[</w:t>
            </w:r>
            <w:r w:rsidR="0007383E">
              <w:rPr>
                <w:lang w:eastAsia="zh-CN"/>
              </w:rPr>
              <w:t>AASB </w:t>
            </w:r>
            <w:r w:rsidRPr="00E10CD7">
              <w:rPr>
                <w:lang w:eastAsia="zh-CN"/>
              </w:rPr>
              <w:t>1060.118]</w:t>
            </w:r>
          </w:p>
        </w:tc>
      </w:tr>
      <w:tr w:rsidR="00CB486D" w:rsidRPr="00FE69B4" w14:paraId="2F4C50A7" w14:textId="77777777" w:rsidTr="00E51206">
        <w:trPr>
          <w:cnfStyle w:val="000000010000" w:firstRow="0" w:lastRow="0" w:firstColumn="0" w:lastColumn="0" w:oddVBand="0" w:evenVBand="0" w:oddHBand="0" w:evenHBand="1" w:firstRowFirstColumn="0" w:firstRowLastColumn="0" w:lastRowFirstColumn="0" w:lastRowLastColumn="0"/>
        </w:trPr>
        <w:tc>
          <w:tcPr>
            <w:tcW w:w="4751" w:type="dxa"/>
          </w:tcPr>
          <w:p w14:paraId="750E3A92" w14:textId="795D8DEF" w:rsidR="00CB486D" w:rsidRDefault="00CB486D" w:rsidP="00CB486D">
            <w:pPr>
              <w:rPr>
                <w:lang w:eastAsia="zh-CN"/>
              </w:rPr>
            </w:pPr>
            <w:r>
              <w:rPr>
                <w:rFonts w:hint="eastAsia"/>
                <w:lang w:eastAsia="zh-CN"/>
              </w:rPr>
              <w:t>Administered items</w:t>
            </w:r>
          </w:p>
        </w:tc>
        <w:tc>
          <w:tcPr>
            <w:tcW w:w="1548" w:type="dxa"/>
          </w:tcPr>
          <w:p w14:paraId="3DE9EAC6" w14:textId="3264C495" w:rsidR="00CB486D" w:rsidRDefault="008C46C4" w:rsidP="00CB486D">
            <w:pPr>
              <w:rPr>
                <w:lang w:eastAsia="zh-CN"/>
              </w:rPr>
            </w:pPr>
            <w:r>
              <w:rPr>
                <w:lang w:eastAsia="zh-CN"/>
              </w:rPr>
              <w:t>Simplified</w:t>
            </w:r>
          </w:p>
        </w:tc>
        <w:tc>
          <w:tcPr>
            <w:tcW w:w="3331" w:type="dxa"/>
          </w:tcPr>
          <w:p w14:paraId="51E091F5" w14:textId="76E4796B" w:rsidR="00CB486D" w:rsidRDefault="003C6F76" w:rsidP="00CB486D">
            <w:pPr>
              <w:rPr>
                <w:lang w:eastAsia="zh-CN"/>
              </w:rPr>
            </w:pPr>
            <w:r>
              <w:rPr>
                <w:rFonts w:hint="eastAsia"/>
                <w:lang w:eastAsia="zh-CN"/>
              </w:rPr>
              <w:t xml:space="preserve">Refer to Guidance </w:t>
            </w:r>
            <w:r>
              <w:rPr>
                <w:lang w:eastAsia="zh-CN"/>
              </w:rPr>
              <w:t>–</w:t>
            </w:r>
            <w:r>
              <w:rPr>
                <w:rFonts w:hint="eastAsia"/>
                <w:lang w:eastAsia="zh-CN"/>
              </w:rPr>
              <w:t xml:space="preserve"> Administered items</w:t>
            </w:r>
          </w:p>
        </w:tc>
      </w:tr>
      <w:tr w:rsidR="00CB486D" w:rsidRPr="00FE69B4" w14:paraId="5127DDA9" w14:textId="77777777" w:rsidTr="00E51206">
        <w:trPr>
          <w:cnfStyle w:val="000000100000" w:firstRow="0" w:lastRow="0" w:firstColumn="0" w:lastColumn="0" w:oddVBand="0" w:evenVBand="0" w:oddHBand="1" w:evenHBand="0" w:firstRowFirstColumn="0" w:firstRowLastColumn="0" w:lastRowFirstColumn="0" w:lastRowLastColumn="0"/>
        </w:trPr>
        <w:tc>
          <w:tcPr>
            <w:tcW w:w="4751" w:type="dxa"/>
          </w:tcPr>
          <w:p w14:paraId="1DBED8AF" w14:textId="7FAC118D" w:rsidR="00CB486D" w:rsidRDefault="00CB486D" w:rsidP="00CB486D">
            <w:pPr>
              <w:rPr>
                <w:lang w:eastAsia="zh-CN"/>
              </w:rPr>
            </w:pPr>
            <w:r>
              <w:rPr>
                <w:lang w:eastAsia="zh-CN"/>
              </w:rPr>
              <w:t>Administrative</w:t>
            </w:r>
            <w:r>
              <w:rPr>
                <w:rFonts w:hint="eastAsia"/>
                <w:lang w:eastAsia="zh-CN"/>
              </w:rPr>
              <w:t xml:space="preserve"> restructure</w:t>
            </w:r>
          </w:p>
        </w:tc>
        <w:tc>
          <w:tcPr>
            <w:tcW w:w="1548" w:type="dxa"/>
          </w:tcPr>
          <w:p w14:paraId="3D8B6606" w14:textId="1DC8D49C" w:rsidR="00CB486D" w:rsidRDefault="00031E14" w:rsidP="00CB486D">
            <w:pPr>
              <w:rPr>
                <w:lang w:eastAsia="zh-CN"/>
              </w:rPr>
            </w:pPr>
            <w:r>
              <w:rPr>
                <w:lang w:eastAsia="zh-CN"/>
              </w:rPr>
              <w:t>Unchanged</w:t>
            </w:r>
          </w:p>
        </w:tc>
        <w:tc>
          <w:tcPr>
            <w:tcW w:w="3331" w:type="dxa"/>
          </w:tcPr>
          <w:p w14:paraId="27D5D3B7" w14:textId="6D726E98" w:rsidR="00CB486D" w:rsidRDefault="003249B0" w:rsidP="00CB486D">
            <w:pPr>
              <w:rPr>
                <w:lang w:eastAsia="zh-CN"/>
              </w:rPr>
            </w:pPr>
            <w:r w:rsidRPr="0047498E">
              <w:rPr>
                <w:rFonts w:hint="eastAsia"/>
                <w:lang w:eastAsia="zh-CN"/>
              </w:rPr>
              <w:t xml:space="preserve">Refer to </w:t>
            </w:r>
            <w:r w:rsidR="0007383E">
              <w:rPr>
                <w:rFonts w:hint="eastAsia"/>
                <w:lang w:eastAsia="zh-CN"/>
              </w:rPr>
              <w:t>Tier</w:t>
            </w:r>
            <w:r w:rsidR="0007383E">
              <w:rPr>
                <w:lang w:eastAsia="zh-CN"/>
              </w:rPr>
              <w:t> </w:t>
            </w:r>
            <w:r w:rsidRPr="0047498E">
              <w:rPr>
                <w:rFonts w:hint="eastAsia"/>
                <w:lang w:eastAsia="zh-CN"/>
              </w:rPr>
              <w:t>1 Model Report</w:t>
            </w:r>
            <w:r w:rsidR="00FA4DDB" w:rsidRPr="009542F3">
              <w:rPr>
                <w:lang w:eastAsia="zh-CN"/>
              </w:rPr>
              <w:t xml:space="preserve"> </w:t>
            </w:r>
            <w:r w:rsidR="00FA4DDB" w:rsidRPr="00E10CD7">
              <w:rPr>
                <w:lang w:eastAsia="zh-CN"/>
              </w:rPr>
              <w:t>[</w:t>
            </w:r>
            <w:r w:rsidR="0007383E">
              <w:rPr>
                <w:lang w:eastAsia="zh-CN"/>
              </w:rPr>
              <w:t>AASB </w:t>
            </w:r>
            <w:r w:rsidR="00FA4DDB" w:rsidRPr="00E10CD7">
              <w:rPr>
                <w:lang w:eastAsia="zh-CN"/>
              </w:rPr>
              <w:t>1060.216-218]</w:t>
            </w:r>
          </w:p>
        </w:tc>
      </w:tr>
      <w:tr w:rsidR="002A46B9" w:rsidRPr="00FE69B4" w14:paraId="5DB59187" w14:textId="77777777" w:rsidTr="00E51206">
        <w:trPr>
          <w:cnfStyle w:val="000000010000" w:firstRow="0" w:lastRow="0" w:firstColumn="0" w:lastColumn="0" w:oddVBand="0" w:evenVBand="0" w:oddHBand="0" w:evenHBand="1" w:firstRowFirstColumn="0" w:firstRowLastColumn="0" w:lastRowFirstColumn="0" w:lastRowLastColumn="0"/>
        </w:trPr>
        <w:tc>
          <w:tcPr>
            <w:tcW w:w="4751" w:type="dxa"/>
          </w:tcPr>
          <w:p w14:paraId="0DE867C0" w14:textId="1E24E738" w:rsidR="002A46B9" w:rsidRDefault="002A46B9" w:rsidP="002A46B9">
            <w:pPr>
              <w:rPr>
                <w:lang w:eastAsia="zh-CN"/>
              </w:rPr>
            </w:pPr>
            <w:r>
              <w:rPr>
                <w:rFonts w:hint="eastAsia"/>
                <w:lang w:eastAsia="zh-CN"/>
              </w:rPr>
              <w:t>Foreign currency translation</w:t>
            </w:r>
          </w:p>
        </w:tc>
        <w:tc>
          <w:tcPr>
            <w:tcW w:w="1548" w:type="dxa"/>
          </w:tcPr>
          <w:p w14:paraId="27E0F28A" w14:textId="693F3906" w:rsidR="002A46B9" w:rsidRDefault="002A46B9" w:rsidP="002A46B9">
            <w:pPr>
              <w:rPr>
                <w:lang w:eastAsia="zh-CN"/>
              </w:rPr>
            </w:pPr>
            <w:r>
              <w:rPr>
                <w:lang w:eastAsia="zh-CN"/>
              </w:rPr>
              <w:t>Simplified</w:t>
            </w:r>
          </w:p>
        </w:tc>
        <w:tc>
          <w:tcPr>
            <w:tcW w:w="3331" w:type="dxa"/>
          </w:tcPr>
          <w:p w14:paraId="7BC55E0A" w14:textId="5F510986" w:rsidR="002A46B9" w:rsidRDefault="002A46B9" w:rsidP="002A46B9">
            <w:pPr>
              <w:rPr>
                <w:lang w:eastAsia="zh-CN"/>
              </w:rPr>
            </w:pPr>
            <w:r>
              <w:rPr>
                <w:lang w:eastAsia="zh-CN"/>
              </w:rPr>
              <w:t>Refer to Guidance – Foreign Currency Translation</w:t>
            </w:r>
          </w:p>
        </w:tc>
      </w:tr>
      <w:tr w:rsidR="002A46B9" w:rsidRPr="00FE69B4" w14:paraId="2D59FFEE" w14:textId="77777777" w:rsidTr="00E51206">
        <w:trPr>
          <w:cnfStyle w:val="000000100000" w:firstRow="0" w:lastRow="0" w:firstColumn="0" w:lastColumn="0" w:oddVBand="0" w:evenVBand="0" w:oddHBand="1" w:evenHBand="0" w:firstRowFirstColumn="0" w:firstRowLastColumn="0" w:lastRowFirstColumn="0" w:lastRowLastColumn="0"/>
        </w:trPr>
        <w:tc>
          <w:tcPr>
            <w:tcW w:w="4751" w:type="dxa"/>
          </w:tcPr>
          <w:p w14:paraId="30CA5623" w14:textId="5A3F1B63" w:rsidR="002A46B9" w:rsidRDefault="002A46B9" w:rsidP="002A46B9">
            <w:pPr>
              <w:rPr>
                <w:lang w:eastAsia="zh-CN"/>
              </w:rPr>
            </w:pPr>
            <w:r>
              <w:rPr>
                <w:rFonts w:hint="eastAsia"/>
                <w:lang w:eastAsia="zh-CN"/>
              </w:rPr>
              <w:t>Finance lease (as a lessor)</w:t>
            </w:r>
          </w:p>
        </w:tc>
        <w:tc>
          <w:tcPr>
            <w:tcW w:w="1548" w:type="dxa"/>
          </w:tcPr>
          <w:p w14:paraId="5D5756DA" w14:textId="25644877" w:rsidR="002A46B9" w:rsidRDefault="00D25669" w:rsidP="002A46B9">
            <w:pPr>
              <w:rPr>
                <w:lang w:eastAsia="zh-CN"/>
              </w:rPr>
            </w:pPr>
            <w:r>
              <w:rPr>
                <w:lang w:eastAsia="zh-CN"/>
              </w:rPr>
              <w:t>Simplified</w:t>
            </w:r>
          </w:p>
        </w:tc>
        <w:tc>
          <w:tcPr>
            <w:tcW w:w="3331" w:type="dxa"/>
          </w:tcPr>
          <w:p w14:paraId="7AABD6BD" w14:textId="42E752EA" w:rsidR="002A46B9" w:rsidRDefault="00D25669" w:rsidP="002A46B9">
            <w:pPr>
              <w:rPr>
                <w:lang w:eastAsia="zh-CN"/>
              </w:rPr>
            </w:pPr>
            <w:r>
              <w:rPr>
                <w:lang w:eastAsia="zh-CN"/>
              </w:rPr>
              <w:t>Refer to Guidance – Finance Lease</w:t>
            </w:r>
          </w:p>
        </w:tc>
      </w:tr>
      <w:tr w:rsidR="002A46B9" w:rsidRPr="00FE69B4" w14:paraId="4C871E98" w14:textId="77777777" w:rsidTr="00E51206">
        <w:trPr>
          <w:cnfStyle w:val="000000010000" w:firstRow="0" w:lastRow="0" w:firstColumn="0" w:lastColumn="0" w:oddVBand="0" w:evenVBand="0" w:oddHBand="0" w:evenHBand="1" w:firstRowFirstColumn="0" w:firstRowLastColumn="0" w:lastRowFirstColumn="0" w:lastRowLastColumn="0"/>
        </w:trPr>
        <w:tc>
          <w:tcPr>
            <w:tcW w:w="4751" w:type="dxa"/>
          </w:tcPr>
          <w:p w14:paraId="3DF57A95" w14:textId="56EBCA76" w:rsidR="002A46B9" w:rsidRDefault="002A46B9" w:rsidP="002A46B9">
            <w:pPr>
              <w:rPr>
                <w:lang w:eastAsia="zh-CN"/>
              </w:rPr>
            </w:pPr>
            <w:r>
              <w:rPr>
                <w:rFonts w:hint="eastAsia"/>
                <w:lang w:eastAsia="zh-CN"/>
              </w:rPr>
              <w:t xml:space="preserve">Machinery </w:t>
            </w:r>
            <w:r w:rsidR="000C557E">
              <w:rPr>
                <w:lang w:eastAsia="zh-CN"/>
              </w:rPr>
              <w:t xml:space="preserve">of </w:t>
            </w:r>
            <w:r>
              <w:rPr>
                <w:lang w:eastAsia="zh-CN"/>
              </w:rPr>
              <w:t>government</w:t>
            </w:r>
            <w:r>
              <w:rPr>
                <w:rFonts w:hint="eastAsia"/>
                <w:lang w:eastAsia="zh-CN"/>
              </w:rPr>
              <w:t xml:space="preserve"> changes</w:t>
            </w:r>
          </w:p>
        </w:tc>
        <w:tc>
          <w:tcPr>
            <w:tcW w:w="1548" w:type="dxa"/>
          </w:tcPr>
          <w:p w14:paraId="0D6C7FF9" w14:textId="497E0E5F" w:rsidR="002A46B9" w:rsidRDefault="00797898" w:rsidP="002A46B9">
            <w:pPr>
              <w:rPr>
                <w:lang w:eastAsia="zh-CN"/>
              </w:rPr>
            </w:pPr>
            <w:r>
              <w:rPr>
                <w:lang w:eastAsia="zh-CN"/>
              </w:rPr>
              <w:t>Unchanged</w:t>
            </w:r>
          </w:p>
        </w:tc>
        <w:tc>
          <w:tcPr>
            <w:tcW w:w="3331" w:type="dxa"/>
          </w:tcPr>
          <w:p w14:paraId="16761EC5" w14:textId="41E5B34B" w:rsidR="002A46B9" w:rsidRDefault="00797898" w:rsidP="002A46B9">
            <w:pPr>
              <w:rPr>
                <w:lang w:eastAsia="zh-CN"/>
              </w:rPr>
            </w:pPr>
            <w:r w:rsidRPr="0047498E">
              <w:rPr>
                <w:rFonts w:hint="eastAsia"/>
                <w:lang w:eastAsia="zh-CN"/>
              </w:rPr>
              <w:t xml:space="preserve">Refer to </w:t>
            </w:r>
            <w:r w:rsidR="0007383E">
              <w:rPr>
                <w:rFonts w:hint="eastAsia"/>
                <w:lang w:eastAsia="zh-CN"/>
              </w:rPr>
              <w:t>Tier</w:t>
            </w:r>
            <w:r w:rsidR="0007383E">
              <w:rPr>
                <w:lang w:eastAsia="zh-CN"/>
              </w:rPr>
              <w:t> </w:t>
            </w:r>
            <w:r w:rsidRPr="0047498E">
              <w:rPr>
                <w:rFonts w:hint="eastAsia"/>
                <w:lang w:eastAsia="zh-CN"/>
              </w:rPr>
              <w:t>1 Model Report</w:t>
            </w:r>
            <w:r w:rsidR="00870DE3" w:rsidRPr="009542F3">
              <w:rPr>
                <w:lang w:eastAsia="zh-CN"/>
              </w:rPr>
              <w:t xml:space="preserve"> </w:t>
            </w:r>
            <w:r w:rsidR="00870DE3" w:rsidRPr="00E10CD7">
              <w:rPr>
                <w:lang w:eastAsia="zh-CN"/>
              </w:rPr>
              <w:t xml:space="preserve">[Not covered by </w:t>
            </w:r>
            <w:r w:rsidR="0007383E">
              <w:rPr>
                <w:lang w:eastAsia="zh-CN"/>
              </w:rPr>
              <w:t>AASB </w:t>
            </w:r>
            <w:r w:rsidR="00870DE3" w:rsidRPr="00E10CD7">
              <w:rPr>
                <w:lang w:eastAsia="zh-CN"/>
              </w:rPr>
              <w:t>1060]</w:t>
            </w:r>
          </w:p>
        </w:tc>
      </w:tr>
      <w:tr w:rsidR="002A46B9" w:rsidRPr="00FE69B4" w14:paraId="1705E418" w14:textId="77777777" w:rsidTr="00E51206">
        <w:trPr>
          <w:cnfStyle w:val="000000100000" w:firstRow="0" w:lastRow="0" w:firstColumn="0" w:lastColumn="0" w:oddVBand="0" w:evenVBand="0" w:oddHBand="1" w:evenHBand="0" w:firstRowFirstColumn="0" w:firstRowLastColumn="0" w:lastRowFirstColumn="0" w:lastRowLastColumn="0"/>
        </w:trPr>
        <w:tc>
          <w:tcPr>
            <w:tcW w:w="4751" w:type="dxa"/>
          </w:tcPr>
          <w:p w14:paraId="07E809DE" w14:textId="0315567C" w:rsidR="002A46B9" w:rsidRDefault="002A46B9" w:rsidP="002A46B9">
            <w:pPr>
              <w:rPr>
                <w:lang w:eastAsia="zh-CN"/>
              </w:rPr>
            </w:pPr>
            <w:r>
              <w:rPr>
                <w:rFonts w:hint="eastAsia"/>
                <w:lang w:eastAsia="zh-CN"/>
              </w:rPr>
              <w:t>Assets pledged as security</w:t>
            </w:r>
          </w:p>
        </w:tc>
        <w:tc>
          <w:tcPr>
            <w:tcW w:w="1548" w:type="dxa"/>
          </w:tcPr>
          <w:p w14:paraId="6BCF3DCC" w14:textId="55D1CEAD" w:rsidR="002A46B9" w:rsidRDefault="00B2230F" w:rsidP="002A46B9">
            <w:pPr>
              <w:rPr>
                <w:lang w:eastAsia="zh-CN"/>
              </w:rPr>
            </w:pPr>
            <w:r>
              <w:rPr>
                <w:lang w:eastAsia="zh-CN"/>
              </w:rPr>
              <w:t>Unchanged</w:t>
            </w:r>
          </w:p>
        </w:tc>
        <w:tc>
          <w:tcPr>
            <w:tcW w:w="3331" w:type="dxa"/>
          </w:tcPr>
          <w:p w14:paraId="0882A523" w14:textId="652E2A00" w:rsidR="002A46B9" w:rsidRDefault="00B2230F" w:rsidP="002A46B9">
            <w:pPr>
              <w:rPr>
                <w:lang w:eastAsia="zh-CN"/>
              </w:rPr>
            </w:pPr>
            <w:r w:rsidRPr="0047498E">
              <w:rPr>
                <w:rFonts w:hint="eastAsia"/>
                <w:lang w:eastAsia="zh-CN"/>
              </w:rPr>
              <w:t xml:space="preserve">Refer to </w:t>
            </w:r>
            <w:r w:rsidR="0007383E">
              <w:rPr>
                <w:rFonts w:hint="eastAsia"/>
                <w:lang w:eastAsia="zh-CN"/>
              </w:rPr>
              <w:t>Tier</w:t>
            </w:r>
            <w:r w:rsidR="0007383E">
              <w:rPr>
                <w:lang w:eastAsia="zh-CN"/>
              </w:rPr>
              <w:t> </w:t>
            </w:r>
            <w:r w:rsidRPr="0047498E">
              <w:rPr>
                <w:rFonts w:hint="eastAsia"/>
                <w:lang w:eastAsia="zh-CN"/>
              </w:rPr>
              <w:t>1 Model Report</w:t>
            </w:r>
            <w:r w:rsidR="003D7AAE">
              <w:rPr>
                <w:lang w:eastAsia="zh-CN"/>
              </w:rPr>
              <w:t xml:space="preserve"> </w:t>
            </w:r>
            <w:r w:rsidR="003D7AAE" w:rsidRPr="00E10CD7">
              <w:rPr>
                <w:lang w:eastAsia="zh-CN"/>
              </w:rPr>
              <w:t>[</w:t>
            </w:r>
            <w:r w:rsidR="0007383E">
              <w:rPr>
                <w:lang w:eastAsia="zh-CN"/>
              </w:rPr>
              <w:t>AASB </w:t>
            </w:r>
            <w:r w:rsidR="003D7AAE" w:rsidRPr="00E10CD7">
              <w:rPr>
                <w:lang w:eastAsia="zh-CN"/>
              </w:rPr>
              <w:t>1060.</w:t>
            </w:r>
            <w:r w:rsidR="00CC4C4E" w:rsidRPr="00E10CD7">
              <w:rPr>
                <w:lang w:eastAsia="zh-CN"/>
              </w:rPr>
              <w:t>117;</w:t>
            </w:r>
            <w:r w:rsidR="003D7AAE" w:rsidRPr="00E10CD7">
              <w:rPr>
                <w:lang w:eastAsia="zh-CN"/>
              </w:rPr>
              <w:t>123(e);</w:t>
            </w:r>
            <w:r w:rsidR="00CC4C4E" w:rsidRPr="00E10CD7">
              <w:rPr>
                <w:lang w:eastAsia="zh-CN"/>
              </w:rPr>
              <w:t>135(a);138(c)</w:t>
            </w:r>
            <w:r w:rsidR="003D7AAE" w:rsidRPr="00E10CD7">
              <w:rPr>
                <w:lang w:eastAsia="zh-CN"/>
              </w:rPr>
              <w:t>]</w:t>
            </w:r>
          </w:p>
        </w:tc>
      </w:tr>
      <w:tr w:rsidR="002A46B9" w:rsidRPr="00FE69B4" w14:paraId="2BFDD4CF" w14:textId="77777777" w:rsidTr="00E51206">
        <w:trPr>
          <w:cnfStyle w:val="000000010000" w:firstRow="0" w:lastRow="0" w:firstColumn="0" w:lastColumn="0" w:oddVBand="0" w:evenVBand="0" w:oddHBand="0" w:evenHBand="1" w:firstRowFirstColumn="0" w:firstRowLastColumn="0" w:lastRowFirstColumn="0" w:lastRowLastColumn="0"/>
        </w:trPr>
        <w:tc>
          <w:tcPr>
            <w:tcW w:w="4751" w:type="dxa"/>
          </w:tcPr>
          <w:p w14:paraId="3CF07BA5" w14:textId="22B34D35" w:rsidR="002A46B9" w:rsidRDefault="002A46B9" w:rsidP="002A46B9">
            <w:pPr>
              <w:rPr>
                <w:lang w:eastAsia="zh-CN"/>
              </w:rPr>
            </w:pPr>
            <w:r>
              <w:rPr>
                <w:rFonts w:hint="eastAsia"/>
                <w:lang w:eastAsia="zh-CN"/>
              </w:rPr>
              <w:t>Hedging</w:t>
            </w:r>
          </w:p>
        </w:tc>
        <w:tc>
          <w:tcPr>
            <w:tcW w:w="1548" w:type="dxa"/>
          </w:tcPr>
          <w:p w14:paraId="70C439F0" w14:textId="71108D0F" w:rsidR="002A46B9" w:rsidRDefault="00BB5A5F" w:rsidP="002A46B9">
            <w:pPr>
              <w:rPr>
                <w:lang w:eastAsia="zh-CN"/>
              </w:rPr>
            </w:pPr>
            <w:r>
              <w:rPr>
                <w:lang w:eastAsia="zh-CN"/>
              </w:rPr>
              <w:t>Simplified</w:t>
            </w:r>
          </w:p>
        </w:tc>
        <w:tc>
          <w:tcPr>
            <w:tcW w:w="3331" w:type="dxa"/>
          </w:tcPr>
          <w:p w14:paraId="32EF9397" w14:textId="3F64B0CD" w:rsidR="002A46B9" w:rsidRDefault="00BB5A5F" w:rsidP="002A46B9">
            <w:pPr>
              <w:rPr>
                <w:lang w:eastAsia="zh-CN"/>
              </w:rPr>
            </w:pPr>
            <w:r>
              <w:rPr>
                <w:lang w:eastAsia="zh-CN"/>
              </w:rPr>
              <w:t>Refer to Guidance – Hedging</w:t>
            </w:r>
          </w:p>
        </w:tc>
      </w:tr>
      <w:tr w:rsidR="009F67B9" w:rsidRPr="00FE69B4" w14:paraId="56ECE10A" w14:textId="77777777" w:rsidTr="00E51206">
        <w:trPr>
          <w:cnfStyle w:val="000000100000" w:firstRow="0" w:lastRow="0" w:firstColumn="0" w:lastColumn="0" w:oddVBand="0" w:evenVBand="0" w:oddHBand="1" w:evenHBand="0" w:firstRowFirstColumn="0" w:firstRowLastColumn="0" w:lastRowFirstColumn="0" w:lastRowLastColumn="0"/>
        </w:trPr>
        <w:tc>
          <w:tcPr>
            <w:tcW w:w="4751" w:type="dxa"/>
          </w:tcPr>
          <w:p w14:paraId="355F07DD" w14:textId="1367D4F9" w:rsidR="009F67B9" w:rsidRDefault="00524330" w:rsidP="002A46B9">
            <w:pPr>
              <w:rPr>
                <w:lang w:eastAsia="zh-CN"/>
              </w:rPr>
            </w:pPr>
            <w:r>
              <w:rPr>
                <w:lang w:eastAsia="zh-CN"/>
              </w:rPr>
              <w:t>Reclassification</w:t>
            </w:r>
          </w:p>
        </w:tc>
        <w:tc>
          <w:tcPr>
            <w:tcW w:w="1548" w:type="dxa"/>
          </w:tcPr>
          <w:p w14:paraId="19BD76C4" w14:textId="2C07547E" w:rsidR="009F67B9" w:rsidRDefault="00524330" w:rsidP="002A46B9">
            <w:pPr>
              <w:rPr>
                <w:lang w:eastAsia="zh-CN"/>
              </w:rPr>
            </w:pPr>
            <w:r>
              <w:rPr>
                <w:lang w:eastAsia="zh-CN"/>
              </w:rPr>
              <w:t>Unchanged</w:t>
            </w:r>
          </w:p>
        </w:tc>
        <w:tc>
          <w:tcPr>
            <w:tcW w:w="3331" w:type="dxa"/>
          </w:tcPr>
          <w:p w14:paraId="1481E9A3" w14:textId="34C1A818" w:rsidR="009F67B9" w:rsidRDefault="00524330" w:rsidP="002A46B9">
            <w:pPr>
              <w:rPr>
                <w:lang w:eastAsia="zh-CN"/>
              </w:rPr>
            </w:pPr>
            <w:r w:rsidRPr="0047498E">
              <w:rPr>
                <w:rFonts w:hint="eastAsia"/>
                <w:lang w:eastAsia="zh-CN"/>
              </w:rPr>
              <w:t xml:space="preserve">Refer to </w:t>
            </w:r>
            <w:r w:rsidR="0007383E">
              <w:rPr>
                <w:rFonts w:hint="eastAsia"/>
                <w:lang w:eastAsia="zh-CN"/>
              </w:rPr>
              <w:t>Tier</w:t>
            </w:r>
            <w:r w:rsidR="0007383E">
              <w:rPr>
                <w:lang w:eastAsia="zh-CN"/>
              </w:rPr>
              <w:t> </w:t>
            </w:r>
            <w:r w:rsidRPr="0047498E">
              <w:rPr>
                <w:rFonts w:hint="eastAsia"/>
                <w:lang w:eastAsia="zh-CN"/>
              </w:rPr>
              <w:t>1 Model Report</w:t>
            </w:r>
            <w:r>
              <w:rPr>
                <w:lang w:eastAsia="zh-CN"/>
              </w:rPr>
              <w:t xml:space="preserve"> </w:t>
            </w:r>
            <w:r w:rsidRPr="00B66B51">
              <w:rPr>
                <w:lang w:eastAsia="zh-CN"/>
              </w:rPr>
              <w:t>[</w:t>
            </w:r>
            <w:r w:rsidR="0007383E">
              <w:rPr>
                <w:lang w:eastAsia="zh-CN"/>
              </w:rPr>
              <w:t>AASB </w:t>
            </w:r>
            <w:r w:rsidRPr="00B66B51">
              <w:rPr>
                <w:lang w:eastAsia="zh-CN"/>
              </w:rPr>
              <w:t>1060.</w:t>
            </w:r>
            <w:r>
              <w:rPr>
                <w:lang w:eastAsia="zh-CN"/>
              </w:rPr>
              <w:t>18</w:t>
            </w:r>
            <w:r w:rsidRPr="00B66B51">
              <w:rPr>
                <w:lang w:eastAsia="zh-CN"/>
              </w:rPr>
              <w:t>]</w:t>
            </w:r>
          </w:p>
        </w:tc>
      </w:tr>
      <w:tr w:rsidR="009C2B89" w:rsidRPr="00FE69B4" w14:paraId="5244EEDA" w14:textId="77777777" w:rsidTr="00E51206">
        <w:trPr>
          <w:cnfStyle w:val="000000010000" w:firstRow="0" w:lastRow="0" w:firstColumn="0" w:lastColumn="0" w:oddVBand="0" w:evenVBand="0" w:oddHBand="0" w:evenHBand="1" w:firstRowFirstColumn="0" w:firstRowLastColumn="0" w:lastRowFirstColumn="0" w:lastRowLastColumn="0"/>
        </w:trPr>
        <w:tc>
          <w:tcPr>
            <w:tcW w:w="4751" w:type="dxa"/>
          </w:tcPr>
          <w:p w14:paraId="5FE999FC" w14:textId="33EA5FF9" w:rsidR="009C2B89" w:rsidRDefault="009C2B89" w:rsidP="002A46B9">
            <w:pPr>
              <w:rPr>
                <w:lang w:eastAsia="zh-CN"/>
              </w:rPr>
            </w:pPr>
            <w:r>
              <w:rPr>
                <w:lang w:eastAsia="zh-CN"/>
              </w:rPr>
              <w:t>Offsetting</w:t>
            </w:r>
          </w:p>
        </w:tc>
        <w:tc>
          <w:tcPr>
            <w:tcW w:w="1548" w:type="dxa"/>
          </w:tcPr>
          <w:p w14:paraId="1FC54FAF" w14:textId="1205821C" w:rsidR="009C2B89" w:rsidRDefault="007A2FB6" w:rsidP="002A46B9">
            <w:pPr>
              <w:rPr>
                <w:lang w:eastAsia="zh-CN"/>
              </w:rPr>
            </w:pPr>
            <w:r>
              <w:rPr>
                <w:rFonts w:hint="eastAsia"/>
                <w:lang w:eastAsia="zh-CN"/>
              </w:rPr>
              <w:t>Unchanged</w:t>
            </w:r>
          </w:p>
        </w:tc>
        <w:tc>
          <w:tcPr>
            <w:tcW w:w="3331" w:type="dxa"/>
          </w:tcPr>
          <w:p w14:paraId="6F8EBF11" w14:textId="1EDD28F5" w:rsidR="009C2B89" w:rsidRPr="0047498E" w:rsidRDefault="007A2FB6" w:rsidP="002A46B9">
            <w:pPr>
              <w:rPr>
                <w:lang w:eastAsia="zh-CN"/>
              </w:rPr>
            </w:pPr>
            <w:r w:rsidRPr="0047498E">
              <w:rPr>
                <w:rFonts w:hint="eastAsia"/>
                <w:lang w:eastAsia="zh-CN"/>
              </w:rPr>
              <w:t xml:space="preserve">Refer to </w:t>
            </w:r>
            <w:r w:rsidR="0007383E">
              <w:rPr>
                <w:rFonts w:hint="eastAsia"/>
                <w:lang w:eastAsia="zh-CN"/>
              </w:rPr>
              <w:t>Tier</w:t>
            </w:r>
            <w:r w:rsidR="0007383E">
              <w:rPr>
                <w:lang w:eastAsia="zh-CN"/>
              </w:rPr>
              <w:t> </w:t>
            </w:r>
            <w:r w:rsidRPr="0047498E">
              <w:rPr>
                <w:rFonts w:hint="eastAsia"/>
                <w:lang w:eastAsia="zh-CN"/>
              </w:rPr>
              <w:t>1 Model Report</w:t>
            </w:r>
            <w:r>
              <w:rPr>
                <w:lang w:eastAsia="zh-CN"/>
              </w:rPr>
              <w:t xml:space="preserve"> </w:t>
            </w:r>
            <w:r w:rsidRPr="00B66B51">
              <w:rPr>
                <w:lang w:eastAsia="zh-CN"/>
              </w:rPr>
              <w:t>[</w:t>
            </w:r>
            <w:r w:rsidR="0007383E">
              <w:rPr>
                <w:lang w:eastAsia="zh-CN"/>
              </w:rPr>
              <w:t>AASB </w:t>
            </w:r>
            <w:r w:rsidRPr="00B66B51">
              <w:rPr>
                <w:lang w:eastAsia="zh-CN"/>
              </w:rPr>
              <w:t>1060.</w:t>
            </w:r>
            <w:r>
              <w:rPr>
                <w:rFonts w:hint="eastAsia"/>
                <w:lang w:eastAsia="zh-CN"/>
              </w:rPr>
              <w:t>24</w:t>
            </w:r>
            <w:r w:rsidRPr="00B66B51">
              <w:rPr>
                <w:lang w:eastAsia="zh-CN"/>
              </w:rPr>
              <w:t>]</w:t>
            </w:r>
          </w:p>
        </w:tc>
      </w:tr>
      <w:tr w:rsidR="005D7B3E" w:rsidRPr="00FE69B4" w14:paraId="3FB15588" w14:textId="77777777" w:rsidTr="00E51206">
        <w:trPr>
          <w:cnfStyle w:val="000000100000" w:firstRow="0" w:lastRow="0" w:firstColumn="0" w:lastColumn="0" w:oddVBand="0" w:evenVBand="0" w:oddHBand="1" w:evenHBand="0" w:firstRowFirstColumn="0" w:firstRowLastColumn="0" w:lastRowFirstColumn="0" w:lastRowLastColumn="0"/>
        </w:trPr>
        <w:tc>
          <w:tcPr>
            <w:tcW w:w="4751" w:type="dxa"/>
            <w:shd w:val="clear" w:color="auto" w:fill="auto"/>
          </w:tcPr>
          <w:p w14:paraId="1ACF4B82" w14:textId="5069218B" w:rsidR="005D7B3E" w:rsidRDefault="005D7B3E" w:rsidP="002A46B9">
            <w:pPr>
              <w:rPr>
                <w:lang w:eastAsia="zh-CN"/>
              </w:rPr>
            </w:pPr>
            <w:r>
              <w:rPr>
                <w:lang w:eastAsia="zh-CN"/>
              </w:rPr>
              <w:t>Change in estimate</w:t>
            </w:r>
          </w:p>
        </w:tc>
        <w:tc>
          <w:tcPr>
            <w:tcW w:w="1548" w:type="dxa"/>
            <w:shd w:val="clear" w:color="auto" w:fill="auto"/>
          </w:tcPr>
          <w:p w14:paraId="1D906D7B" w14:textId="429A7164" w:rsidR="005D7B3E" w:rsidRDefault="005D7B3E" w:rsidP="002A46B9">
            <w:pPr>
              <w:rPr>
                <w:lang w:eastAsia="zh-CN"/>
              </w:rPr>
            </w:pPr>
            <w:r>
              <w:rPr>
                <w:lang w:eastAsia="zh-CN"/>
              </w:rPr>
              <w:t>Simplified</w:t>
            </w:r>
          </w:p>
        </w:tc>
        <w:tc>
          <w:tcPr>
            <w:tcW w:w="3331" w:type="dxa"/>
            <w:shd w:val="clear" w:color="auto" w:fill="auto"/>
          </w:tcPr>
          <w:p w14:paraId="48C4C473" w14:textId="4CCE859B" w:rsidR="005D7B3E" w:rsidRDefault="002A74D7" w:rsidP="002A46B9">
            <w:pPr>
              <w:rPr>
                <w:lang w:eastAsia="zh-CN"/>
              </w:rPr>
            </w:pPr>
            <w:r>
              <w:rPr>
                <w:lang w:eastAsia="zh-CN"/>
              </w:rPr>
              <w:t>Refer to Guidance – Change in Estimate</w:t>
            </w:r>
          </w:p>
        </w:tc>
      </w:tr>
      <w:tr w:rsidR="002A46B9" w:rsidRPr="00FE69B4" w14:paraId="46442CA6" w14:textId="77777777" w:rsidTr="00E51206">
        <w:trPr>
          <w:cnfStyle w:val="000000010000" w:firstRow="0" w:lastRow="0" w:firstColumn="0" w:lastColumn="0" w:oddVBand="0" w:evenVBand="0" w:oddHBand="0" w:evenHBand="1" w:firstRowFirstColumn="0" w:firstRowLastColumn="0" w:lastRowFirstColumn="0" w:lastRowLastColumn="0"/>
        </w:trPr>
        <w:tc>
          <w:tcPr>
            <w:tcW w:w="4751" w:type="dxa"/>
          </w:tcPr>
          <w:p w14:paraId="4F1E6B6B" w14:textId="3C3EDF00" w:rsidR="002A46B9" w:rsidRDefault="002A46B9" w:rsidP="002A46B9">
            <w:pPr>
              <w:rPr>
                <w:lang w:eastAsia="zh-CN"/>
              </w:rPr>
            </w:pPr>
            <w:r>
              <w:rPr>
                <w:rFonts w:hint="eastAsia"/>
                <w:lang w:eastAsia="zh-CN"/>
              </w:rPr>
              <w:t>Correction of prior year error</w:t>
            </w:r>
          </w:p>
        </w:tc>
        <w:tc>
          <w:tcPr>
            <w:tcW w:w="1548" w:type="dxa"/>
          </w:tcPr>
          <w:p w14:paraId="5D0BC5E8" w14:textId="36D8790A" w:rsidR="002A46B9" w:rsidRDefault="009B3CB2" w:rsidP="00FE3832">
            <w:pPr>
              <w:rPr>
                <w:lang w:eastAsia="zh-CN"/>
              </w:rPr>
            </w:pPr>
            <w:r>
              <w:rPr>
                <w:lang w:eastAsia="zh-CN"/>
              </w:rPr>
              <w:t>Simplified</w:t>
            </w:r>
          </w:p>
        </w:tc>
        <w:tc>
          <w:tcPr>
            <w:tcW w:w="3331" w:type="dxa"/>
          </w:tcPr>
          <w:p w14:paraId="27B42D8C" w14:textId="14DF817E" w:rsidR="002A46B9" w:rsidRDefault="009B3CB2" w:rsidP="002A46B9">
            <w:pPr>
              <w:rPr>
                <w:lang w:eastAsia="zh-CN"/>
              </w:rPr>
            </w:pPr>
            <w:r>
              <w:rPr>
                <w:lang w:eastAsia="zh-CN"/>
              </w:rPr>
              <w:t>Refer to Guidance – Correction to Prior Year Error</w:t>
            </w:r>
          </w:p>
        </w:tc>
      </w:tr>
    </w:tbl>
    <w:p w14:paraId="6A2831E6" w14:textId="63177168" w:rsidR="00681646" w:rsidRDefault="00681646" w:rsidP="00AB4209"/>
    <w:p w14:paraId="47AE8838" w14:textId="6F8F44B5" w:rsidR="00E92B50" w:rsidRDefault="00A34B67" w:rsidP="0074346A">
      <w:pPr>
        <w:pStyle w:val="Heading2"/>
        <w:rPr>
          <w:rFonts w:eastAsia="SimHei"/>
          <w:lang w:eastAsia="zh-CN"/>
        </w:rPr>
      </w:pPr>
      <w:bookmarkStart w:id="10950" w:name="_Toc179816798"/>
      <w:bookmarkStart w:id="10951" w:name="_Toc179822498"/>
      <w:bookmarkStart w:id="10952" w:name="_Toc179828198"/>
      <w:bookmarkStart w:id="10953" w:name="_Toc179833833"/>
      <w:bookmarkStart w:id="10954" w:name="_Toc179865363"/>
      <w:bookmarkStart w:id="10955" w:name="_Toc179871464"/>
      <w:bookmarkStart w:id="10956" w:name="_Toc179875857"/>
      <w:bookmarkStart w:id="10957" w:name="_Toc179880250"/>
      <w:bookmarkStart w:id="10958" w:name="_Toc179880343"/>
      <w:r>
        <w:rPr>
          <w:rFonts w:eastAsia="SimHei"/>
          <w:lang w:eastAsia="zh-CN"/>
        </w:rPr>
        <w:t>Guidance</w:t>
      </w:r>
      <w:r w:rsidR="004E2AC9">
        <w:rPr>
          <w:rFonts w:eastAsia="SimHei"/>
          <w:lang w:eastAsia="zh-CN"/>
        </w:rPr>
        <w:t xml:space="preserve"> – </w:t>
      </w:r>
      <w:r w:rsidR="00E92B50">
        <w:rPr>
          <w:rFonts w:eastAsia="SimHei" w:hint="eastAsia"/>
          <w:lang w:eastAsia="zh-CN"/>
        </w:rPr>
        <w:t xml:space="preserve">Biological </w:t>
      </w:r>
      <w:r w:rsidR="00FE294F">
        <w:rPr>
          <w:rFonts w:eastAsia="SimHei"/>
          <w:lang w:eastAsia="zh-CN"/>
        </w:rPr>
        <w:t>assets</w:t>
      </w:r>
      <w:bookmarkEnd w:id="10950"/>
      <w:bookmarkEnd w:id="10951"/>
      <w:bookmarkEnd w:id="10952"/>
      <w:bookmarkEnd w:id="10953"/>
      <w:bookmarkEnd w:id="10954"/>
      <w:bookmarkEnd w:id="10955"/>
      <w:bookmarkEnd w:id="10956"/>
      <w:bookmarkEnd w:id="10957"/>
      <w:bookmarkEnd w:id="10958"/>
    </w:p>
    <w:p w14:paraId="70F20C0B" w14:textId="28626B2E" w:rsidR="00797395" w:rsidRPr="002A0038" w:rsidRDefault="008E5D2D" w:rsidP="001E6E1E">
      <w:pPr>
        <w:pStyle w:val="Heading3"/>
        <w:rPr>
          <w:lang w:eastAsia="zh-CN"/>
        </w:rPr>
      </w:pPr>
      <w:r w:rsidRPr="002A0038">
        <w:rPr>
          <w:lang w:eastAsia="zh-CN"/>
        </w:rPr>
        <w:t>Disclosures – fair value model</w:t>
      </w:r>
    </w:p>
    <w:p w14:paraId="77E11124" w14:textId="77777777" w:rsidR="008E5D2D" w:rsidRPr="008E5D2D" w:rsidRDefault="008E5D2D" w:rsidP="002A04CE">
      <w:pPr>
        <w:rPr>
          <w:lang w:eastAsia="zh-CN"/>
        </w:rPr>
      </w:pPr>
      <w:r w:rsidRPr="008E5D2D">
        <w:rPr>
          <w:lang w:eastAsia="zh-CN"/>
        </w:rPr>
        <w:t xml:space="preserve">An entity shall disclose the following with respect to its biological assets measured at fair value: </w:t>
      </w:r>
    </w:p>
    <w:p w14:paraId="105B8219" w14:textId="15669905" w:rsidR="008E5D2D" w:rsidRPr="008E5D2D" w:rsidRDefault="00641EF8" w:rsidP="002A0038">
      <w:pPr>
        <w:pStyle w:val="ListParagraph"/>
        <w:numPr>
          <w:ilvl w:val="1"/>
          <w:numId w:val="239"/>
        </w:numPr>
        <w:spacing w:before="40" w:after="80" w:line="264" w:lineRule="auto"/>
        <w:rPr>
          <w:lang w:eastAsia="zh-CN"/>
        </w:rPr>
      </w:pPr>
      <w:r>
        <w:rPr>
          <w:lang w:eastAsia="zh-CN"/>
        </w:rPr>
        <w:t>A</w:t>
      </w:r>
      <w:r w:rsidR="008E5D2D" w:rsidRPr="008E5D2D">
        <w:rPr>
          <w:lang w:eastAsia="zh-CN"/>
        </w:rPr>
        <w:t xml:space="preserve"> description of each class of its biological assets. </w:t>
      </w:r>
    </w:p>
    <w:p w14:paraId="219AC1D7" w14:textId="1C09206C" w:rsidR="008E5D2D" w:rsidRPr="008E5D2D" w:rsidRDefault="00641EF8" w:rsidP="002A0038">
      <w:pPr>
        <w:pStyle w:val="ListParagraph"/>
        <w:numPr>
          <w:ilvl w:val="1"/>
          <w:numId w:val="239"/>
        </w:numPr>
        <w:spacing w:before="40" w:after="80" w:line="264" w:lineRule="auto"/>
        <w:rPr>
          <w:lang w:eastAsia="zh-CN"/>
        </w:rPr>
      </w:pPr>
      <w:r>
        <w:rPr>
          <w:lang w:eastAsia="zh-CN"/>
        </w:rPr>
        <w:t>T</w:t>
      </w:r>
      <w:r w:rsidR="008E5D2D" w:rsidRPr="008E5D2D">
        <w:rPr>
          <w:lang w:eastAsia="zh-CN"/>
        </w:rPr>
        <w:t xml:space="preserve">he methods and significant assumptions applied in determining the fair value of each category of agricultural produce at the point of harvest and each category of biological assets. </w:t>
      </w:r>
    </w:p>
    <w:p w14:paraId="490B16E4" w14:textId="252D8D47" w:rsidR="008E5D2D" w:rsidRPr="008E5D2D" w:rsidRDefault="00641EF8" w:rsidP="002A0038">
      <w:pPr>
        <w:pStyle w:val="ListParagraph"/>
        <w:numPr>
          <w:ilvl w:val="1"/>
          <w:numId w:val="239"/>
        </w:numPr>
        <w:spacing w:before="40" w:after="80" w:line="264" w:lineRule="auto"/>
        <w:rPr>
          <w:lang w:eastAsia="zh-CN"/>
        </w:rPr>
      </w:pPr>
      <w:r>
        <w:rPr>
          <w:lang w:eastAsia="zh-CN"/>
        </w:rPr>
        <w:t>A</w:t>
      </w:r>
      <w:r w:rsidR="008E5D2D" w:rsidRPr="008E5D2D">
        <w:rPr>
          <w:lang w:eastAsia="zh-CN"/>
        </w:rPr>
        <w:t xml:space="preserve"> reconciliation of changes in the carrying amount of biological assets between the beginning and the end of the current period. The reconciliation shall include: </w:t>
      </w:r>
    </w:p>
    <w:p w14:paraId="497A1519" w14:textId="370B10C0" w:rsidR="008E5D2D" w:rsidRPr="008E5D2D" w:rsidRDefault="008E5D2D" w:rsidP="001E6E1E">
      <w:pPr>
        <w:pStyle w:val="ListAlpha2"/>
        <w:tabs>
          <w:tab w:val="clear" w:pos="568"/>
          <w:tab w:val="num" w:pos="644"/>
        </w:tabs>
        <w:ind w:left="644"/>
        <w:rPr>
          <w:lang w:eastAsia="zh-CN"/>
        </w:rPr>
      </w:pPr>
      <w:r w:rsidRPr="008E5D2D">
        <w:rPr>
          <w:lang w:eastAsia="zh-CN"/>
        </w:rPr>
        <w:t xml:space="preserve">the gain or loss arising from changes in fair value less costs to sell </w:t>
      </w:r>
    </w:p>
    <w:p w14:paraId="6B884BFA" w14:textId="362C0347" w:rsidR="008E5D2D" w:rsidRPr="008E5D2D" w:rsidRDefault="008E5D2D" w:rsidP="001E6E1E">
      <w:pPr>
        <w:pStyle w:val="ListAlpha2"/>
        <w:tabs>
          <w:tab w:val="clear" w:pos="568"/>
          <w:tab w:val="num" w:pos="644"/>
        </w:tabs>
        <w:ind w:left="644"/>
        <w:rPr>
          <w:lang w:eastAsia="zh-CN"/>
        </w:rPr>
      </w:pPr>
      <w:r w:rsidRPr="008E5D2D">
        <w:rPr>
          <w:lang w:eastAsia="zh-CN"/>
        </w:rPr>
        <w:t xml:space="preserve">increases resulting from purchases </w:t>
      </w:r>
    </w:p>
    <w:p w14:paraId="66D7A53D" w14:textId="6115944F" w:rsidR="008E5D2D" w:rsidRPr="008E5D2D" w:rsidRDefault="008E5D2D" w:rsidP="001E6E1E">
      <w:pPr>
        <w:pStyle w:val="ListAlpha2"/>
        <w:tabs>
          <w:tab w:val="clear" w:pos="568"/>
          <w:tab w:val="num" w:pos="644"/>
        </w:tabs>
        <w:ind w:left="644"/>
        <w:rPr>
          <w:lang w:eastAsia="zh-CN"/>
        </w:rPr>
      </w:pPr>
      <w:r w:rsidRPr="008E5D2D">
        <w:rPr>
          <w:lang w:eastAsia="zh-CN"/>
        </w:rPr>
        <w:t xml:space="preserve">decreases resulting from harvest </w:t>
      </w:r>
    </w:p>
    <w:p w14:paraId="79EAF2E4" w14:textId="7457CD6F" w:rsidR="008E5D2D" w:rsidRPr="008E5D2D" w:rsidRDefault="008E5D2D" w:rsidP="001E6E1E">
      <w:pPr>
        <w:pStyle w:val="ListAlpha2"/>
        <w:tabs>
          <w:tab w:val="clear" w:pos="568"/>
          <w:tab w:val="num" w:pos="644"/>
        </w:tabs>
        <w:ind w:left="644"/>
        <w:rPr>
          <w:lang w:eastAsia="zh-CN"/>
        </w:rPr>
      </w:pPr>
      <w:r w:rsidRPr="008E5D2D">
        <w:rPr>
          <w:lang w:eastAsia="zh-CN"/>
        </w:rPr>
        <w:t xml:space="preserve">increases resulting from business combinations </w:t>
      </w:r>
    </w:p>
    <w:p w14:paraId="45751DF2" w14:textId="34545EB3" w:rsidR="008E5D2D" w:rsidRPr="008E5D2D" w:rsidRDefault="008E5D2D" w:rsidP="001E6E1E">
      <w:pPr>
        <w:pStyle w:val="ListAlpha2"/>
        <w:tabs>
          <w:tab w:val="clear" w:pos="568"/>
          <w:tab w:val="num" w:pos="644"/>
        </w:tabs>
        <w:ind w:left="644"/>
        <w:rPr>
          <w:lang w:eastAsia="zh-CN"/>
        </w:rPr>
      </w:pPr>
      <w:r w:rsidRPr="008E5D2D">
        <w:rPr>
          <w:lang w:eastAsia="zh-CN"/>
        </w:rPr>
        <w:t xml:space="preserve">net exchange differences arising on the translation of financial statements into a different presentation currency and on the translation of a foreign operation into the presentation currency of the reporting entity; and </w:t>
      </w:r>
    </w:p>
    <w:p w14:paraId="390AB657" w14:textId="3738CFFD" w:rsidR="008E5D2D" w:rsidRPr="008E5D2D" w:rsidRDefault="008E5D2D" w:rsidP="001E6E1E">
      <w:pPr>
        <w:pStyle w:val="ListAlpha2"/>
        <w:tabs>
          <w:tab w:val="clear" w:pos="568"/>
          <w:tab w:val="num" w:pos="644"/>
        </w:tabs>
        <w:ind w:left="644"/>
        <w:rPr>
          <w:lang w:eastAsia="zh-CN"/>
        </w:rPr>
      </w:pPr>
      <w:r w:rsidRPr="008E5D2D">
        <w:rPr>
          <w:lang w:eastAsia="zh-CN"/>
        </w:rPr>
        <w:t xml:space="preserve">other changes. </w:t>
      </w:r>
    </w:p>
    <w:p w14:paraId="515797A6" w14:textId="1D158A5B" w:rsidR="008E5D2D" w:rsidRDefault="008E5D2D" w:rsidP="001E6E1E">
      <w:pPr>
        <w:rPr>
          <w:lang w:eastAsia="zh-CN"/>
        </w:rPr>
      </w:pPr>
      <w:r w:rsidRPr="008E5D2D">
        <w:rPr>
          <w:lang w:eastAsia="zh-CN"/>
        </w:rPr>
        <w:t>This reconciliation need not be presented for prior periods.</w:t>
      </w:r>
      <w:r w:rsidR="00CF1D29">
        <w:rPr>
          <w:lang w:eastAsia="zh-CN"/>
        </w:rPr>
        <w:t xml:space="preserve"> </w:t>
      </w:r>
      <w:r w:rsidR="00CB0361" w:rsidRPr="067473FC">
        <w:rPr>
          <w:rStyle w:val="Reference"/>
        </w:rPr>
        <w:t>[</w:t>
      </w:r>
      <w:r w:rsidR="0007383E">
        <w:rPr>
          <w:rStyle w:val="Reference"/>
        </w:rPr>
        <w:t>AASB </w:t>
      </w:r>
      <w:r w:rsidR="00CB0361" w:rsidRPr="067473FC">
        <w:rPr>
          <w:rStyle w:val="Reference"/>
        </w:rPr>
        <w:t>1060.</w:t>
      </w:r>
      <w:r w:rsidR="00CB0361">
        <w:rPr>
          <w:rStyle w:val="Reference"/>
        </w:rPr>
        <w:t>204</w:t>
      </w:r>
      <w:r w:rsidR="00CB0361" w:rsidRPr="067473FC">
        <w:rPr>
          <w:rStyle w:val="Reference"/>
        </w:rPr>
        <w:t>]</w:t>
      </w:r>
    </w:p>
    <w:p w14:paraId="06598A42" w14:textId="173AE4CA" w:rsidR="00966996" w:rsidRDefault="00966996" w:rsidP="0074346A">
      <w:pPr>
        <w:pStyle w:val="Heading2"/>
      </w:pPr>
      <w:bookmarkStart w:id="10959" w:name="_Toc179816799"/>
      <w:bookmarkStart w:id="10960" w:name="_Toc179822499"/>
      <w:bookmarkStart w:id="10961" w:name="_Toc179828199"/>
      <w:bookmarkStart w:id="10962" w:name="_Toc179833834"/>
      <w:bookmarkStart w:id="10963" w:name="_Toc179865364"/>
      <w:bookmarkStart w:id="10964" w:name="_Toc179871465"/>
      <w:bookmarkStart w:id="10965" w:name="_Toc179875858"/>
      <w:bookmarkStart w:id="10966" w:name="_Toc179880251"/>
      <w:bookmarkStart w:id="10967" w:name="_Toc179880344"/>
      <w:r>
        <w:t xml:space="preserve">Guidance – Discontinued </w:t>
      </w:r>
      <w:r w:rsidR="00FE294F">
        <w:t>operations</w:t>
      </w:r>
      <w:bookmarkEnd w:id="10959"/>
      <w:bookmarkEnd w:id="10960"/>
      <w:bookmarkEnd w:id="10961"/>
      <w:bookmarkEnd w:id="10962"/>
      <w:bookmarkEnd w:id="10963"/>
      <w:bookmarkEnd w:id="10964"/>
      <w:bookmarkEnd w:id="10965"/>
      <w:bookmarkEnd w:id="10966"/>
      <w:bookmarkEnd w:id="10967"/>
    </w:p>
    <w:p w14:paraId="1AB4CDDD" w14:textId="4B135651" w:rsidR="00966996" w:rsidRDefault="000C3F41" w:rsidP="00676B35">
      <w:r w:rsidRPr="000C3F41">
        <w:t>As a minimum, an entity shall include, in the statement(s) presenting profit or loss and other comprehensive income</w:t>
      </w:r>
      <w:r>
        <w:t xml:space="preserve"> (single-statement approach)</w:t>
      </w:r>
      <w:r w:rsidRPr="000C3F41">
        <w:t xml:space="preserve">, </w:t>
      </w:r>
      <w:r w:rsidR="003F0C84" w:rsidRPr="003F0C84">
        <w:t>a single amount for the total of:</w:t>
      </w:r>
    </w:p>
    <w:p w14:paraId="22534DD0" w14:textId="0130274B" w:rsidR="00C66457" w:rsidRPr="00C66457" w:rsidRDefault="00C66457" w:rsidP="002A0038">
      <w:pPr>
        <w:pStyle w:val="ListParagraph"/>
        <w:numPr>
          <w:ilvl w:val="0"/>
          <w:numId w:val="248"/>
        </w:numPr>
        <w:spacing w:before="40" w:after="80" w:line="264" w:lineRule="auto"/>
        <w:ind w:left="357" w:hanging="357"/>
      </w:pPr>
      <w:r w:rsidRPr="00C66457">
        <w:t xml:space="preserve">discontinued operations (see </w:t>
      </w:r>
      <w:r w:rsidR="0007383E">
        <w:t>AASB </w:t>
      </w:r>
      <w:r w:rsidRPr="00C66457">
        <w:t xml:space="preserve">5 </w:t>
      </w:r>
      <w:r w:rsidRPr="002A0038">
        <w:rPr>
          <w:i/>
          <w:iCs/>
        </w:rPr>
        <w:t>Non-current Assets Held for Sale and Discontinued Operations</w:t>
      </w:r>
      <w:r w:rsidRPr="00C66457">
        <w:t xml:space="preserve">); and </w:t>
      </w:r>
    </w:p>
    <w:p w14:paraId="4B651562" w14:textId="0B69E528" w:rsidR="00D033F0" w:rsidRPr="002A04CE" w:rsidRDefault="00C66457" w:rsidP="002A0038">
      <w:pPr>
        <w:pStyle w:val="ListParagraph"/>
        <w:numPr>
          <w:ilvl w:val="0"/>
          <w:numId w:val="248"/>
        </w:numPr>
        <w:spacing w:before="40" w:after="80" w:line="264" w:lineRule="auto"/>
        <w:ind w:left="357" w:hanging="357"/>
      </w:pPr>
      <w:r w:rsidRPr="00C66457">
        <w:t xml:space="preserve">the post-tax gain or loss attributable to an impairment, or reversal of an impairment, of the assets in the discontinued operation (see </w:t>
      </w:r>
      <w:r w:rsidR="0007383E">
        <w:t>AASB </w:t>
      </w:r>
      <w:r w:rsidRPr="00C66457">
        <w:t xml:space="preserve">5), both at the time and </w:t>
      </w:r>
      <w:proofErr w:type="gramStart"/>
      <w:r w:rsidRPr="00C66457">
        <w:t>subsequent to</w:t>
      </w:r>
      <w:proofErr w:type="gramEnd"/>
      <w:r w:rsidRPr="00C66457">
        <w:t xml:space="preserve"> being classified as a </w:t>
      </w:r>
      <w:r w:rsidR="00676B35" w:rsidRPr="00676B35">
        <w:t>discontinued operation and to the disposal of the net assets constituting the discontinued operation</w:t>
      </w:r>
      <w:r w:rsidR="00676B35">
        <w:t xml:space="preserve">. </w:t>
      </w:r>
      <w:r w:rsidR="00676B35" w:rsidRPr="067473FC">
        <w:rPr>
          <w:rStyle w:val="Reference"/>
        </w:rPr>
        <w:t>[</w:t>
      </w:r>
      <w:r w:rsidR="0007383E">
        <w:rPr>
          <w:rStyle w:val="Reference"/>
        </w:rPr>
        <w:t>AASB </w:t>
      </w:r>
      <w:r w:rsidR="00676B35" w:rsidRPr="067473FC">
        <w:rPr>
          <w:rStyle w:val="Reference"/>
        </w:rPr>
        <w:t>1060.</w:t>
      </w:r>
      <w:r w:rsidR="00676B35">
        <w:rPr>
          <w:rStyle w:val="Reference"/>
        </w:rPr>
        <w:t>52(e)</w:t>
      </w:r>
      <w:r w:rsidR="00676B35" w:rsidRPr="067473FC">
        <w:rPr>
          <w:rStyle w:val="Reference"/>
        </w:rPr>
        <w:t>]</w:t>
      </w:r>
    </w:p>
    <w:p w14:paraId="01716EF5" w14:textId="5BCF74B2" w:rsidR="006D2960" w:rsidRDefault="006D2960" w:rsidP="0074346A">
      <w:pPr>
        <w:pStyle w:val="Heading2"/>
      </w:pPr>
      <w:bookmarkStart w:id="10968" w:name="_Toc179816800"/>
      <w:bookmarkStart w:id="10969" w:name="_Toc179822500"/>
      <w:bookmarkStart w:id="10970" w:name="_Toc179828200"/>
      <w:bookmarkStart w:id="10971" w:name="_Toc179833835"/>
      <w:bookmarkStart w:id="10972" w:name="_Toc179865365"/>
      <w:bookmarkStart w:id="10973" w:name="_Toc179871466"/>
      <w:bookmarkStart w:id="10974" w:name="_Toc179875859"/>
      <w:bookmarkStart w:id="10975" w:name="_Toc179880252"/>
      <w:bookmarkStart w:id="10976" w:name="_Toc179880345"/>
      <w:r>
        <w:t xml:space="preserve">Guidance – Business </w:t>
      </w:r>
      <w:r w:rsidR="00FE294F">
        <w:t>combinations</w:t>
      </w:r>
      <w:bookmarkEnd w:id="10968"/>
      <w:bookmarkEnd w:id="10969"/>
      <w:bookmarkEnd w:id="10970"/>
      <w:bookmarkEnd w:id="10971"/>
      <w:bookmarkEnd w:id="10972"/>
      <w:bookmarkEnd w:id="10973"/>
      <w:bookmarkEnd w:id="10974"/>
      <w:bookmarkEnd w:id="10975"/>
      <w:bookmarkEnd w:id="10976"/>
    </w:p>
    <w:p w14:paraId="27E4FF53" w14:textId="0B23E1D0" w:rsidR="006D2960" w:rsidRPr="002A0038" w:rsidRDefault="006D2960" w:rsidP="001E6E1E">
      <w:pPr>
        <w:pStyle w:val="Heading3"/>
        <w:rPr>
          <w:lang w:eastAsia="zh-CN"/>
        </w:rPr>
      </w:pPr>
      <w:r w:rsidRPr="002A0038">
        <w:rPr>
          <w:lang w:eastAsia="zh-CN"/>
        </w:rPr>
        <w:t>For business combination(s) during the reporting period</w:t>
      </w:r>
    </w:p>
    <w:p w14:paraId="7C8853D1" w14:textId="77777777" w:rsidR="00E52908" w:rsidRPr="00E52908" w:rsidRDefault="00E52908" w:rsidP="002A04CE">
      <w:r w:rsidRPr="00E52908">
        <w:t xml:space="preserve">For each business combination during the period, the acquirer shall disclose the following: </w:t>
      </w:r>
    </w:p>
    <w:p w14:paraId="1504699F" w14:textId="7888D96A" w:rsidR="00E52908" w:rsidRPr="00E52908" w:rsidRDefault="00641EF8" w:rsidP="002A0038">
      <w:pPr>
        <w:pStyle w:val="ListParagraph"/>
        <w:numPr>
          <w:ilvl w:val="1"/>
          <w:numId w:val="243"/>
        </w:numPr>
        <w:spacing w:before="40" w:after="80" w:line="264" w:lineRule="auto"/>
        <w:ind w:left="357" w:hanging="357"/>
      </w:pPr>
      <w:r>
        <w:t>T</w:t>
      </w:r>
      <w:r w:rsidR="00E52908" w:rsidRPr="00E52908">
        <w:t xml:space="preserve">he names and descriptions of the combining entities or businesses </w:t>
      </w:r>
    </w:p>
    <w:p w14:paraId="6554B36E" w14:textId="3509A5F4" w:rsidR="00E52908" w:rsidRPr="00E52908" w:rsidRDefault="00641EF8" w:rsidP="002A0038">
      <w:pPr>
        <w:pStyle w:val="ListParagraph"/>
        <w:numPr>
          <w:ilvl w:val="1"/>
          <w:numId w:val="243"/>
        </w:numPr>
        <w:spacing w:before="40" w:after="80" w:line="264" w:lineRule="auto"/>
        <w:ind w:left="357" w:hanging="357"/>
      </w:pPr>
      <w:r>
        <w:t>T</w:t>
      </w:r>
      <w:r w:rsidR="00E52908" w:rsidRPr="00E52908">
        <w:t xml:space="preserve">he acquisition date </w:t>
      </w:r>
    </w:p>
    <w:p w14:paraId="7D74656A" w14:textId="4E305197" w:rsidR="00E52908" w:rsidRPr="00E52908" w:rsidRDefault="00641EF8" w:rsidP="002A0038">
      <w:pPr>
        <w:pStyle w:val="ListParagraph"/>
        <w:numPr>
          <w:ilvl w:val="1"/>
          <w:numId w:val="243"/>
        </w:numPr>
        <w:spacing w:before="40" w:after="80" w:line="264" w:lineRule="auto"/>
        <w:ind w:left="357" w:hanging="357"/>
      </w:pPr>
      <w:r>
        <w:t>T</w:t>
      </w:r>
      <w:r w:rsidR="00E52908" w:rsidRPr="00E52908">
        <w:t xml:space="preserve">he percentage of voting equity instruments </w:t>
      </w:r>
      <w:proofErr w:type="gramStart"/>
      <w:r w:rsidR="00E52908" w:rsidRPr="00E52908">
        <w:t>acquired;</w:t>
      </w:r>
      <w:proofErr w:type="gramEnd"/>
      <w:r w:rsidR="00E52908" w:rsidRPr="00E52908">
        <w:t xml:space="preserve"> </w:t>
      </w:r>
    </w:p>
    <w:p w14:paraId="75638745" w14:textId="2EB6E06E" w:rsidR="00E52908" w:rsidRPr="00E52908" w:rsidRDefault="00641EF8" w:rsidP="002A0038">
      <w:pPr>
        <w:pStyle w:val="ListParagraph"/>
        <w:numPr>
          <w:ilvl w:val="1"/>
          <w:numId w:val="243"/>
        </w:numPr>
        <w:spacing w:before="40" w:after="80" w:line="264" w:lineRule="auto"/>
        <w:ind w:left="357" w:hanging="357"/>
      </w:pPr>
      <w:r>
        <w:t>T</w:t>
      </w:r>
      <w:r w:rsidR="00E52908" w:rsidRPr="00E52908">
        <w:t xml:space="preserve">he cost of the combination and a description of the components of that cost (such as cash, equity instruments and debt instruments) </w:t>
      </w:r>
    </w:p>
    <w:p w14:paraId="06495456" w14:textId="38CC95E2" w:rsidR="00E52908" w:rsidRPr="00E52908" w:rsidRDefault="00641EF8" w:rsidP="002A0038">
      <w:pPr>
        <w:pStyle w:val="ListParagraph"/>
        <w:numPr>
          <w:ilvl w:val="1"/>
          <w:numId w:val="243"/>
        </w:numPr>
        <w:spacing w:before="40" w:after="80" w:line="264" w:lineRule="auto"/>
        <w:ind w:left="357" w:hanging="357"/>
      </w:pPr>
      <w:r>
        <w:t>T</w:t>
      </w:r>
      <w:r w:rsidR="00E52908" w:rsidRPr="00E52908">
        <w:t xml:space="preserve">he amounts recognised at the acquisition date for each class of the acquiree’s assets, liabilities and contingent liabilities, including goodwill </w:t>
      </w:r>
    </w:p>
    <w:p w14:paraId="46351ADE" w14:textId="1B9EC23D" w:rsidR="00E52908" w:rsidRPr="00E52908" w:rsidRDefault="00641EF8" w:rsidP="002A0038">
      <w:pPr>
        <w:pStyle w:val="ListParagraph"/>
        <w:numPr>
          <w:ilvl w:val="1"/>
          <w:numId w:val="243"/>
        </w:numPr>
        <w:spacing w:before="40" w:after="80" w:line="264" w:lineRule="auto"/>
        <w:ind w:left="357" w:hanging="357"/>
      </w:pPr>
      <w:r>
        <w:t>T</w:t>
      </w:r>
      <w:r w:rsidR="00E52908" w:rsidRPr="00E52908">
        <w:t xml:space="preserve">he amount of any excess recognised in profit or loss in accordance with paragraph 34 of </w:t>
      </w:r>
      <w:r w:rsidR="0007383E">
        <w:t>AASB </w:t>
      </w:r>
      <w:r w:rsidR="00E52908" w:rsidRPr="00E52908">
        <w:t xml:space="preserve">3 </w:t>
      </w:r>
      <w:r w:rsidR="00E52908" w:rsidRPr="002A04CE">
        <w:rPr>
          <w:i/>
          <w:iCs/>
        </w:rPr>
        <w:t xml:space="preserve">Business Combinations </w:t>
      </w:r>
      <w:r w:rsidR="00E52908" w:rsidRPr="00E52908">
        <w:t xml:space="preserve">and the line item in the statement of comprehensive income (and in the statement of profit or loss, if presented) in which the excess is recognised </w:t>
      </w:r>
    </w:p>
    <w:p w14:paraId="7E549641" w14:textId="348E6E69" w:rsidR="00E52908" w:rsidRPr="00E52908" w:rsidRDefault="00641EF8" w:rsidP="002A0038">
      <w:pPr>
        <w:pStyle w:val="ListParagraph"/>
        <w:numPr>
          <w:ilvl w:val="1"/>
          <w:numId w:val="243"/>
        </w:numPr>
        <w:spacing w:before="40" w:after="80" w:line="264" w:lineRule="auto"/>
        <w:ind w:left="357" w:hanging="357"/>
      </w:pPr>
      <w:r>
        <w:t>A</w:t>
      </w:r>
      <w:r w:rsidR="00E52908" w:rsidRPr="00E52908">
        <w:t xml:space="preserve"> qualitative description of the factors that make up the goodwill recognised, such as expected synergies from combining operations of the acquiree and the acquirer, or intangible assets or other items not recognised in accordance with paragraphs 10–14 of </w:t>
      </w:r>
      <w:r w:rsidR="0007383E">
        <w:t>AASB </w:t>
      </w:r>
      <w:r w:rsidR="00E52908" w:rsidRPr="00E52908">
        <w:t xml:space="preserve">3; and </w:t>
      </w:r>
    </w:p>
    <w:p w14:paraId="7D17CE51" w14:textId="572E7A39" w:rsidR="006D2960" w:rsidRPr="002A0038" w:rsidRDefault="00641EF8" w:rsidP="00E52908">
      <w:pPr>
        <w:pStyle w:val="ListParagraph"/>
        <w:numPr>
          <w:ilvl w:val="1"/>
          <w:numId w:val="243"/>
        </w:numPr>
        <w:spacing w:before="40" w:after="80" w:line="264" w:lineRule="auto"/>
        <w:ind w:left="357" w:hanging="357"/>
        <w:rPr>
          <w:rStyle w:val="Reference"/>
          <w:color w:val="auto"/>
          <w:sz w:val="18"/>
        </w:rPr>
      </w:pPr>
      <w:r>
        <w:t>F</w:t>
      </w:r>
      <w:r w:rsidR="00E52908" w:rsidRPr="00E52908">
        <w:t>or each business combination in which the acquirer holds less than 100 per cent of the equity interests in the acquiree at the acquisition date, the acquirer shall disclose the amount of the non-controlling interest in the acquiree recognised at the acquisition date and the measurement basis for that amount.</w:t>
      </w:r>
      <w:r w:rsidR="00E52908">
        <w:t xml:space="preserve"> </w:t>
      </w:r>
      <w:r w:rsidR="00E52908" w:rsidRPr="067473FC">
        <w:rPr>
          <w:rStyle w:val="Reference"/>
        </w:rPr>
        <w:t>[</w:t>
      </w:r>
      <w:r w:rsidR="0007383E">
        <w:rPr>
          <w:rStyle w:val="Reference"/>
        </w:rPr>
        <w:t>AASB </w:t>
      </w:r>
      <w:r w:rsidR="00E52908" w:rsidRPr="067473FC">
        <w:rPr>
          <w:rStyle w:val="Reference"/>
        </w:rPr>
        <w:t>1060.</w:t>
      </w:r>
      <w:r w:rsidR="00A3732C">
        <w:rPr>
          <w:rStyle w:val="Reference"/>
        </w:rPr>
        <w:t>142</w:t>
      </w:r>
      <w:r w:rsidR="00E52908" w:rsidRPr="067473FC">
        <w:rPr>
          <w:rStyle w:val="Reference"/>
        </w:rPr>
        <w:t>]</w:t>
      </w:r>
    </w:p>
    <w:p w14:paraId="49569CF3" w14:textId="63E22B4F" w:rsidR="00E52908" w:rsidRPr="002A0038" w:rsidRDefault="00E52908" w:rsidP="001E6E1E">
      <w:pPr>
        <w:pStyle w:val="Heading3"/>
        <w:rPr>
          <w:lang w:eastAsia="zh-CN"/>
        </w:rPr>
      </w:pPr>
      <w:r w:rsidRPr="002A0038">
        <w:rPr>
          <w:lang w:eastAsia="zh-CN"/>
        </w:rPr>
        <w:t>For all business combinations</w:t>
      </w:r>
    </w:p>
    <w:p w14:paraId="2A98D038" w14:textId="77777777" w:rsidR="00A3732C" w:rsidRPr="00A3732C" w:rsidRDefault="00A3732C" w:rsidP="002A0038">
      <w:r w:rsidRPr="00A3732C">
        <w:t xml:space="preserve">An acquirer shall disclose a reconciliation of the carrying amount of goodwill at the beginning and end of the reporting period, showing separately: </w:t>
      </w:r>
    </w:p>
    <w:p w14:paraId="4378C6C4" w14:textId="38597FE4" w:rsidR="00A3732C" w:rsidRPr="00A3732C" w:rsidRDefault="00A3732C" w:rsidP="002A0038">
      <w:pPr>
        <w:pStyle w:val="ListParagraph"/>
        <w:numPr>
          <w:ilvl w:val="1"/>
          <w:numId w:val="245"/>
        </w:numPr>
        <w:spacing w:before="40" w:after="80" w:line="264" w:lineRule="auto"/>
        <w:contextualSpacing/>
      </w:pPr>
      <w:r w:rsidRPr="00A3732C">
        <w:t xml:space="preserve">changes arising from new business combinations </w:t>
      </w:r>
    </w:p>
    <w:p w14:paraId="0B6E1F8E" w14:textId="5C8C190E" w:rsidR="00A3732C" w:rsidRPr="00A3732C" w:rsidRDefault="00A3732C" w:rsidP="002A0038">
      <w:pPr>
        <w:pStyle w:val="ListParagraph"/>
        <w:numPr>
          <w:ilvl w:val="1"/>
          <w:numId w:val="245"/>
        </w:numPr>
        <w:spacing w:before="40" w:after="80" w:line="264" w:lineRule="auto"/>
        <w:contextualSpacing/>
      </w:pPr>
      <w:r w:rsidRPr="00A3732C">
        <w:t xml:space="preserve">impairment losses </w:t>
      </w:r>
    </w:p>
    <w:p w14:paraId="1ABD2F9A" w14:textId="3A60639B" w:rsidR="00A3732C" w:rsidRPr="00A3732C" w:rsidRDefault="00A3732C" w:rsidP="002A0038">
      <w:pPr>
        <w:pStyle w:val="ListParagraph"/>
        <w:numPr>
          <w:ilvl w:val="1"/>
          <w:numId w:val="245"/>
        </w:numPr>
        <w:spacing w:before="40" w:after="80" w:line="264" w:lineRule="auto"/>
        <w:contextualSpacing/>
      </w:pPr>
      <w:r w:rsidRPr="00A3732C">
        <w:t xml:space="preserve">disposals of previously acquired businesses; and </w:t>
      </w:r>
    </w:p>
    <w:p w14:paraId="66D7F671" w14:textId="2F9174C3" w:rsidR="00A3732C" w:rsidRPr="00A3732C" w:rsidRDefault="00A3732C" w:rsidP="002A0038">
      <w:pPr>
        <w:pStyle w:val="ListParagraph"/>
        <w:numPr>
          <w:ilvl w:val="1"/>
          <w:numId w:val="245"/>
        </w:numPr>
        <w:spacing w:before="40" w:after="80" w:line="264" w:lineRule="auto"/>
        <w:contextualSpacing/>
      </w:pPr>
      <w:r w:rsidRPr="00A3732C">
        <w:t xml:space="preserve">other changes. </w:t>
      </w:r>
    </w:p>
    <w:p w14:paraId="5037E5A7" w14:textId="6E36AFB3" w:rsidR="00D033F0" w:rsidRPr="002A0038" w:rsidRDefault="00A3732C" w:rsidP="002A0038">
      <w:pPr>
        <w:spacing w:before="40"/>
        <w:rPr>
          <w:color w:val="C00000"/>
          <w:sz w:val="16"/>
        </w:rPr>
      </w:pPr>
      <w:r w:rsidRPr="00A3732C">
        <w:t>This reconciliation need not be presented for prior periods.</w:t>
      </w:r>
      <w:r>
        <w:t xml:space="preserve"> </w:t>
      </w:r>
      <w:r w:rsidRPr="067473FC">
        <w:rPr>
          <w:rStyle w:val="Reference"/>
        </w:rPr>
        <w:t>[</w:t>
      </w:r>
      <w:r w:rsidR="0007383E">
        <w:rPr>
          <w:rStyle w:val="Reference"/>
        </w:rPr>
        <w:t>AASB </w:t>
      </w:r>
      <w:r w:rsidRPr="067473FC">
        <w:rPr>
          <w:rStyle w:val="Reference"/>
        </w:rPr>
        <w:t>1060.</w:t>
      </w:r>
      <w:r>
        <w:rPr>
          <w:rStyle w:val="Reference"/>
        </w:rPr>
        <w:t>14</w:t>
      </w:r>
      <w:r w:rsidR="00676B35">
        <w:rPr>
          <w:rStyle w:val="Reference"/>
        </w:rPr>
        <w:t>3</w:t>
      </w:r>
      <w:r w:rsidRPr="067473FC">
        <w:rPr>
          <w:rStyle w:val="Reference"/>
        </w:rPr>
        <w:t>]</w:t>
      </w:r>
    </w:p>
    <w:p w14:paraId="1756DF25" w14:textId="10386AC3" w:rsidR="0033289D" w:rsidRDefault="0033289D" w:rsidP="00E10CD7">
      <w:pPr>
        <w:pStyle w:val="Heading2"/>
      </w:pPr>
      <w:bookmarkStart w:id="10977" w:name="_Toc179816801"/>
      <w:bookmarkStart w:id="10978" w:name="_Toc179822501"/>
      <w:bookmarkStart w:id="10979" w:name="_Toc179828201"/>
      <w:bookmarkStart w:id="10980" w:name="_Toc179833836"/>
      <w:bookmarkStart w:id="10981" w:name="_Toc179865366"/>
      <w:bookmarkStart w:id="10982" w:name="_Toc179871467"/>
      <w:bookmarkStart w:id="10983" w:name="_Toc179875860"/>
      <w:bookmarkStart w:id="10984" w:name="_Toc179880253"/>
      <w:bookmarkStart w:id="10985" w:name="_Toc179880346"/>
      <w:r>
        <w:t xml:space="preserve">Guidance – Investment </w:t>
      </w:r>
      <w:r w:rsidR="00E77137">
        <w:t>properties</w:t>
      </w:r>
      <w:bookmarkEnd w:id="10977"/>
      <w:bookmarkEnd w:id="10978"/>
      <w:bookmarkEnd w:id="10979"/>
      <w:bookmarkEnd w:id="10980"/>
      <w:bookmarkEnd w:id="10981"/>
      <w:bookmarkEnd w:id="10982"/>
      <w:bookmarkEnd w:id="10983"/>
      <w:bookmarkEnd w:id="10984"/>
      <w:bookmarkEnd w:id="10985"/>
    </w:p>
    <w:p w14:paraId="413B898A" w14:textId="2FF481A4" w:rsidR="0033289D" w:rsidRPr="002A0038" w:rsidRDefault="00BB180F" w:rsidP="001E6E1E">
      <w:pPr>
        <w:pStyle w:val="Heading3"/>
        <w:rPr>
          <w:lang w:eastAsia="zh-CN"/>
        </w:rPr>
      </w:pPr>
      <w:r w:rsidRPr="002A0038">
        <w:rPr>
          <w:lang w:eastAsia="zh-CN"/>
        </w:rPr>
        <w:t>Investment property at fair value</w:t>
      </w:r>
    </w:p>
    <w:p w14:paraId="50149A6A" w14:textId="595E0A10" w:rsidR="00F53B4A" w:rsidRPr="00F53B4A" w:rsidRDefault="00F53B4A" w:rsidP="00614EBD">
      <w:r w:rsidRPr="00F53B4A">
        <w:t xml:space="preserve">An entity shall disclose the following for all investment property accounted for at fair value through profit or loss (paragraph 33 of </w:t>
      </w:r>
      <w:r w:rsidR="0007383E">
        <w:t>AASB </w:t>
      </w:r>
      <w:r w:rsidRPr="00F53B4A">
        <w:t xml:space="preserve">140 </w:t>
      </w:r>
      <w:r w:rsidRPr="00F53B4A">
        <w:rPr>
          <w:i/>
          <w:iCs/>
        </w:rPr>
        <w:t>Investment Property</w:t>
      </w:r>
      <w:r w:rsidRPr="00F53B4A">
        <w:t xml:space="preserve">): </w:t>
      </w:r>
    </w:p>
    <w:p w14:paraId="4174B95D" w14:textId="2D13D2DF" w:rsidR="00F53B4A" w:rsidRPr="00F53B4A" w:rsidRDefault="002B1C16" w:rsidP="002A0038">
      <w:pPr>
        <w:pStyle w:val="ListParagraph"/>
        <w:numPr>
          <w:ilvl w:val="1"/>
          <w:numId w:val="250"/>
        </w:numPr>
        <w:spacing w:before="40" w:after="80" w:line="264" w:lineRule="auto"/>
      </w:pPr>
      <w:r>
        <w:t>T</w:t>
      </w:r>
      <w:r w:rsidR="00F53B4A" w:rsidRPr="00F53B4A">
        <w:t xml:space="preserve">he methods and significant assumptions applied in determining the fair value of investment property </w:t>
      </w:r>
    </w:p>
    <w:p w14:paraId="35F7EAFE" w14:textId="6C8D79A5" w:rsidR="00F53B4A" w:rsidRPr="00F53B4A" w:rsidRDefault="002B1C16" w:rsidP="002A0038">
      <w:pPr>
        <w:pStyle w:val="ListParagraph"/>
        <w:numPr>
          <w:ilvl w:val="1"/>
          <w:numId w:val="250"/>
        </w:numPr>
        <w:spacing w:before="40" w:after="80" w:line="264" w:lineRule="auto"/>
      </w:pPr>
      <w:r>
        <w:t>T</w:t>
      </w:r>
      <w:r w:rsidR="00F53B4A" w:rsidRPr="00F53B4A">
        <w:t xml:space="preserve">he extent to which the fair value of investment property (as measured or disclosed in the financial statements) is based on a valuation by an independent valuer who holds a recognised and relevant professional qualification and has recent experience in the location and class of the investment property being valued. If there has been no such valuation, that fact shall be disclosed </w:t>
      </w:r>
    </w:p>
    <w:p w14:paraId="02FEF3AF" w14:textId="0A809778" w:rsidR="00F53B4A" w:rsidRPr="00F53B4A" w:rsidRDefault="002B1C16" w:rsidP="002A0038">
      <w:pPr>
        <w:pStyle w:val="ListParagraph"/>
        <w:numPr>
          <w:ilvl w:val="1"/>
          <w:numId w:val="250"/>
        </w:numPr>
        <w:spacing w:before="40" w:after="80" w:line="264" w:lineRule="auto"/>
      </w:pPr>
      <w:r>
        <w:t>T</w:t>
      </w:r>
      <w:r w:rsidR="00F53B4A" w:rsidRPr="00F53B4A">
        <w:t xml:space="preserve">he existence and amounts of restrictions on the realisability of investment property or the remittance of income and proceeds of disposal </w:t>
      </w:r>
    </w:p>
    <w:p w14:paraId="09D73926" w14:textId="023F990F" w:rsidR="00F53B4A" w:rsidRPr="00F53B4A" w:rsidRDefault="002B1C16" w:rsidP="002A0038">
      <w:pPr>
        <w:pStyle w:val="ListParagraph"/>
        <w:numPr>
          <w:ilvl w:val="1"/>
          <w:numId w:val="250"/>
        </w:numPr>
        <w:spacing w:before="40" w:after="80" w:line="264" w:lineRule="auto"/>
      </w:pPr>
      <w:r>
        <w:t>C</w:t>
      </w:r>
      <w:r w:rsidR="00F53B4A" w:rsidRPr="00F53B4A">
        <w:t xml:space="preserve">ontractual obligations to purchase, construct or develop investment property or for repairs, maintenance or enhancements; and </w:t>
      </w:r>
    </w:p>
    <w:p w14:paraId="663297F7" w14:textId="5CDF8C58" w:rsidR="00BB180F" w:rsidRDefault="002B1C16" w:rsidP="002A0038">
      <w:pPr>
        <w:pStyle w:val="ListParagraph"/>
        <w:numPr>
          <w:ilvl w:val="1"/>
          <w:numId w:val="250"/>
        </w:numPr>
        <w:spacing w:before="40" w:after="80" w:line="264" w:lineRule="auto"/>
      </w:pPr>
      <w:r>
        <w:t>A</w:t>
      </w:r>
      <w:r w:rsidR="00F53B4A" w:rsidRPr="00F53B4A">
        <w:t xml:space="preserve"> reconciliation between the carrying amounts of investment property at the beginning and end of the period, showing separately:</w:t>
      </w:r>
    </w:p>
    <w:p w14:paraId="330027C1" w14:textId="59127159" w:rsidR="00F53B4A" w:rsidRPr="002A0038" w:rsidRDefault="00F53B4A" w:rsidP="00F703E9">
      <w:pPr>
        <w:pStyle w:val="ListAlpha2"/>
        <w:numPr>
          <w:ilvl w:val="1"/>
          <w:numId w:val="399"/>
        </w:numPr>
        <w:tabs>
          <w:tab w:val="clear" w:pos="568"/>
          <w:tab w:val="num" w:pos="644"/>
        </w:tabs>
        <w:ind w:left="644"/>
      </w:pPr>
      <w:r w:rsidRPr="002A0038">
        <w:t xml:space="preserve">additions, disclosing separately those additions resulting from acquisitions through business combinations </w:t>
      </w:r>
    </w:p>
    <w:p w14:paraId="2801D6A7" w14:textId="33934B8F" w:rsidR="00F53B4A" w:rsidRPr="002A0038" w:rsidRDefault="00F53B4A" w:rsidP="00F703E9">
      <w:pPr>
        <w:pStyle w:val="ListAlpha2"/>
        <w:numPr>
          <w:ilvl w:val="1"/>
          <w:numId w:val="399"/>
        </w:numPr>
        <w:tabs>
          <w:tab w:val="clear" w:pos="568"/>
          <w:tab w:val="num" w:pos="644"/>
        </w:tabs>
        <w:ind w:left="644"/>
      </w:pPr>
      <w:r w:rsidRPr="002A0038">
        <w:t xml:space="preserve">net gains or losses from fair value adjustments </w:t>
      </w:r>
    </w:p>
    <w:p w14:paraId="69949FB4" w14:textId="4069FF0A" w:rsidR="00F53B4A" w:rsidRPr="002A0038" w:rsidRDefault="00F53B4A" w:rsidP="00F703E9">
      <w:pPr>
        <w:pStyle w:val="ListAlpha2"/>
        <w:numPr>
          <w:ilvl w:val="1"/>
          <w:numId w:val="399"/>
        </w:numPr>
        <w:tabs>
          <w:tab w:val="clear" w:pos="568"/>
          <w:tab w:val="num" w:pos="644"/>
        </w:tabs>
        <w:ind w:left="644"/>
      </w:pPr>
      <w:r w:rsidRPr="002A0038">
        <w:t xml:space="preserve">transfers to and from investment property carried at cost less accumulated depreciation and impairment (see paragraph 57 of </w:t>
      </w:r>
      <w:r w:rsidR="0007383E">
        <w:t>AASB </w:t>
      </w:r>
      <w:r w:rsidRPr="002A0038">
        <w:t xml:space="preserve">140) </w:t>
      </w:r>
    </w:p>
    <w:p w14:paraId="49C4ADB3" w14:textId="741E0B01" w:rsidR="00F53B4A" w:rsidRDefault="00F53B4A" w:rsidP="00F703E9">
      <w:pPr>
        <w:pStyle w:val="ListAlpha2"/>
        <w:numPr>
          <w:ilvl w:val="1"/>
          <w:numId w:val="399"/>
        </w:numPr>
        <w:tabs>
          <w:tab w:val="clear" w:pos="568"/>
          <w:tab w:val="num" w:pos="644"/>
        </w:tabs>
        <w:ind w:left="644"/>
      </w:pPr>
      <w:r w:rsidRPr="002A0038">
        <w:t xml:space="preserve">transfers to and from inventories and owner-occupied property; and </w:t>
      </w:r>
    </w:p>
    <w:p w14:paraId="5038FE1E" w14:textId="30A308D5" w:rsidR="00F53B4A" w:rsidRDefault="00F53B4A" w:rsidP="00F703E9">
      <w:pPr>
        <w:pStyle w:val="ListAlpha2"/>
        <w:numPr>
          <w:ilvl w:val="1"/>
          <w:numId w:val="399"/>
        </w:numPr>
        <w:tabs>
          <w:tab w:val="clear" w:pos="568"/>
          <w:tab w:val="num" w:pos="644"/>
        </w:tabs>
        <w:ind w:left="644"/>
      </w:pPr>
      <w:r w:rsidRPr="002A0038">
        <w:t>other changes.</w:t>
      </w:r>
    </w:p>
    <w:p w14:paraId="30706984" w14:textId="26499CA8" w:rsidR="00F53B4A" w:rsidRDefault="00F53B4A" w:rsidP="002A0038">
      <w:pPr>
        <w:pStyle w:val="Default"/>
        <w:spacing w:before="40" w:after="80" w:line="264" w:lineRule="auto"/>
        <w:rPr>
          <w:rFonts w:asciiTheme="minorHAnsi" w:hAnsiTheme="minorHAnsi" w:cstheme="minorBidi"/>
          <w:color w:val="auto"/>
          <w:sz w:val="18"/>
          <w:szCs w:val="18"/>
        </w:rPr>
      </w:pPr>
      <w:r w:rsidRPr="00F53B4A">
        <w:rPr>
          <w:rFonts w:asciiTheme="minorHAnsi" w:hAnsiTheme="minorHAnsi" w:cstheme="minorBidi"/>
          <w:color w:val="auto"/>
          <w:sz w:val="18"/>
          <w:szCs w:val="18"/>
        </w:rPr>
        <w:t>This reconciliation need not be presented for prior periods</w:t>
      </w:r>
      <w:r>
        <w:rPr>
          <w:rFonts w:asciiTheme="minorHAnsi" w:hAnsiTheme="minorHAnsi" w:cstheme="minorBidi"/>
          <w:color w:val="auto"/>
          <w:sz w:val="18"/>
          <w:szCs w:val="18"/>
        </w:rPr>
        <w:t>.</w:t>
      </w:r>
      <w:r w:rsidR="00614EBD">
        <w:rPr>
          <w:rFonts w:asciiTheme="minorHAnsi" w:hAnsiTheme="minorHAnsi" w:cstheme="minorBidi"/>
          <w:color w:val="auto"/>
          <w:sz w:val="18"/>
          <w:szCs w:val="18"/>
        </w:rPr>
        <w:t xml:space="preserve"> </w:t>
      </w:r>
      <w:r w:rsidR="00614EBD" w:rsidRPr="067473FC">
        <w:rPr>
          <w:rStyle w:val="Reference"/>
        </w:rPr>
        <w:t>[</w:t>
      </w:r>
      <w:r w:rsidR="0007383E">
        <w:rPr>
          <w:rStyle w:val="Reference"/>
        </w:rPr>
        <w:t>AASB </w:t>
      </w:r>
      <w:r w:rsidR="00614EBD" w:rsidRPr="067473FC">
        <w:rPr>
          <w:rStyle w:val="Reference"/>
        </w:rPr>
        <w:t>1060.</w:t>
      </w:r>
      <w:r w:rsidR="00614EBD">
        <w:rPr>
          <w:rStyle w:val="Reference"/>
        </w:rPr>
        <w:t>132</w:t>
      </w:r>
      <w:r w:rsidR="00614EBD" w:rsidRPr="067473FC">
        <w:rPr>
          <w:rStyle w:val="Reference"/>
        </w:rPr>
        <w:t>]</w:t>
      </w:r>
    </w:p>
    <w:p w14:paraId="3E46C230" w14:textId="6613E6A0" w:rsidR="00F53B4A" w:rsidRDefault="00614EBD" w:rsidP="00614EBD">
      <w:pPr>
        <w:pStyle w:val="Default"/>
        <w:spacing w:before="160" w:after="80" w:line="264" w:lineRule="auto"/>
        <w:rPr>
          <w:rFonts w:asciiTheme="minorHAnsi" w:hAnsiTheme="minorHAnsi" w:cstheme="minorBidi"/>
          <w:color w:val="auto"/>
          <w:sz w:val="18"/>
          <w:szCs w:val="18"/>
        </w:rPr>
      </w:pPr>
      <w:r>
        <w:rPr>
          <w:rFonts w:asciiTheme="minorHAnsi" w:hAnsiTheme="minorHAnsi" w:cstheme="minorBidi"/>
          <w:color w:val="auto"/>
          <w:sz w:val="18"/>
          <w:szCs w:val="18"/>
        </w:rPr>
        <w:t>I</w:t>
      </w:r>
      <w:r w:rsidRPr="00614EBD">
        <w:rPr>
          <w:rFonts w:asciiTheme="minorHAnsi" w:hAnsiTheme="minorHAnsi" w:cstheme="minorBidi"/>
          <w:color w:val="auto"/>
          <w:sz w:val="18"/>
          <w:szCs w:val="18"/>
        </w:rPr>
        <w:t>n accordance with the section covering Leases, the owner of an investment property provides lessors’ disclosures about leases into which it has entered. A lessee that holds a right-of-use asset that is an investment property provides lessees’ disclosures as required by that section for any leases into which it has entered.</w:t>
      </w:r>
      <w:r>
        <w:rPr>
          <w:rFonts w:asciiTheme="minorHAnsi" w:hAnsiTheme="minorHAnsi" w:cstheme="minorBidi"/>
          <w:color w:val="auto"/>
          <w:sz w:val="18"/>
          <w:szCs w:val="18"/>
        </w:rPr>
        <w:t xml:space="preserve"> </w:t>
      </w:r>
      <w:bookmarkStart w:id="10986" w:name="_Hlk177123709"/>
      <w:r w:rsidRPr="067473FC">
        <w:rPr>
          <w:rStyle w:val="Reference"/>
        </w:rPr>
        <w:t>[</w:t>
      </w:r>
      <w:r w:rsidR="0007383E">
        <w:rPr>
          <w:rStyle w:val="Reference"/>
        </w:rPr>
        <w:t>AASB </w:t>
      </w:r>
      <w:r w:rsidRPr="067473FC">
        <w:rPr>
          <w:rStyle w:val="Reference"/>
        </w:rPr>
        <w:t>1060.</w:t>
      </w:r>
      <w:r>
        <w:rPr>
          <w:rStyle w:val="Reference"/>
        </w:rPr>
        <w:t>133</w:t>
      </w:r>
      <w:r w:rsidRPr="067473FC">
        <w:rPr>
          <w:rStyle w:val="Reference"/>
        </w:rPr>
        <w:t>]</w:t>
      </w:r>
    </w:p>
    <w:p w14:paraId="0A247981" w14:textId="74F7E7CE" w:rsidR="0034070F" w:rsidRDefault="0034070F" w:rsidP="0074346A">
      <w:pPr>
        <w:pStyle w:val="Heading2"/>
      </w:pPr>
      <w:bookmarkStart w:id="10987" w:name="_Toc179816802"/>
      <w:bookmarkStart w:id="10988" w:name="_Toc179822502"/>
      <w:bookmarkStart w:id="10989" w:name="_Toc179828202"/>
      <w:bookmarkStart w:id="10990" w:name="_Toc179833837"/>
      <w:bookmarkStart w:id="10991" w:name="_Toc179865367"/>
      <w:bookmarkStart w:id="10992" w:name="_Toc179871468"/>
      <w:bookmarkStart w:id="10993" w:name="_Toc179875861"/>
      <w:bookmarkStart w:id="10994" w:name="_Toc179880254"/>
      <w:bookmarkStart w:id="10995" w:name="_Toc179880347"/>
      <w:bookmarkEnd w:id="10986"/>
      <w:r>
        <w:t xml:space="preserve">Guidance – Investments and </w:t>
      </w:r>
      <w:r w:rsidR="00E77137">
        <w:t>other financial assets</w:t>
      </w:r>
      <w:bookmarkEnd w:id="10987"/>
      <w:bookmarkEnd w:id="10988"/>
      <w:bookmarkEnd w:id="10989"/>
      <w:bookmarkEnd w:id="10990"/>
      <w:bookmarkEnd w:id="10991"/>
      <w:bookmarkEnd w:id="10992"/>
      <w:bookmarkEnd w:id="10993"/>
      <w:bookmarkEnd w:id="10994"/>
      <w:bookmarkEnd w:id="10995"/>
    </w:p>
    <w:p w14:paraId="07DCC4E2" w14:textId="7B5D2F5E" w:rsidR="0034070F" w:rsidRPr="002A0038" w:rsidRDefault="001E7EC0" w:rsidP="001E6E1E">
      <w:pPr>
        <w:pStyle w:val="Heading3"/>
      </w:pPr>
      <w:r w:rsidRPr="002A0038">
        <w:t>Disclosure of accounting policies</w:t>
      </w:r>
    </w:p>
    <w:p w14:paraId="03FA8102" w14:textId="23821CE8" w:rsidR="00277CC2" w:rsidRDefault="001E7EC0" w:rsidP="0074346A">
      <w:pPr>
        <w:rPr>
          <w:rStyle w:val="Reference"/>
        </w:rPr>
      </w:pPr>
      <w:r>
        <w:t>A</w:t>
      </w:r>
      <w:r w:rsidRPr="001E7EC0">
        <w:t>n entity shall disclose, in the significant accounting policies, the measurement basis (or bases) used for financial instruments and the other accounting policies used for financial instruments that are relevant to an understanding of the financial statements.</w:t>
      </w:r>
      <w:r w:rsidRPr="00D033F0">
        <w:t xml:space="preserve"> </w:t>
      </w:r>
      <w:r w:rsidRPr="067473FC">
        <w:rPr>
          <w:rStyle w:val="Reference"/>
        </w:rPr>
        <w:t>[</w:t>
      </w:r>
      <w:r w:rsidR="0007383E">
        <w:rPr>
          <w:rStyle w:val="Reference"/>
        </w:rPr>
        <w:t>AASB </w:t>
      </w:r>
      <w:r w:rsidRPr="067473FC">
        <w:rPr>
          <w:rStyle w:val="Reference"/>
        </w:rPr>
        <w:t>1060.</w:t>
      </w:r>
      <w:r>
        <w:rPr>
          <w:rStyle w:val="Reference"/>
        </w:rPr>
        <w:t>112</w:t>
      </w:r>
      <w:r w:rsidRPr="067473FC">
        <w:rPr>
          <w:rStyle w:val="Reference"/>
        </w:rPr>
        <w:t>]</w:t>
      </w:r>
    </w:p>
    <w:p w14:paraId="42F2553A" w14:textId="465545C7" w:rsidR="00E7021E" w:rsidRPr="002A0038" w:rsidRDefault="00E7021E" w:rsidP="001E6E1E">
      <w:pPr>
        <w:pStyle w:val="Heading3"/>
      </w:pPr>
      <w:r w:rsidRPr="002A0038">
        <w:t>Categories of financial assets</w:t>
      </w:r>
    </w:p>
    <w:p w14:paraId="3C33E4D8" w14:textId="333CE108" w:rsidR="00277CC2" w:rsidRPr="00277CC2" w:rsidRDefault="00277CC2" w:rsidP="0074346A">
      <w:r w:rsidRPr="00277CC2">
        <w:t xml:space="preserve">An entity shall disclose the carrying amounts of each of the following categories of financial assets at the reporting date, in total, either in the statement of financial position or in the notes: </w:t>
      </w:r>
    </w:p>
    <w:p w14:paraId="2DDF185F" w14:textId="4B665F11" w:rsidR="00277CC2" w:rsidRPr="00277CC2" w:rsidRDefault="002B1C16" w:rsidP="0074346A">
      <w:pPr>
        <w:pStyle w:val="ListParagraph"/>
        <w:numPr>
          <w:ilvl w:val="0"/>
          <w:numId w:val="261"/>
        </w:numPr>
        <w:spacing w:before="40" w:after="80" w:line="264" w:lineRule="auto"/>
        <w:ind w:left="357" w:hanging="357"/>
      </w:pPr>
      <w:r>
        <w:t>F</w:t>
      </w:r>
      <w:r w:rsidR="00277CC2" w:rsidRPr="00277CC2">
        <w:t xml:space="preserve">inancial assets measured at fair value through profit or loss </w:t>
      </w:r>
    </w:p>
    <w:p w14:paraId="15E8969B" w14:textId="3159F874" w:rsidR="00277CC2" w:rsidRPr="00277CC2" w:rsidRDefault="002B1C16" w:rsidP="0074346A">
      <w:pPr>
        <w:pStyle w:val="ListParagraph"/>
        <w:numPr>
          <w:ilvl w:val="0"/>
          <w:numId w:val="261"/>
        </w:numPr>
        <w:spacing w:before="40" w:after="80" w:line="264" w:lineRule="auto"/>
        <w:ind w:left="357" w:hanging="357"/>
      </w:pPr>
      <w:r>
        <w:t>F</w:t>
      </w:r>
      <w:r w:rsidR="00277CC2" w:rsidRPr="00277CC2">
        <w:t>inancial assets measured at fair value through other comprehensive income, showing separately</w:t>
      </w:r>
      <w:r>
        <w:t>:</w:t>
      </w:r>
      <w:r w:rsidR="00277CC2" w:rsidRPr="00277CC2">
        <w:t xml:space="preserve"> </w:t>
      </w:r>
    </w:p>
    <w:p w14:paraId="16E67215" w14:textId="5D55DF15" w:rsidR="00277CC2" w:rsidRPr="00277CC2" w:rsidRDefault="00277CC2" w:rsidP="0074346A">
      <w:pPr>
        <w:spacing w:before="40"/>
        <w:ind w:left="340"/>
      </w:pPr>
      <w:r w:rsidRPr="00277CC2">
        <w:t xml:space="preserve">(i) financial assets that are measured at fair value through other comprehensive income in accordance with paragraph 4.1.2A of </w:t>
      </w:r>
      <w:r w:rsidR="0007383E">
        <w:t>AASB </w:t>
      </w:r>
      <w:r w:rsidRPr="00277CC2">
        <w:t xml:space="preserve">9; and </w:t>
      </w:r>
    </w:p>
    <w:p w14:paraId="008EC7B0" w14:textId="253FBE4E" w:rsidR="001E7EC0" w:rsidRDefault="00277CC2" w:rsidP="0074346A">
      <w:pPr>
        <w:spacing w:before="40"/>
        <w:ind w:left="340"/>
      </w:pPr>
      <w:r w:rsidRPr="00277CC2">
        <w:t xml:space="preserve">(ii) investments in equity instruments designated as such upon initial recognition in accordance with paragraph 5.7.5 of </w:t>
      </w:r>
      <w:r w:rsidR="0007383E">
        <w:t>AASB </w:t>
      </w:r>
      <w:r w:rsidRPr="00277CC2">
        <w:t>9.</w:t>
      </w:r>
      <w:r>
        <w:t xml:space="preserve"> </w:t>
      </w:r>
      <w:r w:rsidRPr="067473FC">
        <w:rPr>
          <w:rStyle w:val="Reference"/>
        </w:rPr>
        <w:t>[</w:t>
      </w:r>
      <w:r w:rsidR="0007383E">
        <w:rPr>
          <w:rStyle w:val="Reference"/>
        </w:rPr>
        <w:t>AASB </w:t>
      </w:r>
      <w:r w:rsidRPr="067473FC">
        <w:rPr>
          <w:rStyle w:val="Reference"/>
        </w:rPr>
        <w:t>1060.</w:t>
      </w:r>
      <w:r>
        <w:rPr>
          <w:rStyle w:val="Reference"/>
        </w:rPr>
        <w:t>113</w:t>
      </w:r>
      <w:r w:rsidRPr="067473FC">
        <w:rPr>
          <w:rStyle w:val="Reference"/>
        </w:rPr>
        <w:t>]</w:t>
      </w:r>
    </w:p>
    <w:p w14:paraId="5F5D3C73" w14:textId="26870EA3" w:rsidR="00277CC2" w:rsidRDefault="0009151B" w:rsidP="0074346A">
      <w:r w:rsidRPr="0009151B">
        <w:t>An entity shall disclose information that enables users of its financial statements to evaluate the significance of financial instruments for its financial position and performance. For example, for long-term debt such information would normally include the terms and conditions of the debt instrument (such as interest rate, maturity, repayment schedule, and restrictions that the debt instrument imposes on the entity).</w:t>
      </w:r>
      <w:r>
        <w:t xml:space="preserve"> </w:t>
      </w:r>
      <w:r w:rsidRPr="067473FC">
        <w:rPr>
          <w:rStyle w:val="Reference"/>
        </w:rPr>
        <w:t>[</w:t>
      </w:r>
      <w:r w:rsidR="0007383E">
        <w:rPr>
          <w:rStyle w:val="Reference"/>
        </w:rPr>
        <w:t>AASB </w:t>
      </w:r>
      <w:r w:rsidRPr="067473FC">
        <w:rPr>
          <w:rStyle w:val="Reference"/>
        </w:rPr>
        <w:t>1060.</w:t>
      </w:r>
      <w:r>
        <w:rPr>
          <w:rStyle w:val="Reference"/>
        </w:rPr>
        <w:t>114</w:t>
      </w:r>
      <w:r w:rsidRPr="067473FC">
        <w:rPr>
          <w:rStyle w:val="Reference"/>
        </w:rPr>
        <w:t>]</w:t>
      </w:r>
    </w:p>
    <w:p w14:paraId="51527B02" w14:textId="627ECD91" w:rsidR="0009151B" w:rsidRDefault="0009151B" w:rsidP="0074346A">
      <w:r w:rsidRPr="0009151B">
        <w:t xml:space="preserve">For all financial assets measured at fair value, the entity shall disclose the basis for determining fair value, for example, quoted market price in an active market or a valuation technique. When a valuation technique is used, the entity shall disclose the assumptions applied in determining fair value for each class of financial assets. For example, if applicable, an entity discloses information about the assumptions relating to prepayment rates, rates of estimated credit losses, and interest rates or discount rates. </w:t>
      </w:r>
      <w:r w:rsidRPr="067473FC">
        <w:rPr>
          <w:rStyle w:val="Reference"/>
        </w:rPr>
        <w:t>[</w:t>
      </w:r>
      <w:r w:rsidR="0007383E">
        <w:rPr>
          <w:rStyle w:val="Reference"/>
        </w:rPr>
        <w:t>AASB </w:t>
      </w:r>
      <w:r w:rsidRPr="067473FC">
        <w:rPr>
          <w:rStyle w:val="Reference"/>
        </w:rPr>
        <w:t>1060.</w:t>
      </w:r>
      <w:r>
        <w:rPr>
          <w:rStyle w:val="Reference"/>
        </w:rPr>
        <w:t>115</w:t>
      </w:r>
      <w:r w:rsidRPr="067473FC">
        <w:rPr>
          <w:rStyle w:val="Reference"/>
        </w:rPr>
        <w:t>]</w:t>
      </w:r>
    </w:p>
    <w:p w14:paraId="2D4018A3" w14:textId="77ED0455" w:rsidR="00116025" w:rsidRPr="002A0038" w:rsidRDefault="00116025" w:rsidP="001E6E1E">
      <w:pPr>
        <w:pStyle w:val="Heading3"/>
      </w:pPr>
      <w:r w:rsidRPr="002A0038">
        <w:t>Derecognition</w:t>
      </w:r>
    </w:p>
    <w:p w14:paraId="32009FDB" w14:textId="7E98F23C" w:rsidR="00116025" w:rsidRDefault="00116025" w:rsidP="0074346A">
      <w:r>
        <w:t xml:space="preserve">If an entity has transferred financial assets to another party in a transaction that does not qualify for derecognition (see paragraph 3.2.15 of </w:t>
      </w:r>
      <w:r w:rsidR="0007383E">
        <w:t>AASB </w:t>
      </w:r>
      <w:r>
        <w:t>9), the entity shall disclose the following for each class of such financial assets:</w:t>
      </w:r>
    </w:p>
    <w:p w14:paraId="5D017477" w14:textId="639D357B" w:rsidR="00116025" w:rsidRDefault="00D0142A" w:rsidP="0074346A">
      <w:pPr>
        <w:pStyle w:val="ListParagraph"/>
        <w:numPr>
          <w:ilvl w:val="1"/>
          <w:numId w:val="263"/>
        </w:numPr>
        <w:spacing w:before="40" w:after="80" w:line="264" w:lineRule="auto"/>
        <w:ind w:left="357" w:hanging="357"/>
      </w:pPr>
      <w:r>
        <w:t>T</w:t>
      </w:r>
      <w:r w:rsidR="00116025">
        <w:t>he nature of the assets</w:t>
      </w:r>
    </w:p>
    <w:p w14:paraId="1BDDE641" w14:textId="2119AA7E" w:rsidR="00116025" w:rsidRDefault="00D0142A" w:rsidP="0074346A">
      <w:pPr>
        <w:pStyle w:val="ListParagraph"/>
        <w:numPr>
          <w:ilvl w:val="1"/>
          <w:numId w:val="263"/>
        </w:numPr>
        <w:spacing w:before="40" w:after="80" w:line="264" w:lineRule="auto"/>
        <w:ind w:left="357" w:hanging="357"/>
      </w:pPr>
      <w:r>
        <w:t>T</w:t>
      </w:r>
      <w:r w:rsidR="00116025">
        <w:t>he nature of the risks and rewards of ownership to which the entity remains exposed; and</w:t>
      </w:r>
    </w:p>
    <w:p w14:paraId="31ADC43E" w14:textId="70AE7272" w:rsidR="00116025" w:rsidRPr="002A0038" w:rsidRDefault="00D0142A" w:rsidP="0074346A">
      <w:pPr>
        <w:pStyle w:val="ListParagraph"/>
        <w:numPr>
          <w:ilvl w:val="1"/>
          <w:numId w:val="263"/>
        </w:numPr>
        <w:spacing w:before="40" w:after="80" w:line="264" w:lineRule="auto"/>
        <w:ind w:left="357" w:hanging="357"/>
        <w:rPr>
          <w:rStyle w:val="Reference"/>
          <w:color w:val="auto"/>
          <w:sz w:val="18"/>
        </w:rPr>
      </w:pPr>
      <w:r>
        <w:t>T</w:t>
      </w:r>
      <w:r w:rsidR="00116025">
        <w:t xml:space="preserve">he carrying amounts of the assets and of any associated liabilities that the entity continues to recognise. </w:t>
      </w:r>
      <w:r w:rsidR="00116025" w:rsidRPr="067473FC">
        <w:rPr>
          <w:rStyle w:val="Reference"/>
        </w:rPr>
        <w:t>[</w:t>
      </w:r>
      <w:r w:rsidR="0007383E">
        <w:rPr>
          <w:rStyle w:val="Reference"/>
        </w:rPr>
        <w:t>AASB </w:t>
      </w:r>
      <w:r w:rsidR="00116025" w:rsidRPr="067473FC">
        <w:rPr>
          <w:rStyle w:val="Reference"/>
        </w:rPr>
        <w:t>1060.</w:t>
      </w:r>
      <w:r w:rsidR="00116025">
        <w:rPr>
          <w:rStyle w:val="Reference"/>
        </w:rPr>
        <w:t>116</w:t>
      </w:r>
      <w:r w:rsidR="00116025" w:rsidRPr="067473FC">
        <w:rPr>
          <w:rStyle w:val="Reference"/>
        </w:rPr>
        <w:t>]</w:t>
      </w:r>
    </w:p>
    <w:p w14:paraId="664E30D0" w14:textId="08F9F8CE" w:rsidR="00116025" w:rsidRPr="002A0038" w:rsidRDefault="009A28D4" w:rsidP="001E6E1E">
      <w:pPr>
        <w:pStyle w:val="Heading3"/>
      </w:pPr>
      <w:r w:rsidRPr="002A0038">
        <w:t>Items of income, expenses, gains or losses</w:t>
      </w:r>
    </w:p>
    <w:p w14:paraId="5A35B374" w14:textId="77777777" w:rsidR="009A28D4" w:rsidRDefault="009A28D4" w:rsidP="0074346A">
      <w:r>
        <w:t>An entity shall disclose the following items of income, expense, gains or losses:</w:t>
      </w:r>
    </w:p>
    <w:p w14:paraId="59325902" w14:textId="57741116" w:rsidR="009A28D4" w:rsidRDefault="00D0142A" w:rsidP="0074346A">
      <w:pPr>
        <w:pStyle w:val="ListParagraph"/>
        <w:numPr>
          <w:ilvl w:val="1"/>
          <w:numId w:val="267"/>
        </w:numPr>
        <w:spacing w:before="40" w:after="80" w:line="264" w:lineRule="auto"/>
      </w:pPr>
      <w:r>
        <w:t>I</w:t>
      </w:r>
      <w:r w:rsidR="009A28D4">
        <w:t>ncome, expense, gains or losses, including changes in fair value, recognised on:</w:t>
      </w:r>
    </w:p>
    <w:p w14:paraId="7B8D82D5" w14:textId="56026C77" w:rsidR="009A28D4" w:rsidRDefault="009A28D4" w:rsidP="00E77137">
      <w:pPr>
        <w:pStyle w:val="ListBullet2"/>
      </w:pPr>
      <w:r>
        <w:t>financial assets measured at fair value through profit or loss</w:t>
      </w:r>
    </w:p>
    <w:p w14:paraId="2F686BA2" w14:textId="3A810C01" w:rsidR="009A28D4" w:rsidRDefault="009A28D4" w:rsidP="00E77137">
      <w:pPr>
        <w:pStyle w:val="ListBullet2"/>
      </w:pPr>
      <w:r>
        <w:t xml:space="preserve">investments in equity instruments designated at fair value through other comprehensive income in accordance with paragraph 5.7.5 of </w:t>
      </w:r>
      <w:r w:rsidR="0007383E">
        <w:t>AASB </w:t>
      </w:r>
      <w:r>
        <w:t>9; and</w:t>
      </w:r>
    </w:p>
    <w:p w14:paraId="53F5EA43" w14:textId="0507B38F" w:rsidR="009A28D4" w:rsidRDefault="009A28D4" w:rsidP="00E77137">
      <w:pPr>
        <w:pStyle w:val="ListBullet2"/>
      </w:pPr>
      <w:r>
        <w:t xml:space="preserve">financial assets measured at fair value through other comprehensive income in accordance with paragraph 4.1.2A of </w:t>
      </w:r>
      <w:r w:rsidR="0007383E">
        <w:t>AASB </w:t>
      </w:r>
      <w:r>
        <w:t>9, showing separately the amount of gain or loss recognised in other comprehensive income during the period and the amount reclassified upon derecognition from accumulated other comprehensive income to profit or loss for the period</w:t>
      </w:r>
      <w:r w:rsidR="007A71DE">
        <w:t>.</w:t>
      </w:r>
    </w:p>
    <w:p w14:paraId="1C28DFF6" w14:textId="1AC04D70" w:rsidR="009A28D4" w:rsidRDefault="00D0142A" w:rsidP="0074346A">
      <w:pPr>
        <w:pStyle w:val="ListParagraph"/>
        <w:numPr>
          <w:ilvl w:val="1"/>
          <w:numId w:val="269"/>
        </w:numPr>
        <w:spacing w:before="40" w:after="80" w:line="264" w:lineRule="auto"/>
      </w:pPr>
      <w:r>
        <w:t>T</w:t>
      </w:r>
      <w:r w:rsidR="009A28D4">
        <w:t>otal interest income for financial assets that are not measured at fair value through profit or loss; and</w:t>
      </w:r>
    </w:p>
    <w:p w14:paraId="7788D2AD" w14:textId="5E67905C" w:rsidR="008C5A1C" w:rsidRPr="00E10CD7" w:rsidRDefault="00D0142A" w:rsidP="0074346A">
      <w:pPr>
        <w:pStyle w:val="ListParagraph"/>
        <w:numPr>
          <w:ilvl w:val="1"/>
          <w:numId w:val="269"/>
        </w:numPr>
        <w:spacing w:before="40" w:after="80" w:line="264" w:lineRule="auto"/>
        <w:rPr>
          <w:rStyle w:val="Reference"/>
          <w:color w:val="auto"/>
          <w:sz w:val="18"/>
        </w:rPr>
      </w:pPr>
      <w:r>
        <w:t>T</w:t>
      </w:r>
      <w:r w:rsidR="009A28D4">
        <w:t>he amount of any impairment loss for each class of financial asset.</w:t>
      </w:r>
      <w:r w:rsidR="00446D1D">
        <w:t xml:space="preserve"> </w:t>
      </w:r>
      <w:r w:rsidR="00446D1D" w:rsidRPr="067473FC">
        <w:rPr>
          <w:rStyle w:val="Reference"/>
        </w:rPr>
        <w:t>[</w:t>
      </w:r>
      <w:r w:rsidR="0007383E">
        <w:rPr>
          <w:rStyle w:val="Reference"/>
        </w:rPr>
        <w:t>AASB </w:t>
      </w:r>
      <w:r w:rsidR="00446D1D" w:rsidRPr="067473FC">
        <w:rPr>
          <w:rStyle w:val="Reference"/>
        </w:rPr>
        <w:t>1060.</w:t>
      </w:r>
      <w:r w:rsidR="00446D1D">
        <w:rPr>
          <w:rStyle w:val="Reference"/>
        </w:rPr>
        <w:t>119</w:t>
      </w:r>
      <w:r w:rsidR="00446D1D" w:rsidRPr="067473FC">
        <w:rPr>
          <w:rStyle w:val="Reference"/>
        </w:rPr>
        <w:t>]</w:t>
      </w:r>
    </w:p>
    <w:p w14:paraId="7D3DFEEB" w14:textId="4D1DBAE4" w:rsidR="006B4F68" w:rsidRPr="00E10CD7" w:rsidRDefault="006B4F68" w:rsidP="0074346A">
      <w:pPr>
        <w:pStyle w:val="Heading2"/>
        <w:rPr>
          <w:rFonts w:eastAsia="SimHei"/>
          <w:lang w:eastAsia="zh-CN"/>
        </w:rPr>
      </w:pPr>
      <w:r>
        <w:rPr>
          <w:lang w:eastAsia="zh-CN"/>
        </w:rPr>
        <w:t xml:space="preserve">Guidance – </w:t>
      </w:r>
      <w:r>
        <w:rPr>
          <w:rFonts w:eastAsia="SimHei" w:hint="eastAsia"/>
          <w:lang w:eastAsia="zh-CN"/>
        </w:rPr>
        <w:t xml:space="preserve">Other </w:t>
      </w:r>
      <w:r w:rsidR="00E77137">
        <w:rPr>
          <w:rFonts w:eastAsia="SimHei"/>
          <w:lang w:eastAsia="zh-CN"/>
        </w:rPr>
        <w:t>financial liabilities</w:t>
      </w:r>
    </w:p>
    <w:p w14:paraId="4DDFF015" w14:textId="3AE70E0B" w:rsidR="00F454D1" w:rsidRDefault="004E53CC" w:rsidP="0074346A">
      <w:pPr>
        <w:spacing w:before="40"/>
        <w:rPr>
          <w:lang w:eastAsia="zh-CN"/>
        </w:rPr>
      </w:pPr>
      <w:r>
        <w:rPr>
          <w:lang w:eastAsia="zh-CN"/>
        </w:rPr>
        <w:t>An entity shall disclose the carrying amount of each of the following categories of financial liabilities at the reporting date, in total, either in the statement of financial position or in the notes:</w:t>
      </w:r>
    </w:p>
    <w:p w14:paraId="61C2E22D" w14:textId="461A0EFC" w:rsidR="004E53CC" w:rsidRDefault="00D0142A" w:rsidP="00E10CD7">
      <w:pPr>
        <w:pStyle w:val="ListParagraph"/>
        <w:numPr>
          <w:ilvl w:val="1"/>
          <w:numId w:val="273"/>
        </w:numPr>
        <w:spacing w:before="40" w:after="80" w:line="264" w:lineRule="auto"/>
        <w:ind w:left="357" w:hanging="357"/>
        <w:rPr>
          <w:lang w:eastAsia="zh-CN"/>
        </w:rPr>
      </w:pPr>
      <w:r>
        <w:rPr>
          <w:lang w:eastAsia="zh-CN"/>
        </w:rPr>
        <w:t>F</w:t>
      </w:r>
      <w:r w:rsidR="00FB392A">
        <w:rPr>
          <w:lang w:eastAsia="zh-CN"/>
        </w:rPr>
        <w:t>inancial liabilities measured at fair value through profit or loss</w:t>
      </w:r>
      <w:r w:rsidR="00D63D98">
        <w:rPr>
          <w:lang w:eastAsia="zh-CN"/>
        </w:rPr>
        <w:t xml:space="preserve"> </w:t>
      </w:r>
      <w:r w:rsidR="00D63D98" w:rsidRPr="067473FC">
        <w:rPr>
          <w:rStyle w:val="Reference"/>
        </w:rPr>
        <w:t>[</w:t>
      </w:r>
      <w:r w:rsidR="0007383E">
        <w:rPr>
          <w:rStyle w:val="Reference"/>
        </w:rPr>
        <w:t>AASB </w:t>
      </w:r>
      <w:r w:rsidR="00D63D98" w:rsidRPr="067473FC">
        <w:rPr>
          <w:rStyle w:val="Reference"/>
        </w:rPr>
        <w:t>1060.</w:t>
      </w:r>
      <w:r w:rsidR="00D63D98">
        <w:rPr>
          <w:rStyle w:val="Reference"/>
        </w:rPr>
        <w:t>113(</w:t>
      </w:r>
      <w:r w:rsidR="00FF5CE9">
        <w:rPr>
          <w:rStyle w:val="Reference"/>
        </w:rPr>
        <w:t>c)</w:t>
      </w:r>
      <w:r w:rsidR="00D63D98" w:rsidRPr="067473FC">
        <w:rPr>
          <w:rStyle w:val="Reference"/>
        </w:rPr>
        <w:t>]</w:t>
      </w:r>
    </w:p>
    <w:p w14:paraId="0460CB0C" w14:textId="0C80E1B7" w:rsidR="00FB392A" w:rsidRDefault="00FF5CE9" w:rsidP="0074346A">
      <w:pPr>
        <w:rPr>
          <w:lang w:eastAsia="zh-CN"/>
        </w:rPr>
      </w:pPr>
      <w:r>
        <w:rPr>
          <w:lang w:eastAsia="zh-CN"/>
        </w:rPr>
        <w:t xml:space="preserve">An entity </w:t>
      </w:r>
      <w:r w:rsidR="00A03701">
        <w:rPr>
          <w:lang w:eastAsia="zh-CN"/>
        </w:rPr>
        <w:t>shall disclose the following items of income, expenses, gains or losses:</w:t>
      </w:r>
    </w:p>
    <w:p w14:paraId="5A622CE0" w14:textId="70BDB329" w:rsidR="00A03701" w:rsidRPr="008C722B" w:rsidRDefault="00D0142A" w:rsidP="00E10CD7">
      <w:pPr>
        <w:pStyle w:val="ListParagraph"/>
        <w:numPr>
          <w:ilvl w:val="1"/>
          <w:numId w:val="273"/>
        </w:numPr>
        <w:rPr>
          <w:lang w:eastAsia="zh-CN"/>
        </w:rPr>
      </w:pPr>
      <w:r>
        <w:rPr>
          <w:lang w:eastAsia="zh-CN"/>
        </w:rPr>
        <w:t>F</w:t>
      </w:r>
      <w:r w:rsidR="00A03701">
        <w:rPr>
          <w:lang w:eastAsia="zh-CN"/>
        </w:rPr>
        <w:t>inancial liabilities measured at fair value through profit or loss</w:t>
      </w:r>
      <w:r w:rsidR="00FF1704">
        <w:rPr>
          <w:lang w:eastAsia="zh-CN"/>
        </w:rPr>
        <w:t xml:space="preserve"> </w:t>
      </w:r>
      <w:r w:rsidR="00FF1704" w:rsidRPr="067473FC">
        <w:rPr>
          <w:rStyle w:val="Reference"/>
        </w:rPr>
        <w:t>[</w:t>
      </w:r>
      <w:r w:rsidR="0007383E">
        <w:rPr>
          <w:rStyle w:val="Reference"/>
        </w:rPr>
        <w:t>AASB </w:t>
      </w:r>
      <w:r w:rsidR="00FF1704" w:rsidRPr="067473FC">
        <w:rPr>
          <w:rStyle w:val="Reference"/>
        </w:rPr>
        <w:t>1060.</w:t>
      </w:r>
      <w:r w:rsidR="00FF1704">
        <w:rPr>
          <w:rStyle w:val="Reference"/>
        </w:rPr>
        <w:t>119(b)</w:t>
      </w:r>
      <w:r w:rsidR="00FF1704" w:rsidRPr="067473FC">
        <w:rPr>
          <w:rStyle w:val="Reference"/>
        </w:rPr>
        <w:t>]</w:t>
      </w:r>
    </w:p>
    <w:p w14:paraId="43E56140" w14:textId="25B879DE" w:rsidR="008C5A1C" w:rsidRDefault="008C5A1C" w:rsidP="0074346A">
      <w:pPr>
        <w:pStyle w:val="Heading2"/>
        <w:rPr>
          <w:lang w:eastAsia="zh-CN"/>
        </w:rPr>
      </w:pPr>
      <w:bookmarkStart w:id="10996" w:name="_Toc179816803"/>
      <w:bookmarkStart w:id="10997" w:name="_Toc179822503"/>
      <w:bookmarkStart w:id="10998" w:name="_Toc179828203"/>
      <w:bookmarkStart w:id="10999" w:name="_Toc179833838"/>
      <w:bookmarkStart w:id="11000" w:name="_Toc179865368"/>
      <w:bookmarkStart w:id="11001" w:name="_Toc179871469"/>
      <w:bookmarkStart w:id="11002" w:name="_Toc179875862"/>
      <w:bookmarkStart w:id="11003" w:name="_Toc179880255"/>
      <w:bookmarkStart w:id="11004" w:name="_Toc179880348"/>
      <w:r>
        <w:rPr>
          <w:lang w:eastAsia="zh-CN"/>
        </w:rPr>
        <w:t xml:space="preserve">Guidance – Investment </w:t>
      </w:r>
      <w:r w:rsidR="00E77137">
        <w:rPr>
          <w:lang w:eastAsia="zh-CN"/>
        </w:rPr>
        <w:t>accounted for using the equity method</w:t>
      </w:r>
      <w:bookmarkEnd w:id="10996"/>
      <w:bookmarkEnd w:id="10997"/>
      <w:bookmarkEnd w:id="10998"/>
      <w:bookmarkEnd w:id="10999"/>
      <w:bookmarkEnd w:id="11000"/>
      <w:bookmarkEnd w:id="11001"/>
      <w:bookmarkEnd w:id="11002"/>
      <w:bookmarkEnd w:id="11003"/>
      <w:bookmarkEnd w:id="11004"/>
    </w:p>
    <w:p w14:paraId="7EFD6335" w14:textId="77777777" w:rsidR="008C5A1C" w:rsidRPr="002A0038" w:rsidRDefault="008C5A1C" w:rsidP="001E6E1E">
      <w:pPr>
        <w:pStyle w:val="Heading3"/>
        <w:rPr>
          <w:lang w:eastAsia="zh-CN"/>
        </w:rPr>
      </w:pPr>
      <w:r w:rsidRPr="002A0038">
        <w:rPr>
          <w:lang w:eastAsia="zh-CN"/>
        </w:rPr>
        <w:t>Investments in associates</w:t>
      </w:r>
    </w:p>
    <w:p w14:paraId="5857C5AA" w14:textId="77777777" w:rsidR="00424EC5" w:rsidRDefault="00424EC5" w:rsidP="0074346A">
      <w:pPr>
        <w:rPr>
          <w:lang w:eastAsia="zh-CN"/>
        </w:rPr>
      </w:pPr>
      <w:r>
        <w:rPr>
          <w:lang w:eastAsia="zh-CN"/>
        </w:rPr>
        <w:t>An entity shall disclose the following:</w:t>
      </w:r>
    </w:p>
    <w:p w14:paraId="3A46EB7E" w14:textId="388F0F07" w:rsidR="00424EC5" w:rsidRDefault="00D0142A" w:rsidP="0074346A">
      <w:pPr>
        <w:pStyle w:val="ListParagraph"/>
        <w:numPr>
          <w:ilvl w:val="1"/>
          <w:numId w:val="273"/>
        </w:numPr>
        <w:spacing w:before="40" w:after="80" w:line="264" w:lineRule="auto"/>
        <w:ind w:left="357" w:hanging="357"/>
        <w:rPr>
          <w:lang w:eastAsia="zh-CN"/>
        </w:rPr>
      </w:pPr>
      <w:r>
        <w:rPr>
          <w:lang w:eastAsia="zh-CN"/>
        </w:rPr>
        <w:t>I</w:t>
      </w:r>
      <w:r w:rsidR="00424EC5">
        <w:rPr>
          <w:lang w:eastAsia="zh-CN"/>
        </w:rPr>
        <w:t>ts accounting policy for investments in associates</w:t>
      </w:r>
    </w:p>
    <w:p w14:paraId="4DC5075B" w14:textId="63403F01" w:rsidR="00424EC5" w:rsidRDefault="00D0142A" w:rsidP="0074346A">
      <w:pPr>
        <w:pStyle w:val="ListParagraph"/>
        <w:numPr>
          <w:ilvl w:val="1"/>
          <w:numId w:val="273"/>
        </w:numPr>
        <w:spacing w:before="40" w:after="80" w:line="264" w:lineRule="auto"/>
        <w:ind w:left="357" w:hanging="357"/>
        <w:rPr>
          <w:lang w:eastAsia="zh-CN"/>
        </w:rPr>
      </w:pPr>
      <w:r>
        <w:rPr>
          <w:lang w:eastAsia="zh-CN"/>
        </w:rPr>
        <w:t>T</w:t>
      </w:r>
      <w:r w:rsidR="00424EC5">
        <w:rPr>
          <w:lang w:eastAsia="zh-CN"/>
        </w:rPr>
        <w:t xml:space="preserve">he carrying </w:t>
      </w:r>
      <w:proofErr w:type="gramStart"/>
      <w:r w:rsidR="00424EC5">
        <w:rPr>
          <w:lang w:eastAsia="zh-CN"/>
        </w:rPr>
        <w:t>amount</w:t>
      </w:r>
      <w:proofErr w:type="gramEnd"/>
      <w:r w:rsidR="00424EC5">
        <w:rPr>
          <w:lang w:eastAsia="zh-CN"/>
        </w:rPr>
        <w:t xml:space="preserve"> of investments in associates; and</w:t>
      </w:r>
    </w:p>
    <w:p w14:paraId="34EADE00" w14:textId="32BE03CC" w:rsidR="008C5A1C" w:rsidRPr="002A0038" w:rsidRDefault="00D0142A" w:rsidP="0074346A">
      <w:pPr>
        <w:pStyle w:val="ListParagraph"/>
        <w:numPr>
          <w:ilvl w:val="1"/>
          <w:numId w:val="273"/>
        </w:numPr>
        <w:spacing w:before="40" w:after="80" w:line="264" w:lineRule="auto"/>
        <w:ind w:left="357" w:hanging="357"/>
        <w:rPr>
          <w:rStyle w:val="Reference"/>
          <w:color w:val="auto"/>
          <w:sz w:val="18"/>
          <w:lang w:eastAsia="zh-CN"/>
        </w:rPr>
      </w:pPr>
      <w:r>
        <w:rPr>
          <w:lang w:eastAsia="zh-CN"/>
        </w:rPr>
        <w:t>T</w:t>
      </w:r>
      <w:r w:rsidR="00424EC5">
        <w:rPr>
          <w:lang w:eastAsia="zh-CN"/>
        </w:rPr>
        <w:t xml:space="preserve">he fair value of investments in associates accounted for using the equity method for which there are published price quotations. </w:t>
      </w:r>
      <w:r w:rsidR="00424EC5" w:rsidRPr="067473FC">
        <w:rPr>
          <w:rStyle w:val="Reference"/>
        </w:rPr>
        <w:t>[</w:t>
      </w:r>
      <w:r w:rsidR="0007383E">
        <w:rPr>
          <w:rStyle w:val="Reference"/>
        </w:rPr>
        <w:t>AASB </w:t>
      </w:r>
      <w:r w:rsidR="00424EC5" w:rsidRPr="067473FC">
        <w:rPr>
          <w:rStyle w:val="Reference"/>
        </w:rPr>
        <w:t>1060.</w:t>
      </w:r>
      <w:r w:rsidR="00424EC5">
        <w:rPr>
          <w:rStyle w:val="Reference"/>
        </w:rPr>
        <w:t>125</w:t>
      </w:r>
      <w:r w:rsidR="00424EC5" w:rsidRPr="067473FC">
        <w:rPr>
          <w:rStyle w:val="Reference"/>
        </w:rPr>
        <w:t>]</w:t>
      </w:r>
    </w:p>
    <w:p w14:paraId="58ED21BF" w14:textId="070E56AF" w:rsidR="00822C4B" w:rsidRDefault="00822C4B" w:rsidP="0074346A">
      <w:pPr>
        <w:rPr>
          <w:lang w:eastAsia="zh-CN"/>
        </w:rPr>
      </w:pPr>
      <w:r w:rsidRPr="00822C4B">
        <w:rPr>
          <w:lang w:eastAsia="zh-CN"/>
        </w:rPr>
        <w:t xml:space="preserve">For investments in associates accounted for by the cost model, an investor shall disclose the amount of dividends and other distributions recognised as income. </w:t>
      </w:r>
      <w:r w:rsidRPr="067473FC">
        <w:rPr>
          <w:rStyle w:val="Reference"/>
        </w:rPr>
        <w:t>[</w:t>
      </w:r>
      <w:r w:rsidR="0007383E">
        <w:rPr>
          <w:rStyle w:val="Reference"/>
        </w:rPr>
        <w:t>AASB </w:t>
      </w:r>
      <w:r w:rsidRPr="067473FC">
        <w:rPr>
          <w:rStyle w:val="Reference"/>
        </w:rPr>
        <w:t>1060.</w:t>
      </w:r>
      <w:r>
        <w:rPr>
          <w:rStyle w:val="Reference"/>
        </w:rPr>
        <w:t>126</w:t>
      </w:r>
      <w:r w:rsidRPr="067473FC">
        <w:rPr>
          <w:rStyle w:val="Reference"/>
        </w:rPr>
        <w:t>]</w:t>
      </w:r>
    </w:p>
    <w:p w14:paraId="13D04F07" w14:textId="09514133" w:rsidR="00822C4B" w:rsidRDefault="00822C4B" w:rsidP="0074346A">
      <w:pPr>
        <w:rPr>
          <w:lang w:eastAsia="zh-CN"/>
        </w:rPr>
      </w:pPr>
      <w:r w:rsidRPr="00822C4B">
        <w:rPr>
          <w:lang w:eastAsia="zh-CN"/>
        </w:rPr>
        <w:t xml:space="preserve">For investments in associates accounted for by the equity method, an investor shall disclose separately its share of the profit or loss of such associates and its share of any discontinued operations of such associates. </w:t>
      </w:r>
      <w:r w:rsidRPr="067473FC">
        <w:rPr>
          <w:rStyle w:val="Reference"/>
        </w:rPr>
        <w:t>[</w:t>
      </w:r>
      <w:r w:rsidR="0007383E">
        <w:rPr>
          <w:rStyle w:val="Reference"/>
        </w:rPr>
        <w:t>AASB </w:t>
      </w:r>
      <w:r w:rsidRPr="067473FC">
        <w:rPr>
          <w:rStyle w:val="Reference"/>
        </w:rPr>
        <w:t>1060.</w:t>
      </w:r>
      <w:r>
        <w:rPr>
          <w:rStyle w:val="Reference"/>
        </w:rPr>
        <w:t>127</w:t>
      </w:r>
      <w:r w:rsidRPr="067473FC">
        <w:rPr>
          <w:rStyle w:val="Reference"/>
        </w:rPr>
        <w:t>]</w:t>
      </w:r>
    </w:p>
    <w:p w14:paraId="53D74AE2" w14:textId="12BACA8C" w:rsidR="00D30C28" w:rsidRPr="002A0038" w:rsidRDefault="00D30C28" w:rsidP="001E6E1E">
      <w:pPr>
        <w:pStyle w:val="Heading3"/>
        <w:rPr>
          <w:lang w:eastAsia="zh-CN"/>
        </w:rPr>
      </w:pPr>
      <w:r w:rsidRPr="002A0038">
        <w:rPr>
          <w:lang w:eastAsia="zh-CN"/>
        </w:rPr>
        <w:t>Investments in joint ventures</w:t>
      </w:r>
    </w:p>
    <w:p w14:paraId="5E8B6408" w14:textId="77777777" w:rsidR="00000F84" w:rsidRPr="00000F84" w:rsidRDefault="00000F84" w:rsidP="00E77137">
      <w:pPr>
        <w:keepNext/>
        <w:rPr>
          <w:lang w:eastAsia="zh-CN"/>
        </w:rPr>
      </w:pPr>
      <w:r w:rsidRPr="00000F84">
        <w:rPr>
          <w:lang w:eastAsia="zh-CN"/>
        </w:rPr>
        <w:t xml:space="preserve">An entity shall disclose the following: </w:t>
      </w:r>
    </w:p>
    <w:p w14:paraId="248967CA" w14:textId="3EA47B4E" w:rsidR="00000F84" w:rsidRPr="00000F84" w:rsidRDefault="00D0142A" w:rsidP="00E77137">
      <w:pPr>
        <w:pStyle w:val="ListParagraph"/>
        <w:keepNext/>
        <w:numPr>
          <w:ilvl w:val="1"/>
          <w:numId w:val="275"/>
        </w:numPr>
        <w:spacing w:before="40" w:after="80" w:line="264" w:lineRule="auto"/>
        <w:ind w:left="357" w:hanging="357"/>
        <w:rPr>
          <w:lang w:eastAsia="zh-CN"/>
        </w:rPr>
      </w:pPr>
      <w:r>
        <w:rPr>
          <w:lang w:eastAsia="zh-CN"/>
        </w:rPr>
        <w:t>T</w:t>
      </w:r>
      <w:r w:rsidR="00000F84" w:rsidRPr="00000F84">
        <w:rPr>
          <w:lang w:eastAsia="zh-CN"/>
        </w:rPr>
        <w:t xml:space="preserve">he accounting policy it uses for recognising its interests in joint ventures </w:t>
      </w:r>
    </w:p>
    <w:p w14:paraId="465F84E7" w14:textId="471B4324" w:rsidR="00000F84" w:rsidRPr="00000F84" w:rsidRDefault="00D0142A" w:rsidP="0074346A">
      <w:pPr>
        <w:pStyle w:val="ListParagraph"/>
        <w:numPr>
          <w:ilvl w:val="1"/>
          <w:numId w:val="275"/>
        </w:numPr>
        <w:spacing w:before="40" w:after="80" w:line="264" w:lineRule="auto"/>
        <w:ind w:left="357" w:hanging="357"/>
        <w:rPr>
          <w:lang w:eastAsia="zh-CN"/>
        </w:rPr>
      </w:pPr>
      <w:r>
        <w:rPr>
          <w:lang w:eastAsia="zh-CN"/>
        </w:rPr>
        <w:t>T</w:t>
      </w:r>
      <w:r w:rsidR="00000F84" w:rsidRPr="00000F84">
        <w:rPr>
          <w:lang w:eastAsia="zh-CN"/>
        </w:rPr>
        <w:t xml:space="preserve">he carrying </w:t>
      </w:r>
      <w:proofErr w:type="gramStart"/>
      <w:r w:rsidR="00000F84" w:rsidRPr="00000F84">
        <w:rPr>
          <w:lang w:eastAsia="zh-CN"/>
        </w:rPr>
        <w:t>amount</w:t>
      </w:r>
      <w:proofErr w:type="gramEnd"/>
      <w:r w:rsidR="00000F84" w:rsidRPr="00000F84">
        <w:rPr>
          <w:lang w:eastAsia="zh-CN"/>
        </w:rPr>
        <w:t xml:space="preserve"> of investments in joint ventures </w:t>
      </w:r>
    </w:p>
    <w:p w14:paraId="597A678F" w14:textId="7BEB93D1" w:rsidR="00000F84" w:rsidRPr="00000F84" w:rsidRDefault="00D0142A" w:rsidP="0074346A">
      <w:pPr>
        <w:pStyle w:val="ListParagraph"/>
        <w:numPr>
          <w:ilvl w:val="1"/>
          <w:numId w:val="275"/>
        </w:numPr>
        <w:spacing w:before="40" w:after="80" w:line="264" w:lineRule="auto"/>
        <w:ind w:left="357" w:hanging="357"/>
        <w:rPr>
          <w:lang w:eastAsia="zh-CN"/>
        </w:rPr>
      </w:pPr>
      <w:r>
        <w:rPr>
          <w:lang w:eastAsia="zh-CN"/>
        </w:rPr>
        <w:t>T</w:t>
      </w:r>
      <w:r w:rsidR="00000F84" w:rsidRPr="00000F84">
        <w:rPr>
          <w:lang w:eastAsia="zh-CN"/>
        </w:rPr>
        <w:t xml:space="preserve">he fair value of investments in joint ventures accounted for using the equity method for which there are published price quotations; and </w:t>
      </w:r>
    </w:p>
    <w:p w14:paraId="2394F2C3" w14:textId="1792ADAB" w:rsidR="00D30C28" w:rsidRPr="002A0038" w:rsidRDefault="00D0142A" w:rsidP="0074346A">
      <w:pPr>
        <w:pStyle w:val="ListParagraph"/>
        <w:numPr>
          <w:ilvl w:val="1"/>
          <w:numId w:val="275"/>
        </w:numPr>
        <w:spacing w:before="40" w:after="80" w:line="264" w:lineRule="auto"/>
        <w:ind w:left="357" w:hanging="357"/>
        <w:rPr>
          <w:rStyle w:val="Reference"/>
          <w:color w:val="auto"/>
          <w:sz w:val="18"/>
          <w:lang w:eastAsia="zh-CN"/>
        </w:rPr>
      </w:pPr>
      <w:r>
        <w:rPr>
          <w:lang w:eastAsia="zh-CN"/>
        </w:rPr>
        <w:t>T</w:t>
      </w:r>
      <w:r w:rsidR="00000F84" w:rsidRPr="00000F84">
        <w:rPr>
          <w:lang w:eastAsia="zh-CN"/>
        </w:rPr>
        <w:t>he aggregate amount of its commitments relating to joint ventures, including its share in the capital commitments that have been incurred jointly with other venturers, as well as its share of the capital commitments of the joint ventures themselves.</w:t>
      </w:r>
      <w:r w:rsidR="00000F84">
        <w:rPr>
          <w:lang w:eastAsia="zh-CN"/>
        </w:rPr>
        <w:t xml:space="preserve"> </w:t>
      </w:r>
      <w:r w:rsidR="00000F84" w:rsidRPr="067473FC">
        <w:rPr>
          <w:rStyle w:val="Reference"/>
        </w:rPr>
        <w:t>[</w:t>
      </w:r>
      <w:r w:rsidR="0007383E">
        <w:rPr>
          <w:rStyle w:val="Reference"/>
        </w:rPr>
        <w:t>AASB </w:t>
      </w:r>
      <w:r w:rsidR="00000F84" w:rsidRPr="067473FC">
        <w:rPr>
          <w:rStyle w:val="Reference"/>
        </w:rPr>
        <w:t>1060.</w:t>
      </w:r>
      <w:r w:rsidR="00000F84">
        <w:rPr>
          <w:rStyle w:val="Reference"/>
        </w:rPr>
        <w:t>129</w:t>
      </w:r>
      <w:r w:rsidR="00000F84" w:rsidRPr="067473FC">
        <w:rPr>
          <w:rStyle w:val="Reference"/>
        </w:rPr>
        <w:t>]</w:t>
      </w:r>
    </w:p>
    <w:p w14:paraId="3B48A02C" w14:textId="5561CD73" w:rsidR="00D64E97" w:rsidRDefault="00414F96" w:rsidP="0074346A">
      <w:pPr>
        <w:rPr>
          <w:rStyle w:val="Reference"/>
        </w:rPr>
      </w:pPr>
      <w:r w:rsidRPr="00414F96">
        <w:rPr>
          <w:lang w:eastAsia="zh-CN"/>
        </w:rPr>
        <w:t xml:space="preserve">For joint ventures accounted for in accordance with the equity method, the venturer shall also </w:t>
      </w:r>
      <w:r w:rsidR="00DF7DD4">
        <w:rPr>
          <w:lang w:eastAsia="zh-CN"/>
        </w:rPr>
        <w:t>disclose</w:t>
      </w:r>
      <w:r w:rsidR="00E878DC">
        <w:rPr>
          <w:lang w:eastAsia="zh-CN"/>
        </w:rPr>
        <w:t xml:space="preserve"> separately</w:t>
      </w:r>
      <w:r w:rsidR="00261104">
        <w:rPr>
          <w:lang w:eastAsia="zh-CN"/>
        </w:rPr>
        <w:t xml:space="preserve"> its share of profit or loss of such associate</w:t>
      </w:r>
      <w:r w:rsidR="001454BC">
        <w:rPr>
          <w:lang w:eastAsia="zh-CN"/>
        </w:rPr>
        <w:t xml:space="preserve">s and its share of any discontinued operations of such associates. </w:t>
      </w:r>
      <w:r w:rsidRPr="067473FC">
        <w:rPr>
          <w:rStyle w:val="Reference"/>
        </w:rPr>
        <w:t>[</w:t>
      </w:r>
      <w:r w:rsidR="0007383E">
        <w:rPr>
          <w:rStyle w:val="Reference"/>
        </w:rPr>
        <w:t>AASB </w:t>
      </w:r>
      <w:r w:rsidRPr="067473FC">
        <w:rPr>
          <w:rStyle w:val="Reference"/>
        </w:rPr>
        <w:t>1060.</w:t>
      </w:r>
      <w:r>
        <w:rPr>
          <w:rStyle w:val="Reference"/>
        </w:rPr>
        <w:t>130</w:t>
      </w:r>
      <w:r w:rsidRPr="067473FC">
        <w:rPr>
          <w:rStyle w:val="Reference"/>
        </w:rPr>
        <w:t>]</w:t>
      </w:r>
    </w:p>
    <w:p w14:paraId="670C195D" w14:textId="77777777" w:rsidR="009823CB" w:rsidRDefault="009823CB" w:rsidP="009823CB">
      <w:pPr>
        <w:pStyle w:val="Heading2"/>
      </w:pPr>
      <w:r>
        <w:t>Guidance – Administered Items</w:t>
      </w:r>
    </w:p>
    <w:p w14:paraId="5635F374" w14:textId="72D08626" w:rsidR="009823CB" w:rsidRDefault="009823CB" w:rsidP="009823CB">
      <w:pPr>
        <w:rPr>
          <w:lang w:eastAsia="zh-CN"/>
        </w:rPr>
      </w:pPr>
      <w:r w:rsidRPr="00FE68F5">
        <w:rPr>
          <w:lang w:eastAsia="zh-CN"/>
        </w:rPr>
        <w:t>A</w:t>
      </w:r>
      <w:r w:rsidR="0028249A">
        <w:rPr>
          <w:lang w:eastAsia="zh-CN"/>
        </w:rPr>
        <w:t xml:space="preserve">n entity </w:t>
      </w:r>
      <w:r w:rsidRPr="00FE68F5">
        <w:rPr>
          <w:lang w:eastAsia="zh-CN"/>
        </w:rPr>
        <w:t xml:space="preserve">shall disclose the following in its complete set of financial statements in relation to activities </w:t>
      </w:r>
      <w:r w:rsidR="005418A8">
        <w:rPr>
          <w:lang w:eastAsia="zh-CN"/>
        </w:rPr>
        <w:t xml:space="preserve">it </w:t>
      </w:r>
      <w:r w:rsidRPr="00FE68F5">
        <w:rPr>
          <w:lang w:eastAsia="zh-CN"/>
        </w:rPr>
        <w:t>administer</w:t>
      </w:r>
      <w:r w:rsidR="005418A8">
        <w:rPr>
          <w:lang w:eastAsia="zh-CN"/>
        </w:rPr>
        <w:t>s</w:t>
      </w:r>
      <w:r w:rsidRPr="00FE68F5">
        <w:rPr>
          <w:lang w:eastAsia="zh-CN"/>
        </w:rPr>
        <w:t xml:space="preserve">: </w:t>
      </w:r>
    </w:p>
    <w:p w14:paraId="6EC98DD7" w14:textId="44B76254" w:rsidR="009823CB" w:rsidRDefault="00293524" w:rsidP="009823CB">
      <w:pPr>
        <w:pStyle w:val="ListParagraph"/>
        <w:numPr>
          <w:ilvl w:val="0"/>
          <w:numId w:val="403"/>
        </w:numPr>
        <w:rPr>
          <w:lang w:eastAsia="zh-CN"/>
        </w:rPr>
      </w:pPr>
      <w:r>
        <w:rPr>
          <w:lang w:eastAsia="zh-CN"/>
        </w:rPr>
        <w:t>A</w:t>
      </w:r>
      <w:r w:rsidR="009823CB" w:rsidRPr="00FE68F5">
        <w:rPr>
          <w:lang w:eastAsia="zh-CN"/>
        </w:rPr>
        <w:t xml:space="preserve">dministered income, showing separately each major class of </w:t>
      </w:r>
      <w:proofErr w:type="gramStart"/>
      <w:r w:rsidR="009823CB" w:rsidRPr="00FE68F5">
        <w:rPr>
          <w:lang w:eastAsia="zh-CN"/>
        </w:rPr>
        <w:t>income;</w:t>
      </w:r>
      <w:proofErr w:type="gramEnd"/>
      <w:r w:rsidR="009823CB" w:rsidRPr="00FE68F5">
        <w:rPr>
          <w:lang w:eastAsia="zh-CN"/>
        </w:rPr>
        <w:t xml:space="preserve"> </w:t>
      </w:r>
    </w:p>
    <w:p w14:paraId="4553761A" w14:textId="4A441A8A" w:rsidR="009823CB" w:rsidRDefault="00293524" w:rsidP="009823CB">
      <w:pPr>
        <w:pStyle w:val="ListParagraph"/>
        <w:numPr>
          <w:ilvl w:val="0"/>
          <w:numId w:val="403"/>
        </w:numPr>
        <w:rPr>
          <w:lang w:eastAsia="zh-CN"/>
        </w:rPr>
      </w:pPr>
      <w:r>
        <w:rPr>
          <w:lang w:eastAsia="zh-CN"/>
        </w:rPr>
        <w:t>A</w:t>
      </w:r>
      <w:r w:rsidR="009823CB" w:rsidRPr="00FE68F5">
        <w:rPr>
          <w:lang w:eastAsia="zh-CN"/>
        </w:rPr>
        <w:t xml:space="preserve">dministered expenses, showing separately each major class of </w:t>
      </w:r>
      <w:proofErr w:type="gramStart"/>
      <w:r w:rsidR="009823CB" w:rsidRPr="00FE68F5">
        <w:rPr>
          <w:lang w:eastAsia="zh-CN"/>
        </w:rPr>
        <w:t>expense;</w:t>
      </w:r>
      <w:proofErr w:type="gramEnd"/>
      <w:r w:rsidR="009823CB" w:rsidRPr="00FE68F5">
        <w:rPr>
          <w:lang w:eastAsia="zh-CN"/>
        </w:rPr>
        <w:t xml:space="preserve"> </w:t>
      </w:r>
    </w:p>
    <w:p w14:paraId="2DE6AD2C" w14:textId="31BAFACC" w:rsidR="009823CB" w:rsidRDefault="00293524" w:rsidP="009823CB">
      <w:pPr>
        <w:pStyle w:val="ListParagraph"/>
        <w:numPr>
          <w:ilvl w:val="0"/>
          <w:numId w:val="403"/>
        </w:numPr>
        <w:rPr>
          <w:lang w:eastAsia="zh-CN"/>
        </w:rPr>
      </w:pPr>
      <w:r>
        <w:rPr>
          <w:lang w:eastAsia="zh-CN"/>
        </w:rPr>
        <w:t>A</w:t>
      </w:r>
      <w:r w:rsidR="009823CB" w:rsidRPr="00FE68F5">
        <w:rPr>
          <w:lang w:eastAsia="zh-CN"/>
        </w:rPr>
        <w:t xml:space="preserve">dministered assets, showing separately each major class of asset; and </w:t>
      </w:r>
    </w:p>
    <w:p w14:paraId="058E2FC7" w14:textId="6D3435B4" w:rsidR="009823CB" w:rsidRDefault="00293524" w:rsidP="009823CB">
      <w:pPr>
        <w:pStyle w:val="ListParagraph"/>
        <w:numPr>
          <w:ilvl w:val="0"/>
          <w:numId w:val="403"/>
        </w:numPr>
        <w:rPr>
          <w:lang w:eastAsia="zh-CN"/>
        </w:rPr>
      </w:pPr>
      <w:r>
        <w:rPr>
          <w:lang w:eastAsia="zh-CN"/>
        </w:rPr>
        <w:t>A</w:t>
      </w:r>
      <w:r w:rsidR="009823CB" w:rsidRPr="00FE68F5">
        <w:rPr>
          <w:lang w:eastAsia="zh-CN"/>
        </w:rPr>
        <w:t xml:space="preserve">dministered liabilities, showing separately each major class of liability. </w:t>
      </w:r>
    </w:p>
    <w:p w14:paraId="3ACBA103" w14:textId="06FD332E" w:rsidR="009823CB" w:rsidRPr="002A0038" w:rsidRDefault="009823CB" w:rsidP="009823CB">
      <w:pPr>
        <w:rPr>
          <w:lang w:eastAsia="zh-CN"/>
        </w:rPr>
      </w:pPr>
      <w:r w:rsidRPr="00FE68F5">
        <w:rPr>
          <w:lang w:eastAsia="zh-CN"/>
        </w:rPr>
        <w:t xml:space="preserve">Details of the broad categories of recipients and the amounts transferred to those recipients shall be disclosed in the </w:t>
      </w:r>
      <w:r w:rsidR="005418A8">
        <w:rPr>
          <w:lang w:eastAsia="zh-CN"/>
        </w:rPr>
        <w:t>entity’s</w:t>
      </w:r>
      <w:r w:rsidRPr="00FE68F5">
        <w:rPr>
          <w:lang w:eastAsia="zh-CN"/>
        </w:rPr>
        <w:t xml:space="preserve"> complete set of financial statements.</w:t>
      </w:r>
      <w:r>
        <w:rPr>
          <w:lang w:eastAsia="zh-CN"/>
        </w:rPr>
        <w:t xml:space="preserve"> </w:t>
      </w:r>
      <w:r w:rsidRPr="00180A39">
        <w:rPr>
          <w:rStyle w:val="Reference"/>
        </w:rPr>
        <w:t>[AASB 1060.219-220]</w:t>
      </w:r>
    </w:p>
    <w:p w14:paraId="5BB3C834" w14:textId="328ED3D6" w:rsidR="002A46B9" w:rsidRDefault="002A46B9" w:rsidP="0074346A">
      <w:pPr>
        <w:pStyle w:val="Heading2"/>
      </w:pPr>
      <w:bookmarkStart w:id="11005" w:name="_Toc179816804"/>
      <w:bookmarkStart w:id="11006" w:name="_Toc179822504"/>
      <w:bookmarkStart w:id="11007" w:name="_Toc179828204"/>
      <w:bookmarkStart w:id="11008" w:name="_Toc179833839"/>
      <w:bookmarkStart w:id="11009" w:name="_Toc179865369"/>
      <w:bookmarkStart w:id="11010" w:name="_Toc179871470"/>
      <w:bookmarkStart w:id="11011" w:name="_Toc179875863"/>
      <w:bookmarkStart w:id="11012" w:name="_Toc179880256"/>
      <w:bookmarkStart w:id="11013" w:name="_Toc179880349"/>
      <w:r>
        <w:t xml:space="preserve">Guidance – Foreign </w:t>
      </w:r>
      <w:r w:rsidR="00E77137">
        <w:t>currency translation</w:t>
      </w:r>
      <w:bookmarkEnd w:id="11005"/>
      <w:bookmarkEnd w:id="11006"/>
      <w:bookmarkEnd w:id="11007"/>
      <w:bookmarkEnd w:id="11008"/>
      <w:bookmarkEnd w:id="11009"/>
      <w:bookmarkEnd w:id="11010"/>
      <w:bookmarkEnd w:id="11011"/>
      <w:bookmarkEnd w:id="11012"/>
      <w:bookmarkEnd w:id="11013"/>
    </w:p>
    <w:p w14:paraId="7ACE28D1" w14:textId="1186E09E" w:rsidR="009C5742" w:rsidRPr="002A0038" w:rsidRDefault="006B1A72" w:rsidP="0074346A">
      <w:pPr>
        <w:rPr>
          <w:rStyle w:val="Reference"/>
          <w:color w:val="auto"/>
          <w:sz w:val="18"/>
        </w:rPr>
      </w:pPr>
      <w:r>
        <w:t>R</w:t>
      </w:r>
      <w:r w:rsidR="009C5742">
        <w:t xml:space="preserve">eferences to ‘functional currency’ are, in the case of a group, to the functional currency of the parent. </w:t>
      </w:r>
      <w:r w:rsidR="009C5742" w:rsidRPr="067473FC">
        <w:rPr>
          <w:rStyle w:val="Reference"/>
        </w:rPr>
        <w:t>[</w:t>
      </w:r>
      <w:r w:rsidR="0007383E">
        <w:rPr>
          <w:rStyle w:val="Reference"/>
        </w:rPr>
        <w:t>AASB </w:t>
      </w:r>
      <w:r w:rsidR="009C5742" w:rsidRPr="067473FC">
        <w:rPr>
          <w:rStyle w:val="Reference"/>
        </w:rPr>
        <w:t>1060.</w:t>
      </w:r>
      <w:r w:rsidR="009C5742">
        <w:rPr>
          <w:rStyle w:val="Reference"/>
        </w:rPr>
        <w:t>179</w:t>
      </w:r>
      <w:r w:rsidR="009C5742" w:rsidRPr="067473FC">
        <w:rPr>
          <w:rStyle w:val="Reference"/>
        </w:rPr>
        <w:t>]</w:t>
      </w:r>
    </w:p>
    <w:p w14:paraId="0996737F" w14:textId="77777777" w:rsidR="009C5742" w:rsidRPr="002A0038" w:rsidRDefault="009C5742" w:rsidP="0074346A">
      <w:r w:rsidRPr="002A0038">
        <w:t>An entity shall disclose the following:</w:t>
      </w:r>
    </w:p>
    <w:p w14:paraId="3E1DB9D7" w14:textId="7E63D52D" w:rsidR="009C5742" w:rsidRPr="002A0038" w:rsidRDefault="00D0142A" w:rsidP="0074346A">
      <w:pPr>
        <w:pStyle w:val="ListParagraph"/>
        <w:numPr>
          <w:ilvl w:val="1"/>
          <w:numId w:val="277"/>
        </w:numPr>
        <w:spacing w:before="40" w:after="80" w:line="264" w:lineRule="auto"/>
        <w:ind w:left="357" w:hanging="357"/>
      </w:pPr>
      <w:r>
        <w:t>T</w:t>
      </w:r>
      <w:r w:rsidR="009C5742" w:rsidRPr="002A0038">
        <w:t>he amount of exchange differences recognised in profit or loss during the period, except for those</w:t>
      </w:r>
      <w:r w:rsidR="009C5742">
        <w:t xml:space="preserve"> </w:t>
      </w:r>
      <w:r w:rsidR="009C5742" w:rsidRPr="002A0038">
        <w:t>arising on financial instruments measured at fair value through profit or loss in accordance with</w:t>
      </w:r>
      <w:r w:rsidR="009C5742">
        <w:t xml:space="preserve"> </w:t>
      </w:r>
      <w:r w:rsidR="0007383E">
        <w:t>AASB </w:t>
      </w:r>
      <w:r w:rsidR="009C5742" w:rsidRPr="002A0038">
        <w:t>9; and</w:t>
      </w:r>
    </w:p>
    <w:p w14:paraId="29E35269" w14:textId="56F62000" w:rsidR="002A46B9" w:rsidRDefault="00D0142A" w:rsidP="0074346A">
      <w:pPr>
        <w:pStyle w:val="ListParagraph"/>
        <w:numPr>
          <w:ilvl w:val="1"/>
          <w:numId w:val="277"/>
        </w:numPr>
        <w:spacing w:before="40" w:after="80" w:line="264" w:lineRule="auto"/>
        <w:ind w:left="357" w:hanging="357"/>
      </w:pPr>
      <w:r>
        <w:t>T</w:t>
      </w:r>
      <w:r w:rsidR="009C5742" w:rsidRPr="002A0038">
        <w:t>he amount of exchange differences arising during the period and classified in a separate component</w:t>
      </w:r>
      <w:r w:rsidR="009C5742">
        <w:t xml:space="preserve"> </w:t>
      </w:r>
      <w:r w:rsidR="009C5742" w:rsidRPr="002A0038">
        <w:t>of equity at the end of the period.</w:t>
      </w:r>
      <w:r w:rsidR="009C5742">
        <w:t xml:space="preserve"> </w:t>
      </w:r>
      <w:r w:rsidR="009C5742" w:rsidRPr="067473FC">
        <w:rPr>
          <w:rStyle w:val="Reference"/>
        </w:rPr>
        <w:t>[</w:t>
      </w:r>
      <w:r w:rsidR="0007383E">
        <w:rPr>
          <w:rStyle w:val="Reference"/>
        </w:rPr>
        <w:t>AASB </w:t>
      </w:r>
      <w:r w:rsidR="009C5742" w:rsidRPr="067473FC">
        <w:rPr>
          <w:rStyle w:val="Reference"/>
        </w:rPr>
        <w:t>1060.</w:t>
      </w:r>
      <w:r w:rsidR="009C5742">
        <w:rPr>
          <w:rStyle w:val="Reference"/>
        </w:rPr>
        <w:t>180</w:t>
      </w:r>
      <w:r w:rsidR="009C5742" w:rsidRPr="067473FC">
        <w:rPr>
          <w:rStyle w:val="Reference"/>
        </w:rPr>
        <w:t>]</w:t>
      </w:r>
    </w:p>
    <w:p w14:paraId="23E66ACE" w14:textId="02FB5CD5" w:rsidR="00CC70FA" w:rsidRDefault="00CC70FA" w:rsidP="0074346A">
      <w:r>
        <w:t xml:space="preserve">An entity shall disclose the currency in which the financial statements are presented. When the presentation currency is different from the functional currency, an entity shall state that fact and shall disclose the functional currency and the reason for using a different presentation currency. </w:t>
      </w:r>
      <w:r w:rsidRPr="002A0038">
        <w:rPr>
          <w:rStyle w:val="Reference"/>
        </w:rPr>
        <w:t>[</w:t>
      </w:r>
      <w:r w:rsidR="0007383E">
        <w:rPr>
          <w:rStyle w:val="Reference"/>
        </w:rPr>
        <w:t>AASB </w:t>
      </w:r>
      <w:r w:rsidRPr="002A0038">
        <w:rPr>
          <w:rStyle w:val="Reference"/>
        </w:rPr>
        <w:t>1060.18</w:t>
      </w:r>
      <w:r w:rsidR="00D25669">
        <w:rPr>
          <w:rStyle w:val="Reference"/>
        </w:rPr>
        <w:t>1</w:t>
      </w:r>
      <w:r w:rsidRPr="002A0038">
        <w:rPr>
          <w:rStyle w:val="Reference"/>
        </w:rPr>
        <w:t>]</w:t>
      </w:r>
    </w:p>
    <w:p w14:paraId="437E8554" w14:textId="28A83F07" w:rsidR="00D25669" w:rsidRPr="00496307" w:rsidRDefault="00D25669" w:rsidP="0074346A">
      <w:r w:rsidRPr="00D25669">
        <w:t>When there is a change in the functional currency of either the reporting entity or a significant foreign</w:t>
      </w:r>
      <w:r>
        <w:t xml:space="preserve"> </w:t>
      </w:r>
      <w:r w:rsidRPr="00D25669">
        <w:t>operation, the entity shall disclose that fact and the reason for the change in functional currency.</w:t>
      </w:r>
      <w:r w:rsidR="00702740" w:rsidRPr="00D25669">
        <w:t xml:space="preserve"> </w:t>
      </w:r>
      <w:r w:rsidR="00702740" w:rsidRPr="00FE1E9A">
        <w:rPr>
          <w:rStyle w:val="Reference"/>
        </w:rPr>
        <w:t>[</w:t>
      </w:r>
      <w:r w:rsidR="0007383E">
        <w:rPr>
          <w:rStyle w:val="Reference"/>
        </w:rPr>
        <w:t>AASB </w:t>
      </w:r>
      <w:r w:rsidR="00702740" w:rsidRPr="00FE1E9A">
        <w:rPr>
          <w:rStyle w:val="Reference"/>
        </w:rPr>
        <w:t>1060.18</w:t>
      </w:r>
      <w:r w:rsidR="00702740">
        <w:rPr>
          <w:rStyle w:val="Reference"/>
        </w:rPr>
        <w:t>2</w:t>
      </w:r>
      <w:r w:rsidR="00702740" w:rsidRPr="00FE1E9A">
        <w:rPr>
          <w:rStyle w:val="Reference"/>
        </w:rPr>
        <w:t>]</w:t>
      </w:r>
    </w:p>
    <w:p w14:paraId="4F9AECC2" w14:textId="3D7649F2" w:rsidR="00D25669" w:rsidRDefault="00D25669" w:rsidP="0074346A">
      <w:pPr>
        <w:pStyle w:val="Heading2"/>
      </w:pPr>
      <w:bookmarkStart w:id="11014" w:name="_Toc179816805"/>
      <w:bookmarkStart w:id="11015" w:name="_Toc179822505"/>
      <w:bookmarkStart w:id="11016" w:name="_Toc179828205"/>
      <w:bookmarkStart w:id="11017" w:name="_Toc179833840"/>
      <w:bookmarkStart w:id="11018" w:name="_Toc179865370"/>
      <w:bookmarkStart w:id="11019" w:name="_Toc179871471"/>
      <w:bookmarkStart w:id="11020" w:name="_Toc179875864"/>
      <w:bookmarkStart w:id="11021" w:name="_Toc179880257"/>
      <w:bookmarkStart w:id="11022" w:name="_Toc179880350"/>
      <w:r>
        <w:t xml:space="preserve">Guidance – Finance </w:t>
      </w:r>
      <w:r w:rsidR="00E77137">
        <w:t>lease</w:t>
      </w:r>
      <w:bookmarkEnd w:id="11014"/>
      <w:bookmarkEnd w:id="11015"/>
      <w:bookmarkEnd w:id="11016"/>
      <w:bookmarkEnd w:id="11017"/>
      <w:bookmarkEnd w:id="11018"/>
      <w:bookmarkEnd w:id="11019"/>
      <w:bookmarkEnd w:id="11020"/>
      <w:bookmarkEnd w:id="11021"/>
      <w:bookmarkEnd w:id="11022"/>
    </w:p>
    <w:p w14:paraId="4F9928F5" w14:textId="77777777" w:rsidR="00496307" w:rsidRPr="00496307" w:rsidRDefault="00496307" w:rsidP="0074346A">
      <w:r w:rsidRPr="00496307">
        <w:t>A lessor shall make the following disclosures for finance leases:</w:t>
      </w:r>
    </w:p>
    <w:p w14:paraId="3D1BF89D" w14:textId="3B367532" w:rsidR="00496307" w:rsidRPr="00496307" w:rsidRDefault="00D0142A" w:rsidP="0074346A">
      <w:pPr>
        <w:pStyle w:val="ListParagraph"/>
        <w:numPr>
          <w:ilvl w:val="1"/>
          <w:numId w:val="279"/>
        </w:numPr>
        <w:spacing w:before="40" w:after="80" w:line="264" w:lineRule="auto"/>
      </w:pPr>
      <w:r>
        <w:t>A</w:t>
      </w:r>
      <w:r w:rsidR="00496307" w:rsidRPr="00496307">
        <w:t xml:space="preserve"> reconciliation between the gross investment in the lease at the end of the reporting period and the</w:t>
      </w:r>
      <w:r w:rsidR="00496307">
        <w:t xml:space="preserve"> </w:t>
      </w:r>
      <w:r w:rsidR="00496307" w:rsidRPr="00496307">
        <w:t>present value of lease payments receivable at the end of the reporting period. In addition, a lessor</w:t>
      </w:r>
      <w:r w:rsidR="00496307">
        <w:t xml:space="preserve"> </w:t>
      </w:r>
      <w:r w:rsidR="00496307" w:rsidRPr="00496307">
        <w:t>shall disclose the gross investment in the lease and the present value of lease payments receivable</w:t>
      </w:r>
      <w:r w:rsidR="00496307">
        <w:t xml:space="preserve"> </w:t>
      </w:r>
      <w:r w:rsidR="00496307" w:rsidRPr="00496307">
        <w:t>at the end of the reporting period, for each of the following periods:</w:t>
      </w:r>
    </w:p>
    <w:p w14:paraId="751D6670" w14:textId="06E61A75" w:rsidR="00496307" w:rsidRPr="00496307" w:rsidRDefault="00496307" w:rsidP="00AB682C">
      <w:pPr>
        <w:pStyle w:val="ListAlpha2"/>
        <w:numPr>
          <w:ilvl w:val="1"/>
          <w:numId w:val="402"/>
        </w:numPr>
        <w:tabs>
          <w:tab w:val="clear" w:pos="568"/>
          <w:tab w:val="num" w:pos="720"/>
        </w:tabs>
        <w:ind w:left="720" w:hanging="360"/>
      </w:pPr>
      <w:r w:rsidRPr="00496307">
        <w:t>not later than one year</w:t>
      </w:r>
    </w:p>
    <w:p w14:paraId="03EFDADD" w14:textId="1F75F7CC" w:rsidR="00496307" w:rsidRPr="00496307" w:rsidRDefault="00496307" w:rsidP="00AB682C">
      <w:pPr>
        <w:pStyle w:val="ListAlpha2"/>
        <w:tabs>
          <w:tab w:val="clear" w:pos="568"/>
          <w:tab w:val="num" w:pos="720"/>
        </w:tabs>
        <w:ind w:left="720" w:hanging="360"/>
      </w:pPr>
      <w:r w:rsidRPr="00496307">
        <w:t>later than one year and not later than five years; and</w:t>
      </w:r>
    </w:p>
    <w:p w14:paraId="23AC13A6" w14:textId="39FF307A" w:rsidR="00496307" w:rsidRPr="00496307" w:rsidRDefault="00496307" w:rsidP="00AB682C">
      <w:pPr>
        <w:pStyle w:val="ListAlpha2"/>
        <w:tabs>
          <w:tab w:val="clear" w:pos="568"/>
          <w:tab w:val="num" w:pos="720"/>
        </w:tabs>
        <w:spacing w:after="80"/>
        <w:ind w:left="720" w:hanging="360"/>
      </w:pPr>
      <w:r w:rsidRPr="00496307">
        <w:t>later than five years</w:t>
      </w:r>
      <w:r w:rsidR="001E1B8E">
        <w:t>.</w:t>
      </w:r>
    </w:p>
    <w:p w14:paraId="1B7A8619" w14:textId="333AC6CC" w:rsidR="00496307" w:rsidRPr="00496307" w:rsidRDefault="00D0142A" w:rsidP="0074346A">
      <w:pPr>
        <w:pStyle w:val="ListParagraph"/>
        <w:numPr>
          <w:ilvl w:val="1"/>
          <w:numId w:val="279"/>
        </w:numPr>
        <w:spacing w:before="40" w:after="80" w:line="264" w:lineRule="auto"/>
      </w:pPr>
      <w:r>
        <w:t>U</w:t>
      </w:r>
      <w:r w:rsidR="00496307" w:rsidRPr="00496307">
        <w:t xml:space="preserve">nearned finance </w:t>
      </w:r>
      <w:proofErr w:type="gramStart"/>
      <w:r w:rsidR="00496307" w:rsidRPr="00496307">
        <w:t>income;</w:t>
      </w:r>
      <w:proofErr w:type="gramEnd"/>
    </w:p>
    <w:p w14:paraId="467728CD" w14:textId="70E94C75" w:rsidR="00496307" w:rsidRPr="00496307" w:rsidRDefault="00D0142A" w:rsidP="0074346A">
      <w:pPr>
        <w:pStyle w:val="ListParagraph"/>
        <w:numPr>
          <w:ilvl w:val="1"/>
          <w:numId w:val="279"/>
        </w:numPr>
        <w:spacing w:before="40" w:after="80" w:line="264" w:lineRule="auto"/>
      </w:pPr>
      <w:r>
        <w:t>T</w:t>
      </w:r>
      <w:r w:rsidR="00496307" w:rsidRPr="00496307">
        <w:t>he unguaranteed residual values accruing to the benefit of the lessor</w:t>
      </w:r>
    </w:p>
    <w:p w14:paraId="64651165" w14:textId="4127283A" w:rsidR="00496307" w:rsidRPr="00496307" w:rsidRDefault="00D0142A" w:rsidP="0074346A">
      <w:pPr>
        <w:pStyle w:val="ListParagraph"/>
        <w:numPr>
          <w:ilvl w:val="1"/>
          <w:numId w:val="279"/>
        </w:numPr>
        <w:spacing w:before="40" w:after="80" w:line="264" w:lineRule="auto"/>
      </w:pPr>
      <w:r>
        <w:t>T</w:t>
      </w:r>
      <w:r w:rsidR="00496307" w:rsidRPr="00496307">
        <w:t>he loss allowance for uncollectable lease payments receivable</w:t>
      </w:r>
    </w:p>
    <w:p w14:paraId="3C980CB3" w14:textId="163F1F80" w:rsidR="00496307" w:rsidRPr="00496307" w:rsidRDefault="00D0142A" w:rsidP="0074346A">
      <w:pPr>
        <w:pStyle w:val="ListParagraph"/>
        <w:numPr>
          <w:ilvl w:val="1"/>
          <w:numId w:val="279"/>
        </w:numPr>
        <w:spacing w:before="40" w:after="80" w:line="264" w:lineRule="auto"/>
      </w:pPr>
      <w:r>
        <w:t>I</w:t>
      </w:r>
      <w:r w:rsidR="00496307" w:rsidRPr="00496307">
        <w:t>ncome relating to variable lease payments not included in the measurement of the net investment</w:t>
      </w:r>
      <w:r w:rsidR="00496307">
        <w:t xml:space="preserve"> </w:t>
      </w:r>
      <w:r w:rsidR="00496307" w:rsidRPr="00496307">
        <w:t>in the lease; and</w:t>
      </w:r>
    </w:p>
    <w:p w14:paraId="5EC4EC97" w14:textId="0EA83098" w:rsidR="00D25669" w:rsidRPr="00496307" w:rsidRDefault="00D0142A" w:rsidP="0074346A">
      <w:pPr>
        <w:pStyle w:val="ListParagraph"/>
        <w:numPr>
          <w:ilvl w:val="1"/>
          <w:numId w:val="279"/>
        </w:numPr>
        <w:spacing w:before="40" w:after="80" w:line="264" w:lineRule="auto"/>
      </w:pPr>
      <w:r>
        <w:t>A</w:t>
      </w:r>
      <w:r w:rsidR="00496307" w:rsidRPr="00496307">
        <w:t xml:space="preserve"> general description of the lessor’s significant leasing arrangements, including, for example,</w:t>
      </w:r>
      <w:r w:rsidR="00496307">
        <w:t xml:space="preserve"> </w:t>
      </w:r>
      <w:r w:rsidR="00496307" w:rsidRPr="00496307">
        <w:t>information about variable lease payments, renewal or purchase options and escalation clauses,</w:t>
      </w:r>
      <w:r w:rsidR="00496307">
        <w:t xml:space="preserve"> </w:t>
      </w:r>
      <w:r w:rsidR="00496307" w:rsidRPr="00496307">
        <w:t>subleases, and restrictions imposed by lease arrangements.</w:t>
      </w:r>
      <w:r w:rsidR="00702740" w:rsidRPr="00D25669">
        <w:t xml:space="preserve"> </w:t>
      </w:r>
      <w:r w:rsidR="00702740" w:rsidRPr="00FE1E9A">
        <w:rPr>
          <w:rStyle w:val="Reference"/>
        </w:rPr>
        <w:t>[</w:t>
      </w:r>
      <w:r w:rsidR="0007383E">
        <w:rPr>
          <w:rStyle w:val="Reference"/>
        </w:rPr>
        <w:t>AASB </w:t>
      </w:r>
      <w:r w:rsidR="00702740" w:rsidRPr="00FE1E9A">
        <w:rPr>
          <w:rStyle w:val="Reference"/>
        </w:rPr>
        <w:t>1060.1</w:t>
      </w:r>
      <w:r w:rsidR="00702740">
        <w:rPr>
          <w:rStyle w:val="Reference"/>
        </w:rPr>
        <w:t>47</w:t>
      </w:r>
      <w:r w:rsidR="00702740" w:rsidRPr="00FE1E9A">
        <w:rPr>
          <w:rStyle w:val="Reference"/>
        </w:rPr>
        <w:t>]</w:t>
      </w:r>
    </w:p>
    <w:p w14:paraId="461EDCAC" w14:textId="3598A796" w:rsidR="00BB5A5F" w:rsidRDefault="00E25171" w:rsidP="0074346A">
      <w:pPr>
        <w:pStyle w:val="Heading2"/>
      </w:pPr>
      <w:bookmarkStart w:id="11023" w:name="_Toc179816806"/>
      <w:bookmarkStart w:id="11024" w:name="_Toc179822506"/>
      <w:bookmarkStart w:id="11025" w:name="_Toc179828206"/>
      <w:bookmarkStart w:id="11026" w:name="_Toc179833841"/>
      <w:bookmarkStart w:id="11027" w:name="_Toc179865371"/>
      <w:bookmarkStart w:id="11028" w:name="_Toc179871472"/>
      <w:bookmarkStart w:id="11029" w:name="_Toc179875865"/>
      <w:bookmarkStart w:id="11030" w:name="_Toc179880258"/>
      <w:bookmarkStart w:id="11031" w:name="_Toc179880351"/>
      <w:r>
        <w:t>Guidance</w:t>
      </w:r>
      <w:r w:rsidR="004E2AC9">
        <w:t xml:space="preserve"> – </w:t>
      </w:r>
      <w:r w:rsidR="00BB5A5F">
        <w:t>Hedging</w:t>
      </w:r>
      <w:bookmarkEnd w:id="11023"/>
      <w:bookmarkEnd w:id="11024"/>
      <w:bookmarkEnd w:id="11025"/>
      <w:bookmarkEnd w:id="11026"/>
      <w:bookmarkEnd w:id="11027"/>
      <w:bookmarkEnd w:id="11028"/>
      <w:bookmarkEnd w:id="11029"/>
      <w:bookmarkEnd w:id="11030"/>
      <w:bookmarkEnd w:id="11031"/>
    </w:p>
    <w:p w14:paraId="02F906E8" w14:textId="4F8945CF" w:rsidR="00864225" w:rsidRPr="00864225" w:rsidRDefault="00864225" w:rsidP="004001B7">
      <w:pPr>
        <w:keepNext/>
      </w:pPr>
      <w:r w:rsidRPr="00864225">
        <w:t xml:space="preserve">An entity shall disclose the following separately for each category of risk exposures that it decides to </w:t>
      </w:r>
      <w:proofErr w:type="gramStart"/>
      <w:r w:rsidRPr="00864225">
        <w:t>hedge</w:t>
      </w:r>
      <w:proofErr w:type="gramEnd"/>
      <w:r>
        <w:t xml:space="preserve"> </w:t>
      </w:r>
      <w:r w:rsidRPr="00864225">
        <w:t>and for which hedge accounting is applied:</w:t>
      </w:r>
    </w:p>
    <w:p w14:paraId="268A9799" w14:textId="655CE872" w:rsidR="00864225" w:rsidRPr="00864225" w:rsidRDefault="00763FE5" w:rsidP="004001B7">
      <w:pPr>
        <w:pStyle w:val="ListParagraph"/>
        <w:keepNext/>
        <w:numPr>
          <w:ilvl w:val="1"/>
          <w:numId w:val="281"/>
        </w:numPr>
        <w:spacing w:before="40" w:after="80"/>
        <w:ind w:left="357" w:hanging="357"/>
      </w:pPr>
      <w:r>
        <w:t>A</w:t>
      </w:r>
      <w:r w:rsidR="00864225" w:rsidRPr="00864225">
        <w:t xml:space="preserve"> description of the hedge</w:t>
      </w:r>
    </w:p>
    <w:p w14:paraId="00D2D5DE" w14:textId="384E4437" w:rsidR="00864225" w:rsidRPr="00864225" w:rsidRDefault="00763FE5" w:rsidP="0074346A">
      <w:pPr>
        <w:pStyle w:val="ListParagraph"/>
        <w:numPr>
          <w:ilvl w:val="1"/>
          <w:numId w:val="281"/>
        </w:numPr>
        <w:spacing w:before="40" w:after="80"/>
        <w:ind w:left="357" w:hanging="357"/>
      </w:pPr>
      <w:r>
        <w:t>A</w:t>
      </w:r>
      <w:r w:rsidR="00864225" w:rsidRPr="00864225">
        <w:t xml:space="preserve"> description of the financial instruments designated as hedging instruments and their fair values at</w:t>
      </w:r>
      <w:r w:rsidR="00864225">
        <w:t xml:space="preserve"> </w:t>
      </w:r>
      <w:r w:rsidR="00864225" w:rsidRPr="00864225">
        <w:t>the reporting date; and</w:t>
      </w:r>
    </w:p>
    <w:p w14:paraId="4B61FCAD" w14:textId="2D9BD3EA" w:rsidR="00BB5A5F" w:rsidRDefault="00763FE5" w:rsidP="0074346A">
      <w:pPr>
        <w:pStyle w:val="ListParagraph"/>
        <w:numPr>
          <w:ilvl w:val="1"/>
          <w:numId w:val="281"/>
        </w:numPr>
        <w:spacing w:before="40" w:after="80"/>
        <w:ind w:left="357" w:hanging="357"/>
      </w:pPr>
      <w:r>
        <w:t>T</w:t>
      </w:r>
      <w:r w:rsidR="00864225" w:rsidRPr="00864225">
        <w:t>he nature of the risks being hedged, including a description of the hedged item.</w:t>
      </w:r>
      <w:r w:rsidR="00864225">
        <w:t xml:space="preserve"> </w:t>
      </w:r>
      <w:r w:rsidR="00864225" w:rsidRPr="00FE1E9A">
        <w:rPr>
          <w:rStyle w:val="Reference"/>
        </w:rPr>
        <w:t>[</w:t>
      </w:r>
      <w:r w:rsidR="0007383E">
        <w:rPr>
          <w:rStyle w:val="Reference"/>
        </w:rPr>
        <w:t>AASB </w:t>
      </w:r>
      <w:r w:rsidR="00864225" w:rsidRPr="00FE1E9A">
        <w:rPr>
          <w:rStyle w:val="Reference"/>
        </w:rPr>
        <w:t>1060.1</w:t>
      </w:r>
      <w:r w:rsidR="00864225">
        <w:rPr>
          <w:rStyle w:val="Reference"/>
        </w:rPr>
        <w:t>20</w:t>
      </w:r>
      <w:r w:rsidR="00864225" w:rsidRPr="00FE1E9A">
        <w:rPr>
          <w:rStyle w:val="Reference"/>
        </w:rPr>
        <w:t>]</w:t>
      </w:r>
    </w:p>
    <w:p w14:paraId="52B27286" w14:textId="77777777" w:rsidR="00AF0CC8" w:rsidRDefault="00AF0CC8" w:rsidP="0074346A">
      <w:r>
        <w:t>For fair value hedges, the entity shall disclose the following:</w:t>
      </w:r>
    </w:p>
    <w:p w14:paraId="336F7256" w14:textId="4E1D7AFE" w:rsidR="00E25171" w:rsidRDefault="00763FE5" w:rsidP="0074346A">
      <w:pPr>
        <w:pStyle w:val="ListParagraph"/>
        <w:numPr>
          <w:ilvl w:val="1"/>
          <w:numId w:val="285"/>
        </w:numPr>
        <w:spacing w:before="40"/>
      </w:pPr>
      <w:r>
        <w:t>T</w:t>
      </w:r>
      <w:r w:rsidR="00AF0CC8">
        <w:t>he amount of the change in fair value of the hedging instrument recognised in profit or loss for the period; and</w:t>
      </w:r>
    </w:p>
    <w:p w14:paraId="3E5577BD" w14:textId="5C044AF2" w:rsidR="00AF0CC8" w:rsidRPr="00E25171" w:rsidRDefault="00763FE5" w:rsidP="0074346A">
      <w:pPr>
        <w:pStyle w:val="ListParagraph"/>
        <w:numPr>
          <w:ilvl w:val="1"/>
          <w:numId w:val="285"/>
        </w:numPr>
        <w:spacing w:before="40"/>
        <w:rPr>
          <w:rStyle w:val="Reference"/>
          <w:color w:val="auto"/>
          <w:sz w:val="18"/>
        </w:rPr>
      </w:pPr>
      <w:r>
        <w:t>T</w:t>
      </w:r>
      <w:r w:rsidR="00AF0CC8" w:rsidRPr="00E25171">
        <w:t>he amount of the change in fair value of the hedged item recognised in profit or loss for the period</w:t>
      </w:r>
      <w:r w:rsidR="00AF0CC8">
        <w:t xml:space="preserve">. </w:t>
      </w:r>
      <w:r w:rsidR="00E25171" w:rsidRPr="002A0038">
        <w:rPr>
          <w:rStyle w:val="Reference"/>
        </w:rPr>
        <w:t>[</w:t>
      </w:r>
      <w:r w:rsidR="0007383E">
        <w:rPr>
          <w:rStyle w:val="Reference"/>
        </w:rPr>
        <w:t>AASB </w:t>
      </w:r>
      <w:r w:rsidR="00E25171" w:rsidRPr="00FE1E9A">
        <w:rPr>
          <w:rStyle w:val="Reference"/>
        </w:rPr>
        <w:t>1060.1</w:t>
      </w:r>
      <w:r w:rsidR="00E25171">
        <w:rPr>
          <w:rStyle w:val="Reference"/>
        </w:rPr>
        <w:t>21</w:t>
      </w:r>
      <w:r w:rsidR="00E25171" w:rsidRPr="00FE1E9A">
        <w:rPr>
          <w:rStyle w:val="Reference"/>
        </w:rPr>
        <w:t>]</w:t>
      </w:r>
    </w:p>
    <w:p w14:paraId="24A879BB" w14:textId="6EC04903" w:rsidR="005F4E71" w:rsidRPr="005F4E71" w:rsidRDefault="005F4E71" w:rsidP="0074346A">
      <w:r w:rsidRPr="005F4E71">
        <w:t>For cash flow hedges and hedges of a net investment in a foreign operation, an entity shall disclose the</w:t>
      </w:r>
      <w:r>
        <w:t xml:space="preserve"> </w:t>
      </w:r>
      <w:r w:rsidRPr="005F4E71">
        <w:t>following:</w:t>
      </w:r>
    </w:p>
    <w:p w14:paraId="7AA56E01" w14:textId="2BBC1C9A" w:rsidR="005F4E71" w:rsidRPr="005F4E71" w:rsidRDefault="00763FE5" w:rsidP="0074346A">
      <w:pPr>
        <w:pStyle w:val="ListParagraph"/>
        <w:numPr>
          <w:ilvl w:val="1"/>
          <w:numId w:val="283"/>
        </w:numPr>
        <w:spacing w:before="40" w:after="80" w:line="264" w:lineRule="auto"/>
        <w:ind w:left="357" w:hanging="357"/>
      </w:pPr>
      <w:r>
        <w:t>T</w:t>
      </w:r>
      <w:r w:rsidR="005F4E71" w:rsidRPr="005F4E71">
        <w:t>he periods when the cash flows are expected to occur and when they are expected to affect profit</w:t>
      </w:r>
      <w:r w:rsidR="005F4E71">
        <w:t xml:space="preserve"> </w:t>
      </w:r>
      <w:r w:rsidR="005F4E71" w:rsidRPr="005F4E71">
        <w:t>or loss</w:t>
      </w:r>
    </w:p>
    <w:p w14:paraId="635EB025" w14:textId="6AA20EFE" w:rsidR="005F4E71" w:rsidRPr="005F4E71" w:rsidRDefault="00763FE5" w:rsidP="0074346A">
      <w:pPr>
        <w:pStyle w:val="ListParagraph"/>
        <w:numPr>
          <w:ilvl w:val="1"/>
          <w:numId w:val="283"/>
        </w:numPr>
        <w:spacing w:before="40" w:after="80" w:line="264" w:lineRule="auto"/>
        <w:ind w:left="357" w:hanging="357"/>
      </w:pPr>
      <w:r>
        <w:t>A</w:t>
      </w:r>
      <w:r w:rsidR="005F4E71" w:rsidRPr="005F4E71">
        <w:t xml:space="preserve"> description of any forecast transaction for which hedge accounting had previously been used, but</w:t>
      </w:r>
      <w:r w:rsidR="005F4E71">
        <w:t xml:space="preserve"> </w:t>
      </w:r>
      <w:r w:rsidR="005F4E71" w:rsidRPr="005F4E71">
        <w:t>which is no</w:t>
      </w:r>
      <w:r w:rsidR="00E25171">
        <w:t xml:space="preserve"> </w:t>
      </w:r>
      <w:r w:rsidR="005F4E71" w:rsidRPr="005F4E71">
        <w:t>longer expected to occur</w:t>
      </w:r>
    </w:p>
    <w:p w14:paraId="6ABE894C" w14:textId="66261850" w:rsidR="005F4E71" w:rsidRPr="005F4E71" w:rsidRDefault="00763FE5" w:rsidP="0074346A">
      <w:pPr>
        <w:pStyle w:val="ListParagraph"/>
        <w:numPr>
          <w:ilvl w:val="1"/>
          <w:numId w:val="283"/>
        </w:numPr>
        <w:spacing w:before="40" w:after="80" w:line="264" w:lineRule="auto"/>
        <w:ind w:left="357" w:hanging="357"/>
      </w:pPr>
      <w:r>
        <w:t>T</w:t>
      </w:r>
      <w:r w:rsidR="005F4E71" w:rsidRPr="005F4E71">
        <w:t>he amount of the change in fair value of the hedging instrument that was recognised in other</w:t>
      </w:r>
      <w:r w:rsidR="005F4E71">
        <w:t xml:space="preserve"> </w:t>
      </w:r>
      <w:r w:rsidR="005F4E71" w:rsidRPr="005F4E71">
        <w:t>comprehensive</w:t>
      </w:r>
      <w:r w:rsidR="00E25171">
        <w:t xml:space="preserve"> </w:t>
      </w:r>
      <w:r w:rsidR="005F4E71" w:rsidRPr="005F4E71">
        <w:t>income during the period</w:t>
      </w:r>
    </w:p>
    <w:p w14:paraId="2AA61FE6" w14:textId="5E7FA06F" w:rsidR="005F4E71" w:rsidRPr="005F4E71" w:rsidRDefault="00763FE5" w:rsidP="0074346A">
      <w:pPr>
        <w:pStyle w:val="ListParagraph"/>
        <w:numPr>
          <w:ilvl w:val="1"/>
          <w:numId w:val="283"/>
        </w:numPr>
        <w:spacing w:before="40" w:after="80" w:line="264" w:lineRule="auto"/>
        <w:ind w:left="357" w:hanging="357"/>
      </w:pPr>
      <w:r>
        <w:t>T</w:t>
      </w:r>
      <w:r w:rsidR="005F4E71" w:rsidRPr="005F4E71">
        <w:t>he amount that was reclassified to profit or loss for the period; and</w:t>
      </w:r>
    </w:p>
    <w:p w14:paraId="0CF9C868" w14:textId="613AA753" w:rsidR="00E25171" w:rsidRPr="00E25171" w:rsidRDefault="00763FE5" w:rsidP="0074346A">
      <w:pPr>
        <w:pStyle w:val="ListParagraph"/>
        <w:numPr>
          <w:ilvl w:val="1"/>
          <w:numId w:val="283"/>
        </w:numPr>
        <w:spacing w:before="40" w:after="80" w:line="264" w:lineRule="auto"/>
        <w:ind w:left="357" w:hanging="357"/>
      </w:pPr>
      <w:r>
        <w:t>T</w:t>
      </w:r>
      <w:r w:rsidR="005F4E71" w:rsidRPr="005F4E71">
        <w:t>he amount of any excess of the cumulative change in fair value of the hedging instrument over the</w:t>
      </w:r>
      <w:r w:rsidR="005F4E71">
        <w:t xml:space="preserve"> </w:t>
      </w:r>
      <w:r w:rsidR="005F4E71" w:rsidRPr="005F4E71">
        <w:t>cumulative change in the fair value of the expected cash flows that was recognised in profit or loss</w:t>
      </w:r>
      <w:r w:rsidR="005F4E71">
        <w:t xml:space="preserve"> </w:t>
      </w:r>
      <w:r w:rsidR="005F4E71" w:rsidRPr="005F4E71">
        <w:t>for the period.</w:t>
      </w:r>
      <w:r w:rsidR="00E25171">
        <w:t xml:space="preserve"> </w:t>
      </w:r>
      <w:r w:rsidR="00E25171" w:rsidRPr="002A0038">
        <w:rPr>
          <w:rStyle w:val="Reference"/>
        </w:rPr>
        <w:t>[</w:t>
      </w:r>
      <w:r w:rsidR="0007383E">
        <w:rPr>
          <w:rStyle w:val="Reference"/>
        </w:rPr>
        <w:t>AASB </w:t>
      </w:r>
      <w:r w:rsidR="00E25171" w:rsidRPr="00FE1E9A">
        <w:rPr>
          <w:rStyle w:val="Reference"/>
        </w:rPr>
        <w:t>1060.1</w:t>
      </w:r>
      <w:r w:rsidR="00E25171">
        <w:rPr>
          <w:rStyle w:val="Reference"/>
        </w:rPr>
        <w:t>22</w:t>
      </w:r>
      <w:r w:rsidR="00E25171" w:rsidRPr="00FE1E9A">
        <w:rPr>
          <w:rStyle w:val="Reference"/>
        </w:rPr>
        <w:t>]</w:t>
      </w:r>
    </w:p>
    <w:p w14:paraId="3A18BB44" w14:textId="50ACB8CF" w:rsidR="002A74D7" w:rsidRDefault="002A74D7" w:rsidP="0074346A">
      <w:pPr>
        <w:pStyle w:val="Heading2"/>
      </w:pPr>
      <w:bookmarkStart w:id="11032" w:name="_Toc179816807"/>
      <w:bookmarkStart w:id="11033" w:name="_Toc179822507"/>
      <w:bookmarkStart w:id="11034" w:name="_Toc179828207"/>
      <w:bookmarkStart w:id="11035" w:name="_Toc179833842"/>
      <w:bookmarkStart w:id="11036" w:name="_Toc179865372"/>
      <w:bookmarkStart w:id="11037" w:name="_Toc179871473"/>
      <w:bookmarkStart w:id="11038" w:name="_Toc179875866"/>
      <w:bookmarkStart w:id="11039" w:name="_Toc179880259"/>
      <w:bookmarkStart w:id="11040" w:name="_Toc179880352"/>
      <w:r>
        <w:t xml:space="preserve">Guidance – </w:t>
      </w:r>
      <w:r w:rsidR="00EF386F">
        <w:t xml:space="preserve">Change in </w:t>
      </w:r>
      <w:r w:rsidR="00E77137">
        <w:t>estimate</w:t>
      </w:r>
    </w:p>
    <w:p w14:paraId="2A95A2FD" w14:textId="76B417AE" w:rsidR="00EF386F" w:rsidRPr="00EF386F" w:rsidRDefault="00EF386F" w:rsidP="006826EE">
      <w:pPr>
        <w:keepNext/>
      </w:pPr>
      <w:r w:rsidRPr="00EF386F">
        <w:t>An entity shall disclose the nature of any change in an accounting estimate and the effect of the change on</w:t>
      </w:r>
      <w:r>
        <w:t xml:space="preserve"> </w:t>
      </w:r>
      <w:r w:rsidRPr="00EF386F">
        <w:t>assets, liabilities, income and expense for the current period. If it is practicable for the entity to estimate the</w:t>
      </w:r>
      <w:r>
        <w:t xml:space="preserve"> </w:t>
      </w:r>
      <w:r w:rsidRPr="00EF386F">
        <w:t>effect of the change in one or more future periods, the entity shall disclose those estimates.</w:t>
      </w:r>
      <w:r>
        <w:t xml:space="preserve"> </w:t>
      </w:r>
      <w:r w:rsidRPr="00FE1E9A">
        <w:rPr>
          <w:rStyle w:val="Reference"/>
        </w:rPr>
        <w:t>[</w:t>
      </w:r>
      <w:r w:rsidR="0007383E">
        <w:rPr>
          <w:rStyle w:val="Reference"/>
        </w:rPr>
        <w:t>AASB </w:t>
      </w:r>
      <w:r w:rsidRPr="00FE1E9A">
        <w:rPr>
          <w:rStyle w:val="Reference"/>
        </w:rPr>
        <w:t>1060.1</w:t>
      </w:r>
      <w:r>
        <w:rPr>
          <w:rStyle w:val="Reference"/>
        </w:rPr>
        <w:t>09</w:t>
      </w:r>
      <w:r w:rsidRPr="00FE1E9A">
        <w:rPr>
          <w:rStyle w:val="Reference"/>
        </w:rPr>
        <w:t>]</w:t>
      </w:r>
    </w:p>
    <w:p w14:paraId="0E78BD92" w14:textId="4C69FBF8" w:rsidR="00CB36EC" w:rsidRDefault="00CB36EC" w:rsidP="00E10CD7">
      <w:pPr>
        <w:pStyle w:val="Heading2"/>
      </w:pPr>
      <w:r>
        <w:t xml:space="preserve">Guidance </w:t>
      </w:r>
      <w:r w:rsidR="000C4655">
        <w:t>–</w:t>
      </w:r>
      <w:r>
        <w:t xml:space="preserve"> </w:t>
      </w:r>
      <w:r w:rsidR="000C4655">
        <w:t xml:space="preserve">Correction to </w:t>
      </w:r>
      <w:r w:rsidR="00E77137">
        <w:t>prior error</w:t>
      </w:r>
      <w:bookmarkEnd w:id="11032"/>
      <w:bookmarkEnd w:id="11033"/>
      <w:bookmarkEnd w:id="11034"/>
      <w:bookmarkEnd w:id="11035"/>
      <w:bookmarkEnd w:id="11036"/>
      <w:bookmarkEnd w:id="11037"/>
      <w:bookmarkEnd w:id="11038"/>
      <w:bookmarkEnd w:id="11039"/>
      <w:bookmarkEnd w:id="11040"/>
    </w:p>
    <w:p w14:paraId="5F8E1D18" w14:textId="77777777" w:rsidR="000C4655" w:rsidRPr="000C4655" w:rsidRDefault="000C4655" w:rsidP="006826EE">
      <w:pPr>
        <w:keepNext/>
      </w:pPr>
      <w:r w:rsidRPr="000C4655">
        <w:t>An entity shall disclose the following about prior period errors:</w:t>
      </w:r>
    </w:p>
    <w:p w14:paraId="69FF03F3" w14:textId="1B80A901" w:rsidR="000C4655" w:rsidRPr="000C4655" w:rsidRDefault="006B5CFF" w:rsidP="002A0038">
      <w:pPr>
        <w:pStyle w:val="ListParagraph"/>
        <w:numPr>
          <w:ilvl w:val="1"/>
          <w:numId w:val="287"/>
        </w:numPr>
        <w:spacing w:before="40" w:after="80" w:line="264" w:lineRule="auto"/>
        <w:ind w:left="357" w:hanging="357"/>
      </w:pPr>
      <w:r>
        <w:t>T</w:t>
      </w:r>
      <w:r w:rsidR="000C4655" w:rsidRPr="000C4655">
        <w:t>he nature of the prior period error</w:t>
      </w:r>
    </w:p>
    <w:p w14:paraId="083FF6E9" w14:textId="31E04A01" w:rsidR="000C4655" w:rsidRPr="000C4655" w:rsidRDefault="006B5CFF" w:rsidP="002A0038">
      <w:pPr>
        <w:pStyle w:val="ListParagraph"/>
        <w:numPr>
          <w:ilvl w:val="1"/>
          <w:numId w:val="287"/>
        </w:numPr>
        <w:spacing w:before="40" w:after="80" w:line="264" w:lineRule="auto"/>
        <w:ind w:left="357" w:hanging="357"/>
      </w:pPr>
      <w:r>
        <w:t>F</w:t>
      </w:r>
      <w:r w:rsidR="000C4655" w:rsidRPr="000C4655">
        <w:t>or each prior period presented, to the extent practicable, the amount of the correction for each</w:t>
      </w:r>
      <w:r w:rsidR="000C4655">
        <w:t xml:space="preserve"> </w:t>
      </w:r>
      <w:r w:rsidR="000C4655" w:rsidRPr="000C4655">
        <w:t>financial statement line item affected</w:t>
      </w:r>
    </w:p>
    <w:p w14:paraId="487750A4" w14:textId="0483DC83" w:rsidR="000C4655" w:rsidRPr="000C4655" w:rsidRDefault="006B5CFF" w:rsidP="002A0038">
      <w:pPr>
        <w:pStyle w:val="ListParagraph"/>
        <w:numPr>
          <w:ilvl w:val="1"/>
          <w:numId w:val="287"/>
        </w:numPr>
        <w:spacing w:before="40" w:after="80" w:line="264" w:lineRule="auto"/>
        <w:ind w:left="357" w:hanging="357"/>
      </w:pPr>
      <w:r>
        <w:t>T</w:t>
      </w:r>
      <w:r w:rsidR="000C4655" w:rsidRPr="000C4655">
        <w:t>o the extent practicable, the amount of the correction at the beginning of the earliest prior period</w:t>
      </w:r>
      <w:r w:rsidR="000C4655">
        <w:t xml:space="preserve"> </w:t>
      </w:r>
      <w:r w:rsidR="000C4655" w:rsidRPr="000C4655">
        <w:t>presented; and</w:t>
      </w:r>
    </w:p>
    <w:p w14:paraId="245D8BCE" w14:textId="4B461C03" w:rsidR="000C4655" w:rsidRPr="000C4655" w:rsidRDefault="006B5CFF" w:rsidP="002A0038">
      <w:pPr>
        <w:pStyle w:val="ListParagraph"/>
        <w:numPr>
          <w:ilvl w:val="1"/>
          <w:numId w:val="287"/>
        </w:numPr>
        <w:spacing w:before="40" w:after="80" w:line="264" w:lineRule="auto"/>
        <w:ind w:left="357" w:hanging="357"/>
      </w:pPr>
      <w:r>
        <w:t>A</w:t>
      </w:r>
      <w:r w:rsidR="000C4655" w:rsidRPr="000C4655">
        <w:t>n explanation if it is not practicable to determine the amounts to be disclosed.</w:t>
      </w:r>
    </w:p>
    <w:p w14:paraId="1D946552" w14:textId="1DAE3469" w:rsidR="000C4655" w:rsidRPr="00BA03D1" w:rsidRDefault="000C4655" w:rsidP="00E51206">
      <w:pPr>
        <w:spacing w:before="40"/>
        <w:rPr>
          <w:rStyle w:val="Reference"/>
          <w:rFonts w:asciiTheme="majorHAnsi" w:eastAsiaTheme="majorEastAsia" w:hAnsiTheme="majorHAnsi" w:cstheme="majorBidi"/>
          <w:b/>
          <w:caps/>
          <w:color w:val="auto"/>
          <w:sz w:val="18"/>
          <w:szCs w:val="32"/>
        </w:rPr>
      </w:pPr>
      <w:r w:rsidRPr="000C4655">
        <w:t>Financial statements of subsequent periods need not repeat these disclosures.</w:t>
      </w:r>
      <w:r>
        <w:t xml:space="preserve"> </w:t>
      </w:r>
      <w:r w:rsidRPr="00FE1E9A">
        <w:rPr>
          <w:rStyle w:val="Reference"/>
        </w:rPr>
        <w:t>[</w:t>
      </w:r>
      <w:r w:rsidR="0007383E">
        <w:rPr>
          <w:rStyle w:val="Reference"/>
        </w:rPr>
        <w:t>AASB </w:t>
      </w:r>
      <w:r w:rsidRPr="00FE1E9A">
        <w:rPr>
          <w:rStyle w:val="Reference"/>
        </w:rPr>
        <w:t>1060.1</w:t>
      </w:r>
      <w:r w:rsidR="00802DFC">
        <w:rPr>
          <w:rStyle w:val="Reference"/>
        </w:rPr>
        <w:t>10</w:t>
      </w:r>
      <w:r w:rsidRPr="00FE1E9A">
        <w:rPr>
          <w:rStyle w:val="Reference"/>
        </w:rPr>
        <w:t>]</w:t>
      </w:r>
    </w:p>
    <w:p w14:paraId="01736CFC" w14:textId="60FFC6B1" w:rsidR="000C4655" w:rsidRPr="00802DFC" w:rsidRDefault="000C4655" w:rsidP="002A0038"/>
    <w:sectPr w:rsidR="000C4655" w:rsidRPr="00802DFC" w:rsidSect="004001B7">
      <w:headerReference w:type="even" r:id="rId128"/>
      <w:footerReference w:type="even" r:id="rId129"/>
      <w:footerReference w:type="default" r:id="rId130"/>
      <w:headerReference w:type="first" r:id="rId131"/>
      <w:footerReference w:type="first" r:id="rId132"/>
      <w:pgSz w:w="11906" w:h="16838" w:code="9"/>
      <w:pgMar w:top="1584" w:right="1138" w:bottom="1138" w:left="1138" w:header="619"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189EE" w14:textId="77777777" w:rsidR="0068312D" w:rsidRDefault="0068312D" w:rsidP="00F51427">
      <w:pPr>
        <w:spacing w:before="0" w:after="0" w:line="240" w:lineRule="auto"/>
      </w:pPr>
      <w:r>
        <w:separator/>
      </w:r>
    </w:p>
  </w:endnote>
  <w:endnote w:type="continuationSeparator" w:id="0">
    <w:p w14:paraId="23B8B821" w14:textId="77777777" w:rsidR="0068312D" w:rsidRDefault="0068312D" w:rsidP="00F51427">
      <w:pPr>
        <w:spacing w:before="0" w:after="0" w:line="240" w:lineRule="auto"/>
      </w:pPr>
      <w:r>
        <w:continuationSeparator/>
      </w:r>
    </w:p>
  </w:endnote>
  <w:endnote w:type="continuationNotice" w:id="1">
    <w:p w14:paraId="43506B1E" w14:textId="77777777" w:rsidR="0068312D" w:rsidRDefault="0068312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00000001" w:usb1="080E0000" w:usb2="00000010" w:usb3="00000000" w:csb0="00040000"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1A67C" w14:textId="525F83A6" w:rsidR="00A545BA" w:rsidRDefault="006B79AA" w:rsidP="007D536F">
    <w:pPr>
      <w:pStyle w:val="Spacer"/>
    </w:pPr>
    <w:r>
      <w:rPr>
        <w:noProof/>
      </w:rPr>
      <mc:AlternateContent>
        <mc:Choice Requires="wps">
          <w:drawing>
            <wp:anchor distT="0" distB="0" distL="114300" distR="114300" simplePos="0" relativeHeight="251658259" behindDoc="0" locked="0" layoutInCell="0" allowOverlap="1" wp14:anchorId="700354EB" wp14:editId="50F12E63">
              <wp:simplePos x="0" y="0"/>
              <wp:positionH relativeFrom="page">
                <wp:align>left</wp:align>
              </wp:positionH>
              <wp:positionV relativeFrom="page">
                <wp:align>bottom</wp:align>
              </wp:positionV>
              <wp:extent cx="7772400" cy="463550"/>
              <wp:effectExtent l="0" t="0" r="0" b="0"/>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463550"/>
                      </a:xfrm>
                      <a:prstGeom prst="rect">
                        <a:avLst/>
                      </a:prstGeom>
                      <a:noFill/>
                      <a:ln w="6350">
                        <a:noFill/>
                      </a:ln>
                    </wps:spPr>
                    <wps:txbx>
                      <w:txbxContent>
                        <w:p w14:paraId="44D4C22F" w14:textId="2840BBA0" w:rsidR="00A72378" w:rsidRPr="000B2686" w:rsidRDefault="000B2686" w:rsidP="000B2686">
                          <w:pPr>
                            <w:spacing w:before="0" w:after="0"/>
                            <w:rPr>
                              <w:rFonts w:ascii="Calibri" w:hAnsi="Calibri" w:cs="Calibri"/>
                              <w:color w:val="000000"/>
                              <w:sz w:val="22"/>
                            </w:rPr>
                          </w:pPr>
                          <w:r w:rsidRPr="000B2686">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00354EB" id="_x0000_t202" coordsize="21600,21600" o:spt="202" path="m,l,21600r21600,l21600,xe">
              <v:stroke joinstyle="miter"/>
              <v:path gradientshapeok="t" o:connecttype="rect"/>
            </v:shapetype>
            <v:shape id="Text Box 61" o:spid="_x0000_s1027" type="#_x0000_t202" style="position:absolute;margin-left:0;margin-top:0;width:612pt;height:36.5pt;z-index:251658259;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" o:allowincell="f" filled="f" stroked="f" strokeweight=".5pt">
              <v:textbox inset="20pt,0,,0">
                <w:txbxContent>
                  <w:p w14:paraId="44D4C22F" w14:textId="2840BBA0" w:rsidR="00A72378" w:rsidRPr="000B2686" w:rsidRDefault="000B2686" w:rsidP="000B2686">
                    <w:pPr>
                      <w:spacing w:before="0" w:after="0"/>
                      <w:rPr>
                        <w:rFonts w:ascii="Calibri" w:hAnsi="Calibri" w:cs="Calibri"/>
                        <w:color w:val="000000"/>
                        <w:sz w:val="22"/>
                      </w:rPr>
                    </w:pPr>
                    <w:r w:rsidRPr="000B2686">
                      <w:rPr>
                        <w:rFonts w:ascii="Calibri" w:hAnsi="Calibri" w:cs="Calibri"/>
                        <w:color w:val="000000"/>
                        <w:sz w:val="22"/>
                      </w:rPr>
                      <w:t>OFFICIAL</w:t>
                    </w:r>
                  </w:p>
                </w:txbxContent>
              </v:textbox>
              <w10:wrap anchorx="page" anchory="page"/>
            </v:shape>
          </w:pict>
        </mc:Fallback>
      </mc:AlternateContent>
    </w:r>
    <w:r>
      <w:rPr>
        <w:noProof/>
      </w:rPr>
      <mc:AlternateContent>
        <mc:Choice Requires="wps">
          <w:drawing>
            <wp:anchor distT="0" distB="0" distL="114300" distR="114300" simplePos="0" relativeHeight="251658255" behindDoc="0" locked="0" layoutInCell="0" allowOverlap="1" wp14:anchorId="015F0267" wp14:editId="5F616095">
              <wp:simplePos x="0" y="0"/>
              <wp:positionH relativeFrom="page">
                <wp:align>left</wp:align>
              </wp:positionH>
              <wp:positionV relativeFrom="page">
                <wp:align>bottom</wp:align>
              </wp:positionV>
              <wp:extent cx="7772400" cy="463550"/>
              <wp:effectExtent l="0" t="0" r="0" b="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463550"/>
                      </a:xfrm>
                      <a:prstGeom prst="rect">
                        <a:avLst/>
                      </a:prstGeom>
                      <a:noFill/>
                      <a:ln w="6350">
                        <a:noFill/>
                      </a:ln>
                    </wps:spPr>
                    <wps:txbx>
                      <w:txbxContent>
                        <w:p w14:paraId="0FCB562C" w14:textId="326206A7" w:rsidR="00B24EF5" w:rsidRPr="00641B5C" w:rsidRDefault="00641B5C" w:rsidP="00641B5C">
                          <w:pPr>
                            <w:spacing w:before="0" w:after="0"/>
                            <w:rPr>
                              <w:rFonts w:ascii="Calibri" w:hAnsi="Calibri" w:cs="Calibri"/>
                              <w:color w:val="000000"/>
                              <w:sz w:val="22"/>
                            </w:rPr>
                          </w:pPr>
                          <w:r w:rsidRPr="00641B5C">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15F0267" id="Text Box 60" o:spid="_x0000_s1028" type="#_x0000_t202" style="position:absolute;margin-left:0;margin-top:0;width:612pt;height:36.5pt;z-index:251658255;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" o:allowincell="f" filled="f" stroked="f" strokeweight=".5pt">
              <v:textbox inset="20pt,0,,0">
                <w:txbxContent>
                  <w:p w14:paraId="0FCB562C" w14:textId="326206A7" w:rsidR="00B24EF5" w:rsidRPr="00641B5C" w:rsidRDefault="00641B5C" w:rsidP="00641B5C">
                    <w:pPr>
                      <w:spacing w:before="0" w:after="0"/>
                      <w:rPr>
                        <w:rFonts w:ascii="Calibri" w:hAnsi="Calibri" w:cs="Calibri"/>
                        <w:color w:val="000000"/>
                        <w:sz w:val="22"/>
                      </w:rPr>
                    </w:pPr>
                    <w:r w:rsidRPr="00641B5C">
                      <w:rPr>
                        <w:rFonts w:ascii="Calibri" w:hAnsi="Calibri" w:cs="Calibri"/>
                        <w:color w:val="000000"/>
                        <w:sz w:val="22"/>
                      </w:rPr>
                      <w:t>OFFICIAL</w:t>
                    </w:r>
                  </w:p>
                </w:txbxContent>
              </v:textbox>
              <w10:wrap anchorx="page" anchory="page"/>
            </v:shape>
          </w:pict>
        </mc:Fallback>
      </mc:AlternateContent>
    </w:r>
    <w:r>
      <w:rPr>
        <w:noProof/>
      </w:rPr>
      <mc:AlternateContent>
        <mc:Choice Requires="wps">
          <w:drawing>
            <wp:anchor distT="0" distB="0" distL="114300" distR="114300" simplePos="0" relativeHeight="251658251" behindDoc="0" locked="0" layoutInCell="0" allowOverlap="1" wp14:anchorId="43F00CC3" wp14:editId="68CE8C63">
              <wp:simplePos x="0" y="0"/>
              <wp:positionH relativeFrom="page">
                <wp:align>left</wp:align>
              </wp:positionH>
              <wp:positionV relativeFrom="page">
                <wp:align>bottom</wp:align>
              </wp:positionV>
              <wp:extent cx="7772400" cy="463550"/>
              <wp:effectExtent l="0" t="0" r="0" b="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463550"/>
                      </a:xfrm>
                      <a:prstGeom prst="rect">
                        <a:avLst/>
                      </a:prstGeom>
                      <a:noFill/>
                      <a:ln w="6350">
                        <a:noFill/>
                      </a:ln>
                    </wps:spPr>
                    <wps:txbx>
                      <w:txbxContent>
                        <w:p w14:paraId="71573BD4" w14:textId="52B245E9" w:rsidR="0024405E" w:rsidRPr="00764024" w:rsidRDefault="00764024" w:rsidP="00764024">
                          <w:pPr>
                            <w:spacing w:before="0" w:after="0"/>
                            <w:rPr>
                              <w:rFonts w:ascii="Calibri" w:hAnsi="Calibri" w:cs="Calibri"/>
                              <w:color w:val="000000"/>
                              <w:sz w:val="22"/>
                            </w:rPr>
                          </w:pPr>
                          <w:r w:rsidRPr="00764024">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3F00CC3" id="Text Box 59" o:spid="_x0000_s1029" type="#_x0000_t202" style="position:absolute;margin-left:0;margin-top:0;width:612pt;height:36.5pt;z-index:251658251;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" o:allowincell="f" filled="f" stroked="f" strokeweight=".5pt">
              <v:textbox inset="20pt,0,,0">
                <w:txbxContent>
                  <w:p w14:paraId="71573BD4" w14:textId="52B245E9" w:rsidR="0024405E" w:rsidRPr="00764024" w:rsidRDefault="00764024" w:rsidP="00764024">
                    <w:pPr>
                      <w:spacing w:before="0" w:after="0"/>
                      <w:rPr>
                        <w:rFonts w:ascii="Calibri" w:hAnsi="Calibri" w:cs="Calibri"/>
                        <w:color w:val="000000"/>
                        <w:sz w:val="22"/>
                      </w:rPr>
                    </w:pPr>
                    <w:r w:rsidRPr="00764024">
                      <w:rPr>
                        <w:rFonts w:ascii="Calibri" w:hAnsi="Calibri" w:cs="Calibri"/>
                        <w:color w:val="000000"/>
                        <w:sz w:val="22"/>
                      </w:rPr>
                      <w:t>OFFICIAL</w:t>
                    </w:r>
                  </w:p>
                </w:txbxContent>
              </v:textbox>
              <w10:wrap anchorx="page" anchory="page"/>
            </v:shape>
          </w:pict>
        </mc:Fallback>
      </mc:AlternateContent>
    </w:r>
    <w:r>
      <w:rPr>
        <w:noProof/>
      </w:rPr>
      <mc:AlternateContent>
        <mc:Choice Requires="wps">
          <w:drawing>
            <wp:anchor distT="0" distB="0" distL="114300" distR="114300" simplePos="0" relativeHeight="251658241" behindDoc="0" locked="0" layoutInCell="0" allowOverlap="1" wp14:anchorId="3E96AA25" wp14:editId="4F9F98D8">
              <wp:simplePos x="0" y="0"/>
              <wp:positionH relativeFrom="page">
                <wp:align>left</wp:align>
              </wp:positionH>
              <wp:positionV relativeFrom="page">
                <wp:align>bottom</wp:align>
              </wp:positionV>
              <wp:extent cx="7772400" cy="463550"/>
              <wp:effectExtent l="0" t="0" r="0" b="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463550"/>
                      </a:xfrm>
                      <a:prstGeom prst="rect">
                        <a:avLst/>
                      </a:prstGeom>
                      <a:noFill/>
                      <a:ln w="6350">
                        <a:noFill/>
                      </a:ln>
                    </wps:spPr>
                    <wps:txbx>
                      <w:txbxContent>
                        <w:p w14:paraId="03337521" w14:textId="5CA1B664" w:rsidR="00A545BA" w:rsidRPr="00F50F7E" w:rsidRDefault="00F50F7E" w:rsidP="00F50F7E">
                          <w:pPr>
                            <w:spacing w:before="0" w:after="0"/>
                            <w:rPr>
                              <w:rFonts w:ascii="Calibri" w:hAnsi="Calibri" w:cs="Calibri"/>
                              <w:color w:val="000000"/>
                              <w:sz w:val="22"/>
                            </w:rPr>
                          </w:pPr>
                          <w:r w:rsidRPr="00F50F7E">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E96AA25" id="Text Box 58" o:spid="_x0000_s1030" type="#_x0000_t202" style="position:absolute;margin-left:0;margin-top:0;width:612pt;height:36.5pt;z-index:251658241;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" o:allowincell="f" filled="f" stroked="f" strokeweight=".5pt">
              <v:textbox inset="20pt,0,,0">
                <w:txbxContent>
                  <w:p w14:paraId="03337521" w14:textId="5CA1B664" w:rsidR="00A545BA" w:rsidRPr="00F50F7E" w:rsidRDefault="00F50F7E" w:rsidP="00F50F7E">
                    <w:pPr>
                      <w:spacing w:before="0" w:after="0"/>
                      <w:rPr>
                        <w:rFonts w:ascii="Calibri" w:hAnsi="Calibri" w:cs="Calibri"/>
                        <w:color w:val="000000"/>
                        <w:sz w:val="22"/>
                      </w:rPr>
                    </w:pPr>
                    <w:r w:rsidRPr="00F50F7E">
                      <w:rPr>
                        <w:rFonts w:ascii="Calibri" w:hAnsi="Calibri" w:cs="Calibri"/>
                        <w:color w:val="000000"/>
                        <w:sz w:val="22"/>
                      </w:rPr>
                      <w:t>OFFICIAL</w:t>
                    </w:r>
                  </w:p>
                </w:txbxContent>
              </v:textbox>
              <w10:wrap anchorx="page" anchory="page"/>
            </v:shape>
          </w:pict>
        </mc:Fallback>
      </mc:AlternateContent>
    </w:r>
  </w:p>
  <w:p w14:paraId="787CD4B6" w14:textId="77777777" w:rsidR="00A545BA" w:rsidRDefault="00A545BA" w:rsidP="007D536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C451F" w14:textId="1B8DBC95" w:rsidR="00A545BA" w:rsidRPr="00D332B9" w:rsidRDefault="00A545BA" w:rsidP="007D536F">
    <w:pPr>
      <w:pStyle w:val="Footer"/>
    </w:pPr>
    <w:r w:rsidRPr="00D332B9">
      <w:fldChar w:fldCharType="begin"/>
    </w:r>
    <w:r w:rsidRPr="00D332B9">
      <w:instrText xml:space="preserve"> PAGE   \* MERGEFORMAT </w:instrText>
    </w:r>
    <w:r w:rsidRPr="00D332B9">
      <w:fldChar w:fldCharType="separate"/>
    </w:r>
    <w:r>
      <w:t>40</w:t>
    </w:r>
    <w:r w:rsidRPr="00D332B9">
      <w:fldChar w:fldCharType="end"/>
    </w:r>
    <w:r>
      <w:tab/>
    </w:r>
    <w:fldSimple w:instr="STYLEREF  Title  \* MERGEFORMAT">
      <w:r w:rsidR="00CA17BE">
        <w:rPr>
          <w:noProof/>
        </w:rPr>
        <w:t>Tier 2 Model Financial Report for Victorian public sector entities</w:t>
      </w:r>
    </w:fldSimple>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0319E" w14:textId="75FB5575" w:rsidR="00FF47D4" w:rsidRDefault="007237CC">
    <w:pPr>
      <w:pStyle w:val="Footer"/>
    </w:pPr>
    <w:fldSimple w:instr="STYLEREF  Title  \* MERGEFORMAT">
      <w:r w:rsidR="00CA17BE">
        <w:rPr>
          <w:noProof/>
        </w:rPr>
        <w:t>Tier 2 Model Financial Report for Victorian public sector entities</w:t>
      </w:r>
    </w:fldSimple>
    <w:r w:rsidR="007E31C0" w:rsidRPr="00D332B9">
      <w:tab/>
    </w:r>
    <w:r w:rsidR="007E31C0" w:rsidRPr="00D332B9">
      <w:fldChar w:fldCharType="begin"/>
    </w:r>
    <w:r w:rsidR="007E31C0" w:rsidRPr="00D332B9">
      <w:instrText xml:space="preserve"> PAGE   \* MERGEFORMAT </w:instrText>
    </w:r>
    <w:r w:rsidR="007E31C0" w:rsidRPr="00D332B9">
      <w:fldChar w:fldCharType="separate"/>
    </w:r>
    <w:r w:rsidR="007E31C0">
      <w:t>95</w:t>
    </w:r>
    <w:r w:rsidR="007E31C0" w:rsidRPr="00D332B9">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E0B60" w14:textId="47980F41" w:rsidR="00251D23" w:rsidRPr="00394ED6" w:rsidRDefault="007237CC" w:rsidP="00251D23">
    <w:pPr>
      <w:pStyle w:val="Footer"/>
    </w:pPr>
    <w:fldSimple w:instr="STYLEREF  Title  \* MERGEFORMAT">
      <w:r w:rsidR="00CA17BE">
        <w:rPr>
          <w:noProof/>
        </w:rPr>
        <w:t>Tier 2 Model Financial Report for Victorian public sector entities</w:t>
      </w:r>
    </w:fldSimple>
    <w:r w:rsidR="00251D23" w:rsidRPr="00394ED6">
      <w:tab/>
    </w:r>
    <w:r w:rsidR="00251D23" w:rsidRPr="00394ED6">
      <w:fldChar w:fldCharType="begin"/>
    </w:r>
    <w:r w:rsidR="00251D23" w:rsidRPr="00394ED6">
      <w:instrText xml:space="preserve"> PAGE   \* MERGEFORMAT </w:instrText>
    </w:r>
    <w:r w:rsidR="00251D23" w:rsidRPr="00394ED6">
      <w:fldChar w:fldCharType="separate"/>
    </w:r>
    <w:r w:rsidR="00251D23">
      <w:t>17</w:t>
    </w:r>
    <w:r w:rsidR="00251D23" w:rsidRPr="00394ED6">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1B5D6" w14:textId="3E06ACC0" w:rsidR="009E288C" w:rsidRPr="00251D23" w:rsidRDefault="00251D23" w:rsidP="00251D23">
    <w:pPr>
      <w:pStyle w:val="Footer"/>
    </w:pPr>
    <w:r w:rsidRPr="00D332B9">
      <w:fldChar w:fldCharType="begin"/>
    </w:r>
    <w:r w:rsidRPr="00D332B9">
      <w:instrText xml:space="preserve"> PAGE   \* MERGEFORMAT </w:instrText>
    </w:r>
    <w:r w:rsidRPr="00D332B9">
      <w:fldChar w:fldCharType="separate"/>
    </w:r>
    <w:r>
      <w:t>18</w:t>
    </w:r>
    <w:r w:rsidRPr="00D332B9">
      <w:fldChar w:fldCharType="end"/>
    </w:r>
    <w:r>
      <w:tab/>
    </w:r>
    <w:fldSimple w:instr="STYLEREF  Title  \* MERGEFORMAT">
      <w:r w:rsidR="00CA17BE">
        <w:rPr>
          <w:noProof/>
        </w:rPr>
        <w:t>Tier 2 Model Financial Report for Victorian public sector entities</w:t>
      </w:r>
    </w:fldSimple>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84590" w14:textId="6AE4262A" w:rsidR="00A545BA" w:rsidRPr="0021384F" w:rsidRDefault="006B79AA" w:rsidP="00314307">
    <w:pPr>
      <w:pStyle w:val="Footer"/>
    </w:pPr>
    <w:r>
      <w:rPr>
        <w:noProof/>
      </w:rPr>
      <mc:AlternateContent>
        <mc:Choice Requires="wps">
          <w:drawing>
            <wp:anchor distT="0" distB="0" distL="114300" distR="114300" simplePos="0" relativeHeight="251658244" behindDoc="0" locked="0" layoutInCell="0" allowOverlap="1" wp14:anchorId="4DF97D77" wp14:editId="1513E204">
              <wp:simplePos x="0" y="0"/>
              <wp:positionH relativeFrom="page">
                <wp:align>left</wp:align>
              </wp:positionH>
              <wp:positionV relativeFrom="page">
                <wp:align>bottom</wp:align>
              </wp:positionV>
              <wp:extent cx="7772400" cy="463550"/>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463550"/>
                      </a:xfrm>
                      <a:prstGeom prst="rect">
                        <a:avLst/>
                      </a:prstGeom>
                      <a:noFill/>
                      <a:ln w="6350">
                        <a:noFill/>
                      </a:ln>
                    </wps:spPr>
                    <wps:txbx>
                      <w:txbxContent>
                        <w:p w14:paraId="63CFDD67" w14:textId="3CD7192C" w:rsidR="00A545BA" w:rsidRPr="001C1DBD" w:rsidRDefault="00A545BA" w:rsidP="001C1DBD">
                          <w:pPr>
                            <w:spacing w:before="0" w:after="0"/>
                            <w:rPr>
                              <w:rFonts w:ascii="Calibri" w:hAnsi="Calibri" w:cs="Calibri"/>
                              <w:color w:val="000000"/>
                              <w:sz w:val="22"/>
                            </w:rPr>
                          </w:pPr>
                          <w:r w:rsidRPr="001C1DBD">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DF97D77" id="_x0000_t202" coordsize="21600,21600" o:spt="202" path="m,l,21600r21600,l21600,xe">
              <v:stroke joinstyle="miter"/>
              <v:path gradientshapeok="t" o:connecttype="rect"/>
            </v:shapetype>
            <v:shape id="Text Box 24" o:spid="_x0000_s1050" type="#_x0000_t202" style="position:absolute;margin-left:0;margin-top:0;width:612pt;height:36.5pt;z-index:25165824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" o:allowincell="f" filled="f" stroked="f" strokeweight=".5pt">
              <v:textbox inset="20pt,0,,0">
                <w:txbxContent>
                  <w:p w14:paraId="63CFDD67" w14:textId="3CD7192C" w:rsidR="00A545BA" w:rsidRPr="001C1DBD" w:rsidRDefault="00A545BA" w:rsidP="001C1DBD">
                    <w:pPr>
                      <w:spacing w:before="0" w:after="0"/>
                      <w:rPr>
                        <w:rFonts w:ascii="Calibri" w:hAnsi="Calibri" w:cs="Calibri"/>
                        <w:color w:val="000000"/>
                        <w:sz w:val="22"/>
                      </w:rPr>
                    </w:pPr>
                    <w:r w:rsidRPr="001C1DBD">
                      <w:rPr>
                        <w:rFonts w:ascii="Calibri" w:hAnsi="Calibri" w:cs="Calibri"/>
                        <w:color w:val="000000"/>
                        <w:sz w:val="22"/>
                      </w:rPr>
                      <w:t>OFFICIAL</w:t>
                    </w:r>
                  </w:p>
                </w:txbxContent>
              </v:textbox>
              <w10:wrap anchorx="page" anchory="page"/>
            </v:shape>
          </w:pict>
        </mc:Fallback>
      </mc:AlternateContent>
    </w:r>
    <w:fldSimple w:instr="STYLEREF  Title  \* MERGEFORMAT">
      <w:r w:rsidR="00676CBC">
        <w:rPr>
          <w:noProof/>
        </w:rPr>
        <w:t>Tier 2 Model Financial Report for Victorian public sector entities</w:t>
      </w:r>
    </w:fldSimple>
    <w:r w:rsidR="00A545BA">
      <w:rPr>
        <w:noProof/>
      </w:rPr>
      <w:tab/>
    </w:r>
    <w:r w:rsidR="00A545BA" w:rsidRPr="00D332B9">
      <w:fldChar w:fldCharType="begin"/>
    </w:r>
    <w:r w:rsidR="00A545BA" w:rsidRPr="00D332B9">
      <w:instrText xml:space="preserve"> PAGE   \* MERGEFORMAT </w:instrText>
    </w:r>
    <w:r w:rsidR="00A545BA" w:rsidRPr="00D332B9">
      <w:fldChar w:fldCharType="separate"/>
    </w:r>
    <w:r w:rsidR="00A545BA">
      <w:t>95</w:t>
    </w:r>
    <w:r w:rsidR="00A545BA" w:rsidRPr="00D332B9">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43B98" w14:textId="5B1EAE97" w:rsidR="009E288C" w:rsidRDefault="009E288C">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2D6B2" w14:textId="37186F28" w:rsidR="00983B8C" w:rsidRPr="0021384F" w:rsidRDefault="007237CC" w:rsidP="00983B8C">
    <w:pPr>
      <w:pStyle w:val="Footer"/>
    </w:pPr>
    <w:fldSimple w:instr="STYLEREF  Title  \* MERGEFORMAT">
      <w:r w:rsidR="00CA17BE">
        <w:rPr>
          <w:noProof/>
        </w:rPr>
        <w:t>Tier 2 Model Financial Report for Victorian public sector entities</w:t>
      </w:r>
    </w:fldSimple>
    <w:r w:rsidR="00983B8C">
      <w:rPr>
        <w:noProof/>
      </w:rPr>
      <w:tab/>
    </w:r>
    <w:r w:rsidR="00983B8C" w:rsidRPr="00D332B9">
      <w:fldChar w:fldCharType="begin"/>
    </w:r>
    <w:r w:rsidR="00983B8C" w:rsidRPr="00D332B9">
      <w:instrText xml:space="preserve"> PAGE   \* MERGEFORMAT </w:instrText>
    </w:r>
    <w:r w:rsidR="00983B8C" w:rsidRPr="00D332B9">
      <w:fldChar w:fldCharType="separate"/>
    </w:r>
    <w:r w:rsidR="00983B8C">
      <w:t>23</w:t>
    </w:r>
    <w:r w:rsidR="00983B8C" w:rsidRPr="00D332B9">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39CA3" w14:textId="2E78689A" w:rsidR="009E288C" w:rsidRDefault="009E288C">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C22CB" w14:textId="002B2C48" w:rsidR="009E288C" w:rsidRDefault="009E288C">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1E4A8" w14:textId="0261F9D3" w:rsidR="00A545BA" w:rsidRPr="00D332B9" w:rsidRDefault="00A545BA" w:rsidP="007D536F">
    <w:pPr>
      <w:pStyle w:val="Footer"/>
    </w:pPr>
    <w:r w:rsidRPr="00D332B9">
      <w:fldChar w:fldCharType="begin"/>
    </w:r>
    <w:r w:rsidRPr="00D332B9">
      <w:instrText xml:space="preserve"> PAGE   \* MERGEFORMAT </w:instrText>
    </w:r>
    <w:r w:rsidRPr="00D332B9">
      <w:fldChar w:fldCharType="separate"/>
    </w:r>
    <w:r>
      <w:t>40</w:t>
    </w:r>
    <w:r w:rsidRPr="00D332B9">
      <w:fldChar w:fldCharType="end"/>
    </w:r>
    <w:r>
      <w:tab/>
    </w:r>
    <w:fldSimple w:instr="STYLEREF  Title  \* MERGEFORMAT">
      <w:r w:rsidR="00CA17BE">
        <w:rPr>
          <w:noProof/>
        </w:rPr>
        <w:t>Tier 2 Model Financial Report for Victorian public sector entities</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FDB47" w14:textId="5BFBF600" w:rsidR="00A545BA" w:rsidRDefault="00A545BA" w:rsidP="007D536F">
    <w:pPr>
      <w:pStyle w:val="Spacer"/>
    </w:pPr>
    <w:r>
      <w:rPr>
        <w:noProof/>
      </w:rPr>
      <w:drawing>
        <wp:anchor distT="0" distB="0" distL="114300" distR="114300" simplePos="0" relativeHeight="251658249" behindDoc="0" locked="0" layoutInCell="1" allowOverlap="1" wp14:anchorId="5EB60B27" wp14:editId="6C195642">
          <wp:simplePos x="0" y="0"/>
          <wp:positionH relativeFrom="page">
            <wp:posOffset>5314820</wp:posOffset>
          </wp:positionH>
          <wp:positionV relativeFrom="page">
            <wp:posOffset>9811910</wp:posOffset>
          </wp:positionV>
          <wp:extent cx="1536192" cy="457200"/>
          <wp:effectExtent l="0" t="0" r="6985" b="0"/>
          <wp:wrapNone/>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Victoria State Gov DTF right black rgb.png"/>
                  <pic:cNvPicPr/>
                </pic:nvPicPr>
                <pic:blipFill>
                  <a:blip r:embed="rId1">
                    <a:extLst>
                      <a:ext uri="{28A0092B-C50C-407E-A947-70E740481C1C}">
                        <a14:useLocalDpi xmlns:a14="http://schemas.microsoft.com/office/drawing/2010/main" val="0"/>
                      </a:ext>
                    </a:extLst>
                  </a:blip>
                  <a:stretch>
                    <a:fillRect/>
                  </a:stretch>
                </pic:blipFill>
                <pic:spPr>
                  <a:xfrm>
                    <a:off x="0" y="0"/>
                    <a:ext cx="1536192" cy="457200"/>
                  </a:xfrm>
                  <a:prstGeom prst="rect">
                    <a:avLst/>
                  </a:prstGeom>
                </pic:spPr>
              </pic:pic>
            </a:graphicData>
          </a:graphic>
          <wp14:sizeRelH relativeFrom="margin">
            <wp14:pctWidth>0</wp14:pctWidth>
          </wp14:sizeRelH>
          <wp14:sizeRelV relativeFrom="margin">
            <wp14:pctHeight>0</wp14:pctHeight>
          </wp14:sizeRelV>
        </wp:anchor>
      </w:drawing>
    </w:r>
  </w:p>
  <w:p w14:paraId="7E5C2E45" w14:textId="77777777" w:rsidR="00A545BA" w:rsidRDefault="00A545BA" w:rsidP="00F6022B"/>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E75C3" w14:textId="0B5204F4" w:rsidR="00A545BA" w:rsidRPr="0021384F" w:rsidRDefault="007237CC" w:rsidP="00314307">
    <w:pPr>
      <w:pStyle w:val="Footer"/>
    </w:pPr>
    <w:fldSimple w:instr="STYLEREF  Title  \* MERGEFORMAT">
      <w:r w:rsidR="00CA17BE">
        <w:rPr>
          <w:noProof/>
        </w:rPr>
        <w:t>Tier 2 Model Financial Report for Victorian public sector entities</w:t>
      </w:r>
    </w:fldSimple>
    <w:r w:rsidR="00A545BA">
      <w:rPr>
        <w:noProof/>
      </w:rPr>
      <w:tab/>
    </w:r>
    <w:r w:rsidR="00A545BA" w:rsidRPr="00D332B9">
      <w:fldChar w:fldCharType="begin"/>
    </w:r>
    <w:r w:rsidR="00A545BA" w:rsidRPr="00D332B9">
      <w:instrText xml:space="preserve"> PAGE   \* MERGEFORMAT </w:instrText>
    </w:r>
    <w:r w:rsidR="00A545BA" w:rsidRPr="00D332B9">
      <w:fldChar w:fldCharType="separate"/>
    </w:r>
    <w:r w:rsidR="00A545BA">
      <w:t>95</w:t>
    </w:r>
    <w:r w:rsidR="00A545BA" w:rsidRPr="00D332B9">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E4D47" w14:textId="7B21E254" w:rsidR="00A545BA" w:rsidRDefault="00A545BA">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4FD65" w14:textId="6CECDED6" w:rsidR="009E288C" w:rsidRPr="000327CB" w:rsidRDefault="000327CB" w:rsidP="000327CB">
    <w:pPr>
      <w:pStyle w:val="Footer"/>
    </w:pPr>
    <w:r w:rsidRPr="00D332B9">
      <w:fldChar w:fldCharType="begin"/>
    </w:r>
    <w:r w:rsidRPr="00D332B9">
      <w:instrText xml:space="preserve"> PAGE   \* MERGEFORMAT </w:instrText>
    </w:r>
    <w:r w:rsidRPr="00D332B9">
      <w:fldChar w:fldCharType="separate"/>
    </w:r>
    <w:r>
      <w:t>28</w:t>
    </w:r>
    <w:r w:rsidRPr="00D332B9">
      <w:fldChar w:fldCharType="end"/>
    </w:r>
    <w:r>
      <w:tab/>
    </w:r>
    <w:fldSimple w:instr="STYLEREF  Title  \* MERGEFORMAT">
      <w:r w:rsidR="00CA17BE">
        <w:rPr>
          <w:noProof/>
        </w:rPr>
        <w:t>Tier 2 Model Financial Report for Victorian public sector entities</w:t>
      </w:r>
    </w:fldSimple>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62C42" w14:textId="7B08CD34" w:rsidR="009E288C" w:rsidRPr="000327CB" w:rsidRDefault="007237CC" w:rsidP="000327CB">
    <w:pPr>
      <w:pStyle w:val="Footer"/>
    </w:pPr>
    <w:fldSimple w:instr="STYLEREF  Title  \* MERGEFORMAT">
      <w:r w:rsidR="00CA17BE">
        <w:rPr>
          <w:noProof/>
        </w:rPr>
        <w:t>Tier 2 Model Financial Report for Victorian public sector entities</w:t>
      </w:r>
    </w:fldSimple>
    <w:r w:rsidR="000327CB">
      <w:rPr>
        <w:noProof/>
      </w:rPr>
      <w:tab/>
    </w:r>
    <w:r w:rsidR="000327CB" w:rsidRPr="00D332B9">
      <w:fldChar w:fldCharType="begin"/>
    </w:r>
    <w:r w:rsidR="000327CB" w:rsidRPr="00D332B9">
      <w:instrText xml:space="preserve"> PAGE   \* MERGEFORMAT </w:instrText>
    </w:r>
    <w:r w:rsidR="000327CB" w:rsidRPr="00D332B9">
      <w:fldChar w:fldCharType="separate"/>
    </w:r>
    <w:r w:rsidR="000327CB">
      <w:t>23</w:t>
    </w:r>
    <w:r w:rsidR="000327CB" w:rsidRPr="00D332B9">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C2A53" w14:textId="3A005635" w:rsidR="00B50EB6" w:rsidRDefault="00C84604">
    <w:pPr>
      <w:pStyle w:val="Footer"/>
    </w:pPr>
    <w:r w:rsidRPr="00D332B9">
      <w:fldChar w:fldCharType="begin"/>
    </w:r>
    <w:r w:rsidRPr="00D332B9">
      <w:instrText xml:space="preserve"> PAGE   \* MERGEFORMAT </w:instrText>
    </w:r>
    <w:r w:rsidRPr="00D332B9">
      <w:fldChar w:fldCharType="separate"/>
    </w:r>
    <w:r>
      <w:t>114</w:t>
    </w:r>
    <w:r w:rsidRPr="00D332B9">
      <w:fldChar w:fldCharType="end"/>
    </w:r>
    <w:r>
      <w:tab/>
    </w:r>
    <w:fldSimple w:instr="STYLEREF  Title  \* MERGEFORMAT">
      <w:r w:rsidR="00CA17BE">
        <w:rPr>
          <w:noProof/>
        </w:rPr>
        <w:t>Tier 2 Model Financial Report for Victorian public sector entities</w:t>
      </w:r>
    </w:fldSimple>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8C6F9" w14:textId="1397C354" w:rsidR="009E288C" w:rsidRDefault="007237CC">
    <w:pPr>
      <w:pStyle w:val="Footer"/>
    </w:pPr>
    <w:fldSimple w:instr="STYLEREF  Title  \* MERGEFORMAT">
      <w:r w:rsidR="00CA17BE">
        <w:rPr>
          <w:noProof/>
        </w:rPr>
        <w:t>Tier 2 Model Financial Report for Victorian public sector entities</w:t>
      </w:r>
    </w:fldSimple>
    <w:r w:rsidR="007A78CA">
      <w:rPr>
        <w:noProof/>
      </w:rPr>
      <w:tab/>
    </w:r>
    <w:r w:rsidR="007A78CA" w:rsidRPr="00D332B9">
      <w:fldChar w:fldCharType="begin"/>
    </w:r>
    <w:r w:rsidR="007A78CA" w:rsidRPr="00D332B9">
      <w:instrText xml:space="preserve"> PAGE   \* MERGEFORMAT </w:instrText>
    </w:r>
    <w:r w:rsidR="007A78CA" w:rsidRPr="00D332B9">
      <w:fldChar w:fldCharType="separate"/>
    </w:r>
    <w:r w:rsidR="007A78CA">
      <w:t>23</w:t>
    </w:r>
    <w:r w:rsidR="007A78CA" w:rsidRPr="00D332B9">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C84AA" w14:textId="10B7AD88" w:rsidR="009E288C" w:rsidRDefault="007A78CA">
    <w:pPr>
      <w:pStyle w:val="Footer"/>
    </w:pPr>
    <w:r w:rsidRPr="00D332B9">
      <w:fldChar w:fldCharType="begin"/>
    </w:r>
    <w:r w:rsidRPr="00D332B9">
      <w:instrText xml:space="preserve"> PAGE   \* MERGEFORMAT </w:instrText>
    </w:r>
    <w:r w:rsidRPr="00D332B9">
      <w:fldChar w:fldCharType="separate"/>
    </w:r>
    <w:r>
      <w:t>32</w:t>
    </w:r>
    <w:r w:rsidRPr="00D332B9">
      <w:fldChar w:fldCharType="end"/>
    </w:r>
    <w:r>
      <w:tab/>
    </w:r>
    <w:fldSimple w:instr="STYLEREF  Title  \* MERGEFORMAT">
      <w:r w:rsidR="00CA17BE">
        <w:rPr>
          <w:noProof/>
        </w:rPr>
        <w:t>Tier 2 Model Financial Report for Victorian public sector entities</w:t>
      </w:r>
    </w:fldSimple>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C9406" w14:textId="6A7C216A" w:rsidR="009E288C" w:rsidRDefault="009E288C">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15ACC" w14:textId="1A2FB1FE" w:rsidR="00C70938" w:rsidRPr="00C70938" w:rsidRDefault="007237CC" w:rsidP="00860F91">
    <w:pPr>
      <w:pStyle w:val="Footer"/>
    </w:pPr>
    <w:fldSimple w:instr="STYLEREF  Title  \* MERGEFORMAT">
      <w:r w:rsidR="00CA17BE">
        <w:rPr>
          <w:noProof/>
        </w:rPr>
        <w:t>Tier 2 Model Financial Report for Victorian public sector entities</w:t>
      </w:r>
    </w:fldSimple>
    <w:r w:rsidR="00860F91">
      <w:rPr>
        <w:noProof/>
      </w:rPr>
      <w:tab/>
    </w:r>
    <w:r w:rsidR="00860F91" w:rsidRPr="00D332B9">
      <w:fldChar w:fldCharType="begin"/>
    </w:r>
    <w:r w:rsidR="00860F91" w:rsidRPr="00D332B9">
      <w:instrText xml:space="preserve"> PAGE   \* MERGEFORMAT </w:instrText>
    </w:r>
    <w:r w:rsidR="00860F91" w:rsidRPr="00D332B9">
      <w:fldChar w:fldCharType="separate"/>
    </w:r>
    <w:r w:rsidR="00860F91">
      <w:t>127</w:t>
    </w:r>
    <w:r w:rsidR="00860F91" w:rsidRPr="00D332B9">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6DEC8" w14:textId="12F5F283" w:rsidR="009E288C" w:rsidRDefault="009E28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B6377" w14:textId="6C1F5C4F" w:rsidR="00A545BA" w:rsidRDefault="006B79AA">
    <w:pPr>
      <w:pStyle w:val="Footer"/>
    </w:pPr>
    <w:r>
      <w:rPr>
        <w:noProof/>
      </w:rPr>
      <mc:AlternateContent>
        <mc:Choice Requires="wps">
          <w:drawing>
            <wp:anchor distT="0" distB="0" distL="114300" distR="114300" simplePos="0" relativeHeight="251658256" behindDoc="0" locked="0" layoutInCell="0" allowOverlap="1" wp14:anchorId="54D4C104" wp14:editId="74368BAB">
              <wp:simplePos x="0" y="0"/>
              <wp:positionH relativeFrom="page">
                <wp:align>left</wp:align>
              </wp:positionH>
              <wp:positionV relativeFrom="page">
                <wp:align>bottom</wp:align>
              </wp:positionV>
              <wp:extent cx="7772400" cy="46355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463550"/>
                      </a:xfrm>
                      <a:prstGeom prst="rect">
                        <a:avLst/>
                      </a:prstGeom>
                      <a:noFill/>
                      <a:ln w="6350">
                        <a:noFill/>
                      </a:ln>
                    </wps:spPr>
                    <wps:txbx>
                      <w:txbxContent>
                        <w:p w14:paraId="0BC0F247" w14:textId="78487754" w:rsidR="00A72378" w:rsidRPr="000B2686" w:rsidRDefault="000B2686" w:rsidP="000B2686">
                          <w:pPr>
                            <w:spacing w:before="0" w:after="0"/>
                            <w:rPr>
                              <w:rFonts w:ascii="Calibri" w:hAnsi="Calibri" w:cs="Calibri"/>
                              <w:color w:val="000000"/>
                              <w:sz w:val="22"/>
                            </w:rPr>
                          </w:pPr>
                          <w:r w:rsidRPr="000B2686">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4D4C104" id="_x0000_t202" coordsize="21600,21600" o:spt="202" path="m,l,21600r21600,l21600,xe">
              <v:stroke joinstyle="miter"/>
              <v:path gradientshapeok="t" o:connecttype="rect"/>
            </v:shapetype>
            <v:shape id="Text Box 53" o:spid="_x0000_s1032" type="#_x0000_t202" style="position:absolute;margin-left:0;margin-top:0;width:612pt;height:36.5pt;z-index:251658256;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" o:allowincell="f" filled="f" stroked="f" strokeweight=".5pt">
              <v:textbox inset="20pt,0,,0">
                <w:txbxContent>
                  <w:p w14:paraId="0BC0F247" w14:textId="78487754" w:rsidR="00A72378" w:rsidRPr="000B2686" w:rsidRDefault="000B2686" w:rsidP="000B2686">
                    <w:pPr>
                      <w:spacing w:before="0" w:after="0"/>
                      <w:rPr>
                        <w:rFonts w:ascii="Calibri" w:hAnsi="Calibri" w:cs="Calibri"/>
                        <w:color w:val="000000"/>
                        <w:sz w:val="22"/>
                      </w:rPr>
                    </w:pPr>
                    <w:r w:rsidRPr="000B2686">
                      <w:rPr>
                        <w:rFonts w:ascii="Calibri" w:hAnsi="Calibri" w:cs="Calibri"/>
                        <w:color w:val="000000"/>
                        <w:sz w:val="22"/>
                      </w:rPr>
                      <w:t>OFFICIAL</w:t>
                    </w:r>
                  </w:p>
                </w:txbxContent>
              </v:textbox>
              <w10:wrap anchorx="page" anchory="page"/>
            </v:shape>
          </w:pict>
        </mc:Fallback>
      </mc:AlternateContent>
    </w:r>
    <w:r>
      <w:rPr>
        <w:noProof/>
      </w:rPr>
      <mc:AlternateContent>
        <mc:Choice Requires="wps">
          <w:drawing>
            <wp:anchor distT="0" distB="0" distL="114300" distR="114300" simplePos="0" relativeHeight="251658252" behindDoc="0" locked="0" layoutInCell="0" allowOverlap="1" wp14:anchorId="5A4F6BDD" wp14:editId="2C77FB5D">
              <wp:simplePos x="0" y="0"/>
              <wp:positionH relativeFrom="page">
                <wp:align>left</wp:align>
              </wp:positionH>
              <wp:positionV relativeFrom="page">
                <wp:align>bottom</wp:align>
              </wp:positionV>
              <wp:extent cx="7772400" cy="463550"/>
              <wp:effectExtent l="0" t="0" r="0"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463550"/>
                      </a:xfrm>
                      <a:prstGeom prst="rect">
                        <a:avLst/>
                      </a:prstGeom>
                      <a:noFill/>
                      <a:ln w="6350">
                        <a:noFill/>
                      </a:ln>
                    </wps:spPr>
                    <wps:txbx>
                      <w:txbxContent>
                        <w:p w14:paraId="37D79814" w14:textId="1D21E93E" w:rsidR="00B24EF5" w:rsidRPr="00641B5C" w:rsidRDefault="00641B5C" w:rsidP="00641B5C">
                          <w:pPr>
                            <w:spacing w:before="0" w:after="0"/>
                            <w:rPr>
                              <w:rFonts w:ascii="Calibri" w:hAnsi="Calibri" w:cs="Calibri"/>
                              <w:color w:val="000000"/>
                              <w:sz w:val="22"/>
                            </w:rPr>
                          </w:pPr>
                          <w:r w:rsidRPr="00641B5C">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A4F6BDD" id="Text Box 52" o:spid="_x0000_s1033" type="#_x0000_t202" style="position:absolute;margin-left:0;margin-top:0;width:612pt;height:36.5pt;z-index:251658252;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" o:allowincell="f" filled="f" stroked="f" strokeweight=".5pt">
              <v:textbox inset="20pt,0,,0">
                <w:txbxContent>
                  <w:p w14:paraId="37D79814" w14:textId="1D21E93E" w:rsidR="00B24EF5" w:rsidRPr="00641B5C" w:rsidRDefault="00641B5C" w:rsidP="00641B5C">
                    <w:pPr>
                      <w:spacing w:before="0" w:after="0"/>
                      <w:rPr>
                        <w:rFonts w:ascii="Calibri" w:hAnsi="Calibri" w:cs="Calibri"/>
                        <w:color w:val="000000"/>
                        <w:sz w:val="22"/>
                      </w:rPr>
                    </w:pPr>
                    <w:r w:rsidRPr="00641B5C">
                      <w:rPr>
                        <w:rFonts w:ascii="Calibri" w:hAnsi="Calibri" w:cs="Calibri"/>
                        <w:color w:val="000000"/>
                        <w:sz w:val="22"/>
                      </w:rPr>
                      <w:t>OFFICIAL</w:t>
                    </w:r>
                  </w:p>
                </w:txbxContent>
              </v:textbox>
              <w10:wrap anchorx="page" anchory="page"/>
            </v:shape>
          </w:pict>
        </mc:Fallback>
      </mc:AlternateContent>
    </w:r>
    <w:r>
      <w:rPr>
        <w:noProof/>
      </w:rPr>
      <mc:AlternateContent>
        <mc:Choice Requires="wps">
          <w:drawing>
            <wp:anchor distT="0" distB="0" distL="114300" distR="114300" simplePos="0" relativeHeight="251658250" behindDoc="0" locked="0" layoutInCell="0" allowOverlap="1" wp14:anchorId="198A5879" wp14:editId="27DD61C9">
              <wp:simplePos x="0" y="0"/>
              <wp:positionH relativeFrom="page">
                <wp:align>left</wp:align>
              </wp:positionH>
              <wp:positionV relativeFrom="page">
                <wp:align>bottom</wp:align>
              </wp:positionV>
              <wp:extent cx="7772400" cy="463550"/>
              <wp:effectExtent l="0" t="0" r="0" b="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463550"/>
                      </a:xfrm>
                      <a:prstGeom prst="rect">
                        <a:avLst/>
                      </a:prstGeom>
                      <a:noFill/>
                      <a:ln w="6350">
                        <a:noFill/>
                      </a:ln>
                    </wps:spPr>
                    <wps:txbx>
                      <w:txbxContent>
                        <w:p w14:paraId="5B30D883" w14:textId="7A8CC152" w:rsidR="0024405E" w:rsidRPr="00764024" w:rsidRDefault="00764024" w:rsidP="00764024">
                          <w:pPr>
                            <w:spacing w:before="0" w:after="0"/>
                            <w:rPr>
                              <w:rFonts w:ascii="Calibri" w:hAnsi="Calibri" w:cs="Calibri"/>
                              <w:color w:val="000000"/>
                              <w:sz w:val="22"/>
                            </w:rPr>
                          </w:pPr>
                          <w:r w:rsidRPr="00764024">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98A5879" id="Text Box 51" o:spid="_x0000_s1034" type="#_x0000_t202" style="position:absolute;margin-left:0;margin-top:0;width:612pt;height:36.5pt;z-index:25165825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" o:allowincell="f" filled="f" stroked="f" strokeweight=".5pt">
              <v:textbox inset="20pt,0,,0">
                <w:txbxContent>
                  <w:p w14:paraId="5B30D883" w14:textId="7A8CC152" w:rsidR="0024405E" w:rsidRPr="00764024" w:rsidRDefault="00764024" w:rsidP="00764024">
                    <w:pPr>
                      <w:spacing w:before="0" w:after="0"/>
                      <w:rPr>
                        <w:rFonts w:ascii="Calibri" w:hAnsi="Calibri" w:cs="Calibri"/>
                        <w:color w:val="000000"/>
                        <w:sz w:val="22"/>
                      </w:rPr>
                    </w:pPr>
                    <w:r w:rsidRPr="00764024">
                      <w:rPr>
                        <w:rFonts w:ascii="Calibri" w:hAnsi="Calibri" w:cs="Calibri"/>
                        <w:color w:val="000000"/>
                        <w:sz w:val="22"/>
                      </w:rPr>
                      <w:t>OFFICIAL</w:t>
                    </w:r>
                  </w:p>
                </w:txbxContent>
              </v:textbox>
              <w10:wrap anchorx="page" anchory="page"/>
            </v:shape>
          </w:pict>
        </mc:Fallback>
      </mc:AlternateContent>
    </w:r>
    <w:r>
      <w:rPr>
        <w:noProof/>
      </w:rPr>
      <mc:AlternateContent>
        <mc:Choice Requires="wps">
          <w:drawing>
            <wp:anchor distT="0" distB="0" distL="114300" distR="114300" simplePos="0" relativeHeight="251658240" behindDoc="0" locked="0" layoutInCell="0" allowOverlap="1" wp14:anchorId="21C7330F" wp14:editId="0BA22A29">
              <wp:simplePos x="0" y="0"/>
              <wp:positionH relativeFrom="page">
                <wp:align>left</wp:align>
              </wp:positionH>
              <wp:positionV relativeFrom="page">
                <wp:align>bottom</wp:align>
              </wp:positionV>
              <wp:extent cx="7772400" cy="463550"/>
              <wp:effectExtent l="0" t="0" r="0"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463550"/>
                      </a:xfrm>
                      <a:prstGeom prst="rect">
                        <a:avLst/>
                      </a:prstGeom>
                      <a:noFill/>
                      <a:ln w="6350">
                        <a:noFill/>
                      </a:ln>
                    </wps:spPr>
                    <wps:txbx>
                      <w:txbxContent>
                        <w:p w14:paraId="188F3FA1" w14:textId="75A63E4D" w:rsidR="00A545BA" w:rsidRPr="00F50F7E" w:rsidRDefault="00F50F7E" w:rsidP="00F50F7E">
                          <w:pPr>
                            <w:spacing w:before="0" w:after="0"/>
                            <w:rPr>
                              <w:rFonts w:ascii="Calibri" w:hAnsi="Calibri" w:cs="Calibri"/>
                              <w:color w:val="000000"/>
                              <w:sz w:val="22"/>
                            </w:rPr>
                          </w:pPr>
                          <w:r w:rsidRPr="00F50F7E">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1C7330F" id="Text Box 50" o:spid="_x0000_s1035" type="#_x0000_t202" style="position:absolute;margin-left:0;margin-top:0;width:612pt;height:36.5pt;z-index:25165824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" o:allowincell="f" filled="f" stroked="f" strokeweight=".5pt">
              <v:textbox inset="20pt,0,,0">
                <w:txbxContent>
                  <w:p w14:paraId="188F3FA1" w14:textId="75A63E4D" w:rsidR="00A545BA" w:rsidRPr="00F50F7E" w:rsidRDefault="00F50F7E" w:rsidP="00F50F7E">
                    <w:pPr>
                      <w:spacing w:before="0" w:after="0"/>
                      <w:rPr>
                        <w:rFonts w:ascii="Calibri" w:hAnsi="Calibri" w:cs="Calibri"/>
                        <w:color w:val="000000"/>
                        <w:sz w:val="22"/>
                      </w:rPr>
                    </w:pPr>
                    <w:r w:rsidRPr="00F50F7E">
                      <w:rPr>
                        <w:rFonts w:ascii="Calibri" w:hAnsi="Calibri" w:cs="Calibri"/>
                        <w:color w:val="000000"/>
                        <w:sz w:val="22"/>
                      </w:rPr>
                      <w:t>OFFICIAL</w:t>
                    </w:r>
                  </w:p>
                </w:txbxContent>
              </v:textbox>
              <w10:wrap anchorx="page" anchory="page"/>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F96F0" w14:textId="39BE54C1" w:rsidR="00617B7D" w:rsidRPr="00723546" w:rsidRDefault="00723546" w:rsidP="00723546">
    <w:pPr>
      <w:pStyle w:val="Footer"/>
    </w:pPr>
    <w:r w:rsidRPr="00D332B9">
      <w:fldChar w:fldCharType="begin"/>
    </w:r>
    <w:r w:rsidRPr="00D332B9">
      <w:instrText xml:space="preserve"> PAGE   \* MERGEFORMAT </w:instrText>
    </w:r>
    <w:r w:rsidRPr="00D332B9">
      <w:fldChar w:fldCharType="separate"/>
    </w:r>
    <w:r>
      <w:t>36</w:t>
    </w:r>
    <w:r w:rsidRPr="00D332B9">
      <w:fldChar w:fldCharType="end"/>
    </w:r>
    <w:r>
      <w:tab/>
    </w:r>
    <w:fldSimple w:instr="STYLEREF  Title  \* MERGEFORMAT">
      <w:r w:rsidR="00CA17BE">
        <w:rPr>
          <w:noProof/>
        </w:rPr>
        <w:t>Tier 2 Model Financial Report for Victorian public sector entities</w:t>
      </w:r>
    </w:fldSimple>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5D149" w14:textId="05070837" w:rsidR="00860F91" w:rsidRPr="00AE1DF9" w:rsidRDefault="00860F91" w:rsidP="00AE1DF9">
    <w:pPr>
      <w:pStyle w:val="Footer"/>
      <w:pBdr>
        <w:top w:val="none" w:sz="0" w:space="0" w:color="auto"/>
      </w:pBd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076A2" w14:textId="64F30CF0" w:rsidR="009E288C" w:rsidRDefault="009E288C">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9A82D" w14:textId="1C7F6D81" w:rsidR="009E288C" w:rsidRPr="00116AC5" w:rsidRDefault="007237CC" w:rsidP="00116AC5">
    <w:pPr>
      <w:pStyle w:val="Footer"/>
    </w:pPr>
    <w:fldSimple w:instr="STYLEREF  Title  \* MERGEFORMAT">
      <w:r w:rsidR="00CA17BE">
        <w:rPr>
          <w:noProof/>
        </w:rPr>
        <w:t>Tier 2 Model Financial Report for Victorian public sector entities</w:t>
      </w:r>
    </w:fldSimple>
    <w:r w:rsidR="00116AC5">
      <w:rPr>
        <w:noProof/>
      </w:rPr>
      <w:tab/>
    </w:r>
    <w:r w:rsidR="00116AC5" w:rsidRPr="00D332B9">
      <w:fldChar w:fldCharType="begin"/>
    </w:r>
    <w:r w:rsidR="00116AC5" w:rsidRPr="00D332B9">
      <w:instrText xml:space="preserve"> PAGE   \* MERGEFORMAT </w:instrText>
    </w:r>
    <w:r w:rsidR="00116AC5" w:rsidRPr="00D332B9">
      <w:fldChar w:fldCharType="separate"/>
    </w:r>
    <w:r w:rsidR="00116AC5">
      <w:t>31</w:t>
    </w:r>
    <w:r w:rsidR="00116AC5" w:rsidRPr="00D332B9">
      <w:fldChar w:fldCharType="end"/>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D4A8F" w14:textId="25FFBA39" w:rsidR="00B50EB6" w:rsidRPr="007A0D66" w:rsidRDefault="007A0D66" w:rsidP="007A0D66">
    <w:pPr>
      <w:pStyle w:val="Footer"/>
    </w:pPr>
    <w:r w:rsidRPr="00D332B9">
      <w:fldChar w:fldCharType="begin"/>
    </w:r>
    <w:r w:rsidRPr="00D332B9">
      <w:instrText xml:space="preserve"> PAGE   \* MERGEFORMAT </w:instrText>
    </w:r>
    <w:r w:rsidRPr="00D332B9">
      <w:fldChar w:fldCharType="separate"/>
    </w:r>
    <w:r>
      <w:t>34</w:t>
    </w:r>
    <w:r w:rsidRPr="00D332B9">
      <w:fldChar w:fldCharType="end"/>
    </w:r>
    <w:r>
      <w:tab/>
    </w:r>
    <w:fldSimple w:instr="STYLEREF  Title  \* MERGEFORMAT">
      <w:r w:rsidR="00CA17BE">
        <w:rPr>
          <w:noProof/>
        </w:rPr>
        <w:t>Tier 2 Model Financial Report for Victorian public sector entities</w:t>
      </w:r>
    </w:fldSimple>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1EA34" w14:textId="3039303E" w:rsidR="009E288C" w:rsidRPr="00723546" w:rsidRDefault="00723546" w:rsidP="00723546">
    <w:pPr>
      <w:pStyle w:val="Footer"/>
    </w:pPr>
    <w:r w:rsidRPr="00D332B9">
      <w:fldChar w:fldCharType="begin"/>
    </w:r>
    <w:r w:rsidRPr="00D332B9">
      <w:instrText xml:space="preserve"> PAGE   \* MERGEFORMAT </w:instrText>
    </w:r>
    <w:r w:rsidRPr="00D332B9">
      <w:fldChar w:fldCharType="separate"/>
    </w:r>
    <w:r>
      <w:t>46</w:t>
    </w:r>
    <w:r w:rsidRPr="00D332B9">
      <w:fldChar w:fldCharType="end"/>
    </w:r>
    <w:r>
      <w:tab/>
    </w:r>
    <w:fldSimple w:instr="STYLEREF  Title  \* MERGEFORMAT">
      <w:r w:rsidR="00CA17BE">
        <w:rPr>
          <w:noProof/>
        </w:rPr>
        <w:t>Tier 2 Model Financial Report for Victorian public sector entities</w:t>
      </w:r>
    </w:fldSimple>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7D7B2" w14:textId="377E5878" w:rsidR="009E288C" w:rsidRPr="00723546" w:rsidRDefault="007237CC" w:rsidP="00723546">
    <w:pPr>
      <w:pStyle w:val="Footer"/>
    </w:pPr>
    <w:fldSimple w:instr="STYLEREF  Title  \* MERGEFORMAT">
      <w:r w:rsidR="00CA17BE">
        <w:rPr>
          <w:noProof/>
        </w:rPr>
        <w:t>Tier 2 Model Financial Report for Victorian public sector entities</w:t>
      </w:r>
    </w:fldSimple>
    <w:r w:rsidR="00723546">
      <w:rPr>
        <w:noProof/>
      </w:rPr>
      <w:tab/>
    </w:r>
    <w:r w:rsidR="00723546" w:rsidRPr="00D332B9">
      <w:fldChar w:fldCharType="begin"/>
    </w:r>
    <w:r w:rsidR="00723546" w:rsidRPr="00D332B9">
      <w:instrText xml:space="preserve"> PAGE   \* MERGEFORMAT </w:instrText>
    </w:r>
    <w:r w:rsidR="00723546" w:rsidRPr="00D332B9">
      <w:fldChar w:fldCharType="separate"/>
    </w:r>
    <w:r w:rsidR="00723546">
      <w:t>31</w:t>
    </w:r>
    <w:r w:rsidR="00723546" w:rsidRPr="00D332B9">
      <w:fldChar w:fldCharType="end"/>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D15BE" w14:textId="42A89665" w:rsidR="00A545BA" w:rsidRPr="00723546" w:rsidRDefault="007237CC" w:rsidP="00723546">
    <w:pPr>
      <w:pStyle w:val="Footer"/>
    </w:pPr>
    <w:fldSimple w:instr="STYLEREF  Title  \* MERGEFORMAT">
      <w:r w:rsidR="00CA17BE">
        <w:rPr>
          <w:noProof/>
        </w:rPr>
        <w:t>Tier 2 Model Financial Report for Victorian public sector entities</w:t>
      </w:r>
    </w:fldSimple>
    <w:r w:rsidR="00723546">
      <w:rPr>
        <w:noProof/>
      </w:rPr>
      <w:tab/>
    </w:r>
    <w:r w:rsidR="00723546" w:rsidRPr="00D332B9">
      <w:fldChar w:fldCharType="begin"/>
    </w:r>
    <w:r w:rsidR="00723546" w:rsidRPr="00D332B9">
      <w:instrText xml:space="preserve"> PAGE   \* MERGEFORMAT </w:instrText>
    </w:r>
    <w:r w:rsidR="00723546" w:rsidRPr="00D332B9">
      <w:fldChar w:fldCharType="separate"/>
    </w:r>
    <w:r w:rsidR="00723546">
      <w:t>31</w:t>
    </w:r>
    <w:r w:rsidR="00723546" w:rsidRPr="00D332B9">
      <w:fldChar w:fldCharType="end"/>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6A6FA" w14:textId="424BCC2F" w:rsidR="00A545BA" w:rsidRPr="00DD7FD8" w:rsidRDefault="00A545BA" w:rsidP="00DD7FD8">
    <w:pPr>
      <w:pStyle w:val="Footer"/>
      <w:pBdr>
        <w:top w:val="none" w:sz="0" w:space="0" w:color="auto"/>
      </w:pBd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B3E70" w14:textId="3FE3B46D" w:rsidR="00A545BA" w:rsidRPr="009C4A7A" w:rsidRDefault="00A545BA" w:rsidP="009C4A7A">
    <w:pPr>
      <w:pStyle w:val="Footer"/>
      <w:pBdr>
        <w:top w:val="none" w:sz="0" w:space="0" w:color="auto"/>
      </w:pBd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1E15B" w14:textId="440670FF" w:rsidR="00A545BA" w:rsidRPr="00F6022B" w:rsidRDefault="00A545BA" w:rsidP="00F6022B"/>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1EA00" w14:textId="7C7B859A" w:rsidR="0024641D" w:rsidRDefault="00676CBC">
    <w:pPr>
      <w:pStyle w:val="Footer"/>
      <w:jc w:val="right"/>
    </w:pPr>
    <w:fldSimple w:instr="STYLEREF  Title  \* MERGEFORMAT">
      <w:r>
        <w:rPr>
          <w:noProof/>
        </w:rPr>
        <w:t>Tier 2 Model Financial Report for Victorian public sector entities</w:t>
      </w:r>
    </w:fldSimple>
    <w:r w:rsidR="0024641D">
      <w:rPr>
        <w:noProof/>
      </w:rPr>
      <w:t xml:space="preserve">                                                                                                                                                                                        </w:t>
    </w:r>
    <w:sdt>
      <w:sdtPr>
        <w:id w:val="982127798"/>
        <w:docPartObj>
          <w:docPartGallery w:val="Page Numbers (Bottom of Page)"/>
          <w:docPartUnique/>
        </w:docPartObj>
      </w:sdtPr>
      <w:sdtEndPr>
        <w:rPr>
          <w:noProof/>
        </w:rPr>
      </w:sdtEndPr>
      <w:sdtContent>
        <w:r w:rsidR="0024641D">
          <w:fldChar w:fldCharType="begin"/>
        </w:r>
        <w:r w:rsidR="0024641D">
          <w:instrText xml:space="preserve"> PAGE   \* MERGEFORMAT </w:instrText>
        </w:r>
        <w:r w:rsidR="0024641D">
          <w:fldChar w:fldCharType="separate"/>
        </w:r>
        <w:r w:rsidR="0024641D">
          <w:rPr>
            <w:noProof/>
          </w:rPr>
          <w:t>2</w:t>
        </w:r>
        <w:r w:rsidR="0024641D">
          <w:rPr>
            <w:noProof/>
          </w:rPr>
          <w:fldChar w:fldCharType="end"/>
        </w:r>
      </w:sdtContent>
    </w:sdt>
  </w:p>
  <w:p w14:paraId="3A04635F" w14:textId="33E5927C" w:rsidR="009E288C" w:rsidRDefault="009E288C">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F0828" w14:textId="40D4BF0C" w:rsidR="0024641D" w:rsidRPr="009C4A7A" w:rsidRDefault="009C4A7A" w:rsidP="009C4A7A">
    <w:pPr>
      <w:pStyle w:val="Footer"/>
    </w:pPr>
    <w:r w:rsidRPr="00D332B9">
      <w:fldChar w:fldCharType="begin"/>
    </w:r>
    <w:r w:rsidRPr="00D332B9">
      <w:instrText xml:space="preserve"> PAGE   \* MERGEFORMAT </w:instrText>
    </w:r>
    <w:r w:rsidRPr="00D332B9">
      <w:fldChar w:fldCharType="separate"/>
    </w:r>
    <w:r>
      <w:t>56</w:t>
    </w:r>
    <w:r w:rsidRPr="00D332B9">
      <w:fldChar w:fldCharType="end"/>
    </w:r>
    <w:r>
      <w:tab/>
    </w:r>
    <w:fldSimple w:instr="STYLEREF  Title  \* MERGEFORMAT">
      <w:r w:rsidR="00CA17BE">
        <w:rPr>
          <w:noProof/>
        </w:rPr>
        <w:t>Tier 2 Model Financial Report for Victorian public sector entities</w:t>
      </w:r>
    </w:fldSimple>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381A7" w14:textId="3B7BF089" w:rsidR="009C4A7A" w:rsidRPr="00723546" w:rsidRDefault="007237CC" w:rsidP="009C4A7A">
    <w:pPr>
      <w:pStyle w:val="Footer"/>
    </w:pPr>
    <w:fldSimple w:instr="STYLEREF  Title  \* MERGEFORMAT">
      <w:r w:rsidR="00CA17BE">
        <w:rPr>
          <w:noProof/>
        </w:rPr>
        <w:t>Tier 2 Model Financial Report for Victorian public sector entities</w:t>
      </w:r>
    </w:fldSimple>
    <w:r w:rsidR="009C4A7A">
      <w:rPr>
        <w:noProof/>
      </w:rPr>
      <w:tab/>
    </w:r>
    <w:r w:rsidR="009C4A7A" w:rsidRPr="00D332B9">
      <w:fldChar w:fldCharType="begin"/>
    </w:r>
    <w:r w:rsidR="009C4A7A" w:rsidRPr="00D332B9">
      <w:instrText xml:space="preserve"> PAGE   \* MERGEFORMAT </w:instrText>
    </w:r>
    <w:r w:rsidR="009C4A7A" w:rsidRPr="00D332B9">
      <w:fldChar w:fldCharType="separate"/>
    </w:r>
    <w:r w:rsidR="009C4A7A">
      <w:t>51</w:t>
    </w:r>
    <w:r w:rsidR="009C4A7A" w:rsidRPr="00D332B9">
      <w:fldChar w:fldCharType="end"/>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6F782" w14:textId="7136EF4B" w:rsidR="0024641D" w:rsidRDefault="0068312D">
    <w:pPr>
      <w:pStyle w:val="Footer"/>
      <w:jc w:val="right"/>
    </w:pPr>
    <w:sdt>
      <w:sdtPr>
        <w:id w:val="1936090594"/>
        <w:docPartObj>
          <w:docPartGallery w:val="Page Numbers (Bottom of Page)"/>
          <w:docPartUnique/>
        </w:docPartObj>
      </w:sdtPr>
      <w:sdtEndPr>
        <w:rPr>
          <w:noProof/>
        </w:rPr>
      </w:sdtEndPr>
      <w:sdtContent>
        <w:fldSimple w:instr="STYLEREF  Title  \* MERGEFORMAT">
          <w:r w:rsidR="00676CBC">
            <w:rPr>
              <w:noProof/>
            </w:rPr>
            <w:t>Tier 2 Model Financial Report for Victorian public sector entities</w:t>
          </w:r>
        </w:fldSimple>
        <w:r w:rsidR="0024641D">
          <w:t xml:space="preserve">                                                                                      </w:t>
        </w:r>
        <w:r w:rsidR="0024641D">
          <w:fldChar w:fldCharType="begin"/>
        </w:r>
        <w:r w:rsidR="0024641D">
          <w:instrText xml:space="preserve"> PAGE   \* MERGEFORMAT </w:instrText>
        </w:r>
        <w:r w:rsidR="0024641D">
          <w:fldChar w:fldCharType="separate"/>
        </w:r>
        <w:r w:rsidR="0024641D">
          <w:rPr>
            <w:noProof/>
          </w:rPr>
          <w:t>2</w:t>
        </w:r>
        <w:r w:rsidR="0024641D">
          <w:rPr>
            <w:noProof/>
          </w:rPr>
          <w:fldChar w:fldCharType="end"/>
        </w:r>
      </w:sdtContent>
    </w:sdt>
  </w:p>
  <w:p w14:paraId="30F82061" w14:textId="6726F8A9" w:rsidR="009E288C" w:rsidRDefault="009E288C">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525" w14:textId="62D42176" w:rsidR="009E288C" w:rsidRDefault="009E288C">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56A8E" w14:textId="2910E1C8" w:rsidR="00A545BA" w:rsidRPr="00D332B9" w:rsidRDefault="00A545BA" w:rsidP="007D536F">
    <w:pPr>
      <w:pStyle w:val="Footer"/>
    </w:pPr>
    <w:r w:rsidRPr="00D332B9">
      <w:fldChar w:fldCharType="begin"/>
    </w:r>
    <w:r w:rsidRPr="00D332B9">
      <w:instrText xml:space="preserve"> PAGE   \* MERGEFORMAT </w:instrText>
    </w:r>
    <w:r w:rsidRPr="00D332B9">
      <w:fldChar w:fldCharType="separate"/>
    </w:r>
    <w:r>
      <w:t>40</w:t>
    </w:r>
    <w:r w:rsidRPr="00D332B9">
      <w:fldChar w:fldCharType="end"/>
    </w:r>
    <w:r>
      <w:tab/>
    </w:r>
    <w:fldSimple w:instr="STYLEREF  Title  \* MERGEFORMAT">
      <w:r w:rsidR="00CA17BE">
        <w:rPr>
          <w:noProof/>
        </w:rPr>
        <w:t>Tier 2 Model Financial Report for Victorian public sector entities</w:t>
      </w:r>
    </w:fldSimple>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ACA17" w14:textId="086330B2" w:rsidR="00A545BA" w:rsidRPr="0021384F" w:rsidRDefault="007237CC" w:rsidP="00314307">
    <w:pPr>
      <w:pStyle w:val="Footer"/>
    </w:pPr>
    <w:fldSimple w:instr="STYLEREF  Title  \* MERGEFORMAT">
      <w:r w:rsidR="00CA17BE">
        <w:rPr>
          <w:noProof/>
        </w:rPr>
        <w:t>Tier 2 Model Financial Report for Victorian public sector entities</w:t>
      </w:r>
    </w:fldSimple>
    <w:r w:rsidR="00A545BA">
      <w:rPr>
        <w:noProof/>
      </w:rPr>
      <w:tab/>
    </w:r>
    <w:r w:rsidR="00A545BA" w:rsidRPr="00D332B9">
      <w:fldChar w:fldCharType="begin"/>
    </w:r>
    <w:r w:rsidR="00A545BA" w:rsidRPr="00D332B9">
      <w:instrText xml:space="preserve"> PAGE   \* MERGEFORMAT </w:instrText>
    </w:r>
    <w:r w:rsidR="00A545BA" w:rsidRPr="00D332B9">
      <w:fldChar w:fldCharType="separate"/>
    </w:r>
    <w:r w:rsidR="00A545BA">
      <w:t>95</w:t>
    </w:r>
    <w:r w:rsidR="00A545BA" w:rsidRPr="00D332B9">
      <w:fldChar w:fldCharType="end"/>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86E25" w14:textId="2D3F5037" w:rsidR="009E288C" w:rsidRDefault="009E288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4C3DD" w14:textId="0147550C" w:rsidR="00A545BA" w:rsidRPr="00394ED6" w:rsidRDefault="006B79AA" w:rsidP="00394ED6">
    <w:pPr>
      <w:pStyle w:val="Footer"/>
    </w:pPr>
    <w:r>
      <w:rPr>
        <w:noProof/>
      </w:rPr>
      <mc:AlternateContent>
        <mc:Choice Requires="wps">
          <w:drawing>
            <wp:anchor distT="0" distB="0" distL="114300" distR="114300" simplePos="0" relativeHeight="251658257" behindDoc="0" locked="0" layoutInCell="0" allowOverlap="1" wp14:anchorId="146ED68F" wp14:editId="3C0735B3">
              <wp:simplePos x="0" y="0"/>
              <wp:positionH relativeFrom="page">
                <wp:align>left</wp:align>
              </wp:positionH>
              <wp:positionV relativeFrom="page">
                <wp:align>bottom</wp:align>
              </wp:positionV>
              <wp:extent cx="7772400" cy="463550"/>
              <wp:effectExtent l="0" t="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463550"/>
                      </a:xfrm>
                      <a:prstGeom prst="rect">
                        <a:avLst/>
                      </a:prstGeom>
                      <a:noFill/>
                      <a:ln w="6350">
                        <a:noFill/>
                      </a:ln>
                    </wps:spPr>
                    <wps:txbx>
                      <w:txbxContent>
                        <w:p w14:paraId="227FE316" w14:textId="2713D1C0" w:rsidR="00A72378" w:rsidRPr="000B2686" w:rsidRDefault="000B2686" w:rsidP="000B2686">
                          <w:pPr>
                            <w:spacing w:before="0" w:after="0"/>
                            <w:rPr>
                              <w:rFonts w:ascii="Calibri" w:hAnsi="Calibri" w:cs="Calibri"/>
                              <w:color w:val="000000"/>
                              <w:sz w:val="22"/>
                            </w:rPr>
                          </w:pPr>
                          <w:r w:rsidRPr="000B2686">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46ED68F" id="_x0000_t202" coordsize="21600,21600" o:spt="202" path="m,l,21600r21600,l21600,xe">
              <v:stroke joinstyle="miter"/>
              <v:path gradientshapeok="t" o:connecttype="rect"/>
            </v:shapetype>
            <v:shape id="Text Box 45" o:spid="_x0000_s1037" type="#_x0000_t202" style="position:absolute;margin-left:0;margin-top:0;width:612pt;height:36.5pt;z-index:251658257;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" o:allowincell="f" filled="f" stroked="f" strokeweight=".5pt">
              <v:textbox inset="20pt,0,,0">
                <w:txbxContent>
                  <w:p w14:paraId="227FE316" w14:textId="2713D1C0" w:rsidR="00A72378" w:rsidRPr="000B2686" w:rsidRDefault="000B2686" w:rsidP="000B2686">
                    <w:pPr>
                      <w:spacing w:before="0" w:after="0"/>
                      <w:rPr>
                        <w:rFonts w:ascii="Calibri" w:hAnsi="Calibri" w:cs="Calibri"/>
                        <w:color w:val="000000"/>
                        <w:sz w:val="22"/>
                      </w:rPr>
                    </w:pPr>
                    <w:r w:rsidRPr="000B2686">
                      <w:rPr>
                        <w:rFonts w:ascii="Calibri" w:hAnsi="Calibri" w:cs="Calibri"/>
                        <w:color w:val="000000"/>
                        <w:sz w:val="22"/>
                      </w:rPr>
                      <w:t>OFFICIAL</w:t>
                    </w:r>
                  </w:p>
                </w:txbxContent>
              </v:textbox>
              <w10:wrap anchorx="page" anchory="page"/>
            </v:shape>
          </w:pict>
        </mc:Fallback>
      </mc:AlternateContent>
    </w:r>
    <w:r>
      <w:rPr>
        <w:noProof/>
      </w:rPr>
      <mc:AlternateContent>
        <mc:Choice Requires="wps">
          <w:drawing>
            <wp:anchor distT="0" distB="0" distL="114300" distR="114300" simplePos="0" relativeHeight="251658253" behindDoc="0" locked="0" layoutInCell="0" allowOverlap="1" wp14:anchorId="123AE1A9" wp14:editId="13A8ACD0">
              <wp:simplePos x="0" y="0"/>
              <wp:positionH relativeFrom="page">
                <wp:align>left</wp:align>
              </wp:positionH>
              <wp:positionV relativeFrom="page">
                <wp:align>bottom</wp:align>
              </wp:positionV>
              <wp:extent cx="7772400" cy="463550"/>
              <wp:effectExtent l="0" t="0" r="0" b="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463550"/>
                      </a:xfrm>
                      <a:prstGeom prst="rect">
                        <a:avLst/>
                      </a:prstGeom>
                      <a:noFill/>
                      <a:ln w="6350">
                        <a:noFill/>
                      </a:ln>
                    </wps:spPr>
                    <wps:txbx>
                      <w:txbxContent>
                        <w:p w14:paraId="01F59CCA" w14:textId="422900F8" w:rsidR="002672D1" w:rsidRPr="00641B5C" w:rsidRDefault="00641B5C" w:rsidP="00641B5C">
                          <w:pPr>
                            <w:spacing w:before="0" w:after="0"/>
                            <w:rPr>
                              <w:rFonts w:ascii="Calibri" w:hAnsi="Calibri" w:cs="Calibri"/>
                              <w:color w:val="000000"/>
                              <w:sz w:val="22"/>
                            </w:rPr>
                          </w:pPr>
                          <w:r w:rsidRPr="00641B5C">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23AE1A9" id="Text Box 44" o:spid="_x0000_s1038" type="#_x0000_t202" style="position:absolute;margin-left:0;margin-top:0;width:612pt;height:36.5pt;z-index:251658253;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" o:allowincell="f" filled="f" stroked="f" strokeweight=".5pt">
              <v:textbox inset="20pt,0,,0">
                <w:txbxContent>
                  <w:p w14:paraId="01F59CCA" w14:textId="422900F8" w:rsidR="002672D1" w:rsidRPr="00641B5C" w:rsidRDefault="00641B5C" w:rsidP="00641B5C">
                    <w:pPr>
                      <w:spacing w:before="0" w:after="0"/>
                      <w:rPr>
                        <w:rFonts w:ascii="Calibri" w:hAnsi="Calibri" w:cs="Calibri"/>
                        <w:color w:val="000000"/>
                        <w:sz w:val="22"/>
                      </w:rPr>
                    </w:pPr>
                    <w:r w:rsidRPr="00641B5C">
                      <w:rPr>
                        <w:rFonts w:ascii="Calibri" w:hAnsi="Calibri" w:cs="Calibri"/>
                        <w:color w:val="000000"/>
                        <w:sz w:val="22"/>
                      </w:rPr>
                      <w:t>OFFICIAL</w:t>
                    </w:r>
                  </w:p>
                </w:txbxContent>
              </v:textbox>
              <w10:wrap anchorx="page" anchory="page"/>
            </v:shape>
          </w:pict>
        </mc:Fallback>
      </mc:AlternateContent>
    </w:r>
    <w:r>
      <w:rPr>
        <w:noProof/>
      </w:rPr>
      <mc:AlternateContent>
        <mc:Choice Requires="wps">
          <w:drawing>
            <wp:anchor distT="0" distB="0" distL="114300" distR="114300" simplePos="0" relativeHeight="251658247" behindDoc="0" locked="0" layoutInCell="0" allowOverlap="1" wp14:anchorId="342847D0" wp14:editId="4A668AF0">
              <wp:simplePos x="0" y="0"/>
              <wp:positionH relativeFrom="page">
                <wp:align>left</wp:align>
              </wp:positionH>
              <wp:positionV relativeFrom="page">
                <wp:align>bottom</wp:align>
              </wp:positionV>
              <wp:extent cx="7772400" cy="463550"/>
              <wp:effectExtent l="0" t="0" r="0"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463550"/>
                      </a:xfrm>
                      <a:prstGeom prst="rect">
                        <a:avLst/>
                      </a:prstGeom>
                      <a:noFill/>
                      <a:ln w="6350">
                        <a:noFill/>
                      </a:ln>
                    </wps:spPr>
                    <wps:txbx>
                      <w:txbxContent>
                        <w:p w14:paraId="648AD35E" w14:textId="78EC1F81" w:rsidR="006E3898" w:rsidRPr="00764024" w:rsidRDefault="00764024" w:rsidP="00764024">
                          <w:pPr>
                            <w:spacing w:before="0" w:after="0"/>
                            <w:rPr>
                              <w:rFonts w:ascii="Calibri" w:hAnsi="Calibri" w:cs="Calibri"/>
                              <w:color w:val="000000"/>
                              <w:sz w:val="22"/>
                            </w:rPr>
                          </w:pPr>
                          <w:r w:rsidRPr="00764024">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42847D0" id="Text Box 43" o:spid="_x0000_s1039" type="#_x0000_t202" style="position:absolute;margin-left:0;margin-top:0;width:612pt;height:36.5pt;z-index:251658247;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" o:allowincell="f" filled="f" stroked="f" strokeweight=".5pt">
              <v:textbox inset="20pt,0,,0">
                <w:txbxContent>
                  <w:p w14:paraId="648AD35E" w14:textId="78EC1F81" w:rsidR="006E3898" w:rsidRPr="00764024" w:rsidRDefault="00764024" w:rsidP="00764024">
                    <w:pPr>
                      <w:spacing w:before="0" w:after="0"/>
                      <w:rPr>
                        <w:rFonts w:ascii="Calibri" w:hAnsi="Calibri" w:cs="Calibri"/>
                        <w:color w:val="000000"/>
                        <w:sz w:val="22"/>
                      </w:rPr>
                    </w:pPr>
                    <w:r w:rsidRPr="00764024">
                      <w:rPr>
                        <w:rFonts w:ascii="Calibri" w:hAnsi="Calibri" w:cs="Calibri"/>
                        <w:color w:val="000000"/>
                        <w:sz w:val="22"/>
                      </w:rPr>
                      <w:t>OFFICIAL</w:t>
                    </w:r>
                  </w:p>
                </w:txbxContent>
              </v:textbox>
              <w10:wrap anchorx="page" anchory="page"/>
            </v:shape>
          </w:pict>
        </mc:Fallback>
      </mc:AlternateContent>
    </w:r>
    <w:r>
      <w:rPr>
        <w:noProof/>
      </w:rPr>
      <mc:AlternateContent>
        <mc:Choice Requires="wps">
          <w:drawing>
            <wp:anchor distT="0" distB="0" distL="114300" distR="114300" simplePos="0" relativeHeight="251658245" behindDoc="0" locked="0" layoutInCell="0" allowOverlap="1" wp14:anchorId="2323E0C7" wp14:editId="2BCE0B0D">
              <wp:simplePos x="0" y="0"/>
              <wp:positionH relativeFrom="page">
                <wp:align>left</wp:align>
              </wp:positionH>
              <wp:positionV relativeFrom="page">
                <wp:align>bottom</wp:align>
              </wp:positionV>
              <wp:extent cx="7772400" cy="463550"/>
              <wp:effectExtent l="0" t="0"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463550"/>
                      </a:xfrm>
                      <a:prstGeom prst="rect">
                        <a:avLst/>
                      </a:prstGeom>
                      <a:noFill/>
                      <a:ln w="6350">
                        <a:noFill/>
                      </a:ln>
                    </wps:spPr>
                    <wps:txbx>
                      <w:txbxContent>
                        <w:p w14:paraId="3E252A6C" w14:textId="296743BE" w:rsidR="00A545BA" w:rsidRPr="00F50F7E" w:rsidRDefault="00F50F7E" w:rsidP="00F50F7E">
                          <w:pPr>
                            <w:spacing w:before="0" w:after="0"/>
                            <w:rPr>
                              <w:rFonts w:ascii="Calibri" w:hAnsi="Calibri" w:cs="Calibri"/>
                              <w:color w:val="000000"/>
                              <w:sz w:val="22"/>
                            </w:rPr>
                          </w:pPr>
                          <w:r w:rsidRPr="00F50F7E">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323E0C7" id="_x0000_s1040" type="#_x0000_t202" style="position:absolute;margin-left:0;margin-top:0;width:612pt;height:36.5pt;z-index:251658245;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" o:allowincell="f" filled="f" stroked="f" strokeweight=".5pt">
              <v:textbox inset="20pt,0,,0">
                <w:txbxContent>
                  <w:p w14:paraId="3E252A6C" w14:textId="296743BE" w:rsidR="00A545BA" w:rsidRPr="00F50F7E" w:rsidRDefault="00F50F7E" w:rsidP="00F50F7E">
                    <w:pPr>
                      <w:spacing w:before="0" w:after="0"/>
                      <w:rPr>
                        <w:rFonts w:ascii="Calibri" w:hAnsi="Calibri" w:cs="Calibri"/>
                        <w:color w:val="000000"/>
                        <w:sz w:val="22"/>
                      </w:rPr>
                    </w:pPr>
                    <w:r w:rsidRPr="00F50F7E">
                      <w:rPr>
                        <w:rFonts w:ascii="Calibri" w:hAnsi="Calibri" w:cs="Calibri"/>
                        <w:color w:val="000000"/>
                        <w:sz w:val="22"/>
                      </w:rPr>
                      <w:t>OFFICIAL</w:t>
                    </w:r>
                  </w:p>
                </w:txbxContent>
              </v:textbox>
              <w10:wrap anchorx="page" anchory="page"/>
            </v:shape>
          </w:pict>
        </mc:Fallback>
      </mc:AlternateContent>
    </w:r>
    <w:r>
      <w:rPr>
        <w:noProof/>
      </w:rPr>
      <mc:AlternateContent>
        <mc:Choice Requires="wps">
          <w:drawing>
            <wp:anchor distT="0" distB="0" distL="114300" distR="114300" simplePos="0" relativeHeight="251658243" behindDoc="0" locked="0" layoutInCell="0" allowOverlap="1" wp14:anchorId="04D9046F" wp14:editId="036A160C">
              <wp:simplePos x="0" y="0"/>
              <wp:positionH relativeFrom="page">
                <wp:align>left</wp:align>
              </wp:positionH>
              <wp:positionV relativeFrom="page">
                <wp:align>bottom</wp:align>
              </wp:positionV>
              <wp:extent cx="7772400" cy="463550"/>
              <wp:effectExtent l="0" t="0" r="0"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463550"/>
                      </a:xfrm>
                      <a:prstGeom prst="rect">
                        <a:avLst/>
                      </a:prstGeom>
                      <a:noFill/>
                      <a:ln w="6350">
                        <a:noFill/>
                      </a:ln>
                    </wps:spPr>
                    <wps:txbx>
                      <w:txbxContent>
                        <w:p w14:paraId="216228A7" w14:textId="567397CF" w:rsidR="00A545BA" w:rsidRPr="00F50F7E" w:rsidRDefault="00F50F7E" w:rsidP="00F50F7E">
                          <w:pPr>
                            <w:spacing w:before="0" w:after="0"/>
                            <w:rPr>
                              <w:rFonts w:ascii="Calibri" w:hAnsi="Calibri" w:cs="Calibri"/>
                              <w:color w:val="000000"/>
                              <w:sz w:val="22"/>
                            </w:rPr>
                          </w:pPr>
                          <w:r w:rsidRPr="00F50F7E">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4D9046F" id="_x0000_s1041" type="#_x0000_t202" style="position:absolute;margin-left:0;margin-top:0;width:612pt;height:36.5pt;z-index:251658243;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" o:allowincell="f" filled="f" stroked="f" strokeweight=".5pt">
              <v:textbox inset="20pt,0,,0">
                <w:txbxContent>
                  <w:p w14:paraId="216228A7" w14:textId="567397CF" w:rsidR="00A545BA" w:rsidRPr="00F50F7E" w:rsidRDefault="00F50F7E" w:rsidP="00F50F7E">
                    <w:pPr>
                      <w:spacing w:before="0" w:after="0"/>
                      <w:rPr>
                        <w:rFonts w:ascii="Calibri" w:hAnsi="Calibri" w:cs="Calibri"/>
                        <w:color w:val="000000"/>
                        <w:sz w:val="22"/>
                      </w:rPr>
                    </w:pPr>
                    <w:r w:rsidRPr="00F50F7E">
                      <w:rPr>
                        <w:rFonts w:ascii="Calibri" w:hAnsi="Calibri" w:cs="Calibri"/>
                        <w:color w:val="000000"/>
                        <w:sz w:val="22"/>
                      </w:rPr>
                      <w:t>OFFICIAL</w:t>
                    </w:r>
                  </w:p>
                </w:txbxContent>
              </v:textbox>
              <w10:wrap anchorx="page" anchory="page"/>
            </v:shape>
          </w:pict>
        </mc:Fallback>
      </mc:AlternateContent>
    </w:r>
    <w:fldSimple w:instr="STYLEREF  Title  \* MERGEFORMAT">
      <w:r w:rsidR="00676CBC">
        <w:rPr>
          <w:noProof/>
        </w:rPr>
        <w:t>Tier 2 Model Financial Report for Victorian public sector entities</w:t>
      </w:r>
    </w:fldSimple>
    <w:r w:rsidR="00A545BA" w:rsidRPr="00394ED6">
      <w:tab/>
    </w:r>
    <w:r w:rsidR="00A545BA" w:rsidRPr="00394ED6">
      <w:fldChar w:fldCharType="begin"/>
    </w:r>
    <w:r w:rsidR="00A545BA" w:rsidRPr="00394ED6">
      <w:instrText xml:space="preserve"> PAGE   \* MERGEFORMAT </w:instrText>
    </w:r>
    <w:r w:rsidR="00A545BA" w:rsidRPr="00394ED6">
      <w:fldChar w:fldCharType="separate"/>
    </w:r>
    <w:r w:rsidR="00A545BA" w:rsidRPr="00394ED6">
      <w:t>7</w:t>
    </w:r>
    <w:r w:rsidR="00A545BA" w:rsidRPr="00394ED6">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208A4" w14:textId="454B410A" w:rsidR="00A545BA" w:rsidRDefault="006B79AA">
    <w:pPr>
      <w:pStyle w:val="Footer"/>
    </w:pPr>
    <w:r>
      <w:rPr>
        <w:noProof/>
      </w:rPr>
      <mc:AlternateContent>
        <mc:Choice Requires="wps">
          <w:drawing>
            <wp:anchor distT="0" distB="0" distL="114300" distR="114300" simplePos="0" relativeHeight="251658258" behindDoc="0" locked="0" layoutInCell="0" allowOverlap="1" wp14:anchorId="5B54CC0D" wp14:editId="45F59C88">
              <wp:simplePos x="0" y="0"/>
              <wp:positionH relativeFrom="page">
                <wp:align>left</wp:align>
              </wp:positionH>
              <wp:positionV relativeFrom="page">
                <wp:align>bottom</wp:align>
              </wp:positionV>
              <wp:extent cx="7772400" cy="463550"/>
              <wp:effectExtent l="0" t="0" r="0" b="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463550"/>
                      </a:xfrm>
                      <a:prstGeom prst="rect">
                        <a:avLst/>
                      </a:prstGeom>
                      <a:noFill/>
                      <a:ln w="6350">
                        <a:noFill/>
                      </a:ln>
                    </wps:spPr>
                    <wps:txbx>
                      <w:txbxContent>
                        <w:p w14:paraId="3A7C5F21" w14:textId="6502B630" w:rsidR="00A72378" w:rsidRPr="000B2686" w:rsidRDefault="000B2686" w:rsidP="000B2686">
                          <w:pPr>
                            <w:spacing w:before="0" w:after="0"/>
                            <w:rPr>
                              <w:rFonts w:ascii="Calibri" w:hAnsi="Calibri" w:cs="Calibri"/>
                              <w:color w:val="000000"/>
                              <w:sz w:val="22"/>
                            </w:rPr>
                          </w:pPr>
                          <w:r w:rsidRPr="000B2686">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B54CC0D" id="_x0000_t202" coordsize="21600,21600" o:spt="202" path="m,l,21600r21600,l21600,xe">
              <v:stroke joinstyle="miter"/>
              <v:path gradientshapeok="t" o:connecttype="rect"/>
            </v:shapetype>
            <v:shape id="Text Box 40" o:spid="_x0000_s1043" type="#_x0000_t202" style="position:absolute;margin-left:0;margin-top:0;width:612pt;height:36.5pt;z-index:251658258;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" o:allowincell="f" filled="f" stroked="f" strokeweight=".5pt">
              <v:textbox inset="20pt,0,,0">
                <w:txbxContent>
                  <w:p w14:paraId="3A7C5F21" w14:textId="6502B630" w:rsidR="00A72378" w:rsidRPr="000B2686" w:rsidRDefault="000B2686" w:rsidP="000B2686">
                    <w:pPr>
                      <w:spacing w:before="0" w:after="0"/>
                      <w:rPr>
                        <w:rFonts w:ascii="Calibri" w:hAnsi="Calibri" w:cs="Calibri"/>
                        <w:color w:val="000000"/>
                        <w:sz w:val="22"/>
                      </w:rPr>
                    </w:pPr>
                    <w:r w:rsidRPr="000B2686">
                      <w:rPr>
                        <w:rFonts w:ascii="Calibri" w:hAnsi="Calibri" w:cs="Calibri"/>
                        <w:color w:val="000000"/>
                        <w:sz w:val="22"/>
                      </w:rPr>
                      <w:t>OFFICIAL</w:t>
                    </w:r>
                  </w:p>
                </w:txbxContent>
              </v:textbox>
              <w10:wrap anchorx="page" anchory="page"/>
            </v:shape>
          </w:pict>
        </mc:Fallback>
      </mc:AlternateContent>
    </w:r>
    <w:r>
      <w:rPr>
        <w:noProof/>
      </w:rPr>
      <mc:AlternateContent>
        <mc:Choice Requires="wps">
          <w:drawing>
            <wp:anchor distT="0" distB="0" distL="114300" distR="114300" simplePos="0" relativeHeight="251658254" behindDoc="0" locked="0" layoutInCell="0" allowOverlap="1" wp14:anchorId="529342C3" wp14:editId="15981AFF">
              <wp:simplePos x="0" y="0"/>
              <wp:positionH relativeFrom="page">
                <wp:align>left</wp:align>
              </wp:positionH>
              <wp:positionV relativeFrom="page">
                <wp:align>bottom</wp:align>
              </wp:positionV>
              <wp:extent cx="7772400" cy="463550"/>
              <wp:effectExtent l="0" t="0" r="0" b="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463550"/>
                      </a:xfrm>
                      <a:prstGeom prst="rect">
                        <a:avLst/>
                      </a:prstGeom>
                      <a:noFill/>
                      <a:ln w="6350">
                        <a:noFill/>
                      </a:ln>
                    </wps:spPr>
                    <wps:txbx>
                      <w:txbxContent>
                        <w:p w14:paraId="026F8F54" w14:textId="3E2F4538" w:rsidR="002672D1" w:rsidRPr="00641B5C" w:rsidRDefault="00641B5C" w:rsidP="00641B5C">
                          <w:pPr>
                            <w:spacing w:before="0" w:after="0"/>
                            <w:rPr>
                              <w:rFonts w:ascii="Calibri" w:hAnsi="Calibri" w:cs="Calibri"/>
                              <w:color w:val="000000"/>
                              <w:sz w:val="22"/>
                            </w:rPr>
                          </w:pPr>
                          <w:r w:rsidRPr="00641B5C">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29342C3" id="Text Box 39" o:spid="_x0000_s1044" type="#_x0000_t202" style="position:absolute;margin-left:0;margin-top:0;width:612pt;height:36.5pt;z-index:25165825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" o:allowincell="f" filled="f" stroked="f" strokeweight=".5pt">
              <v:textbox inset="20pt,0,,0">
                <w:txbxContent>
                  <w:p w14:paraId="026F8F54" w14:textId="3E2F4538" w:rsidR="002672D1" w:rsidRPr="00641B5C" w:rsidRDefault="00641B5C" w:rsidP="00641B5C">
                    <w:pPr>
                      <w:spacing w:before="0" w:after="0"/>
                      <w:rPr>
                        <w:rFonts w:ascii="Calibri" w:hAnsi="Calibri" w:cs="Calibri"/>
                        <w:color w:val="000000"/>
                        <w:sz w:val="22"/>
                      </w:rPr>
                    </w:pPr>
                    <w:r w:rsidRPr="00641B5C">
                      <w:rPr>
                        <w:rFonts w:ascii="Calibri" w:hAnsi="Calibri" w:cs="Calibri"/>
                        <w:color w:val="000000"/>
                        <w:sz w:val="22"/>
                      </w:rPr>
                      <w:t>OFFICIAL</w:t>
                    </w:r>
                  </w:p>
                </w:txbxContent>
              </v:textbox>
              <w10:wrap anchorx="page" anchory="page"/>
            </v:shape>
          </w:pict>
        </mc:Fallback>
      </mc:AlternateContent>
    </w:r>
    <w:r>
      <w:rPr>
        <w:noProof/>
      </w:rPr>
      <mc:AlternateContent>
        <mc:Choice Requires="wps">
          <w:drawing>
            <wp:anchor distT="0" distB="0" distL="114300" distR="114300" simplePos="0" relativeHeight="251658248" behindDoc="0" locked="0" layoutInCell="0" allowOverlap="1" wp14:anchorId="138FD172" wp14:editId="1EBA21A4">
              <wp:simplePos x="0" y="0"/>
              <wp:positionH relativeFrom="page">
                <wp:align>left</wp:align>
              </wp:positionH>
              <wp:positionV relativeFrom="page">
                <wp:align>bottom</wp:align>
              </wp:positionV>
              <wp:extent cx="7772400" cy="463550"/>
              <wp:effectExtent l="0" t="0" r="0" b="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463550"/>
                      </a:xfrm>
                      <a:prstGeom prst="rect">
                        <a:avLst/>
                      </a:prstGeom>
                      <a:noFill/>
                      <a:ln w="6350">
                        <a:noFill/>
                      </a:ln>
                    </wps:spPr>
                    <wps:txbx>
                      <w:txbxContent>
                        <w:p w14:paraId="3A6EABF9" w14:textId="57B0716F" w:rsidR="006E3898" w:rsidRPr="00764024" w:rsidRDefault="00764024" w:rsidP="00764024">
                          <w:pPr>
                            <w:spacing w:before="0" w:after="0"/>
                            <w:rPr>
                              <w:rFonts w:ascii="Calibri" w:hAnsi="Calibri" w:cs="Calibri"/>
                              <w:color w:val="000000"/>
                              <w:sz w:val="22"/>
                            </w:rPr>
                          </w:pPr>
                          <w:r w:rsidRPr="00764024">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38FD172" id="Text Box 38" o:spid="_x0000_s1045" type="#_x0000_t202" style="position:absolute;margin-left:0;margin-top:0;width:612pt;height:36.5pt;z-index:251658248;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" o:allowincell="f" filled="f" stroked="f" strokeweight=".5pt">
              <v:textbox inset="20pt,0,,0">
                <w:txbxContent>
                  <w:p w14:paraId="3A6EABF9" w14:textId="57B0716F" w:rsidR="006E3898" w:rsidRPr="00764024" w:rsidRDefault="00764024" w:rsidP="00764024">
                    <w:pPr>
                      <w:spacing w:before="0" w:after="0"/>
                      <w:rPr>
                        <w:rFonts w:ascii="Calibri" w:hAnsi="Calibri" w:cs="Calibri"/>
                        <w:color w:val="000000"/>
                        <w:sz w:val="22"/>
                      </w:rPr>
                    </w:pPr>
                    <w:r w:rsidRPr="00764024">
                      <w:rPr>
                        <w:rFonts w:ascii="Calibri" w:hAnsi="Calibri" w:cs="Calibri"/>
                        <w:color w:val="000000"/>
                        <w:sz w:val="22"/>
                      </w:rPr>
                      <w:t>OFFICIAL</w:t>
                    </w:r>
                  </w:p>
                </w:txbxContent>
              </v:textbox>
              <w10:wrap anchorx="page" anchory="page"/>
            </v:shape>
          </w:pict>
        </mc:Fallback>
      </mc:AlternateContent>
    </w:r>
    <w:r>
      <w:rPr>
        <w:noProof/>
      </w:rPr>
      <mc:AlternateContent>
        <mc:Choice Requires="wps">
          <w:drawing>
            <wp:anchor distT="0" distB="0" distL="114300" distR="114300" simplePos="0" relativeHeight="251658246" behindDoc="0" locked="0" layoutInCell="0" allowOverlap="1" wp14:anchorId="009D8E1E" wp14:editId="3CA66C6B">
              <wp:simplePos x="0" y="0"/>
              <wp:positionH relativeFrom="page">
                <wp:align>left</wp:align>
              </wp:positionH>
              <wp:positionV relativeFrom="page">
                <wp:align>bottom</wp:align>
              </wp:positionV>
              <wp:extent cx="7772400" cy="463550"/>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463550"/>
                      </a:xfrm>
                      <a:prstGeom prst="rect">
                        <a:avLst/>
                      </a:prstGeom>
                      <a:noFill/>
                      <a:ln w="6350">
                        <a:noFill/>
                      </a:ln>
                    </wps:spPr>
                    <wps:txbx>
                      <w:txbxContent>
                        <w:p w14:paraId="6F3E46ED" w14:textId="66F7E913" w:rsidR="00A545BA" w:rsidRPr="00F50F7E" w:rsidRDefault="00F50F7E" w:rsidP="00F50F7E">
                          <w:pPr>
                            <w:spacing w:before="0" w:after="0"/>
                            <w:rPr>
                              <w:rFonts w:ascii="Calibri" w:hAnsi="Calibri" w:cs="Calibri"/>
                              <w:color w:val="000000"/>
                              <w:sz w:val="22"/>
                            </w:rPr>
                          </w:pPr>
                          <w:r w:rsidRPr="00F50F7E">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09D8E1E" id="Text Box 37" o:spid="_x0000_s1046" type="#_x0000_t202" style="position:absolute;margin-left:0;margin-top:0;width:612pt;height:36.5pt;z-index:251658246;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" o:allowincell="f" filled="f" stroked="f" strokeweight=".5pt">
              <v:textbox inset="20pt,0,,0">
                <w:txbxContent>
                  <w:p w14:paraId="6F3E46ED" w14:textId="66F7E913" w:rsidR="00A545BA" w:rsidRPr="00F50F7E" w:rsidRDefault="00F50F7E" w:rsidP="00F50F7E">
                    <w:pPr>
                      <w:spacing w:before="0" w:after="0"/>
                      <w:rPr>
                        <w:rFonts w:ascii="Calibri" w:hAnsi="Calibri" w:cs="Calibri"/>
                        <w:color w:val="000000"/>
                        <w:sz w:val="22"/>
                      </w:rPr>
                    </w:pPr>
                    <w:r w:rsidRPr="00F50F7E">
                      <w:rPr>
                        <w:rFonts w:ascii="Calibri" w:hAnsi="Calibri" w:cs="Calibri"/>
                        <w:color w:val="000000"/>
                        <w:sz w:val="22"/>
                      </w:rPr>
                      <w:t>OFFICIAL</w:t>
                    </w:r>
                  </w:p>
                </w:txbxContent>
              </v:textbox>
              <w10:wrap anchorx="page" anchory="page"/>
            </v:shape>
          </w:pict>
        </mc:Fallback>
      </mc:AlternateContent>
    </w:r>
    <w:fldSimple w:instr="STYLEREF  Title  \* MERGEFORMAT">
      <w:r w:rsidR="00676CBC">
        <w:rPr>
          <w:noProof/>
        </w:rPr>
        <w:t>Tier 2 Model Financial Report for Victorian public sector entities</w:t>
      </w:r>
    </w:fldSimple>
    <w:r w:rsidR="00A545BA" w:rsidRPr="00394ED6">
      <w:tab/>
    </w:r>
    <w:r w:rsidR="00A545BA" w:rsidRPr="00394ED6">
      <w:fldChar w:fldCharType="begin"/>
    </w:r>
    <w:r w:rsidR="00A545BA" w:rsidRPr="00394ED6">
      <w:instrText xml:space="preserve"> PAGE   \* MERGEFORMAT </w:instrText>
    </w:r>
    <w:r w:rsidR="00A545BA" w:rsidRPr="00394ED6">
      <w:fldChar w:fldCharType="separate"/>
    </w:r>
    <w:r w:rsidR="00A545BA">
      <w:t>iii</w:t>
    </w:r>
    <w:r w:rsidR="00A545BA" w:rsidRPr="00394ED6">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D7CD7" w14:textId="61AFC493" w:rsidR="00A545BA" w:rsidRDefault="00A545BA">
    <w:pPr>
      <w:pStyle w:val="Footer"/>
    </w:pPr>
    <w:r>
      <w:fldChar w:fldCharType="begin"/>
    </w:r>
    <w:r>
      <w:instrText xml:space="preserve"> PAGE   \* MERGEFORMAT </w:instrText>
    </w:r>
    <w:r>
      <w:fldChar w:fldCharType="separate"/>
    </w:r>
    <w:r>
      <w:t>10</w:t>
    </w:r>
    <w:r>
      <w:fldChar w:fldCharType="end"/>
    </w:r>
    <w:r>
      <w:tab/>
    </w:r>
    <w:fldSimple w:instr="STYLEREF  Title  \* MERGEFORMAT">
      <w:r w:rsidR="00CA17BE">
        <w:rPr>
          <w:noProof/>
        </w:rPr>
        <w:t>Tier 2 Model Financial Report for Victorian public sector entities</w:t>
      </w:r>
    </w:fldSimple>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01B08" w14:textId="5A971242" w:rsidR="00A545BA" w:rsidRPr="00394ED6" w:rsidRDefault="007237CC" w:rsidP="00394ED6">
    <w:pPr>
      <w:pStyle w:val="Footer"/>
    </w:pPr>
    <w:fldSimple w:instr="STYLEREF  Title  \* MERGEFORMAT">
      <w:r w:rsidR="00CA17BE">
        <w:rPr>
          <w:noProof/>
        </w:rPr>
        <w:t>Tier 2 Model Financial Report for Victorian public sector entities</w:t>
      </w:r>
    </w:fldSimple>
    <w:r w:rsidR="00A545BA" w:rsidRPr="00394ED6">
      <w:tab/>
    </w:r>
    <w:r w:rsidR="00A545BA" w:rsidRPr="00394ED6">
      <w:fldChar w:fldCharType="begin"/>
    </w:r>
    <w:r w:rsidR="00A545BA" w:rsidRPr="00394ED6">
      <w:instrText xml:space="preserve"> PAGE   \* MERGEFORMAT </w:instrText>
    </w:r>
    <w:r w:rsidR="00A545BA" w:rsidRPr="00394ED6">
      <w:fldChar w:fldCharType="separate"/>
    </w:r>
    <w:r w:rsidR="00A545BA" w:rsidRPr="00394ED6">
      <w:t>7</w:t>
    </w:r>
    <w:r w:rsidR="00A545BA" w:rsidRPr="00394ED6">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C7604" w14:textId="61AD2CF5" w:rsidR="009E288C" w:rsidRDefault="009E28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90A24" w14:textId="77777777" w:rsidR="0068312D" w:rsidRDefault="0068312D" w:rsidP="00F51427">
      <w:pPr>
        <w:spacing w:before="0" w:after="0" w:line="240" w:lineRule="auto"/>
      </w:pPr>
      <w:r>
        <w:separator/>
      </w:r>
    </w:p>
  </w:footnote>
  <w:footnote w:type="continuationSeparator" w:id="0">
    <w:p w14:paraId="70D17BAA" w14:textId="77777777" w:rsidR="0068312D" w:rsidRDefault="0068312D" w:rsidP="00F51427">
      <w:pPr>
        <w:spacing w:before="0" w:after="0" w:line="240" w:lineRule="auto"/>
      </w:pPr>
      <w:r>
        <w:continuationSeparator/>
      </w:r>
    </w:p>
  </w:footnote>
  <w:footnote w:type="continuationNotice" w:id="1">
    <w:p w14:paraId="2C4B1B11" w14:textId="77777777" w:rsidR="0068312D" w:rsidRDefault="0068312D">
      <w:pPr>
        <w:spacing w:before="0" w:after="0" w:line="240" w:lineRule="auto"/>
      </w:pPr>
    </w:p>
  </w:footnote>
  <w:footnote w:id="2">
    <w:p w14:paraId="635C9B80" w14:textId="46C1CB31" w:rsidR="00537948" w:rsidRPr="00537948" w:rsidRDefault="00537948">
      <w:pPr>
        <w:pStyle w:val="FootnoteText"/>
      </w:pPr>
      <w:r>
        <w:rPr>
          <w:rStyle w:val="FootnoteReference"/>
        </w:rPr>
        <w:footnoteRef/>
      </w:r>
      <w:r>
        <w:t xml:space="preserve"> </w:t>
      </w:r>
      <w:r w:rsidRPr="00E10CD7">
        <w:t>For external reporting purposes, non-financial physical assets shall be primarily classified by the ‘purpose’ for which the assets are used based upon the Classification of the functions of government (COFOG)</w:t>
      </w:r>
      <w:r w:rsidRPr="00E10CD7">
        <w:rPr>
          <w:rFonts w:eastAsia="SimHei"/>
          <w:lang w:eastAsia="zh-CN"/>
        </w:rPr>
        <w:t xml:space="preserve">. For entities under </w:t>
      </w:r>
      <w:r w:rsidR="00FF0023">
        <w:rPr>
          <w:rFonts w:eastAsia="SimHei"/>
          <w:lang w:eastAsia="zh-CN"/>
        </w:rPr>
        <w:t>the</w:t>
      </w:r>
      <w:r>
        <w:rPr>
          <w:rFonts w:eastAsia="SimHei" w:hint="eastAsia"/>
          <w:lang w:eastAsia="zh-CN"/>
        </w:rPr>
        <w:t xml:space="preserve"> </w:t>
      </w:r>
      <w:r w:rsidRPr="00E10CD7">
        <w:rPr>
          <w:rFonts w:eastAsia="SimHei"/>
          <w:lang w:eastAsia="zh-CN"/>
        </w:rPr>
        <w:t xml:space="preserve">Transport category, Appendix F </w:t>
      </w:r>
      <w:r w:rsidR="0031357C">
        <w:rPr>
          <w:rFonts w:eastAsia="SimHei"/>
          <w:lang w:eastAsia="zh-CN"/>
        </w:rPr>
        <w:t xml:space="preserve">of </w:t>
      </w:r>
      <w:r w:rsidR="0007383E">
        <w:rPr>
          <w:rFonts w:eastAsia="SimHei"/>
          <w:lang w:eastAsia="zh-CN"/>
        </w:rPr>
        <w:t>AASB </w:t>
      </w:r>
      <w:r w:rsidR="0031357C">
        <w:rPr>
          <w:rFonts w:eastAsia="SimHei"/>
          <w:lang w:eastAsia="zh-CN"/>
        </w:rPr>
        <w:t xml:space="preserve">13 </w:t>
      </w:r>
      <w:r w:rsidRPr="00E10CD7">
        <w:rPr>
          <w:rFonts w:eastAsia="SimHei"/>
          <w:lang w:eastAsia="zh-CN"/>
        </w:rPr>
        <w:t xml:space="preserve">applies </w:t>
      </w:r>
      <w:r w:rsidR="0031357C">
        <w:rPr>
          <w:rFonts w:eastAsia="SimHei"/>
          <w:lang w:eastAsia="zh-CN"/>
        </w:rPr>
        <w:t xml:space="preserve">to financial </w:t>
      </w:r>
      <w:r w:rsidRPr="00E10CD7">
        <w:rPr>
          <w:rFonts w:eastAsia="SimHei"/>
          <w:lang w:eastAsia="zh-CN"/>
        </w:rPr>
        <w:t xml:space="preserve">year ending 30 June 2025 </w:t>
      </w:r>
      <w:r w:rsidR="00FF0023">
        <w:rPr>
          <w:rFonts w:eastAsia="SimHei"/>
          <w:lang w:eastAsia="zh-CN"/>
        </w:rPr>
        <w:t>(as part of the scheduled</w:t>
      </w:r>
      <w:r>
        <w:rPr>
          <w:rFonts w:eastAsia="SimHei" w:hint="eastAsia"/>
          <w:lang w:eastAsia="zh-CN"/>
        </w:rPr>
        <w:t xml:space="preserve"> fo</w:t>
      </w:r>
      <w:r>
        <w:rPr>
          <w:rFonts w:eastAsia="SimHei"/>
          <w:lang w:eastAsia="zh-CN"/>
        </w:rPr>
        <w:t>r</w:t>
      </w:r>
      <w:r>
        <w:rPr>
          <w:rFonts w:eastAsia="SimHei" w:hint="eastAsia"/>
          <w:lang w:eastAsia="zh-CN"/>
        </w:rPr>
        <w:t xml:space="preserve">mal </w:t>
      </w:r>
      <w:r w:rsidRPr="00E10CD7">
        <w:rPr>
          <w:rFonts w:eastAsia="SimHei"/>
          <w:lang w:eastAsia="zh-CN"/>
        </w:rPr>
        <w:t xml:space="preserve">revaluation </w:t>
      </w:r>
      <w:r w:rsidR="00FF0023">
        <w:rPr>
          <w:rFonts w:eastAsia="SimHei"/>
          <w:lang w:eastAsia="zh-CN"/>
        </w:rPr>
        <w:t>process)</w:t>
      </w:r>
      <w:r w:rsidR="00B57278">
        <w:rPr>
          <w:rFonts w:eastAsia="SimHei"/>
          <w:lang w:eastAsia="zh-CN"/>
        </w:rPr>
        <w:t>.</w:t>
      </w:r>
    </w:p>
  </w:footnote>
  <w:footnote w:id="3">
    <w:p w14:paraId="018F8045" w14:textId="1BEFD932" w:rsidR="005C24AB" w:rsidRDefault="005C24AB">
      <w:pPr>
        <w:pStyle w:val="FootnoteText"/>
      </w:pPr>
      <w:r w:rsidRPr="001178CE">
        <w:rPr>
          <w:rStyle w:val="FootnoteReference"/>
        </w:rPr>
        <w:footnoteRef/>
      </w:r>
      <w:r w:rsidRPr="001178CE">
        <w:t xml:space="preserve"> </w:t>
      </w:r>
      <w:r w:rsidR="001178CE" w:rsidRPr="001178CE">
        <w:t>For 30 June reporters, the carrying amounts as at 30 June 20X1; for 31 December reporters, the carrying amounts at 31 December 20X1.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FFE3C" w14:textId="31E40712" w:rsidR="009E288C" w:rsidRDefault="009E288C">
    <w:pPr>
      <w:pStyle w:val="Header"/>
    </w:pPr>
    <w:r>
      <w:rPr>
        <w:noProof/>
      </w:rPr>
      <mc:AlternateContent>
        <mc:Choice Requires="wps">
          <w:drawing>
            <wp:anchor distT="0" distB="0" distL="0" distR="0" simplePos="0" relativeHeight="251658261" behindDoc="0" locked="0" layoutInCell="1" allowOverlap="1" wp14:anchorId="13EFFF54" wp14:editId="124FDF77">
              <wp:simplePos x="635" y="635"/>
              <wp:positionH relativeFrom="page">
                <wp:align>center</wp:align>
              </wp:positionH>
              <wp:positionV relativeFrom="page">
                <wp:align>top</wp:align>
              </wp:positionV>
              <wp:extent cx="551815" cy="496570"/>
              <wp:effectExtent l="0" t="0" r="635" b="17780"/>
              <wp:wrapNone/>
              <wp:docPr id="61639751" name="Text Box 4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96570"/>
                      </a:xfrm>
                      <a:prstGeom prst="rect">
                        <a:avLst/>
                      </a:prstGeom>
                      <a:noFill/>
                      <a:ln>
                        <a:noFill/>
                      </a:ln>
                    </wps:spPr>
                    <wps:txbx>
                      <w:txbxContent>
                        <w:p w14:paraId="7A63E767" w14:textId="65B15E71" w:rsidR="009E288C" w:rsidRPr="009E288C" w:rsidRDefault="009E288C" w:rsidP="009E288C">
                          <w:pPr>
                            <w:spacing w:after="0"/>
                            <w:rPr>
                              <w:rFonts w:ascii="Calibri" w:eastAsia="Calibri" w:hAnsi="Calibri" w:cs="Calibri"/>
                              <w:noProof/>
                              <w:color w:val="000000"/>
                              <w:sz w:val="24"/>
                              <w:szCs w:val="24"/>
                            </w:rPr>
                          </w:pPr>
                          <w:r w:rsidRPr="009E288C">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EFFF54" id="_x0000_t202" coordsize="21600,21600" o:spt="202" path="m,l,21600r21600,l21600,xe">
              <v:stroke joinstyle="miter"/>
              <v:path gradientshapeok="t" o:connecttype="rect"/>
            </v:shapetype>
            <v:shape id="Text Box 42" o:spid="_x0000_s1026" type="#_x0000_t202" alt="OFFICIAL" style="position:absolute;margin-left:0;margin-top:0;width:43.45pt;height:39.1pt;z-index:25165826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" filled="f" stroked="f">
              <v:textbox style="mso-fit-shape-to-text:t" inset="0,15pt,0,0">
                <w:txbxContent>
                  <w:p w14:paraId="7A63E767" w14:textId="65B15E71" w:rsidR="009E288C" w:rsidRPr="009E288C" w:rsidRDefault="009E288C" w:rsidP="009E288C">
                    <w:pPr>
                      <w:spacing w:after="0"/>
                      <w:rPr>
                        <w:rFonts w:ascii="Calibri" w:eastAsia="Calibri" w:hAnsi="Calibri" w:cs="Calibri"/>
                        <w:noProof/>
                        <w:color w:val="000000"/>
                        <w:sz w:val="24"/>
                        <w:szCs w:val="24"/>
                      </w:rPr>
                    </w:pPr>
                    <w:r w:rsidRPr="009E288C">
                      <w:rPr>
                        <w:rFonts w:ascii="Calibri" w:eastAsia="Calibri" w:hAnsi="Calibri" w:cs="Calibri"/>
                        <w:noProof/>
                        <w:color w:val="000000"/>
                        <w:sz w:val="24"/>
                        <w:szCs w:val="24"/>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AF114" w14:textId="08178F62" w:rsidR="00FF47D4" w:rsidRPr="00631FDA" w:rsidRDefault="00FF47D4" w:rsidP="00631FD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7EF87" w14:textId="195EF0B7" w:rsidR="009E288C" w:rsidRDefault="009E288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57B77" w14:textId="18C8339B" w:rsidR="003A4AB7" w:rsidRPr="00860F91" w:rsidRDefault="003A4AB7" w:rsidP="003A4AB7">
    <w:pPr>
      <w:pStyle w:val="Header"/>
    </w:pPr>
    <w:r w:rsidRPr="00AD7DA5">
      <w:fldChar w:fldCharType="begin"/>
    </w:r>
    <w:r w:rsidRPr="00AD7DA5">
      <w:instrText xml:space="preserve"> STYLEREF  “</w:instrText>
    </w:r>
    <w:r>
      <w:instrText>Section title</w:instrText>
    </w:r>
    <w:r w:rsidRPr="00AD7DA5">
      <w:instrText xml:space="preserve">”  \* MERGEFORMAT </w:instrText>
    </w:r>
    <w:r w:rsidRPr="00AD7DA5">
      <w:fldChar w:fldCharType="separate"/>
    </w:r>
    <w:r w:rsidR="00CA17BE">
      <w:rPr>
        <w:noProof/>
      </w:rPr>
      <w:t>Technology Victoria – Tier 2 Model Financial Statements</w:t>
    </w:r>
    <w:r w:rsidRPr="00AD7DA5">
      <w:fldChar w:fldCharType="end"/>
    </w:r>
  </w:p>
  <w:p w14:paraId="3AA4A226" w14:textId="77777777" w:rsidR="003A4AB7" w:rsidRDefault="003A4AB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85CF0" w14:textId="61B3731B" w:rsidR="005560B6" w:rsidRPr="00860F91" w:rsidRDefault="005560B6" w:rsidP="00D21D89">
    <w:pPr>
      <w:pStyle w:val="Header"/>
      <w:jc w:val="right"/>
    </w:pPr>
    <w:r w:rsidRPr="00AD7DA5">
      <w:fldChar w:fldCharType="begin"/>
    </w:r>
    <w:r w:rsidRPr="00AD7DA5">
      <w:instrText xml:space="preserve"> STYLEREF  “</w:instrText>
    </w:r>
    <w:r>
      <w:instrText>Section title</w:instrText>
    </w:r>
    <w:r w:rsidRPr="00AD7DA5">
      <w:instrText xml:space="preserve">”  \* MERGEFORMAT </w:instrText>
    </w:r>
    <w:r w:rsidRPr="00AD7DA5">
      <w:fldChar w:fldCharType="separate"/>
    </w:r>
    <w:r w:rsidR="00CA17BE">
      <w:rPr>
        <w:noProof/>
      </w:rPr>
      <w:t>Technology Victoria – Tier 2 Model Financial Statements</w:t>
    </w:r>
    <w:r w:rsidRPr="00AD7DA5">
      <w:fldChar w:fldCharType="end"/>
    </w:r>
  </w:p>
  <w:p w14:paraId="0F8A2BCD" w14:textId="77777777" w:rsidR="005560B6" w:rsidRPr="00631FDA" w:rsidRDefault="005560B6" w:rsidP="00631FD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9DE0E" w14:textId="3254D749" w:rsidR="009E288C" w:rsidRDefault="009E288C">
    <w:pPr>
      <w:pStyle w:val="Header"/>
    </w:pPr>
    <w:r>
      <w:rPr>
        <w:noProof/>
      </w:rPr>
      <mc:AlternateContent>
        <mc:Choice Requires="wps">
          <w:drawing>
            <wp:anchor distT="0" distB="0" distL="0" distR="0" simplePos="0" relativeHeight="251658265" behindDoc="0" locked="0" layoutInCell="1" allowOverlap="1" wp14:anchorId="7BD3D10D" wp14:editId="54E45EB4">
              <wp:simplePos x="635" y="635"/>
              <wp:positionH relativeFrom="page">
                <wp:align>center</wp:align>
              </wp:positionH>
              <wp:positionV relativeFrom="page">
                <wp:align>top</wp:align>
              </wp:positionV>
              <wp:extent cx="551815" cy="496570"/>
              <wp:effectExtent l="0" t="0" r="635" b="17780"/>
              <wp:wrapNone/>
              <wp:docPr id="736976856" name="Text Box 6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96570"/>
                      </a:xfrm>
                      <a:prstGeom prst="rect">
                        <a:avLst/>
                      </a:prstGeom>
                      <a:noFill/>
                      <a:ln>
                        <a:noFill/>
                      </a:ln>
                    </wps:spPr>
                    <wps:txbx>
                      <w:txbxContent>
                        <w:p w14:paraId="298E8F52" w14:textId="5D1CFFB3" w:rsidR="009E288C" w:rsidRPr="009E288C" w:rsidRDefault="009E288C" w:rsidP="009E288C">
                          <w:pPr>
                            <w:spacing w:after="0"/>
                            <w:rPr>
                              <w:rFonts w:ascii="Calibri" w:eastAsia="Calibri" w:hAnsi="Calibri" w:cs="Calibri"/>
                              <w:noProof/>
                              <w:color w:val="000000"/>
                              <w:sz w:val="24"/>
                              <w:szCs w:val="24"/>
                            </w:rPr>
                          </w:pPr>
                          <w:r w:rsidRPr="009E288C">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D3D10D" id="_x0000_t202" coordsize="21600,21600" o:spt="202" path="m,l,21600r21600,l21600,xe">
              <v:stroke joinstyle="miter"/>
              <v:path gradientshapeok="t" o:connecttype="rect"/>
            </v:shapetype>
            <v:shape id="_x0000_s1048" type="#_x0000_t202" alt="OFFICIAL" style="position:absolute;margin-left:0;margin-top:0;width:43.45pt;height:39.1pt;z-index:25165826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" filled="f" stroked="f">
              <v:textbox style="mso-fit-shape-to-text:t" inset="0,15pt,0,0">
                <w:txbxContent>
                  <w:p w14:paraId="298E8F52" w14:textId="5D1CFFB3" w:rsidR="009E288C" w:rsidRPr="009E288C" w:rsidRDefault="009E288C" w:rsidP="009E288C">
                    <w:pPr>
                      <w:spacing w:after="0"/>
                      <w:rPr>
                        <w:rFonts w:ascii="Calibri" w:eastAsia="Calibri" w:hAnsi="Calibri" w:cs="Calibri"/>
                        <w:noProof/>
                        <w:color w:val="000000"/>
                        <w:sz w:val="24"/>
                        <w:szCs w:val="24"/>
                      </w:rPr>
                    </w:pPr>
                    <w:r w:rsidRPr="009E288C">
                      <w:rPr>
                        <w:rFonts w:ascii="Calibri" w:eastAsia="Calibri" w:hAnsi="Calibri" w:cs="Calibri"/>
                        <w:noProof/>
                        <w:color w:val="000000"/>
                        <w:sz w:val="24"/>
                        <w:szCs w:val="24"/>
                      </w:rPr>
                      <w:t>OFFICIAL</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3C16F" w14:textId="673DA01D" w:rsidR="00A545BA" w:rsidRPr="00860F91" w:rsidRDefault="009E288C" w:rsidP="00860F91">
    <w:pPr>
      <w:pStyle w:val="Header"/>
      <w:jc w:val="right"/>
    </w:pPr>
    <w:r>
      <w:rPr>
        <w:noProof/>
      </w:rPr>
      <mc:AlternateContent>
        <mc:Choice Requires="wps">
          <w:drawing>
            <wp:anchor distT="0" distB="0" distL="0" distR="0" simplePos="0" relativeHeight="251658266" behindDoc="0" locked="0" layoutInCell="1" allowOverlap="1" wp14:anchorId="58B28FD0" wp14:editId="025F03D3">
              <wp:simplePos x="635" y="635"/>
              <wp:positionH relativeFrom="page">
                <wp:align>center</wp:align>
              </wp:positionH>
              <wp:positionV relativeFrom="page">
                <wp:align>top</wp:align>
              </wp:positionV>
              <wp:extent cx="551815" cy="496570"/>
              <wp:effectExtent l="0" t="0" r="635" b="17780"/>
              <wp:wrapNone/>
              <wp:docPr id="86292823" name="Text Box 6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96570"/>
                      </a:xfrm>
                      <a:prstGeom prst="rect">
                        <a:avLst/>
                      </a:prstGeom>
                      <a:noFill/>
                      <a:ln>
                        <a:noFill/>
                      </a:ln>
                    </wps:spPr>
                    <wps:txbx>
                      <w:txbxContent>
                        <w:p w14:paraId="71A492BF" w14:textId="519EA791" w:rsidR="009E288C" w:rsidRPr="009E288C" w:rsidRDefault="009E288C" w:rsidP="009E288C">
                          <w:pPr>
                            <w:spacing w:after="0"/>
                            <w:rPr>
                              <w:rFonts w:ascii="Calibri" w:eastAsia="Calibri" w:hAnsi="Calibri" w:cs="Calibri"/>
                              <w:noProof/>
                              <w:color w:val="000000"/>
                              <w:sz w:val="24"/>
                              <w:szCs w:val="24"/>
                            </w:rPr>
                          </w:pPr>
                          <w:r w:rsidRPr="009E288C">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B28FD0" id="_x0000_t202" coordsize="21600,21600" o:spt="202" path="m,l,21600r21600,l21600,xe">
              <v:stroke joinstyle="miter"/>
              <v:path gradientshapeok="t" o:connecttype="rect"/>
            </v:shapetype>
            <v:shape id="_x0000_s1049" type="#_x0000_t202" alt="OFFICIAL" style="position:absolute;left:0;text-align:left;margin-left:0;margin-top:0;width:43.45pt;height:39.1pt;z-index:25165826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" filled="f" stroked="f">
              <v:textbox style="mso-fit-shape-to-text:t" inset="0,15pt,0,0">
                <w:txbxContent>
                  <w:p w14:paraId="71A492BF" w14:textId="519EA791" w:rsidR="009E288C" w:rsidRPr="009E288C" w:rsidRDefault="009E288C" w:rsidP="009E288C">
                    <w:pPr>
                      <w:spacing w:after="0"/>
                      <w:rPr>
                        <w:rFonts w:ascii="Calibri" w:eastAsia="Calibri" w:hAnsi="Calibri" w:cs="Calibri"/>
                        <w:noProof/>
                        <w:color w:val="000000"/>
                        <w:sz w:val="24"/>
                        <w:szCs w:val="24"/>
                      </w:rPr>
                    </w:pPr>
                    <w:r w:rsidRPr="009E288C">
                      <w:rPr>
                        <w:rFonts w:ascii="Calibri" w:eastAsia="Calibri" w:hAnsi="Calibri" w:cs="Calibri"/>
                        <w:noProof/>
                        <w:color w:val="000000"/>
                        <w:sz w:val="24"/>
                        <w:szCs w:val="24"/>
                      </w:rPr>
                      <w:t>OFFICIAL</w:t>
                    </w:r>
                  </w:p>
                </w:txbxContent>
              </v:textbox>
              <w10:wrap anchorx="page" anchory="page"/>
            </v:shape>
          </w:pict>
        </mc:Fallback>
      </mc:AlternateContent>
    </w:r>
    <w:r w:rsidR="00705C8B" w:rsidRPr="00860F91">
      <w:fldChar w:fldCharType="begin"/>
    </w:r>
    <w:r w:rsidR="00705C8B" w:rsidRPr="00860F91">
      <w:instrText xml:space="preserve"> STYLEREF  </w:instrText>
    </w:r>
    <w:r w:rsidR="00AD7DA5">
      <w:instrText>“HEADING 1 numbered”</w:instrText>
    </w:r>
    <w:r w:rsidR="00705C8B" w:rsidRPr="00860F91">
      <w:instrText xml:space="preserve"> \n  \* MERGEFORMAT </w:instrText>
    </w:r>
    <w:r w:rsidR="00705C8B" w:rsidRPr="00860F91">
      <w:fldChar w:fldCharType="separate"/>
    </w:r>
    <w:r w:rsidR="00676CBC">
      <w:rPr>
        <w:noProof/>
      </w:rPr>
      <w:t>1</w:t>
    </w:r>
    <w:r w:rsidR="00705C8B" w:rsidRPr="00860F91">
      <w:fldChar w:fldCharType="end"/>
    </w:r>
    <w:r w:rsidR="00A545BA" w:rsidRPr="00860F91">
      <w:t xml:space="preserve">. </w:t>
    </w:r>
    <w:r w:rsidR="00705C8B" w:rsidRPr="00860F91">
      <w:fldChar w:fldCharType="begin"/>
    </w:r>
    <w:r w:rsidR="00705C8B" w:rsidRPr="00860F91">
      <w:instrText xml:space="preserve"> STYLEREF  </w:instrText>
    </w:r>
    <w:r w:rsidR="00AD7DA5">
      <w:instrText>“HEADING 1 numbered”</w:instrText>
    </w:r>
    <w:r w:rsidR="00705C8B" w:rsidRPr="00860F91">
      <w:instrText xml:space="preserve">  \* MERGEFORMAT </w:instrText>
    </w:r>
    <w:r w:rsidR="00705C8B" w:rsidRPr="00860F91">
      <w:fldChar w:fldCharType="separate"/>
    </w:r>
    <w:r w:rsidR="00676CBC">
      <w:rPr>
        <w:noProof/>
      </w:rPr>
      <w:t>ABOUT THIS REPORT</w:t>
    </w:r>
    <w:r w:rsidR="00705C8B" w:rsidRPr="00860F91">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C9771" w14:textId="50DAC43A" w:rsidR="00FF47D4" w:rsidRDefault="00FF47D4">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2744E" w14:textId="65A851EF" w:rsidR="003C2ADC" w:rsidRPr="00860F91" w:rsidRDefault="003C2ADC" w:rsidP="00860F91">
    <w:pPr>
      <w:pStyle w:val="Header"/>
    </w:pPr>
    <w:r w:rsidRPr="00AD7DA5">
      <w:fldChar w:fldCharType="begin"/>
    </w:r>
    <w:r w:rsidRPr="00AD7DA5">
      <w:instrText xml:space="preserve"> STYLEREF  </w:instrText>
    </w:r>
    <w:r w:rsidR="00AD7DA5" w:rsidRPr="00AD7DA5">
      <w:instrText>“HEADING 1 numbered”</w:instrText>
    </w:r>
    <w:r w:rsidRPr="00AD7DA5">
      <w:instrText xml:space="preserve"> \n  \* MERGEFORMAT </w:instrText>
    </w:r>
    <w:r w:rsidRPr="00AD7DA5">
      <w:fldChar w:fldCharType="separate"/>
    </w:r>
    <w:r w:rsidR="00CA17BE">
      <w:rPr>
        <w:noProof/>
      </w:rPr>
      <w:t>1</w:t>
    </w:r>
    <w:r w:rsidRPr="00AD7DA5">
      <w:fldChar w:fldCharType="end"/>
    </w:r>
    <w:r w:rsidRPr="00AD7DA5">
      <w:t xml:space="preserve">. </w:t>
    </w:r>
    <w:r w:rsidRPr="00AD7DA5">
      <w:fldChar w:fldCharType="begin"/>
    </w:r>
    <w:r w:rsidRPr="00AD7DA5">
      <w:instrText xml:space="preserve"> STYLEREF  </w:instrText>
    </w:r>
    <w:r w:rsidR="00AD7DA5" w:rsidRPr="00AD7DA5">
      <w:instrText>“HEADING 1 numbered”</w:instrText>
    </w:r>
    <w:r w:rsidRPr="00AD7DA5">
      <w:instrText xml:space="preserve">  \* MERGEFORMAT </w:instrText>
    </w:r>
    <w:r w:rsidRPr="00AD7DA5">
      <w:fldChar w:fldCharType="separate"/>
    </w:r>
    <w:r w:rsidR="00CA17BE">
      <w:rPr>
        <w:noProof/>
      </w:rPr>
      <w:t>ABOUT THIS REPORT</w:t>
    </w:r>
    <w:r w:rsidRPr="00AD7DA5">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C14F8" w14:textId="1889BC21" w:rsidR="009E288C" w:rsidRDefault="009E288C">
    <w:pPr>
      <w:pStyle w:val="Header"/>
    </w:pPr>
    <w:r>
      <w:rPr>
        <w:noProof/>
      </w:rPr>
      <mc:AlternateContent>
        <mc:Choice Requires="wps">
          <w:drawing>
            <wp:anchor distT="0" distB="0" distL="0" distR="0" simplePos="0" relativeHeight="251658268" behindDoc="0" locked="0" layoutInCell="1" allowOverlap="1" wp14:anchorId="7702FD00" wp14:editId="7E55608B">
              <wp:simplePos x="635" y="635"/>
              <wp:positionH relativeFrom="page">
                <wp:align>center</wp:align>
              </wp:positionH>
              <wp:positionV relativeFrom="page">
                <wp:align>top</wp:align>
              </wp:positionV>
              <wp:extent cx="551815" cy="496570"/>
              <wp:effectExtent l="0" t="0" r="635" b="17780"/>
              <wp:wrapNone/>
              <wp:docPr id="81825833" name="Text Box 6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96570"/>
                      </a:xfrm>
                      <a:prstGeom prst="rect">
                        <a:avLst/>
                      </a:prstGeom>
                      <a:noFill/>
                      <a:ln>
                        <a:noFill/>
                      </a:ln>
                    </wps:spPr>
                    <wps:txbx>
                      <w:txbxContent>
                        <w:p w14:paraId="0ADE2A27" w14:textId="0803E0AE" w:rsidR="009E288C" w:rsidRPr="009E288C" w:rsidRDefault="009E288C" w:rsidP="009E288C">
                          <w:pPr>
                            <w:spacing w:after="0"/>
                            <w:rPr>
                              <w:rFonts w:ascii="Calibri" w:eastAsia="Calibri" w:hAnsi="Calibri" w:cs="Calibri"/>
                              <w:noProof/>
                              <w:color w:val="000000"/>
                              <w:sz w:val="24"/>
                              <w:szCs w:val="24"/>
                            </w:rPr>
                          </w:pPr>
                          <w:r w:rsidRPr="009E288C">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02FD00" id="_x0000_t202" coordsize="21600,21600" o:spt="202" path="m,l,21600r21600,l21600,xe">
              <v:stroke joinstyle="miter"/>
              <v:path gradientshapeok="t" o:connecttype="rect"/>
            </v:shapetype>
            <v:shape id="Text Box 64" o:spid="_x0000_s1051" type="#_x0000_t202" alt="OFFICIAL" style="position:absolute;margin-left:0;margin-top:0;width:43.45pt;height:39.1pt;z-index:2516582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" filled="f" stroked="f">
              <v:textbox style="mso-fit-shape-to-text:t" inset="0,15pt,0,0">
                <w:txbxContent>
                  <w:p w14:paraId="0ADE2A27" w14:textId="0803E0AE" w:rsidR="009E288C" w:rsidRPr="009E288C" w:rsidRDefault="009E288C" w:rsidP="009E288C">
                    <w:pPr>
                      <w:spacing w:after="0"/>
                      <w:rPr>
                        <w:rFonts w:ascii="Calibri" w:eastAsia="Calibri" w:hAnsi="Calibri" w:cs="Calibri"/>
                        <w:noProof/>
                        <w:color w:val="000000"/>
                        <w:sz w:val="24"/>
                        <w:szCs w:val="24"/>
                      </w:rPr>
                    </w:pPr>
                    <w:r w:rsidRPr="009E288C">
                      <w:rPr>
                        <w:rFonts w:ascii="Calibri" w:eastAsia="Calibri" w:hAnsi="Calibri" w:cs="Calibri"/>
                        <w:noProof/>
                        <w:color w:val="000000"/>
                        <w:sz w:val="24"/>
                        <w:szCs w:val="24"/>
                      </w:rPr>
                      <w:t>OFFICIAL</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D97D9" w14:textId="756143E6" w:rsidR="009E288C" w:rsidRDefault="009E288C">
    <w:pPr>
      <w:pStyle w:val="Header"/>
    </w:pPr>
    <w:r>
      <w:rPr>
        <w:noProof/>
      </w:rPr>
      <mc:AlternateContent>
        <mc:Choice Requires="wps">
          <w:drawing>
            <wp:anchor distT="0" distB="0" distL="0" distR="0" simplePos="0" relativeHeight="251658267" behindDoc="0" locked="0" layoutInCell="1" allowOverlap="1" wp14:anchorId="2F76C40B" wp14:editId="3C46A01E">
              <wp:simplePos x="635" y="635"/>
              <wp:positionH relativeFrom="page">
                <wp:align>center</wp:align>
              </wp:positionH>
              <wp:positionV relativeFrom="page">
                <wp:align>top</wp:align>
              </wp:positionV>
              <wp:extent cx="551815" cy="496570"/>
              <wp:effectExtent l="0" t="0" r="635" b="17780"/>
              <wp:wrapNone/>
              <wp:docPr id="1377516983" name="Text Box 6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96570"/>
                      </a:xfrm>
                      <a:prstGeom prst="rect">
                        <a:avLst/>
                      </a:prstGeom>
                      <a:noFill/>
                      <a:ln>
                        <a:noFill/>
                      </a:ln>
                    </wps:spPr>
                    <wps:txbx>
                      <w:txbxContent>
                        <w:p w14:paraId="3F4C088B" w14:textId="62F09B0E" w:rsidR="009E288C" w:rsidRPr="009E288C" w:rsidRDefault="009E288C" w:rsidP="009E288C">
                          <w:pPr>
                            <w:spacing w:after="0"/>
                            <w:rPr>
                              <w:rFonts w:ascii="Calibri" w:eastAsia="Calibri" w:hAnsi="Calibri" w:cs="Calibri"/>
                              <w:noProof/>
                              <w:color w:val="000000"/>
                              <w:sz w:val="24"/>
                              <w:szCs w:val="24"/>
                            </w:rPr>
                          </w:pPr>
                          <w:r w:rsidRPr="009E288C">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76C40B" id="_x0000_t202" coordsize="21600,21600" o:spt="202" path="m,l,21600r21600,l21600,xe">
              <v:stroke joinstyle="miter"/>
              <v:path gradientshapeok="t" o:connecttype="rect"/>
            </v:shapetype>
            <v:shape id="Text Box 62" o:spid="_x0000_s1052" type="#_x0000_t202" alt="OFFICIAL" style="position:absolute;margin-left:0;margin-top:0;width:43.45pt;height:39.1pt;z-index:25165826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" filled="f" stroked="f">
              <v:textbox style="mso-fit-shape-to-text:t" inset="0,15pt,0,0">
                <w:txbxContent>
                  <w:p w14:paraId="3F4C088B" w14:textId="62F09B0E" w:rsidR="009E288C" w:rsidRPr="009E288C" w:rsidRDefault="009E288C" w:rsidP="009E288C">
                    <w:pPr>
                      <w:spacing w:after="0"/>
                      <w:rPr>
                        <w:rFonts w:ascii="Calibri" w:eastAsia="Calibri" w:hAnsi="Calibri" w:cs="Calibri"/>
                        <w:noProof/>
                        <w:color w:val="000000"/>
                        <w:sz w:val="24"/>
                        <w:szCs w:val="24"/>
                      </w:rPr>
                    </w:pPr>
                    <w:r w:rsidRPr="009E288C">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54A32" w14:textId="7B5F38B7" w:rsidR="00A545BA" w:rsidRDefault="006B79AA" w:rsidP="007D536F">
    <w:pPr>
      <w:pStyle w:val="Header"/>
    </w:pPr>
    <w:r>
      <w:rPr>
        <w:noProof/>
      </w:rPr>
      <mc:AlternateContent>
        <mc:Choice Requires="wpg">
          <w:drawing>
            <wp:anchor distT="0" distB="0" distL="114300" distR="114300" simplePos="0" relativeHeight="251658242" behindDoc="1" locked="1" layoutInCell="1" allowOverlap="1" wp14:anchorId="76618185" wp14:editId="75CEEDFF">
              <wp:simplePos x="0" y="0"/>
              <wp:positionH relativeFrom="page">
                <wp:posOffset>-19050</wp:posOffset>
              </wp:positionH>
              <wp:positionV relativeFrom="page">
                <wp:posOffset>1110615</wp:posOffset>
              </wp:positionV>
              <wp:extent cx="7077075" cy="7292340"/>
              <wp:effectExtent l="0" t="5715" r="0" b="7620"/>
              <wp:wrapNone/>
              <wp:docPr id="62" name="Group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7075" cy="7292340"/>
                        <a:chOff x="9144" y="9096"/>
                        <a:chExt cx="52970" cy="54490"/>
                      </a:xfrm>
                    </wpg:grpSpPr>
                    <wps:wsp>
                      <wps:cNvPr id="63" name="Freeform: Shape 21"/>
                      <wps:cNvSpPr>
                        <a:spLocks/>
                      </wps:cNvSpPr>
                      <wps:spPr bwMode="auto">
                        <a:xfrm>
                          <a:off x="9239" y="9096"/>
                          <a:ext cx="50108" cy="54453"/>
                        </a:xfrm>
                        <a:custGeom>
                          <a:avLst/>
                          <a:gdLst>
                            <a:gd name="T0" fmla="*/ 5010817 w 5010816"/>
                            <a:gd name="T1" fmla="*/ 0 h 5445251"/>
                            <a:gd name="T2" fmla="*/ 943165 w 5010816"/>
                            <a:gd name="T3" fmla="*/ 0 h 5445251"/>
                            <a:gd name="T4" fmla="*/ 0 w 5010816"/>
                            <a:gd name="T5" fmla="*/ 1995297 h 5445251"/>
                            <a:gd name="T6" fmla="*/ 0 w 5010816"/>
                            <a:gd name="T7" fmla="*/ 5445252 h 5445251"/>
                            <a:gd name="T8" fmla="*/ 2436876 w 5010816"/>
                            <a:gd name="T9" fmla="*/ 5445252 h 54452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010816" h="5445251">
                              <a:moveTo>
                                <a:pt x="5010817" y="0"/>
                              </a:moveTo>
                              <a:lnTo>
                                <a:pt x="943165" y="0"/>
                              </a:lnTo>
                              <a:lnTo>
                                <a:pt x="0" y="1995297"/>
                              </a:lnTo>
                              <a:lnTo>
                                <a:pt x="0" y="5445252"/>
                              </a:lnTo>
                              <a:lnTo>
                                <a:pt x="2436876" y="5445252"/>
                              </a:lnTo>
                              <a:lnTo>
                                <a:pt x="5010817" y="0"/>
                              </a:lnTo>
                              <a:close/>
                            </a:path>
                          </a:pathLst>
                        </a:custGeom>
                        <a:solidFill>
                          <a:srgbClr val="232B3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wps:wsp>
                      <wps:cNvPr id="512" name="Freeform: Shape 22"/>
                      <wps:cNvSpPr>
                        <a:spLocks/>
                      </wps:cNvSpPr>
                      <wps:spPr bwMode="auto">
                        <a:xfrm>
                          <a:off x="9239" y="21423"/>
                          <a:ext cx="52875" cy="42163"/>
                        </a:xfrm>
                        <a:custGeom>
                          <a:avLst/>
                          <a:gdLst>
                            <a:gd name="T0" fmla="*/ 5287518 w 5287517"/>
                            <a:gd name="T1" fmla="*/ 4216337 h 4216336"/>
                            <a:gd name="T2" fmla="*/ 3294507 w 5287517"/>
                            <a:gd name="T3" fmla="*/ 0 h 4216336"/>
                            <a:gd name="T4" fmla="*/ 0 w 5287517"/>
                            <a:gd name="T5" fmla="*/ 0 h 4216336"/>
                            <a:gd name="T6" fmla="*/ 0 w 5287517"/>
                            <a:gd name="T7" fmla="*/ 4216337 h 421633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287517" h="4216336">
                              <a:moveTo>
                                <a:pt x="5287518" y="4216337"/>
                              </a:moveTo>
                              <a:lnTo>
                                <a:pt x="3294507" y="0"/>
                              </a:lnTo>
                              <a:lnTo>
                                <a:pt x="0" y="0"/>
                              </a:lnTo>
                              <a:lnTo>
                                <a:pt x="0" y="4216337"/>
                              </a:lnTo>
                              <a:lnTo>
                                <a:pt x="5287518" y="4216337"/>
                              </a:lnTo>
                              <a:close/>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wps:wsp>
                      <wps:cNvPr id="513" name="Freeform: Shape 23"/>
                      <wps:cNvSpPr>
                        <a:spLocks/>
                      </wps:cNvSpPr>
                      <wps:spPr bwMode="auto">
                        <a:xfrm>
                          <a:off x="9144" y="14682"/>
                          <a:ext cx="38612" cy="41109"/>
                        </a:xfrm>
                        <a:custGeom>
                          <a:avLst/>
                          <a:gdLst>
                            <a:gd name="T0" fmla="*/ 0 w 3861244"/>
                            <a:gd name="T1" fmla="*/ 0 h 4110894"/>
                            <a:gd name="T2" fmla="*/ 0 w 3861244"/>
                            <a:gd name="T3" fmla="*/ 2650712 h 4110894"/>
                            <a:gd name="T4" fmla="*/ 690182 w 3861244"/>
                            <a:gd name="T5" fmla="*/ 4110895 h 4110894"/>
                            <a:gd name="T6" fmla="*/ 3861245 w 3861244"/>
                            <a:gd name="T7" fmla="*/ 4110895 h 4110894"/>
                            <a:gd name="T8" fmla="*/ 3861245 w 3861244"/>
                            <a:gd name="T9" fmla="*/ 0 h 4110894"/>
                            <a:gd name="T10" fmla="*/ 0 w 3861244"/>
                            <a:gd name="T11" fmla="*/ 0 h 4110894"/>
                            <a:gd name="T12" fmla="*/ 3590925 w 3861244"/>
                            <a:gd name="T13" fmla="*/ 3055144 h 4110894"/>
                            <a:gd name="T14" fmla="*/ 3038475 w 3861244"/>
                            <a:gd name="T15" fmla="*/ 3055144 h 4110894"/>
                            <a:gd name="T16" fmla="*/ 3038475 w 3861244"/>
                            <a:gd name="T17" fmla="*/ 3026569 h 4110894"/>
                            <a:gd name="T18" fmla="*/ 3590925 w 3861244"/>
                            <a:gd name="T19" fmla="*/ 3026569 h 4110894"/>
                            <a:gd name="T20" fmla="*/ 3590925 w 3861244"/>
                            <a:gd name="T21" fmla="*/ 3055144 h 4110894"/>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3861244" h="4110894">
                              <a:moveTo>
                                <a:pt x="0" y="0"/>
                              </a:moveTo>
                              <a:lnTo>
                                <a:pt x="0" y="2650712"/>
                              </a:lnTo>
                              <a:lnTo>
                                <a:pt x="690182" y="4110895"/>
                              </a:lnTo>
                              <a:lnTo>
                                <a:pt x="3861245" y="4110895"/>
                              </a:lnTo>
                              <a:lnTo>
                                <a:pt x="3861245" y="0"/>
                              </a:lnTo>
                              <a:lnTo>
                                <a:pt x="0" y="0"/>
                              </a:lnTo>
                              <a:close/>
                              <a:moveTo>
                                <a:pt x="3590925" y="3055144"/>
                              </a:moveTo>
                              <a:lnTo>
                                <a:pt x="3038475" y="3055144"/>
                              </a:lnTo>
                              <a:lnTo>
                                <a:pt x="3038475" y="3026569"/>
                              </a:lnTo>
                              <a:lnTo>
                                <a:pt x="3590925" y="3026569"/>
                              </a:lnTo>
                              <a:lnTo>
                                <a:pt x="3590925" y="3055144"/>
                              </a:lnTo>
                              <a:close/>
                            </a:path>
                          </a:pathLst>
                        </a:cu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dec="http://schemas.microsoft.com/office/drawing/2017/decorative" xmlns:a="http://schemas.openxmlformats.org/drawingml/2006/main">
          <w:pict w14:anchorId="0C30CC8D">
            <v:group id="Group 20" style="position:absolute;margin-left:-1.5pt;margin-top:87.45pt;width:557.25pt;height:574.2pt;z-index:-251658238;mso-position-horizontal-relative:page;mso-position-vertical-relative:page;mso-width-relative:margin;mso-height-relative:margin" alt="&quot;&quot;" coordsize="52970,54490" coordorigin="9144,9096" o:spid="_x0000_s1026" w14:anchorId="452BF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">
              <v:shape id="Freeform: Shape 21" style="position:absolute;left:9239;top:9096;width:50108;height:54453;visibility:visible;mso-wrap-style:square;v-text-anchor:middle" coordsize="5010816,5445251" o:spid="_x0000_s1027" fillcolor="#232b39" stroked="f" path="m5010817,l943165,,,1995297,,5445252r2436876,l50108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">
                <v:stroke joinstyle="miter"/>
                <v:path arrowok="t" o:connecttype="custom" o:connectlocs="50108,0;9432,0;0,19953;0,54453;24369,54453" o:connectangles="0,0,0,0,0"/>
              </v:shape>
              <v:shape id="Freeform: Shape 22" style="position:absolute;left:9239;top:21423;width:52875;height:42163;visibility:visible;mso-wrap-style:square;v-text-anchor:middle" coordsize="5287517,4216336" o:spid="_x0000_s1028" fillcolor="#4472c4 [3204]" stroked="f" path="m5287518,4216337l3294507,,,,,4216337r52875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">
                <v:stroke joinstyle="miter"/>
                <v:path arrowok="t" o:connecttype="custom" o:connectlocs="52875,42163;32945,0;0,0;0,42163" o:connectangles="0,0,0,0"/>
              </v:shape>
              <v:shape id="Freeform: Shape 23" style="position:absolute;left:9144;top:14682;width:38612;height:41109;visibility:visible;mso-wrap-style:square;v-text-anchor:middle" coordsize="3861244,4110894" o:spid="_x0000_s1029" stroked="f" path="m,l,2650712,690182,4110895r3171063,l3861245,,,xm3590925,3055144r-552450,l3038475,3026569r552450,l3590925,30551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">
                <v:stroke joinstyle="miter"/>
                <v:path arrowok="t" o:connecttype="custom" o:connectlocs="0,0;0,26507;6902,41109;38612,41109;38612,0;0,0;35909,30551;30384,30551;30384,30266;35909,30266;35909,30551" o:connectangles="0,0,0,0,0,0,0,0,0,0,0"/>
              </v:shape>
              <w10:wrap anchorx="page" anchory="page"/>
              <w10:anchorlock/>
            </v:group>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7A33C" w14:textId="528CFEFA" w:rsidR="009E288C" w:rsidRDefault="009E288C">
    <w:pPr>
      <w:pStyle w:val="Header"/>
    </w:pPr>
    <w:r>
      <w:rPr>
        <w:noProof/>
      </w:rPr>
      <mc:AlternateContent>
        <mc:Choice Requires="wps">
          <w:drawing>
            <wp:anchor distT="0" distB="0" distL="0" distR="0" simplePos="0" relativeHeight="251658269" behindDoc="0" locked="0" layoutInCell="1" allowOverlap="1" wp14:anchorId="061E9324" wp14:editId="676293C1">
              <wp:simplePos x="635" y="635"/>
              <wp:positionH relativeFrom="page">
                <wp:align>center</wp:align>
              </wp:positionH>
              <wp:positionV relativeFrom="page">
                <wp:align>top</wp:align>
              </wp:positionV>
              <wp:extent cx="551815" cy="496570"/>
              <wp:effectExtent l="0" t="0" r="635" b="17780"/>
              <wp:wrapNone/>
              <wp:docPr id="254556713" name="Text Box 6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96570"/>
                      </a:xfrm>
                      <a:prstGeom prst="rect">
                        <a:avLst/>
                      </a:prstGeom>
                      <a:noFill/>
                      <a:ln>
                        <a:noFill/>
                      </a:ln>
                    </wps:spPr>
                    <wps:txbx>
                      <w:txbxContent>
                        <w:p w14:paraId="58C27B5F" w14:textId="3803C354" w:rsidR="009E288C" w:rsidRPr="009E288C" w:rsidRDefault="009E288C" w:rsidP="009E288C">
                          <w:pPr>
                            <w:spacing w:after="0"/>
                            <w:rPr>
                              <w:rFonts w:ascii="Calibri" w:eastAsia="Calibri" w:hAnsi="Calibri" w:cs="Calibri"/>
                              <w:noProof/>
                              <w:color w:val="000000"/>
                              <w:sz w:val="24"/>
                              <w:szCs w:val="24"/>
                            </w:rPr>
                          </w:pPr>
                          <w:r w:rsidRPr="009E288C">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1E9324" id="_x0000_t202" coordsize="21600,21600" o:spt="202" path="m,l,21600r21600,l21600,xe">
              <v:stroke joinstyle="miter"/>
              <v:path gradientshapeok="t" o:connecttype="rect"/>
            </v:shapetype>
            <v:shape id="Text Box 66" o:spid="_x0000_s1053" type="#_x0000_t202" alt="OFFICIAL" style="position:absolute;margin-left:0;margin-top:0;width:43.45pt;height:39.1pt;z-index:25165826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" filled="f" stroked="f">
              <v:textbox style="mso-fit-shape-to-text:t" inset="0,15pt,0,0">
                <w:txbxContent>
                  <w:p w14:paraId="58C27B5F" w14:textId="3803C354" w:rsidR="009E288C" w:rsidRPr="009E288C" w:rsidRDefault="009E288C" w:rsidP="009E288C">
                    <w:pPr>
                      <w:spacing w:after="0"/>
                      <w:rPr>
                        <w:rFonts w:ascii="Calibri" w:eastAsia="Calibri" w:hAnsi="Calibri" w:cs="Calibri"/>
                        <w:noProof/>
                        <w:color w:val="000000"/>
                        <w:sz w:val="24"/>
                        <w:szCs w:val="24"/>
                      </w:rPr>
                    </w:pPr>
                    <w:r w:rsidRPr="009E288C">
                      <w:rPr>
                        <w:rFonts w:ascii="Calibri" w:eastAsia="Calibri" w:hAnsi="Calibri" w:cs="Calibri"/>
                        <w:noProof/>
                        <w:color w:val="000000"/>
                        <w:sz w:val="24"/>
                        <w:szCs w:val="24"/>
                      </w:rPr>
                      <w:t>OFFICIAL</w:t>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C6CDA" w14:textId="469E07BD" w:rsidR="009E288C" w:rsidRDefault="009E288C">
    <w:pPr>
      <w:pStyle w:val="Header"/>
    </w:pPr>
    <w:r>
      <w:rPr>
        <w:noProof/>
      </w:rPr>
      <mc:AlternateContent>
        <mc:Choice Requires="wps">
          <w:drawing>
            <wp:anchor distT="0" distB="0" distL="0" distR="0" simplePos="0" relativeHeight="251658270" behindDoc="0" locked="0" layoutInCell="1" allowOverlap="1" wp14:anchorId="379BC0B7" wp14:editId="445BD218">
              <wp:simplePos x="635" y="635"/>
              <wp:positionH relativeFrom="page">
                <wp:align>center</wp:align>
              </wp:positionH>
              <wp:positionV relativeFrom="page">
                <wp:align>top</wp:align>
              </wp:positionV>
              <wp:extent cx="551815" cy="496570"/>
              <wp:effectExtent l="0" t="0" r="635" b="17780"/>
              <wp:wrapNone/>
              <wp:docPr id="1883384654" name="Text Box 6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96570"/>
                      </a:xfrm>
                      <a:prstGeom prst="rect">
                        <a:avLst/>
                      </a:prstGeom>
                      <a:noFill/>
                      <a:ln>
                        <a:noFill/>
                      </a:ln>
                    </wps:spPr>
                    <wps:txbx>
                      <w:txbxContent>
                        <w:p w14:paraId="67BE5A0A" w14:textId="0C911896" w:rsidR="009E288C" w:rsidRPr="009E288C" w:rsidRDefault="009E288C" w:rsidP="009E288C">
                          <w:pPr>
                            <w:spacing w:after="0"/>
                            <w:rPr>
                              <w:rFonts w:ascii="Calibri" w:eastAsia="Calibri" w:hAnsi="Calibri" w:cs="Calibri"/>
                              <w:noProof/>
                              <w:color w:val="000000"/>
                              <w:sz w:val="24"/>
                              <w:szCs w:val="24"/>
                            </w:rPr>
                          </w:pPr>
                          <w:r w:rsidRPr="009E288C">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9BC0B7" id="_x0000_t202" coordsize="21600,21600" o:spt="202" path="m,l,21600r21600,l21600,xe">
              <v:stroke joinstyle="miter"/>
              <v:path gradientshapeok="t" o:connecttype="rect"/>
            </v:shapetype>
            <v:shape id="Text Box 67" o:spid="_x0000_s1054" type="#_x0000_t202" alt="OFFICIAL" style="position:absolute;margin-left:0;margin-top:0;width:43.45pt;height:39.1pt;z-index:25165827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" filled="f" stroked="f">
              <v:textbox style="mso-fit-shape-to-text:t" inset="0,15pt,0,0">
                <w:txbxContent>
                  <w:p w14:paraId="67BE5A0A" w14:textId="0C911896" w:rsidR="009E288C" w:rsidRPr="009E288C" w:rsidRDefault="009E288C" w:rsidP="009E288C">
                    <w:pPr>
                      <w:spacing w:after="0"/>
                      <w:rPr>
                        <w:rFonts w:ascii="Calibri" w:eastAsia="Calibri" w:hAnsi="Calibri" w:cs="Calibri"/>
                        <w:noProof/>
                        <w:color w:val="000000"/>
                        <w:sz w:val="24"/>
                        <w:szCs w:val="24"/>
                      </w:rPr>
                    </w:pPr>
                    <w:r w:rsidRPr="009E288C">
                      <w:rPr>
                        <w:rFonts w:ascii="Calibri" w:eastAsia="Calibri" w:hAnsi="Calibri" w:cs="Calibri"/>
                        <w:noProof/>
                        <w:color w:val="000000"/>
                        <w:sz w:val="24"/>
                        <w:szCs w:val="24"/>
                      </w:rPr>
                      <w:t>OFFICIAL</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FE158" w14:textId="6C32FD6D" w:rsidR="009E288C" w:rsidRDefault="009E288C">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B746D" w14:textId="18F79496" w:rsidR="00A545BA" w:rsidRPr="00860F91" w:rsidRDefault="00705C8B" w:rsidP="00860F91">
    <w:pPr>
      <w:pStyle w:val="Header"/>
    </w:pPr>
    <w:r w:rsidRPr="00AD7DA5">
      <w:fldChar w:fldCharType="begin"/>
    </w:r>
    <w:r w:rsidRPr="00AD7DA5">
      <w:instrText xml:space="preserve"> STYLEREF  </w:instrText>
    </w:r>
    <w:r w:rsidR="00AD7DA5" w:rsidRPr="00AD7DA5">
      <w:instrText>“HEADING 1 numbered”</w:instrText>
    </w:r>
    <w:r w:rsidRPr="00AD7DA5">
      <w:instrText xml:space="preserve"> \n  \* MERGEFORMAT </w:instrText>
    </w:r>
    <w:r w:rsidRPr="00AD7DA5">
      <w:fldChar w:fldCharType="separate"/>
    </w:r>
    <w:r w:rsidR="00CA17BE">
      <w:rPr>
        <w:noProof/>
      </w:rPr>
      <w:t>2</w:t>
    </w:r>
    <w:r w:rsidRPr="00AD7DA5">
      <w:fldChar w:fldCharType="end"/>
    </w:r>
    <w:r w:rsidR="00A545BA" w:rsidRPr="00AD7DA5">
      <w:t xml:space="preserve">. </w:t>
    </w:r>
    <w:r w:rsidRPr="00AD7DA5">
      <w:fldChar w:fldCharType="begin"/>
    </w:r>
    <w:r w:rsidRPr="00AD7DA5">
      <w:instrText xml:space="preserve"> STYLEREF  </w:instrText>
    </w:r>
    <w:r w:rsidR="00AD7DA5" w:rsidRPr="00AD7DA5">
      <w:instrText>“HEADING 1 numbered”</w:instrText>
    </w:r>
    <w:r w:rsidRPr="00AD7DA5">
      <w:instrText xml:space="preserve">  \* MERGEFORMAT </w:instrText>
    </w:r>
    <w:r w:rsidRPr="00AD7DA5">
      <w:fldChar w:fldCharType="separate"/>
    </w:r>
    <w:r w:rsidR="00CA17BE">
      <w:rPr>
        <w:noProof/>
      </w:rPr>
      <w:t>FUNDING DELIVERY OF OUR SERVICES</w:t>
    </w:r>
    <w:r w:rsidRPr="00AD7DA5">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A7256" w14:textId="356C6327" w:rsidR="00A545BA" w:rsidRPr="00860F91" w:rsidRDefault="00705C8B" w:rsidP="00860F91">
    <w:pPr>
      <w:pStyle w:val="Header"/>
      <w:jc w:val="right"/>
    </w:pPr>
    <w:r w:rsidRPr="00AD7DA5">
      <w:fldChar w:fldCharType="begin"/>
    </w:r>
    <w:r w:rsidRPr="00AD7DA5">
      <w:instrText xml:space="preserve"> STYLEREF  </w:instrText>
    </w:r>
    <w:r w:rsidR="00AD7DA5" w:rsidRPr="00AD7DA5">
      <w:instrText>“HEADING 1 numbered”</w:instrText>
    </w:r>
    <w:r w:rsidRPr="00AD7DA5">
      <w:instrText xml:space="preserve"> \n  \* MERGEFORMAT </w:instrText>
    </w:r>
    <w:r w:rsidRPr="00AD7DA5">
      <w:fldChar w:fldCharType="separate"/>
    </w:r>
    <w:r w:rsidR="00CA17BE">
      <w:rPr>
        <w:noProof/>
      </w:rPr>
      <w:t>2</w:t>
    </w:r>
    <w:r w:rsidRPr="00AD7DA5">
      <w:fldChar w:fldCharType="end"/>
    </w:r>
    <w:r w:rsidR="00A545BA" w:rsidRPr="00AD7DA5">
      <w:t xml:space="preserve">. </w:t>
    </w:r>
    <w:r w:rsidRPr="00AD7DA5">
      <w:fldChar w:fldCharType="begin"/>
    </w:r>
    <w:r w:rsidRPr="00AD7DA5">
      <w:instrText xml:space="preserve"> STYLEREF  </w:instrText>
    </w:r>
    <w:r w:rsidR="00AD7DA5" w:rsidRPr="00AD7DA5">
      <w:instrText>“HEADING 1 numbered”</w:instrText>
    </w:r>
    <w:r w:rsidRPr="00AD7DA5">
      <w:instrText xml:space="preserve">  \* MERGEFORMAT </w:instrText>
    </w:r>
    <w:r w:rsidRPr="00AD7DA5">
      <w:fldChar w:fldCharType="separate"/>
    </w:r>
    <w:r w:rsidR="00CA17BE">
      <w:rPr>
        <w:noProof/>
      </w:rPr>
      <w:t>FUNDING DELIVERY OF OUR SERVICES</w:t>
    </w:r>
    <w:r w:rsidRPr="00AD7DA5">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B7B58" w14:textId="54418372" w:rsidR="00A545BA" w:rsidRPr="0021384F" w:rsidRDefault="009E288C" w:rsidP="00462796">
    <w:pPr>
      <w:pStyle w:val="Header"/>
      <w:jc w:val="right"/>
    </w:pPr>
    <w:r>
      <w:rPr>
        <w:noProof/>
      </w:rPr>
      <mc:AlternateContent>
        <mc:Choice Requires="wps">
          <w:drawing>
            <wp:anchor distT="0" distB="0" distL="0" distR="0" simplePos="0" relativeHeight="251658271" behindDoc="0" locked="0" layoutInCell="1" allowOverlap="1" wp14:anchorId="7CF48DF4" wp14:editId="307E3506">
              <wp:simplePos x="635" y="635"/>
              <wp:positionH relativeFrom="page">
                <wp:align>center</wp:align>
              </wp:positionH>
              <wp:positionV relativeFrom="page">
                <wp:align>top</wp:align>
              </wp:positionV>
              <wp:extent cx="551815" cy="496570"/>
              <wp:effectExtent l="0" t="0" r="635" b="17780"/>
              <wp:wrapNone/>
              <wp:docPr id="1660313964" name="Text Box 6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96570"/>
                      </a:xfrm>
                      <a:prstGeom prst="rect">
                        <a:avLst/>
                      </a:prstGeom>
                      <a:noFill/>
                      <a:ln>
                        <a:noFill/>
                      </a:ln>
                    </wps:spPr>
                    <wps:txbx>
                      <w:txbxContent>
                        <w:p w14:paraId="52B033A3" w14:textId="4CB9E415" w:rsidR="009E288C" w:rsidRPr="009E288C" w:rsidRDefault="009E288C" w:rsidP="009E288C">
                          <w:pPr>
                            <w:spacing w:after="0"/>
                            <w:rPr>
                              <w:rFonts w:ascii="Calibri" w:eastAsia="Calibri" w:hAnsi="Calibri" w:cs="Calibri"/>
                              <w:noProof/>
                              <w:color w:val="000000"/>
                              <w:sz w:val="24"/>
                              <w:szCs w:val="24"/>
                            </w:rPr>
                          </w:pPr>
                          <w:r w:rsidRPr="009E288C">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F48DF4" id="_x0000_t202" coordsize="21600,21600" o:spt="202" path="m,l,21600r21600,l21600,xe">
              <v:stroke joinstyle="miter"/>
              <v:path gradientshapeok="t" o:connecttype="rect"/>
            </v:shapetype>
            <v:shape id="Text Box 68" o:spid="_x0000_s1055" type="#_x0000_t202" alt="OFFICIAL" style="position:absolute;left:0;text-align:left;margin-left:0;margin-top:0;width:43.45pt;height:39.1pt;z-index:25165827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" filled="f" stroked="f">
              <v:textbox style="mso-fit-shape-to-text:t" inset="0,15pt,0,0">
                <w:txbxContent>
                  <w:p w14:paraId="52B033A3" w14:textId="4CB9E415" w:rsidR="009E288C" w:rsidRPr="009E288C" w:rsidRDefault="009E288C" w:rsidP="009E288C">
                    <w:pPr>
                      <w:spacing w:after="0"/>
                      <w:rPr>
                        <w:rFonts w:ascii="Calibri" w:eastAsia="Calibri" w:hAnsi="Calibri" w:cs="Calibri"/>
                        <w:noProof/>
                        <w:color w:val="000000"/>
                        <w:sz w:val="24"/>
                        <w:szCs w:val="24"/>
                      </w:rPr>
                    </w:pPr>
                    <w:r w:rsidRPr="009E288C">
                      <w:rPr>
                        <w:rFonts w:ascii="Calibri" w:eastAsia="Calibri" w:hAnsi="Calibri" w:cs="Calibri"/>
                        <w:noProof/>
                        <w:color w:val="000000"/>
                        <w:sz w:val="24"/>
                        <w:szCs w:val="24"/>
                      </w:rPr>
                      <w:t>OFFICIAL</w:t>
                    </w:r>
                  </w:p>
                </w:txbxContent>
              </v:textbox>
              <w10:wrap anchorx="page" anchory="page"/>
            </v:shape>
          </w:pict>
        </mc:Fallback>
      </mc:AlternateContent>
    </w:r>
    <w:r w:rsidR="00F37403">
      <w:fldChar w:fldCharType="begin"/>
    </w:r>
    <w:r w:rsidR="00F37403">
      <w:instrText xml:space="preserve"> STYLEREF  </w:instrText>
    </w:r>
    <w:r w:rsidR="00AD7DA5">
      <w:instrText>“HEADING 1 numbered”</w:instrText>
    </w:r>
    <w:r w:rsidR="00F37403">
      <w:instrText xml:space="preserve"> \n  \* MERGEFORMAT </w:instrText>
    </w:r>
    <w:r w:rsidR="00F37403">
      <w:fldChar w:fldCharType="separate"/>
    </w:r>
    <w:r w:rsidR="00676CBC" w:rsidRPr="00676CBC">
      <w:rPr>
        <w:b w:val="0"/>
        <w:bCs/>
        <w:noProof/>
        <w:lang w:val="en-US"/>
      </w:rPr>
      <w:t>2</w:t>
    </w:r>
    <w:r w:rsidR="00F37403">
      <w:fldChar w:fldCharType="end"/>
    </w:r>
    <w:r w:rsidR="00A545BA" w:rsidRPr="0021248D">
      <w:t xml:space="preserve">. </w:t>
    </w:r>
    <w:r w:rsidR="00F37403">
      <w:fldChar w:fldCharType="begin"/>
    </w:r>
    <w:r w:rsidR="00F37403">
      <w:instrText xml:space="preserve"> STYLEREF  </w:instrText>
    </w:r>
    <w:r w:rsidR="00AD7DA5">
      <w:instrText>“HEADING 1 numbered”</w:instrText>
    </w:r>
    <w:r w:rsidR="00F37403">
      <w:instrText xml:space="preserve">  \* MERGEFORMAT </w:instrText>
    </w:r>
    <w:r w:rsidR="00F37403">
      <w:fldChar w:fldCharType="separate"/>
    </w:r>
    <w:r w:rsidR="00676CBC" w:rsidRPr="00676CBC">
      <w:rPr>
        <w:b w:val="0"/>
        <w:bCs/>
        <w:noProof/>
        <w:lang w:val="en-US"/>
      </w:rPr>
      <w:t>FUNDING DELIVERY OF OUR SERVICES</w:t>
    </w:r>
    <w:r w:rsidR="00F37403">
      <w:fldChar w:fldCharType="end"/>
    </w:r>
  </w:p>
  <w:p w14:paraId="6C58D2D6" w14:textId="77777777" w:rsidR="00A545BA" w:rsidRDefault="00A545BA">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DCA5C" w14:textId="70EE86CE" w:rsidR="009E288C" w:rsidRDefault="009E288C">
    <w:pPr>
      <w:pStyle w:val="Header"/>
    </w:pPr>
    <w:r>
      <w:rPr>
        <w:noProof/>
      </w:rPr>
      <mc:AlternateContent>
        <mc:Choice Requires="wps">
          <w:drawing>
            <wp:anchor distT="0" distB="0" distL="0" distR="0" simplePos="0" relativeHeight="251658272" behindDoc="0" locked="0" layoutInCell="1" allowOverlap="1" wp14:anchorId="09B674FD" wp14:editId="12F1E9AF">
              <wp:simplePos x="635" y="635"/>
              <wp:positionH relativeFrom="page">
                <wp:align>center</wp:align>
              </wp:positionH>
              <wp:positionV relativeFrom="page">
                <wp:align>top</wp:align>
              </wp:positionV>
              <wp:extent cx="551815" cy="496570"/>
              <wp:effectExtent l="0" t="0" r="635" b="17780"/>
              <wp:wrapNone/>
              <wp:docPr id="1024486207" name="Text Box 7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96570"/>
                      </a:xfrm>
                      <a:prstGeom prst="rect">
                        <a:avLst/>
                      </a:prstGeom>
                      <a:noFill/>
                      <a:ln>
                        <a:noFill/>
                      </a:ln>
                    </wps:spPr>
                    <wps:txbx>
                      <w:txbxContent>
                        <w:p w14:paraId="16080F7E" w14:textId="4E470CD2" w:rsidR="009E288C" w:rsidRPr="009E288C" w:rsidRDefault="009E288C" w:rsidP="009E288C">
                          <w:pPr>
                            <w:spacing w:after="0"/>
                            <w:rPr>
                              <w:rFonts w:ascii="Calibri" w:eastAsia="Calibri" w:hAnsi="Calibri" w:cs="Calibri"/>
                              <w:noProof/>
                              <w:color w:val="000000"/>
                              <w:sz w:val="24"/>
                              <w:szCs w:val="24"/>
                            </w:rPr>
                          </w:pPr>
                          <w:r w:rsidRPr="009E288C">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B674FD" id="_x0000_t202" coordsize="21600,21600" o:spt="202" path="m,l,21600r21600,l21600,xe">
              <v:stroke joinstyle="miter"/>
              <v:path gradientshapeok="t" o:connecttype="rect"/>
            </v:shapetype>
            <v:shape id="Text Box 72" o:spid="_x0000_s1056" type="#_x0000_t202" alt="OFFICIAL" style="position:absolute;margin-left:0;margin-top:0;width:43.45pt;height:39.1pt;z-index:2516582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" filled="f" stroked="f">
              <v:textbox style="mso-fit-shape-to-text:t" inset="0,15pt,0,0">
                <w:txbxContent>
                  <w:p w14:paraId="16080F7E" w14:textId="4E470CD2" w:rsidR="009E288C" w:rsidRPr="009E288C" w:rsidRDefault="009E288C" w:rsidP="009E288C">
                    <w:pPr>
                      <w:spacing w:after="0"/>
                      <w:rPr>
                        <w:rFonts w:ascii="Calibri" w:eastAsia="Calibri" w:hAnsi="Calibri" w:cs="Calibri"/>
                        <w:noProof/>
                        <w:color w:val="000000"/>
                        <w:sz w:val="24"/>
                        <w:szCs w:val="24"/>
                      </w:rPr>
                    </w:pPr>
                    <w:r w:rsidRPr="009E288C">
                      <w:rPr>
                        <w:rFonts w:ascii="Calibri" w:eastAsia="Calibri" w:hAnsi="Calibri" w:cs="Calibri"/>
                        <w:noProof/>
                        <w:color w:val="000000"/>
                        <w:sz w:val="24"/>
                        <w:szCs w:val="24"/>
                      </w:rPr>
                      <w:t>OFFICIAL</w:t>
                    </w:r>
                  </w:p>
                </w:txbxContent>
              </v:textbox>
              <w10:wrap anchorx="page" anchory="page"/>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CDDEB" w14:textId="2551A586" w:rsidR="009E288C" w:rsidRDefault="009E288C">
    <w:pPr>
      <w:pStyle w:val="Header"/>
    </w:pPr>
    <w:r>
      <w:rPr>
        <w:noProof/>
      </w:rPr>
      <mc:AlternateContent>
        <mc:Choice Requires="wps">
          <w:drawing>
            <wp:anchor distT="0" distB="0" distL="0" distR="0" simplePos="0" relativeHeight="251658273" behindDoc="0" locked="0" layoutInCell="1" allowOverlap="1" wp14:anchorId="4847D208" wp14:editId="7526A247">
              <wp:simplePos x="635" y="635"/>
              <wp:positionH relativeFrom="page">
                <wp:align>center</wp:align>
              </wp:positionH>
              <wp:positionV relativeFrom="page">
                <wp:align>top</wp:align>
              </wp:positionV>
              <wp:extent cx="551815" cy="496570"/>
              <wp:effectExtent l="0" t="0" r="635" b="17780"/>
              <wp:wrapNone/>
              <wp:docPr id="1300003481" name="Text Box 7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96570"/>
                      </a:xfrm>
                      <a:prstGeom prst="rect">
                        <a:avLst/>
                      </a:prstGeom>
                      <a:noFill/>
                      <a:ln>
                        <a:noFill/>
                      </a:ln>
                    </wps:spPr>
                    <wps:txbx>
                      <w:txbxContent>
                        <w:p w14:paraId="0B2B1CB4" w14:textId="0FF8DEDD" w:rsidR="009E288C" w:rsidRPr="009E288C" w:rsidRDefault="009E288C" w:rsidP="009E288C">
                          <w:pPr>
                            <w:spacing w:after="0"/>
                            <w:rPr>
                              <w:rFonts w:ascii="Calibri" w:eastAsia="Calibri" w:hAnsi="Calibri" w:cs="Calibri"/>
                              <w:noProof/>
                              <w:color w:val="000000"/>
                              <w:sz w:val="24"/>
                              <w:szCs w:val="24"/>
                            </w:rPr>
                          </w:pPr>
                          <w:r w:rsidRPr="009E288C">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47D208" id="_x0000_t202" coordsize="21600,21600" o:spt="202" path="m,l,21600r21600,l21600,xe">
              <v:stroke joinstyle="miter"/>
              <v:path gradientshapeok="t" o:connecttype="rect"/>
            </v:shapetype>
            <v:shape id="Text Box 73" o:spid="_x0000_s1057" type="#_x0000_t202" alt="OFFICIAL" style="position:absolute;margin-left:0;margin-top:0;width:43.45pt;height:39.1pt;z-index:25165827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" filled="f" stroked="f">
              <v:textbox style="mso-fit-shape-to-text:t" inset="0,15pt,0,0">
                <w:txbxContent>
                  <w:p w14:paraId="0B2B1CB4" w14:textId="0FF8DEDD" w:rsidR="009E288C" w:rsidRPr="009E288C" w:rsidRDefault="009E288C" w:rsidP="009E288C">
                    <w:pPr>
                      <w:spacing w:after="0"/>
                      <w:rPr>
                        <w:rFonts w:ascii="Calibri" w:eastAsia="Calibri" w:hAnsi="Calibri" w:cs="Calibri"/>
                        <w:noProof/>
                        <w:color w:val="000000"/>
                        <w:sz w:val="24"/>
                        <w:szCs w:val="24"/>
                      </w:rPr>
                    </w:pPr>
                    <w:r w:rsidRPr="009E288C">
                      <w:rPr>
                        <w:rFonts w:ascii="Calibri" w:eastAsia="Calibri" w:hAnsi="Calibri" w:cs="Calibri"/>
                        <w:noProof/>
                        <w:color w:val="000000"/>
                        <w:sz w:val="24"/>
                        <w:szCs w:val="24"/>
                      </w:rPr>
                      <w:t>OFFICIAL</w:t>
                    </w:r>
                  </w:p>
                </w:txbxContent>
              </v:textbox>
              <w10:wrap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D5428" w14:textId="7DE6042A" w:rsidR="00A545BA" w:rsidRDefault="00A545BA">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92458" w14:textId="1D5D8D92" w:rsidR="00FF47D4" w:rsidRPr="00860F91" w:rsidRDefault="00705C8B" w:rsidP="00E10CD7">
    <w:pPr>
      <w:pStyle w:val="Header"/>
      <w:jc w:val="right"/>
    </w:pPr>
    <w:r w:rsidRPr="00AD7DA5">
      <w:fldChar w:fldCharType="begin"/>
    </w:r>
    <w:r w:rsidRPr="00AD7DA5">
      <w:instrText xml:space="preserve"> STYLEREF  </w:instrText>
    </w:r>
    <w:r w:rsidR="00AD7DA5" w:rsidRPr="00AD7DA5">
      <w:instrText>“HEADING 1 numbered”</w:instrText>
    </w:r>
    <w:r w:rsidRPr="00AD7DA5">
      <w:instrText xml:space="preserve"> \n  \* MERGEFORMAT </w:instrText>
    </w:r>
    <w:r w:rsidRPr="00AD7DA5">
      <w:fldChar w:fldCharType="separate"/>
    </w:r>
    <w:r w:rsidR="00CA17BE">
      <w:rPr>
        <w:noProof/>
      </w:rPr>
      <w:t>3</w:t>
    </w:r>
    <w:r w:rsidRPr="00AD7DA5">
      <w:fldChar w:fldCharType="end"/>
    </w:r>
    <w:r w:rsidR="00D8764A" w:rsidRPr="00AD7DA5">
      <w:t xml:space="preserve">. </w:t>
    </w:r>
    <w:r w:rsidRPr="00AD7DA5">
      <w:fldChar w:fldCharType="begin"/>
    </w:r>
    <w:r w:rsidRPr="00AD7DA5">
      <w:instrText xml:space="preserve"> STYLEREF  </w:instrText>
    </w:r>
    <w:r w:rsidR="00AD7DA5" w:rsidRPr="00AD7DA5">
      <w:instrText>“HEADING 1 numbered”</w:instrText>
    </w:r>
    <w:r w:rsidRPr="00AD7DA5">
      <w:instrText xml:space="preserve">  \* MERGEFORMAT </w:instrText>
    </w:r>
    <w:r w:rsidRPr="00AD7DA5">
      <w:fldChar w:fldCharType="separate"/>
    </w:r>
    <w:r w:rsidR="00CA17BE">
      <w:rPr>
        <w:noProof/>
      </w:rPr>
      <w:t>THE COST OF DELIVERING SERVICES</w:t>
    </w:r>
    <w:r w:rsidRPr="00AD7DA5">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907ED" w14:textId="6255253A" w:rsidR="009E288C" w:rsidRDefault="009E288C">
    <w:pPr>
      <w:pStyle w:val="Header"/>
    </w:pPr>
    <w:r>
      <w:rPr>
        <w:noProof/>
      </w:rPr>
      <mc:AlternateContent>
        <mc:Choice Requires="wps">
          <w:drawing>
            <wp:anchor distT="0" distB="0" distL="0" distR="0" simplePos="0" relativeHeight="251658260" behindDoc="0" locked="0" layoutInCell="1" allowOverlap="1" wp14:anchorId="778203B3" wp14:editId="78293D18">
              <wp:simplePos x="635" y="635"/>
              <wp:positionH relativeFrom="page">
                <wp:align>center</wp:align>
              </wp:positionH>
              <wp:positionV relativeFrom="page">
                <wp:align>top</wp:align>
              </wp:positionV>
              <wp:extent cx="551815" cy="496570"/>
              <wp:effectExtent l="0" t="0" r="635" b="17780"/>
              <wp:wrapNone/>
              <wp:docPr id="1164849865" name="Text Box 4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96570"/>
                      </a:xfrm>
                      <a:prstGeom prst="rect">
                        <a:avLst/>
                      </a:prstGeom>
                      <a:noFill/>
                      <a:ln>
                        <a:noFill/>
                      </a:ln>
                    </wps:spPr>
                    <wps:txbx>
                      <w:txbxContent>
                        <w:p w14:paraId="1C9683FC" w14:textId="5552093A" w:rsidR="009E288C" w:rsidRPr="009E288C" w:rsidRDefault="009E288C" w:rsidP="009E288C">
                          <w:pPr>
                            <w:spacing w:after="0"/>
                            <w:rPr>
                              <w:rFonts w:ascii="Calibri" w:eastAsia="Calibri" w:hAnsi="Calibri" w:cs="Calibri"/>
                              <w:noProof/>
                              <w:color w:val="000000"/>
                              <w:sz w:val="24"/>
                              <w:szCs w:val="24"/>
                            </w:rPr>
                          </w:pPr>
                          <w:r w:rsidRPr="009E288C">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8203B3" id="_x0000_t202" coordsize="21600,21600" o:spt="202" path="m,l,21600r21600,l21600,xe">
              <v:stroke joinstyle="miter"/>
              <v:path gradientshapeok="t" o:connecttype="rect"/>
            </v:shapetype>
            <v:shape id="Text Box 41" o:spid="_x0000_s1031" type="#_x0000_t202" alt="OFFICIAL" style="position:absolute;margin-left:0;margin-top:0;width:43.45pt;height:39.1pt;z-index:2516582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" filled="f" stroked="f">
              <v:textbox style="mso-fit-shape-to-text:t" inset="0,15pt,0,0">
                <w:txbxContent>
                  <w:p w14:paraId="1C9683FC" w14:textId="5552093A" w:rsidR="009E288C" w:rsidRPr="009E288C" w:rsidRDefault="009E288C" w:rsidP="009E288C">
                    <w:pPr>
                      <w:spacing w:after="0"/>
                      <w:rPr>
                        <w:rFonts w:ascii="Calibri" w:eastAsia="Calibri" w:hAnsi="Calibri" w:cs="Calibri"/>
                        <w:noProof/>
                        <w:color w:val="000000"/>
                        <w:sz w:val="24"/>
                        <w:szCs w:val="24"/>
                      </w:rPr>
                    </w:pPr>
                    <w:r w:rsidRPr="009E288C">
                      <w:rPr>
                        <w:rFonts w:ascii="Calibri" w:eastAsia="Calibri" w:hAnsi="Calibri" w:cs="Calibri"/>
                        <w:noProof/>
                        <w:color w:val="000000"/>
                        <w:sz w:val="24"/>
                        <w:szCs w:val="24"/>
                      </w:rPr>
                      <w:t>OFFICIAL</w:t>
                    </w:r>
                  </w:p>
                </w:txbxContent>
              </v:textbox>
              <w10:wrap anchorx="page" anchory="page"/>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BD29C" w14:textId="1A85F8AD" w:rsidR="009E288C" w:rsidRDefault="007237CC">
    <w:pPr>
      <w:pStyle w:val="Header"/>
    </w:pPr>
    <w:fldSimple w:instr="STYLEREF  “HEADING 1 numbered” \n  \* MERGEFORMAT">
      <w:r w:rsidR="00CA17BE">
        <w:rPr>
          <w:noProof/>
        </w:rPr>
        <w:t>3</w:t>
      </w:r>
    </w:fldSimple>
    <w:r w:rsidR="00E60980" w:rsidRPr="00AD7DA5">
      <w:t xml:space="preserve">. </w:t>
    </w:r>
    <w:fldSimple w:instr="STYLEREF  “HEADING 1 numbered”  \* MERGEFORMAT">
      <w:r w:rsidR="00CA17BE">
        <w:rPr>
          <w:noProof/>
        </w:rPr>
        <w:t>THE COST OF DELIVERING SERVICES</w:t>
      </w:r>
    </w:fldSimple>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C47DE" w14:textId="556AC862" w:rsidR="009E288C" w:rsidRDefault="009E288C">
    <w:pPr>
      <w:pStyle w:val="Header"/>
    </w:pPr>
    <w:r>
      <w:rPr>
        <w:noProof/>
      </w:rPr>
      <mc:AlternateContent>
        <mc:Choice Requires="wps">
          <w:drawing>
            <wp:anchor distT="0" distB="0" distL="0" distR="0" simplePos="0" relativeHeight="251658274" behindDoc="0" locked="0" layoutInCell="1" allowOverlap="1" wp14:anchorId="7C962ED1" wp14:editId="659B8FC4">
              <wp:simplePos x="635" y="635"/>
              <wp:positionH relativeFrom="page">
                <wp:align>center</wp:align>
              </wp:positionH>
              <wp:positionV relativeFrom="page">
                <wp:align>top</wp:align>
              </wp:positionV>
              <wp:extent cx="551815" cy="496570"/>
              <wp:effectExtent l="0" t="0" r="635" b="17780"/>
              <wp:wrapNone/>
              <wp:docPr id="570299574" name="Text Box 7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96570"/>
                      </a:xfrm>
                      <a:prstGeom prst="rect">
                        <a:avLst/>
                      </a:prstGeom>
                      <a:noFill/>
                      <a:ln>
                        <a:noFill/>
                      </a:ln>
                    </wps:spPr>
                    <wps:txbx>
                      <w:txbxContent>
                        <w:p w14:paraId="34736395" w14:textId="49C01AED" w:rsidR="009E288C" w:rsidRPr="009E288C" w:rsidRDefault="009E288C" w:rsidP="009E288C">
                          <w:pPr>
                            <w:spacing w:after="0"/>
                            <w:rPr>
                              <w:rFonts w:ascii="Calibri" w:eastAsia="Calibri" w:hAnsi="Calibri" w:cs="Calibri"/>
                              <w:noProof/>
                              <w:color w:val="000000"/>
                              <w:sz w:val="24"/>
                              <w:szCs w:val="24"/>
                            </w:rPr>
                          </w:pPr>
                          <w:r w:rsidRPr="009E288C">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962ED1" id="_x0000_t202" coordsize="21600,21600" o:spt="202" path="m,l,21600r21600,l21600,xe">
              <v:stroke joinstyle="miter"/>
              <v:path gradientshapeok="t" o:connecttype="rect"/>
            </v:shapetype>
            <v:shape id="Text Box 74" o:spid="_x0000_s1058" type="#_x0000_t202" alt="OFFICIAL" style="position:absolute;margin-left:0;margin-top:0;width:43.45pt;height:39.1pt;z-index:25165827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" filled="f" stroked="f">
              <v:textbox style="mso-fit-shape-to-text:t" inset="0,15pt,0,0">
                <w:txbxContent>
                  <w:p w14:paraId="34736395" w14:textId="49C01AED" w:rsidR="009E288C" w:rsidRPr="009E288C" w:rsidRDefault="009E288C" w:rsidP="009E288C">
                    <w:pPr>
                      <w:spacing w:after="0"/>
                      <w:rPr>
                        <w:rFonts w:ascii="Calibri" w:eastAsia="Calibri" w:hAnsi="Calibri" w:cs="Calibri"/>
                        <w:noProof/>
                        <w:color w:val="000000"/>
                        <w:sz w:val="24"/>
                        <w:szCs w:val="24"/>
                      </w:rPr>
                    </w:pPr>
                    <w:r w:rsidRPr="009E288C">
                      <w:rPr>
                        <w:rFonts w:ascii="Calibri" w:eastAsia="Calibri" w:hAnsi="Calibri" w:cs="Calibri"/>
                        <w:noProof/>
                        <w:color w:val="000000"/>
                        <w:sz w:val="24"/>
                        <w:szCs w:val="24"/>
                      </w:rPr>
                      <w:t>OFFICIAL</w:t>
                    </w:r>
                  </w:p>
                </w:txbxContent>
              </v:textbox>
              <w10:wrap anchorx="page" anchory="page"/>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21AC2" w14:textId="18F7A26D" w:rsidR="009E288C" w:rsidRDefault="007237CC" w:rsidP="00B9460A">
    <w:pPr>
      <w:pStyle w:val="Header"/>
    </w:pPr>
    <w:fldSimple w:instr="STYLEREF  “HEADING 1 numbered” \n  \* MERGEFORMAT">
      <w:r w:rsidR="00CA17BE">
        <w:rPr>
          <w:noProof/>
        </w:rPr>
        <w:t>4</w:t>
      </w:r>
    </w:fldSimple>
    <w:r w:rsidR="00B9460A" w:rsidRPr="00AD7DA5">
      <w:t xml:space="preserve">. </w:t>
    </w:r>
    <w:fldSimple w:instr="STYLEREF  “HEADING 1 numbered”  \* MERGEFORMAT">
      <w:r w:rsidR="00CA17BE">
        <w:rPr>
          <w:noProof/>
        </w:rPr>
        <w:t>KEY ASSETS TO SUPPORT SERVICE DELIVERY</w:t>
      </w:r>
    </w:fldSimple>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C1F0" w14:textId="0F9727A0" w:rsidR="009E288C" w:rsidRDefault="009E288C">
    <w:pPr>
      <w:pStyle w:val="Header"/>
    </w:pPr>
    <w:r>
      <w:rPr>
        <w:noProof/>
      </w:rPr>
      <mc:AlternateContent>
        <mc:Choice Requires="wps">
          <w:drawing>
            <wp:anchor distT="0" distB="0" distL="0" distR="0" simplePos="0" relativeHeight="251658275" behindDoc="0" locked="0" layoutInCell="1" allowOverlap="1" wp14:anchorId="34D7DC46" wp14:editId="24A1F9B6">
              <wp:simplePos x="635" y="635"/>
              <wp:positionH relativeFrom="page">
                <wp:align>center</wp:align>
              </wp:positionH>
              <wp:positionV relativeFrom="page">
                <wp:align>top</wp:align>
              </wp:positionV>
              <wp:extent cx="551815" cy="496570"/>
              <wp:effectExtent l="0" t="0" r="635" b="17780"/>
              <wp:wrapNone/>
              <wp:docPr id="1050896218" name="Text Box 7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96570"/>
                      </a:xfrm>
                      <a:prstGeom prst="rect">
                        <a:avLst/>
                      </a:prstGeom>
                      <a:noFill/>
                      <a:ln>
                        <a:noFill/>
                      </a:ln>
                    </wps:spPr>
                    <wps:txbx>
                      <w:txbxContent>
                        <w:p w14:paraId="6026208B" w14:textId="31BB5382" w:rsidR="009E288C" w:rsidRPr="009E288C" w:rsidRDefault="009E288C" w:rsidP="009E288C">
                          <w:pPr>
                            <w:spacing w:after="0"/>
                            <w:rPr>
                              <w:rFonts w:ascii="Calibri" w:eastAsia="Calibri" w:hAnsi="Calibri" w:cs="Calibri"/>
                              <w:noProof/>
                              <w:color w:val="000000"/>
                              <w:sz w:val="24"/>
                              <w:szCs w:val="24"/>
                            </w:rPr>
                          </w:pPr>
                          <w:r w:rsidRPr="009E288C">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D7DC46" id="_x0000_t202" coordsize="21600,21600" o:spt="202" path="m,l,21600r21600,l21600,xe">
              <v:stroke joinstyle="miter"/>
              <v:path gradientshapeok="t" o:connecttype="rect"/>
            </v:shapetype>
            <v:shape id="Text Box 79" o:spid="_x0000_s1059" type="#_x0000_t202" alt="OFFICIAL" style="position:absolute;margin-left:0;margin-top:0;width:43.45pt;height:39.1pt;z-index:25165827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" filled="f" stroked="f">
              <v:textbox style="mso-fit-shape-to-text:t" inset="0,15pt,0,0">
                <w:txbxContent>
                  <w:p w14:paraId="6026208B" w14:textId="31BB5382" w:rsidR="009E288C" w:rsidRPr="009E288C" w:rsidRDefault="009E288C" w:rsidP="009E288C">
                    <w:pPr>
                      <w:spacing w:after="0"/>
                      <w:rPr>
                        <w:rFonts w:ascii="Calibri" w:eastAsia="Calibri" w:hAnsi="Calibri" w:cs="Calibri"/>
                        <w:noProof/>
                        <w:color w:val="000000"/>
                        <w:sz w:val="24"/>
                        <w:szCs w:val="24"/>
                      </w:rPr>
                    </w:pPr>
                    <w:r w:rsidRPr="009E288C">
                      <w:rPr>
                        <w:rFonts w:ascii="Calibri" w:eastAsia="Calibri" w:hAnsi="Calibri" w:cs="Calibri"/>
                        <w:noProof/>
                        <w:color w:val="000000"/>
                        <w:sz w:val="24"/>
                        <w:szCs w:val="24"/>
                      </w:rPr>
                      <w:t>OFFICIAL</w:t>
                    </w:r>
                  </w:p>
                </w:txbxContent>
              </v:textbox>
              <w10:wrap anchorx="page" anchory="page"/>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030E7" w14:textId="15995739" w:rsidR="00A545BA" w:rsidRDefault="00A545BA">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CCDB3" w14:textId="4A67B858" w:rsidR="00C70938" w:rsidRPr="00860F91" w:rsidRDefault="00860F91" w:rsidP="00E10CD7">
    <w:pPr>
      <w:pStyle w:val="Header"/>
    </w:pPr>
    <w:r w:rsidRPr="00AD7DA5">
      <w:fldChar w:fldCharType="begin"/>
    </w:r>
    <w:r w:rsidRPr="00AD7DA5">
      <w:instrText xml:space="preserve"> STYLEREF  </w:instrText>
    </w:r>
    <w:r w:rsidR="00AD7DA5" w:rsidRPr="00AD7DA5">
      <w:instrText>“HEADING 1 numbered”</w:instrText>
    </w:r>
    <w:r w:rsidRPr="00AD7DA5">
      <w:instrText xml:space="preserve"> \n  \* MERGEFORMAT </w:instrText>
    </w:r>
    <w:r w:rsidRPr="00AD7DA5">
      <w:fldChar w:fldCharType="separate"/>
    </w:r>
    <w:r w:rsidR="00CA17BE">
      <w:rPr>
        <w:noProof/>
      </w:rPr>
      <w:t>4</w:t>
    </w:r>
    <w:r w:rsidRPr="00AD7DA5">
      <w:fldChar w:fldCharType="end"/>
    </w:r>
    <w:r w:rsidRPr="00AD7DA5">
      <w:t xml:space="preserve">. </w:t>
    </w:r>
    <w:r w:rsidRPr="00AD7DA5">
      <w:fldChar w:fldCharType="begin"/>
    </w:r>
    <w:r w:rsidRPr="00AD7DA5">
      <w:instrText xml:space="preserve"> STYLEREF  </w:instrText>
    </w:r>
    <w:r w:rsidR="00AD7DA5" w:rsidRPr="00AD7DA5">
      <w:instrText>“HEADING 1 numbered”</w:instrText>
    </w:r>
    <w:r w:rsidRPr="00AD7DA5">
      <w:instrText xml:space="preserve">  \* MERGEFORMAT </w:instrText>
    </w:r>
    <w:r w:rsidRPr="00AD7DA5">
      <w:fldChar w:fldCharType="separate"/>
    </w:r>
    <w:r w:rsidR="00CA17BE">
      <w:rPr>
        <w:noProof/>
      </w:rPr>
      <w:t>KEY ASSETS TO SUPPORT SERVICE DELIVERY</w:t>
    </w:r>
    <w:r w:rsidRPr="00AD7DA5">
      <w:fldChar w:fldCharType="end"/>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C0E61" w14:textId="31DE251F" w:rsidR="009E288C" w:rsidRDefault="009E288C">
    <w:pPr>
      <w:pStyle w:val="Header"/>
    </w:pPr>
    <w:r>
      <w:rPr>
        <w:noProof/>
      </w:rPr>
      <mc:AlternateContent>
        <mc:Choice Requires="wps">
          <w:drawing>
            <wp:anchor distT="0" distB="0" distL="0" distR="0" simplePos="0" relativeHeight="251658276" behindDoc="0" locked="0" layoutInCell="1" allowOverlap="1" wp14:anchorId="3242F20D" wp14:editId="01373151">
              <wp:simplePos x="635" y="635"/>
              <wp:positionH relativeFrom="page">
                <wp:align>center</wp:align>
              </wp:positionH>
              <wp:positionV relativeFrom="page">
                <wp:align>top</wp:align>
              </wp:positionV>
              <wp:extent cx="551815" cy="496570"/>
              <wp:effectExtent l="0" t="0" r="635" b="17780"/>
              <wp:wrapNone/>
              <wp:docPr id="2001941753" name="Text Box 8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96570"/>
                      </a:xfrm>
                      <a:prstGeom prst="rect">
                        <a:avLst/>
                      </a:prstGeom>
                      <a:noFill/>
                      <a:ln>
                        <a:noFill/>
                      </a:ln>
                    </wps:spPr>
                    <wps:txbx>
                      <w:txbxContent>
                        <w:p w14:paraId="103E6162" w14:textId="442AA985" w:rsidR="009E288C" w:rsidRPr="009E288C" w:rsidRDefault="009E288C" w:rsidP="009E288C">
                          <w:pPr>
                            <w:spacing w:after="0"/>
                            <w:rPr>
                              <w:rFonts w:ascii="Calibri" w:eastAsia="Calibri" w:hAnsi="Calibri" w:cs="Calibri"/>
                              <w:noProof/>
                              <w:color w:val="000000"/>
                              <w:sz w:val="24"/>
                              <w:szCs w:val="24"/>
                            </w:rPr>
                          </w:pPr>
                          <w:r w:rsidRPr="009E288C">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42F20D" id="_x0000_t202" coordsize="21600,21600" o:spt="202" path="m,l,21600r21600,l21600,xe">
              <v:stroke joinstyle="miter"/>
              <v:path gradientshapeok="t" o:connecttype="rect"/>
            </v:shapetype>
            <v:shape id="Text Box 80" o:spid="_x0000_s1060" type="#_x0000_t202" alt="OFFICIAL" style="position:absolute;margin-left:0;margin-top:0;width:43.45pt;height:39.1pt;z-index:2516582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" filled="f" stroked="f">
              <v:textbox style="mso-fit-shape-to-text:t" inset="0,15pt,0,0">
                <w:txbxContent>
                  <w:p w14:paraId="103E6162" w14:textId="442AA985" w:rsidR="009E288C" w:rsidRPr="009E288C" w:rsidRDefault="009E288C" w:rsidP="009E288C">
                    <w:pPr>
                      <w:spacing w:after="0"/>
                      <w:rPr>
                        <w:rFonts w:ascii="Calibri" w:eastAsia="Calibri" w:hAnsi="Calibri" w:cs="Calibri"/>
                        <w:noProof/>
                        <w:color w:val="000000"/>
                        <w:sz w:val="24"/>
                        <w:szCs w:val="24"/>
                      </w:rPr>
                    </w:pPr>
                    <w:r w:rsidRPr="009E288C">
                      <w:rPr>
                        <w:rFonts w:ascii="Calibri" w:eastAsia="Calibri" w:hAnsi="Calibri" w:cs="Calibri"/>
                        <w:noProof/>
                        <w:color w:val="000000"/>
                        <w:sz w:val="24"/>
                        <w:szCs w:val="24"/>
                      </w:rPr>
                      <w:t>OFFICIAL</w:t>
                    </w:r>
                  </w:p>
                </w:txbxContent>
              </v:textbox>
              <w10:wrap anchorx="page" anchory="page"/>
            </v:shape>
          </w:pict>
        </mc:Fallback>
      </mc:AlternateConten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17C9" w14:textId="6ED6F44B" w:rsidR="00617B7D" w:rsidRPr="0021248D" w:rsidRDefault="007237CC" w:rsidP="00B63CF5">
    <w:pPr>
      <w:pStyle w:val="Header"/>
    </w:pPr>
    <w:fldSimple w:instr="STYLEREF  “HEADING 1 numbered” \n  \* MERGEFORMAT">
      <w:r w:rsidR="00CA17BE">
        <w:rPr>
          <w:noProof/>
        </w:rPr>
        <w:t>4</w:t>
      </w:r>
    </w:fldSimple>
    <w:r w:rsidR="00E60980" w:rsidRPr="00AD7DA5">
      <w:t xml:space="preserve">. </w:t>
    </w:r>
    <w:fldSimple w:instr="STYLEREF  “HEADING 1 numbered”  \* MERGEFORMAT">
      <w:r w:rsidR="00CA17BE">
        <w:rPr>
          <w:noProof/>
        </w:rPr>
        <w:t>KEY ASSETS TO SUPPORT SERVICE DELIVERY</w:t>
      </w:r>
    </w:fldSimple>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4EF47" w14:textId="7F94FCEE" w:rsidR="00860F91" w:rsidRPr="00272923" w:rsidRDefault="00272923" w:rsidP="00272923">
    <w:pPr>
      <w:pStyle w:val="Header"/>
    </w:pPr>
    <w:r>
      <w:rPr>
        <w:noProof/>
      </w:rPr>
      <mc:AlternateContent>
        <mc:Choice Requires="wps">
          <w:drawing>
            <wp:anchor distT="0" distB="0" distL="114300" distR="114300" simplePos="0" relativeHeight="251658279" behindDoc="0" locked="0" layoutInCell="1" allowOverlap="1" wp14:anchorId="50FD96C4" wp14:editId="7697E0CD">
              <wp:simplePos x="0" y="0"/>
              <wp:positionH relativeFrom="column">
                <wp:posOffset>9323705</wp:posOffset>
              </wp:positionH>
              <wp:positionV relativeFrom="paragraph">
                <wp:posOffset>243205</wp:posOffset>
              </wp:positionV>
              <wp:extent cx="393065" cy="6189980"/>
              <wp:effectExtent l="0" t="0" r="0" b="1270"/>
              <wp:wrapNone/>
              <wp:docPr id="705091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3065" cy="61899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40A0D1" w14:textId="1D5B295A" w:rsidR="00272923" w:rsidRPr="00B06BF6" w:rsidRDefault="00B634A6" w:rsidP="00272923">
                          <w:pPr>
                            <w:pStyle w:val="Header"/>
                            <w:jc w:val="right"/>
                          </w:pPr>
                          <w:fldSimple w:instr="STYLEREF  “HEADING 1 numbered” \n  \* MERGEFORMAT">
                            <w:r>
                              <w:rPr>
                                <w:noProof/>
                              </w:rPr>
                              <w:t>4</w:t>
                            </w:r>
                          </w:fldSimple>
                          <w:r w:rsidR="00272923" w:rsidRPr="00AD7DA5">
                            <w:t xml:space="preserve">. </w:t>
                          </w:r>
                          <w:fldSimple w:instr="STYLEREF  “HEADING 1 numbered”  \* MERGEFORMAT">
                            <w:r>
                              <w:rPr>
                                <w:noProof/>
                              </w:rPr>
                              <w:t>KEY ASSETS TO SUPPORT SERVICE DELIVERY</w:t>
                            </w:r>
                          </w:fldSimple>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FD96C4" id="_x0000_t202" coordsize="21600,21600" o:spt="202" path="m,l,21600r21600,l21600,xe">
              <v:stroke joinstyle="miter"/>
              <v:path gradientshapeok="t" o:connecttype="rect"/>
            </v:shapetype>
            <v:shape id="Text Box 2" o:spid="_x0000_s1061" type="#_x0000_t202" style="position:absolute;margin-left:734.15pt;margin-top:19.15pt;width:30.95pt;height:487.4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" filled="f" stroked="f" strokeweight=".5pt">
              <v:textbox style="layout-flow:vertical">
                <w:txbxContent>
                  <w:p w14:paraId="7840A0D1" w14:textId="1D5B295A" w:rsidR="00272923" w:rsidRPr="00B06BF6" w:rsidRDefault="00B634A6" w:rsidP="00272923">
                    <w:pPr>
                      <w:pStyle w:val="Header"/>
                      <w:jc w:val="right"/>
                    </w:pPr>
                    <w:fldSimple w:instr="STYLEREF  “HEADING 1 numbered” \n  \* MERGEFORMAT">
                      <w:r>
                        <w:rPr>
                          <w:noProof/>
                        </w:rPr>
                        <w:t>4</w:t>
                      </w:r>
                    </w:fldSimple>
                    <w:r w:rsidR="00272923" w:rsidRPr="00AD7DA5">
                      <w:t xml:space="preserve">. </w:t>
                    </w:r>
                    <w:fldSimple w:instr="STYLEREF  “HEADING 1 numbered”  \* MERGEFORMAT">
                      <w:r>
                        <w:rPr>
                          <w:noProof/>
                        </w:rPr>
                        <w:t>KEY ASSETS TO SUPPORT SERVICE DELIVERY</w:t>
                      </w:r>
                    </w:fldSimple>
                  </w:p>
                </w:txbxContent>
              </v:textbox>
            </v:shape>
          </w:pict>
        </mc:Fallback>
      </mc:AlternateContent>
    </w:r>
    <w:r>
      <w:rPr>
        <w:noProof/>
      </w:rPr>
      <mc:AlternateContent>
        <mc:Choice Requires="wps">
          <w:drawing>
            <wp:anchor distT="0" distB="0" distL="114300" distR="114300" simplePos="0" relativeHeight="251658280" behindDoc="0" locked="0" layoutInCell="1" allowOverlap="1" wp14:anchorId="2B8DC162" wp14:editId="1B37E093">
              <wp:simplePos x="0" y="0"/>
              <wp:positionH relativeFrom="column">
                <wp:posOffset>-535940</wp:posOffset>
              </wp:positionH>
              <wp:positionV relativeFrom="paragraph">
                <wp:posOffset>243840</wp:posOffset>
              </wp:positionV>
              <wp:extent cx="393065" cy="6189980"/>
              <wp:effectExtent l="0" t="0" r="0" b="1270"/>
              <wp:wrapNone/>
              <wp:docPr id="21181432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3065" cy="61899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66786C" w14:textId="49553639" w:rsidR="00272923" w:rsidRPr="00D90086" w:rsidRDefault="00B634A6" w:rsidP="00272923">
                          <w:pPr>
                            <w:pStyle w:val="Footereven"/>
                            <w:jc w:val="both"/>
                          </w:pPr>
                          <w:fldSimple w:instr="STYLEREF  Title  \* MERGEFORMAT">
                            <w:r>
                              <w:rPr>
                                <w:noProof/>
                              </w:rPr>
                              <w:t>Tier 2 Model Financial Report for Victorian public sector entities</w:t>
                            </w:r>
                          </w:fldSimple>
                          <w:r w:rsidR="00272923">
                            <w:rPr>
                              <w:noProof/>
                            </w:rPr>
                            <w:tab/>
                          </w:r>
                          <w:r w:rsidR="00272923">
                            <w:rPr>
                              <w:noProof/>
                            </w:rPr>
                            <w:fldChar w:fldCharType="begin"/>
                          </w:r>
                          <w:r w:rsidR="00272923">
                            <w:rPr>
                              <w:noProof/>
                            </w:rPr>
                            <w:instrText xml:space="preserve"> PAGE   \* MERGEFORMAT </w:instrText>
                          </w:r>
                          <w:r w:rsidR="00272923">
                            <w:rPr>
                              <w:noProof/>
                            </w:rPr>
                            <w:fldChar w:fldCharType="separate"/>
                          </w:r>
                          <w:r w:rsidR="00272923">
                            <w:rPr>
                              <w:noProof/>
                            </w:rPr>
                            <w:t>43</w:t>
                          </w:r>
                          <w:r w:rsidR="00272923">
                            <w:rPr>
                              <w:noProof/>
                            </w:rPr>
                            <w:fldChar w:fldCharType="end"/>
                          </w:r>
                        </w:p>
                        <w:p w14:paraId="1026A2E0" w14:textId="77777777" w:rsidR="00272923" w:rsidRPr="00D90086" w:rsidRDefault="00272923" w:rsidP="00272923">
                          <w:pPr>
                            <w:pStyle w:val="Footereven"/>
                          </w:pPr>
                          <w:r>
                            <w:rPr>
                              <w:rStyle w:val="PageNumber"/>
                            </w:rPr>
                            <w:tab/>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8DC162" id="Text Box 1" o:spid="_x0000_s1062" type="#_x0000_t202" style="position:absolute;margin-left:-42.2pt;margin-top:19.2pt;width:30.95pt;height:487.4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" filled="f" stroked="f" strokeweight=".5pt">
              <v:textbox style="layout-flow:vertical">
                <w:txbxContent>
                  <w:p w14:paraId="6266786C" w14:textId="49553639" w:rsidR="00272923" w:rsidRPr="00D90086" w:rsidRDefault="00B634A6" w:rsidP="00272923">
                    <w:pPr>
                      <w:pStyle w:val="Footereven"/>
                      <w:jc w:val="both"/>
                    </w:pPr>
                    <w:fldSimple w:instr="STYLEREF  Title  \* MERGEFORMAT">
                      <w:r>
                        <w:rPr>
                          <w:noProof/>
                        </w:rPr>
                        <w:t>Tier 2 Model Financial Report for Victorian public sector entities</w:t>
                      </w:r>
                    </w:fldSimple>
                    <w:r w:rsidR="00272923">
                      <w:rPr>
                        <w:noProof/>
                      </w:rPr>
                      <w:tab/>
                    </w:r>
                    <w:r w:rsidR="00272923">
                      <w:rPr>
                        <w:noProof/>
                      </w:rPr>
                      <w:fldChar w:fldCharType="begin"/>
                    </w:r>
                    <w:r w:rsidR="00272923">
                      <w:rPr>
                        <w:noProof/>
                      </w:rPr>
                      <w:instrText xml:space="preserve"> PAGE   \* MERGEFORMAT </w:instrText>
                    </w:r>
                    <w:r w:rsidR="00272923">
                      <w:rPr>
                        <w:noProof/>
                      </w:rPr>
                      <w:fldChar w:fldCharType="separate"/>
                    </w:r>
                    <w:r w:rsidR="00272923">
                      <w:rPr>
                        <w:noProof/>
                      </w:rPr>
                      <w:t>43</w:t>
                    </w:r>
                    <w:r w:rsidR="00272923">
                      <w:rPr>
                        <w:noProof/>
                      </w:rPr>
                      <w:fldChar w:fldCharType="end"/>
                    </w:r>
                  </w:p>
                  <w:p w14:paraId="1026A2E0" w14:textId="77777777" w:rsidR="00272923" w:rsidRPr="00D90086" w:rsidRDefault="00272923" w:rsidP="00272923">
                    <w:pPr>
                      <w:pStyle w:val="Footereven"/>
                    </w:pPr>
                    <w:r>
                      <w:rPr>
                        <w:rStyle w:val="PageNumber"/>
                      </w:rPr>
                      <w:tab/>
                    </w:r>
                  </w:p>
                </w:txbxContent>
              </v:textbox>
            </v:shape>
          </w:pict>
        </mc:Fallback>
      </mc:AlternateConten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EF5F4" w14:textId="564103EE" w:rsidR="00E60980" w:rsidRPr="00860F91" w:rsidRDefault="007237CC" w:rsidP="00E60980">
    <w:pPr>
      <w:pStyle w:val="Header"/>
    </w:pPr>
    <w:fldSimple w:instr="STYLEREF  “HEADING 1 numbered” \n  \* MERGEFORMAT">
      <w:r w:rsidR="00CA17BE">
        <w:rPr>
          <w:noProof/>
        </w:rPr>
        <w:t>4</w:t>
      </w:r>
    </w:fldSimple>
    <w:r w:rsidR="00E60980" w:rsidRPr="00AD7DA5">
      <w:t xml:space="preserve">. </w:t>
    </w:r>
    <w:fldSimple w:instr="STYLEREF  “HEADING 1 numbered”  \* MERGEFORMAT">
      <w:r w:rsidR="00CA17BE">
        <w:rPr>
          <w:noProof/>
        </w:rPr>
        <w:t>KEY ASSETS TO SUPPORT SERVICE DELIVERY</w:t>
      </w:r>
    </w:fldSimple>
  </w:p>
  <w:p w14:paraId="42C146F5" w14:textId="7C904497" w:rsidR="009E288C" w:rsidRDefault="009E288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22DDC" w14:textId="5DEADC3E" w:rsidR="00A545BA" w:rsidRDefault="00A545BA">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71494" w14:textId="3C46FE06" w:rsidR="00B63CF5" w:rsidRPr="0021248D" w:rsidRDefault="007237CC" w:rsidP="00B63CF5">
    <w:pPr>
      <w:pStyle w:val="Header"/>
    </w:pPr>
    <w:fldSimple w:instr="STYLEREF  “HEADING 1 numbered” \n  \* MERGEFORMAT">
      <w:r w:rsidR="00CA17BE">
        <w:rPr>
          <w:noProof/>
        </w:rPr>
        <w:t>5</w:t>
      </w:r>
    </w:fldSimple>
    <w:r w:rsidR="00B63CF5" w:rsidRPr="00AD7DA5">
      <w:t xml:space="preserve">. </w:t>
    </w:r>
    <w:fldSimple w:instr="STYLEREF  “HEADING 1 numbered”  \* MERGEFORMAT">
      <w:r w:rsidR="00CA17BE">
        <w:rPr>
          <w:noProof/>
        </w:rPr>
        <w:t>OTHER ASSETS AND LIABILITIES</w:t>
      </w:r>
    </w:fldSimple>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D802" w14:textId="645B738F" w:rsidR="00B63CF5" w:rsidRPr="00860F91" w:rsidRDefault="007237CC" w:rsidP="00B63CF5">
    <w:pPr>
      <w:pStyle w:val="Header"/>
      <w:jc w:val="right"/>
    </w:pPr>
    <w:fldSimple w:instr="STYLEREF  “HEADING 1 numbered” \n  \* MERGEFORMAT">
      <w:r w:rsidR="00CA17BE">
        <w:rPr>
          <w:noProof/>
        </w:rPr>
        <w:t>4</w:t>
      </w:r>
    </w:fldSimple>
    <w:r w:rsidR="00B63CF5" w:rsidRPr="00AD7DA5">
      <w:t xml:space="preserve">. </w:t>
    </w:r>
    <w:fldSimple w:instr="STYLEREF  “HEADING 1 numbered”  \* MERGEFORMAT">
      <w:r w:rsidR="00CA17BE">
        <w:rPr>
          <w:noProof/>
        </w:rPr>
        <w:t>KEY ASSETS TO SUPPORT SERVICE DELIVERY</w:t>
      </w:r>
    </w:fldSimple>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EC624" w14:textId="615D3E98" w:rsidR="00B63CF5" w:rsidRPr="00B63CF5" w:rsidRDefault="00B63CF5" w:rsidP="00B63CF5">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8DFFA" w14:textId="33244F57" w:rsidR="00B63CF5" w:rsidRPr="00860F91" w:rsidRDefault="00676CBC" w:rsidP="00E60980">
    <w:pPr>
      <w:pStyle w:val="Header"/>
    </w:pPr>
    <w:fldSimple w:instr="STYLEREF  “HEADING 1 numbered” \n  \* MERGEFORMAT">
      <w:r>
        <w:rPr>
          <w:noProof/>
        </w:rPr>
        <w:t>1</w:t>
      </w:r>
    </w:fldSimple>
    <w:r w:rsidR="00B63CF5" w:rsidRPr="00AD7DA5">
      <w:t xml:space="preserve">. </w:t>
    </w:r>
    <w:r w:rsidR="00B63CF5">
      <w:fldChar w:fldCharType="begin"/>
    </w:r>
    <w:r w:rsidR="00B63CF5">
      <w:instrText xml:space="preserve"> STYLEREF  “HEADING 1 numbered”  \* MERGEFORMAT </w:instrText>
    </w:r>
    <w:r w:rsidR="00B63CF5">
      <w:rPr>
        <w:noProof/>
      </w:rPr>
      <w:fldChar w:fldCharType="end"/>
    </w:r>
  </w:p>
  <w:p w14:paraId="6D955D66" w14:textId="77777777" w:rsidR="00B63CF5" w:rsidRDefault="00B63CF5">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6443F" w14:textId="195E4487" w:rsidR="00515AE6" w:rsidRPr="00B63CF5" w:rsidRDefault="007237CC" w:rsidP="00515AE6">
    <w:pPr>
      <w:pStyle w:val="Header"/>
      <w:jc w:val="right"/>
    </w:pPr>
    <w:fldSimple w:instr="STYLEREF  “HEADING 1 numbered” \n  \* MERGEFORMAT">
      <w:r w:rsidR="00CA17BE">
        <w:rPr>
          <w:noProof/>
        </w:rPr>
        <w:t>5</w:t>
      </w:r>
    </w:fldSimple>
    <w:r w:rsidR="00515AE6" w:rsidRPr="00AD7DA5">
      <w:t xml:space="preserve">. </w:t>
    </w:r>
    <w:fldSimple w:instr="STYLEREF  “HEADING 1 numbered”  \* MERGEFORMAT">
      <w:r w:rsidR="00CA17BE">
        <w:rPr>
          <w:noProof/>
        </w:rPr>
        <w:t>OTHER ASSETS AND LIABILITIES</w:t>
      </w:r>
    </w:fldSimple>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78627" w14:textId="21AA625A" w:rsidR="009E288C" w:rsidRDefault="007237CC">
    <w:pPr>
      <w:pStyle w:val="Header"/>
    </w:pPr>
    <w:fldSimple w:instr="STYLEREF  “HEADING 1 numbered” \n  \* MERGEFORMAT">
      <w:r w:rsidR="00CA17BE">
        <w:rPr>
          <w:noProof/>
        </w:rPr>
        <w:t>7</w:t>
      </w:r>
    </w:fldSimple>
    <w:r w:rsidR="00E60980" w:rsidRPr="00AD7DA5">
      <w:t xml:space="preserve">. </w:t>
    </w:r>
    <w:fldSimple w:instr="STYLEREF  “HEADING 1 numbered”  \* MERGEFORMAT">
      <w:r w:rsidR="00CA17BE">
        <w:rPr>
          <w:noProof/>
        </w:rPr>
        <w:t>FINANCIAL INSTRUMENTS, CONTINGENCIES AND VALUATION JUDGEMENTS</w:t>
      </w:r>
    </w:fldSimple>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A931B" w14:textId="42EFB9C0" w:rsidR="009E288C" w:rsidRDefault="007237CC" w:rsidP="00E10CD7">
    <w:pPr>
      <w:pStyle w:val="Header"/>
      <w:jc w:val="right"/>
    </w:pPr>
    <w:fldSimple w:instr="STYLEREF  “HEADING 1 numbered” \n  \* MERGEFORMAT">
      <w:r w:rsidR="00CA17BE">
        <w:rPr>
          <w:noProof/>
        </w:rPr>
        <w:t>6</w:t>
      </w:r>
    </w:fldSimple>
    <w:r w:rsidR="00E60980" w:rsidRPr="00AD7DA5">
      <w:t xml:space="preserve">. </w:t>
    </w:r>
    <w:fldSimple w:instr="STYLEREF  “HEADING 1 numbered”  \* MERGEFORMAT">
      <w:r w:rsidR="00CA17BE">
        <w:rPr>
          <w:noProof/>
        </w:rPr>
        <w:t>HOW WE FINANCED OUR OPERATIONS</w:t>
      </w:r>
    </w:fldSimple>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E3058" w14:textId="43C88C3D" w:rsidR="009E288C" w:rsidRDefault="009E288C">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23811" w14:textId="1EE07EF1" w:rsidR="00A545BA" w:rsidRPr="00D05370" w:rsidRDefault="00D05370" w:rsidP="00D05370">
    <w:pPr>
      <w:pStyle w:val="Header"/>
    </w:pPr>
    <w:r>
      <w:rPr>
        <w:noProof/>
      </w:rPr>
      <mc:AlternateContent>
        <mc:Choice Requires="wps">
          <w:drawing>
            <wp:anchor distT="0" distB="0" distL="114300" distR="114300" simplePos="0" relativeHeight="251658284" behindDoc="0" locked="0" layoutInCell="1" allowOverlap="1" wp14:anchorId="05BD2A61" wp14:editId="59E8E6AA">
              <wp:simplePos x="0" y="0"/>
              <wp:positionH relativeFrom="column">
                <wp:posOffset>9335135</wp:posOffset>
              </wp:positionH>
              <wp:positionV relativeFrom="paragraph">
                <wp:posOffset>243205</wp:posOffset>
              </wp:positionV>
              <wp:extent cx="393065" cy="6189980"/>
              <wp:effectExtent l="0" t="0" r="0" b="1270"/>
              <wp:wrapNone/>
              <wp:docPr id="10721064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3065" cy="61899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AE756A" w14:textId="093C752C" w:rsidR="00D05370" w:rsidRPr="00D90086" w:rsidRDefault="00F67BC1" w:rsidP="00DD7FD8">
                          <w:pPr>
                            <w:pStyle w:val="Header"/>
                          </w:pPr>
                          <w:fldSimple w:instr="STYLEREF  “HEADING 1 numbered” \n  \* MERGEFORMAT">
                            <w:r>
                              <w:rPr>
                                <w:noProof/>
                              </w:rPr>
                              <w:t>7</w:t>
                            </w:r>
                          </w:fldSimple>
                          <w:r w:rsidR="00D05370" w:rsidRPr="00AD7DA5">
                            <w:t xml:space="preserve">. </w:t>
                          </w:r>
                          <w:fldSimple w:instr="STYLEREF  “HEADING 1 numbered”  \* MERGEFORMAT">
                            <w:r>
                              <w:rPr>
                                <w:noProof/>
                              </w:rPr>
                              <w:t>FINANCIAL INSTRUMENTS, CONTINGENCIES AND VALUATION JUDGEMENTS</w:t>
                            </w:r>
                          </w:fldSimple>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BD2A61" id="_x0000_t202" coordsize="21600,21600" o:spt="202" path="m,l,21600r21600,l21600,xe">
              <v:stroke joinstyle="miter"/>
              <v:path gradientshapeok="t" o:connecttype="rect"/>
            </v:shapetype>
            <v:shape id="Text Box 4" o:spid="_x0000_s1063" type="#_x0000_t202" style="position:absolute;margin-left:735.05pt;margin-top:19.15pt;width:30.95pt;height:487.4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" filled="f" stroked="f" strokeweight=".5pt">
              <v:textbox style="layout-flow:vertical">
                <w:txbxContent>
                  <w:p w14:paraId="4EAE756A" w14:textId="093C752C" w:rsidR="00D05370" w:rsidRPr="00D90086" w:rsidRDefault="00F67BC1" w:rsidP="00DD7FD8">
                    <w:pPr>
                      <w:pStyle w:val="Header"/>
                    </w:pPr>
                    <w:fldSimple w:instr="STYLEREF  “HEADING 1 numbered” \n  \* MERGEFORMAT">
                      <w:r>
                        <w:rPr>
                          <w:noProof/>
                        </w:rPr>
                        <w:t>7</w:t>
                      </w:r>
                    </w:fldSimple>
                    <w:r w:rsidR="00D05370" w:rsidRPr="00AD7DA5">
                      <w:t xml:space="preserve">. </w:t>
                    </w:r>
                    <w:fldSimple w:instr="STYLEREF  “HEADING 1 numbered”  \* MERGEFORMAT">
                      <w:r>
                        <w:rPr>
                          <w:noProof/>
                        </w:rPr>
                        <w:t>FINANCIAL INSTRUMENTS, CONTINGENCIES AND VALUATION JUDGEMENTS</w:t>
                      </w:r>
                    </w:fldSimple>
                  </w:p>
                </w:txbxContent>
              </v:textbox>
            </v:shape>
          </w:pict>
        </mc:Fallback>
      </mc:AlternateContent>
    </w:r>
    <w:r>
      <w:rPr>
        <w:noProof/>
      </w:rPr>
      <mc:AlternateContent>
        <mc:Choice Requires="wps">
          <w:drawing>
            <wp:anchor distT="0" distB="0" distL="114300" distR="114300" simplePos="0" relativeHeight="251658283" behindDoc="0" locked="0" layoutInCell="1" allowOverlap="1" wp14:anchorId="450F7BCB" wp14:editId="357B1A5D">
              <wp:simplePos x="0" y="0"/>
              <wp:positionH relativeFrom="column">
                <wp:posOffset>-499745</wp:posOffset>
              </wp:positionH>
              <wp:positionV relativeFrom="paragraph">
                <wp:posOffset>243205</wp:posOffset>
              </wp:positionV>
              <wp:extent cx="393065" cy="6189980"/>
              <wp:effectExtent l="0" t="0" r="0" b="1270"/>
              <wp:wrapNone/>
              <wp:docPr id="9207993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3065" cy="61899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DB5374" w14:textId="79E835E2" w:rsidR="00D05370" w:rsidRPr="00D90086" w:rsidRDefault="00D05370" w:rsidP="00D05370">
                          <w:pPr>
                            <w:pStyle w:val="Footereven"/>
                            <w:jc w:val="both"/>
                          </w:pPr>
                          <w:r>
                            <w:fldChar w:fldCharType="begin"/>
                          </w:r>
                          <w:r>
                            <w:instrText xml:space="preserve"> PAGE   \* MERGEFORMAT </w:instrText>
                          </w:r>
                          <w:r>
                            <w:fldChar w:fldCharType="separate"/>
                          </w:r>
                          <w:r>
                            <w:rPr>
                              <w:noProof/>
                            </w:rPr>
                            <w:t>120</w:t>
                          </w:r>
                          <w:r>
                            <w:fldChar w:fldCharType="end"/>
                          </w:r>
                          <w:r>
                            <w:tab/>
                          </w:r>
                          <w:fldSimple w:instr="STYLEREF  Title  \* MERGEFORMAT">
                            <w:r w:rsidR="00F67BC1">
                              <w:rPr>
                                <w:noProof/>
                              </w:rPr>
                              <w:t>Tier 2 Model Financial Report for Victorian public sector entities</w:t>
                            </w:r>
                          </w:fldSimple>
                        </w:p>
                        <w:p w14:paraId="1A1D4ADB" w14:textId="77777777" w:rsidR="00D05370" w:rsidRPr="00D90086" w:rsidRDefault="00D05370" w:rsidP="00D05370">
                          <w:pPr>
                            <w:pStyle w:val="Footereven"/>
                          </w:pPr>
                          <w:r>
                            <w:rPr>
                              <w:rStyle w:val="PageNumber"/>
                            </w:rPr>
                            <w:tab/>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0F7BCB" id="Text Box 3" o:spid="_x0000_s1064" type="#_x0000_t202" style="position:absolute;margin-left:-39.35pt;margin-top:19.15pt;width:30.95pt;height:487.4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" filled="f" stroked="f" strokeweight=".5pt">
              <v:textbox style="layout-flow:vertical">
                <w:txbxContent>
                  <w:p w14:paraId="15DB5374" w14:textId="79E835E2" w:rsidR="00D05370" w:rsidRPr="00D90086" w:rsidRDefault="00D05370" w:rsidP="00D05370">
                    <w:pPr>
                      <w:pStyle w:val="Footereven"/>
                      <w:jc w:val="both"/>
                    </w:pPr>
                    <w:r>
                      <w:fldChar w:fldCharType="begin"/>
                    </w:r>
                    <w:r>
                      <w:instrText xml:space="preserve"> PAGE   \* MERGEFORMAT </w:instrText>
                    </w:r>
                    <w:r>
                      <w:fldChar w:fldCharType="separate"/>
                    </w:r>
                    <w:r>
                      <w:rPr>
                        <w:noProof/>
                      </w:rPr>
                      <w:t>120</w:t>
                    </w:r>
                    <w:r>
                      <w:fldChar w:fldCharType="end"/>
                    </w:r>
                    <w:r>
                      <w:tab/>
                    </w:r>
                    <w:fldSimple w:instr="STYLEREF  Title  \* MERGEFORMAT">
                      <w:r w:rsidR="00F67BC1">
                        <w:rPr>
                          <w:noProof/>
                        </w:rPr>
                        <w:t>Tier 2 Model Financial Report for Victorian public sector entities</w:t>
                      </w:r>
                    </w:fldSimple>
                  </w:p>
                  <w:p w14:paraId="1A1D4ADB" w14:textId="77777777" w:rsidR="00D05370" w:rsidRPr="00D90086" w:rsidRDefault="00D05370" w:rsidP="00D05370">
                    <w:pPr>
                      <w:pStyle w:val="Footereven"/>
                    </w:pPr>
                    <w:r>
                      <w:rPr>
                        <w:rStyle w:val="PageNumber"/>
                      </w:rPr>
                      <w:tab/>
                    </w:r>
                  </w:p>
                </w:txbxContent>
              </v:textbox>
            </v:shape>
          </w:pict>
        </mc:Fallback>
      </mc:AlternateConten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D8D65" w14:textId="60B326DC" w:rsidR="00A545BA" w:rsidRPr="009C4A7A" w:rsidRDefault="009C4A7A" w:rsidP="009C4A7A">
    <w:pPr>
      <w:pStyle w:val="Header"/>
    </w:pPr>
    <w:r>
      <w:rPr>
        <w:noProof/>
      </w:rPr>
      <mc:AlternateContent>
        <mc:Choice Requires="wps">
          <w:drawing>
            <wp:anchor distT="0" distB="0" distL="114300" distR="114300" simplePos="0" relativeHeight="251658281" behindDoc="0" locked="0" layoutInCell="1" allowOverlap="1" wp14:anchorId="63BEEEE6" wp14:editId="2EDFDEC6">
              <wp:simplePos x="0" y="0"/>
              <wp:positionH relativeFrom="column">
                <wp:posOffset>9323705</wp:posOffset>
              </wp:positionH>
              <wp:positionV relativeFrom="paragraph">
                <wp:posOffset>243205</wp:posOffset>
              </wp:positionV>
              <wp:extent cx="393065" cy="6189980"/>
              <wp:effectExtent l="0" t="0" r="0" b="1270"/>
              <wp:wrapNone/>
              <wp:docPr id="10034070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3065" cy="61899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C2A844" w14:textId="6940DFA0" w:rsidR="009C4A7A" w:rsidRPr="00B06BF6" w:rsidRDefault="007237CC" w:rsidP="009C4A7A">
                          <w:pPr>
                            <w:pStyle w:val="Header"/>
                            <w:jc w:val="right"/>
                          </w:pPr>
                          <w:fldSimple w:instr="STYLEREF  “HEADING 1 numbered” \n  \* MERGEFORMAT">
                            <w:r w:rsidR="00CA17BE">
                              <w:rPr>
                                <w:noProof/>
                              </w:rPr>
                              <w:t>7</w:t>
                            </w:r>
                          </w:fldSimple>
                          <w:r w:rsidR="009C4A7A" w:rsidRPr="00AD7DA5">
                            <w:t xml:space="preserve">. </w:t>
                          </w:r>
                          <w:fldSimple w:instr="STYLEREF  “HEADING 1 numbered”  \* MERGEFORMAT">
                            <w:r w:rsidR="00CA17BE">
                              <w:rPr>
                                <w:noProof/>
                              </w:rPr>
                              <w:t>FINANCIAL INSTRUMENTS, CONTINGENCIES AND VALUATION JUDGEMENTS</w:t>
                            </w:r>
                          </w:fldSimple>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BEEEE6" id="_x0000_t202" coordsize="21600,21600" o:spt="202" path="m,l,21600r21600,l21600,xe">
              <v:stroke joinstyle="miter"/>
              <v:path gradientshapeok="t" o:connecttype="rect"/>
            </v:shapetype>
            <v:shape id="_x0000_s1065" type="#_x0000_t202" style="position:absolute;margin-left:734.15pt;margin-top:19.15pt;width:30.95pt;height:487.4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" filled="f" stroked="f" strokeweight=".5pt">
              <v:textbox style="layout-flow:vertical">
                <w:txbxContent>
                  <w:p w14:paraId="5AC2A844" w14:textId="6940DFA0" w:rsidR="009C4A7A" w:rsidRPr="00B06BF6" w:rsidRDefault="007237CC" w:rsidP="009C4A7A">
                    <w:pPr>
                      <w:pStyle w:val="Header"/>
                      <w:jc w:val="right"/>
                    </w:pPr>
                    <w:fldSimple w:instr="STYLEREF  “HEADING 1 numbered” \n  \* MERGEFORMAT">
                      <w:r w:rsidR="00CA17BE">
                        <w:rPr>
                          <w:noProof/>
                        </w:rPr>
                        <w:t>7</w:t>
                      </w:r>
                    </w:fldSimple>
                    <w:r w:rsidR="009C4A7A" w:rsidRPr="00AD7DA5">
                      <w:t xml:space="preserve">. </w:t>
                    </w:r>
                    <w:fldSimple w:instr="STYLEREF  “HEADING 1 numbered”  \* MERGEFORMAT">
                      <w:r w:rsidR="00CA17BE">
                        <w:rPr>
                          <w:noProof/>
                        </w:rPr>
                        <w:t>FINANCIAL INSTRUMENTS, CONTINGENCIES AND VALUATION JUDGEMENTS</w:t>
                      </w:r>
                    </w:fldSimple>
                  </w:p>
                </w:txbxContent>
              </v:textbox>
            </v:shape>
          </w:pict>
        </mc:Fallback>
      </mc:AlternateContent>
    </w:r>
    <w:r>
      <w:rPr>
        <w:noProof/>
      </w:rPr>
      <mc:AlternateContent>
        <mc:Choice Requires="wps">
          <w:drawing>
            <wp:anchor distT="0" distB="0" distL="114300" distR="114300" simplePos="0" relativeHeight="251658282" behindDoc="0" locked="0" layoutInCell="1" allowOverlap="1" wp14:anchorId="5D721703" wp14:editId="7CE9BA0F">
              <wp:simplePos x="0" y="0"/>
              <wp:positionH relativeFrom="column">
                <wp:posOffset>-535940</wp:posOffset>
              </wp:positionH>
              <wp:positionV relativeFrom="paragraph">
                <wp:posOffset>243840</wp:posOffset>
              </wp:positionV>
              <wp:extent cx="393065" cy="6189980"/>
              <wp:effectExtent l="0" t="0" r="0" b="1270"/>
              <wp:wrapNone/>
              <wp:docPr id="149049586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3065" cy="61899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BE2605" w14:textId="5E479069" w:rsidR="009C4A7A" w:rsidRPr="00D90086" w:rsidRDefault="007237CC" w:rsidP="009C4A7A">
                          <w:pPr>
                            <w:pStyle w:val="Footereven"/>
                            <w:jc w:val="both"/>
                          </w:pPr>
                          <w:fldSimple w:instr="STYLEREF  Title  \* MERGEFORMAT">
                            <w:r w:rsidR="00CA17BE">
                              <w:rPr>
                                <w:noProof/>
                              </w:rPr>
                              <w:t>Tier 2 Model Financial Report for Victorian public sector entities</w:t>
                            </w:r>
                          </w:fldSimple>
                          <w:r w:rsidR="009C4A7A">
                            <w:rPr>
                              <w:noProof/>
                            </w:rPr>
                            <w:tab/>
                          </w:r>
                          <w:r w:rsidR="009C4A7A">
                            <w:rPr>
                              <w:noProof/>
                            </w:rPr>
                            <w:fldChar w:fldCharType="begin"/>
                          </w:r>
                          <w:r w:rsidR="009C4A7A">
                            <w:rPr>
                              <w:noProof/>
                            </w:rPr>
                            <w:instrText xml:space="preserve"> PAGE   \* MERGEFORMAT </w:instrText>
                          </w:r>
                          <w:r w:rsidR="009C4A7A">
                            <w:rPr>
                              <w:noProof/>
                            </w:rPr>
                            <w:fldChar w:fldCharType="separate"/>
                          </w:r>
                          <w:r w:rsidR="009C4A7A">
                            <w:rPr>
                              <w:noProof/>
                            </w:rPr>
                            <w:t>43</w:t>
                          </w:r>
                          <w:r w:rsidR="009C4A7A">
                            <w:rPr>
                              <w:noProof/>
                            </w:rPr>
                            <w:fldChar w:fldCharType="end"/>
                          </w:r>
                        </w:p>
                        <w:p w14:paraId="31C58E8B" w14:textId="77777777" w:rsidR="009C4A7A" w:rsidRPr="00D90086" w:rsidRDefault="009C4A7A" w:rsidP="009C4A7A">
                          <w:pPr>
                            <w:pStyle w:val="Footereven"/>
                          </w:pPr>
                          <w:r>
                            <w:rPr>
                              <w:rStyle w:val="PageNumber"/>
                            </w:rPr>
                            <w:tab/>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721703" id="_x0000_s1066" type="#_x0000_t202" style="position:absolute;margin-left:-42.2pt;margin-top:19.2pt;width:30.95pt;height:487.4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" filled="f" stroked="f" strokeweight=".5pt">
              <v:textbox style="layout-flow:vertical">
                <w:txbxContent>
                  <w:p w14:paraId="78BE2605" w14:textId="5E479069" w:rsidR="009C4A7A" w:rsidRPr="00D90086" w:rsidRDefault="007237CC" w:rsidP="009C4A7A">
                    <w:pPr>
                      <w:pStyle w:val="Footereven"/>
                      <w:jc w:val="both"/>
                    </w:pPr>
                    <w:fldSimple w:instr="STYLEREF  Title  \* MERGEFORMAT">
                      <w:r w:rsidR="00CA17BE">
                        <w:rPr>
                          <w:noProof/>
                        </w:rPr>
                        <w:t>Tier 2 Model Financial Report for Victorian public sector entities</w:t>
                      </w:r>
                    </w:fldSimple>
                    <w:r w:rsidR="009C4A7A">
                      <w:rPr>
                        <w:noProof/>
                      </w:rPr>
                      <w:tab/>
                    </w:r>
                    <w:r w:rsidR="009C4A7A">
                      <w:rPr>
                        <w:noProof/>
                      </w:rPr>
                      <w:fldChar w:fldCharType="begin"/>
                    </w:r>
                    <w:r w:rsidR="009C4A7A">
                      <w:rPr>
                        <w:noProof/>
                      </w:rPr>
                      <w:instrText xml:space="preserve"> PAGE   \* MERGEFORMAT </w:instrText>
                    </w:r>
                    <w:r w:rsidR="009C4A7A">
                      <w:rPr>
                        <w:noProof/>
                      </w:rPr>
                      <w:fldChar w:fldCharType="separate"/>
                    </w:r>
                    <w:r w:rsidR="009C4A7A">
                      <w:rPr>
                        <w:noProof/>
                      </w:rPr>
                      <w:t>43</w:t>
                    </w:r>
                    <w:r w:rsidR="009C4A7A">
                      <w:rPr>
                        <w:noProof/>
                      </w:rPr>
                      <w:fldChar w:fldCharType="end"/>
                    </w:r>
                  </w:p>
                  <w:p w14:paraId="31C58E8B" w14:textId="77777777" w:rsidR="009C4A7A" w:rsidRPr="00D90086" w:rsidRDefault="009C4A7A" w:rsidP="009C4A7A">
                    <w:pPr>
                      <w:pStyle w:val="Footereven"/>
                    </w:pPr>
                    <w:r>
                      <w:rPr>
                        <w:rStyle w:val="PageNumber"/>
                      </w:rPr>
                      <w:tab/>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ADCAA" w14:textId="7BBEB45E" w:rsidR="00A545BA" w:rsidRDefault="009E288C" w:rsidP="00A353DD">
    <w:r>
      <w:rPr>
        <w:noProof/>
      </w:rPr>
      <mc:AlternateContent>
        <mc:Choice Requires="wps">
          <w:drawing>
            <wp:anchor distT="0" distB="0" distL="0" distR="0" simplePos="0" relativeHeight="251658263" behindDoc="0" locked="0" layoutInCell="1" allowOverlap="1" wp14:anchorId="5E1A7EB2" wp14:editId="0F909FAA">
              <wp:simplePos x="720725" y="396875"/>
              <wp:positionH relativeFrom="page">
                <wp:align>center</wp:align>
              </wp:positionH>
              <wp:positionV relativeFrom="page">
                <wp:align>top</wp:align>
              </wp:positionV>
              <wp:extent cx="551815" cy="496570"/>
              <wp:effectExtent l="0" t="0" r="635" b="17780"/>
              <wp:wrapNone/>
              <wp:docPr id="93882805" name="Text Box 4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96570"/>
                      </a:xfrm>
                      <a:prstGeom prst="rect">
                        <a:avLst/>
                      </a:prstGeom>
                      <a:noFill/>
                      <a:ln>
                        <a:noFill/>
                      </a:ln>
                    </wps:spPr>
                    <wps:txbx>
                      <w:txbxContent>
                        <w:p w14:paraId="1A068503" w14:textId="072983C8" w:rsidR="009E288C" w:rsidRPr="009E288C" w:rsidRDefault="009E288C" w:rsidP="009E288C">
                          <w:pPr>
                            <w:spacing w:after="0"/>
                            <w:rPr>
                              <w:rFonts w:ascii="Calibri" w:eastAsia="Calibri" w:hAnsi="Calibri" w:cs="Calibri"/>
                              <w:noProof/>
                              <w:color w:val="000000"/>
                              <w:sz w:val="24"/>
                              <w:szCs w:val="24"/>
                            </w:rPr>
                          </w:pPr>
                          <w:r w:rsidRPr="009E288C">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1A7EB2" id="_x0000_t202" coordsize="21600,21600" o:spt="202" path="m,l,21600r21600,l21600,xe">
              <v:stroke joinstyle="miter"/>
              <v:path gradientshapeok="t" o:connecttype="rect"/>
            </v:shapetype>
            <v:shape id="Text Box 46" o:spid="_x0000_s1036" type="#_x0000_t202" alt="OFFICIAL" style="position:absolute;margin-left:0;margin-top:0;width:43.45pt;height:39.1pt;z-index:25165826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" filled="f" stroked="f">
              <v:textbox style="mso-fit-shape-to-text:t" inset="0,15pt,0,0">
                <w:txbxContent>
                  <w:p w14:paraId="1A068503" w14:textId="072983C8" w:rsidR="009E288C" w:rsidRPr="009E288C" w:rsidRDefault="009E288C" w:rsidP="009E288C">
                    <w:pPr>
                      <w:spacing w:after="0"/>
                      <w:rPr>
                        <w:rFonts w:ascii="Calibri" w:eastAsia="Calibri" w:hAnsi="Calibri" w:cs="Calibri"/>
                        <w:noProof/>
                        <w:color w:val="000000"/>
                        <w:sz w:val="24"/>
                        <w:szCs w:val="24"/>
                      </w:rPr>
                    </w:pPr>
                    <w:r w:rsidRPr="009E288C">
                      <w:rPr>
                        <w:rFonts w:ascii="Calibri" w:eastAsia="Calibri" w:hAnsi="Calibri" w:cs="Calibri"/>
                        <w:noProof/>
                        <w:color w:val="000000"/>
                        <w:sz w:val="24"/>
                        <w:szCs w:val="24"/>
                      </w:rPr>
                      <w:t>OFFICIAL</w:t>
                    </w:r>
                  </w:p>
                </w:txbxContent>
              </v:textbox>
              <w10:wrap anchorx="page" anchory="page"/>
            </v:shape>
          </w:pict>
        </mc:Fallback>
      </mc:AlternateConten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BE1DE" w14:textId="21C40EDD" w:rsidR="00E60980" w:rsidRPr="00860F91" w:rsidRDefault="00676CBC" w:rsidP="00E10CD7">
    <w:pPr>
      <w:pStyle w:val="Header"/>
      <w:jc w:val="right"/>
    </w:pPr>
    <w:fldSimple w:instr="STYLEREF  “HEADING 1 numbered” \n  \* MERGEFORMAT">
      <w:r>
        <w:rPr>
          <w:noProof/>
        </w:rPr>
        <w:t>7</w:t>
      </w:r>
    </w:fldSimple>
    <w:r w:rsidR="00E60980" w:rsidRPr="00AD7DA5">
      <w:t xml:space="preserve">. </w:t>
    </w:r>
    <w:fldSimple w:instr="STYLEREF  “HEADING 1 numbered”  \* MERGEFORMAT">
      <w:r>
        <w:rPr>
          <w:noProof/>
        </w:rPr>
        <w:t>FINANCIAL INSTRUMENTS, CONTINGENCIES AND VALUATION JUDGEMENTS</w:t>
      </w:r>
    </w:fldSimple>
  </w:p>
  <w:p w14:paraId="07DB6703" w14:textId="174D456F" w:rsidR="009E288C" w:rsidRDefault="009E288C">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9F9D8" w14:textId="3E9761B8" w:rsidR="00A545BA" w:rsidRPr="00447D79" w:rsidRDefault="00447D79" w:rsidP="00447D79">
    <w:pPr>
      <w:pStyle w:val="Header"/>
    </w:pPr>
    <w:r>
      <w:fldChar w:fldCharType="begin"/>
    </w:r>
    <w:r>
      <w:instrText xml:space="preserve"> STYLEREF  “</w:instrText>
    </w:r>
    <w:r w:rsidR="00F95A02" w:rsidRPr="00F95A02">
      <w:instrText>Section Title</w:instrText>
    </w:r>
    <w:r>
      <w:instrText xml:space="preserve">”  \* MERGEFORMAT </w:instrText>
    </w:r>
    <w:r>
      <w:fldChar w:fldCharType="separate"/>
    </w:r>
    <w:r w:rsidR="00CA17BE">
      <w:rPr>
        <w:noProof/>
      </w:rPr>
      <w:t>Technology Victoria – Tier 2 Model Financial Statements</w:t>
    </w:r>
    <w:r>
      <w:rPr>
        <w:noProof/>
      </w:rPr>
      <w:fldChar w:fldCharType="end"/>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BBD8C" w14:textId="1D445293" w:rsidR="00A545BA" w:rsidRPr="0021248D" w:rsidRDefault="007237CC" w:rsidP="00DD7FD8">
    <w:pPr>
      <w:pStyle w:val="Header"/>
      <w:jc w:val="right"/>
    </w:pPr>
    <w:fldSimple w:instr="STYLEREF  “HEADING 1 numbered” \n  \* MERGEFORMAT">
      <w:r w:rsidR="00CA17BE">
        <w:rPr>
          <w:noProof/>
        </w:rPr>
        <w:t>7</w:t>
      </w:r>
    </w:fldSimple>
    <w:r w:rsidR="00E60980" w:rsidRPr="00AD7DA5">
      <w:t xml:space="preserve">. </w:t>
    </w:r>
    <w:fldSimple w:instr="STYLEREF  “HEADING 1 numbered”  \* MERGEFORMAT">
      <w:r w:rsidR="00CA17BE">
        <w:rPr>
          <w:noProof/>
        </w:rPr>
        <w:t>FINANCIAL INSTRUMENTS, CONTINGENCIES AND VALUATION JUDGEMENTS</w:t>
      </w:r>
    </w:fldSimple>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BDD93" w14:textId="7917804A" w:rsidR="00E60980" w:rsidRPr="00860F91" w:rsidRDefault="00676CBC" w:rsidP="00E10CD7">
    <w:pPr>
      <w:pStyle w:val="Header"/>
      <w:jc w:val="right"/>
    </w:pPr>
    <w:fldSimple w:instr="STYLEREF  “HEADING 1 numbered” \n  \* MERGEFORMAT">
      <w:r>
        <w:rPr>
          <w:noProof/>
        </w:rPr>
        <w:t>7</w:t>
      </w:r>
    </w:fldSimple>
    <w:r w:rsidR="00E60980" w:rsidRPr="00AD7DA5">
      <w:t xml:space="preserve">. </w:t>
    </w:r>
    <w:fldSimple w:instr="STYLEREF  “HEADING 1 numbered”  \* MERGEFORMAT">
      <w:r>
        <w:rPr>
          <w:noProof/>
        </w:rPr>
        <w:t>FINANCIAL INSTRUMENTS, CONTINGENCIES AND VALUATION JUDGEMENTS</w:t>
      </w:r>
    </w:fldSimple>
  </w:p>
  <w:p w14:paraId="30F01E50" w14:textId="2849E26D" w:rsidR="00A545BA" w:rsidRDefault="00A545BA">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ED152" w14:textId="1C46F4F3" w:rsidR="00F95A02" w:rsidRDefault="006832FD" w:rsidP="006832FD">
    <w:pPr>
      <w:pStyle w:val="Header"/>
      <w:ind w:right="3240"/>
      <w:rPr>
        <w:noProof/>
      </w:rPr>
    </w:pPr>
    <w:r>
      <w:fldChar w:fldCharType="begin"/>
    </w:r>
    <w:r>
      <w:instrText xml:space="preserve"> STYLEREF  “</w:instrText>
    </w:r>
    <w:r w:rsidRPr="000332A8">
      <w:instrText>Heading 1</w:instrText>
    </w:r>
    <w:r>
      <w:instrText xml:space="preserve">”  \* MERGEFORMAT </w:instrText>
    </w:r>
    <w:r>
      <w:fldChar w:fldCharType="separate"/>
    </w:r>
    <w:r w:rsidR="00CA17BE">
      <w:rPr>
        <w:noProof/>
      </w:rPr>
      <w:t>GUIDANCE SECTION 1: GENERAL AND SPECIFIC DISCLOSURE REQUIREMENTS, INCLUDING PRESENTATION REQUIREMENTS [REVISED]</w:t>
    </w:r>
    <w:r>
      <w:rPr>
        <w:noProof/>
      </w:rPr>
      <w:fldChar w:fldCharType="end"/>
    </w:r>
  </w:p>
  <w:p w14:paraId="54BF4A86" w14:textId="77777777" w:rsidR="006832FD" w:rsidRPr="006832FD" w:rsidRDefault="006832FD" w:rsidP="006832FD">
    <w:pPr>
      <w:pStyle w:val="Header"/>
      <w:ind w:right="3240"/>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9E196" w14:textId="5570ABD8" w:rsidR="00A545BA" w:rsidRDefault="00F95A02" w:rsidP="006832FD">
    <w:pPr>
      <w:pStyle w:val="Header"/>
      <w:ind w:left="3240"/>
      <w:jc w:val="right"/>
      <w:rPr>
        <w:noProof/>
      </w:rPr>
    </w:pPr>
    <w:r>
      <w:fldChar w:fldCharType="begin"/>
    </w:r>
    <w:r>
      <w:instrText xml:space="preserve"> STYLEREF  “</w:instrText>
    </w:r>
    <w:r w:rsidR="000332A8" w:rsidRPr="000332A8">
      <w:instrText>Heading 1</w:instrText>
    </w:r>
    <w:r>
      <w:instrText xml:space="preserve">”  \* MERGEFORMAT </w:instrText>
    </w:r>
    <w:r>
      <w:fldChar w:fldCharType="separate"/>
    </w:r>
    <w:r w:rsidR="00CA17BE">
      <w:rPr>
        <w:noProof/>
      </w:rPr>
      <w:t>APPENDIX 2: Non-routine transactions not covered by the Tier 2 Model and assOCIated disclosure requirements [REVISED]</w:t>
    </w:r>
    <w:r>
      <w:rPr>
        <w:noProof/>
      </w:rPr>
      <w:fldChar w:fldCharType="end"/>
    </w:r>
  </w:p>
  <w:p w14:paraId="1B1BA487" w14:textId="77777777" w:rsidR="006832FD" w:rsidRPr="00747A86" w:rsidRDefault="006832FD" w:rsidP="006832FD">
    <w:pPr>
      <w:pStyle w:val="Header"/>
      <w:ind w:left="3240"/>
      <w:jc w:val="right"/>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51D03" w14:textId="0AC04F2B" w:rsidR="009E288C" w:rsidRDefault="009E288C">
    <w:pPr>
      <w:pStyle w:val="Header"/>
    </w:pPr>
    <w:r>
      <w:rPr>
        <w:noProof/>
      </w:rPr>
      <mc:AlternateContent>
        <mc:Choice Requires="wps">
          <w:drawing>
            <wp:anchor distT="0" distB="0" distL="0" distR="0" simplePos="0" relativeHeight="251658277" behindDoc="0" locked="0" layoutInCell="1" allowOverlap="1" wp14:anchorId="0EA9E6F0" wp14:editId="7488533C">
              <wp:simplePos x="635" y="635"/>
              <wp:positionH relativeFrom="page">
                <wp:align>center</wp:align>
              </wp:positionH>
              <wp:positionV relativeFrom="page">
                <wp:align>top</wp:align>
              </wp:positionV>
              <wp:extent cx="551815" cy="496570"/>
              <wp:effectExtent l="0" t="0" r="635" b="17780"/>
              <wp:wrapNone/>
              <wp:docPr id="562314692" name="Text Box 9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96570"/>
                      </a:xfrm>
                      <a:prstGeom prst="rect">
                        <a:avLst/>
                      </a:prstGeom>
                      <a:noFill/>
                      <a:ln>
                        <a:noFill/>
                      </a:ln>
                    </wps:spPr>
                    <wps:txbx>
                      <w:txbxContent>
                        <w:p w14:paraId="25F3043D" w14:textId="76F65D2B" w:rsidR="009E288C" w:rsidRPr="009E288C" w:rsidRDefault="009E288C" w:rsidP="009E288C">
                          <w:pPr>
                            <w:spacing w:after="0"/>
                            <w:rPr>
                              <w:rFonts w:ascii="Calibri" w:eastAsia="Calibri" w:hAnsi="Calibri" w:cs="Calibri"/>
                              <w:noProof/>
                              <w:color w:val="000000"/>
                              <w:sz w:val="24"/>
                              <w:szCs w:val="24"/>
                            </w:rPr>
                          </w:pPr>
                          <w:r w:rsidRPr="009E288C">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A9E6F0" id="_x0000_t202" coordsize="21600,21600" o:spt="202" path="m,l,21600r21600,l21600,xe">
              <v:stroke joinstyle="miter"/>
              <v:path gradientshapeok="t" o:connecttype="rect"/>
            </v:shapetype>
            <v:shape id="Text Box 98" o:spid="_x0000_s1067" type="#_x0000_t202" alt="OFFICIAL" style="position:absolute;margin-left:0;margin-top:0;width:43.45pt;height:39.1pt;z-index:25165827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" filled="f" stroked="f">
              <v:textbox style="mso-fit-shape-to-text:t" inset="0,15pt,0,0">
                <w:txbxContent>
                  <w:p w14:paraId="25F3043D" w14:textId="76F65D2B" w:rsidR="009E288C" w:rsidRPr="009E288C" w:rsidRDefault="009E288C" w:rsidP="009E288C">
                    <w:pPr>
                      <w:spacing w:after="0"/>
                      <w:rPr>
                        <w:rFonts w:ascii="Calibri" w:eastAsia="Calibri" w:hAnsi="Calibri" w:cs="Calibri"/>
                        <w:noProof/>
                        <w:color w:val="000000"/>
                        <w:sz w:val="24"/>
                        <w:szCs w:val="24"/>
                      </w:rPr>
                    </w:pPr>
                    <w:r w:rsidRPr="009E288C">
                      <w:rPr>
                        <w:rFonts w:ascii="Calibri" w:eastAsia="Calibri" w:hAnsi="Calibri" w:cs="Calibri"/>
                        <w:noProof/>
                        <w:color w:val="000000"/>
                        <w:sz w:val="24"/>
                        <w:szCs w:val="24"/>
                      </w:rPr>
                      <w:t>OFFICIAL</w:t>
                    </w:r>
                  </w:p>
                </w:txbxContent>
              </v:textbox>
              <w10:wrap anchorx="page" anchory="page"/>
            </v:shape>
          </w:pict>
        </mc:Fallback>
      </mc:AlternateConten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9D7BC" w14:textId="57FBD6BE" w:rsidR="00C540DB" w:rsidRDefault="00C540DB">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A4165" w14:textId="713E6341" w:rsidR="00590421" w:rsidRDefault="00590421" w:rsidP="00590421">
    <w:pPr>
      <w:pStyle w:val="Header"/>
      <w:ind w:right="3240"/>
      <w:rPr>
        <w:noProof/>
      </w:rPr>
    </w:pPr>
    <w:r>
      <w:fldChar w:fldCharType="begin"/>
    </w:r>
    <w:r>
      <w:instrText xml:space="preserve"> STYLEREF  “</w:instrText>
    </w:r>
    <w:r w:rsidRPr="000332A8">
      <w:instrText>Heading 1</w:instrText>
    </w:r>
    <w:r>
      <w:instrText xml:space="preserve">”  \* MERGEFORMAT </w:instrText>
    </w:r>
    <w:r>
      <w:fldChar w:fldCharType="separate"/>
    </w:r>
    <w:r w:rsidR="00CA17BE">
      <w:rPr>
        <w:noProof/>
      </w:rPr>
      <w:t>APPENDIX 2: Non-routine transactions not covered by the Tier 2 Model and assOCIated disclosure requirements [REVISED]</w:t>
    </w:r>
    <w:r>
      <w:rPr>
        <w:noProof/>
      </w:rPr>
      <w:fldChar w:fldCharType="end"/>
    </w:r>
  </w:p>
  <w:p w14:paraId="50C9292B" w14:textId="0D51BBC8" w:rsidR="00A545BA" w:rsidRPr="00D372E9" w:rsidRDefault="00A545BA" w:rsidP="00590421">
    <w:pPr>
      <w:pStyle w:val="Header"/>
      <w:jc w:val="both"/>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49E36" w14:textId="6ED0568A" w:rsidR="009E288C" w:rsidRDefault="009E288C">
    <w:pPr>
      <w:pStyle w:val="Header"/>
    </w:pPr>
    <w:r>
      <w:rPr>
        <w:noProof/>
      </w:rPr>
      <mc:AlternateContent>
        <mc:Choice Requires="wps">
          <w:drawing>
            <wp:anchor distT="0" distB="0" distL="0" distR="0" simplePos="0" relativeHeight="251658278" behindDoc="0" locked="0" layoutInCell="1" allowOverlap="1" wp14:anchorId="4994E0F2" wp14:editId="2E3D00DE">
              <wp:simplePos x="635" y="635"/>
              <wp:positionH relativeFrom="page">
                <wp:align>center</wp:align>
              </wp:positionH>
              <wp:positionV relativeFrom="page">
                <wp:align>top</wp:align>
              </wp:positionV>
              <wp:extent cx="551815" cy="496570"/>
              <wp:effectExtent l="0" t="0" r="635" b="17780"/>
              <wp:wrapNone/>
              <wp:docPr id="791908550" name="Text Box 10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96570"/>
                      </a:xfrm>
                      <a:prstGeom prst="rect">
                        <a:avLst/>
                      </a:prstGeom>
                      <a:noFill/>
                      <a:ln>
                        <a:noFill/>
                      </a:ln>
                    </wps:spPr>
                    <wps:txbx>
                      <w:txbxContent>
                        <w:p w14:paraId="6A91D47F" w14:textId="77920AC3" w:rsidR="009E288C" w:rsidRPr="009E288C" w:rsidRDefault="009E288C" w:rsidP="009E288C">
                          <w:pPr>
                            <w:spacing w:after="0"/>
                            <w:rPr>
                              <w:rFonts w:ascii="Calibri" w:eastAsia="Calibri" w:hAnsi="Calibri" w:cs="Calibri"/>
                              <w:noProof/>
                              <w:color w:val="000000"/>
                              <w:sz w:val="24"/>
                              <w:szCs w:val="24"/>
                            </w:rPr>
                          </w:pPr>
                          <w:r w:rsidRPr="009E288C">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94E0F2" id="_x0000_t202" coordsize="21600,21600" o:spt="202" path="m,l,21600r21600,l21600,xe">
              <v:stroke joinstyle="miter"/>
              <v:path gradientshapeok="t" o:connecttype="rect"/>
            </v:shapetype>
            <v:shape id="Text Box 101" o:spid="_x0000_s1068" type="#_x0000_t202" alt="OFFICIAL" style="position:absolute;margin-left:0;margin-top:0;width:43.45pt;height:39.1pt;z-index:25165827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" filled="f" stroked="f">
              <v:textbox style="mso-fit-shape-to-text:t" inset="0,15pt,0,0">
                <w:txbxContent>
                  <w:p w14:paraId="6A91D47F" w14:textId="77920AC3" w:rsidR="009E288C" w:rsidRPr="009E288C" w:rsidRDefault="009E288C" w:rsidP="009E288C">
                    <w:pPr>
                      <w:spacing w:after="0"/>
                      <w:rPr>
                        <w:rFonts w:ascii="Calibri" w:eastAsia="Calibri" w:hAnsi="Calibri" w:cs="Calibri"/>
                        <w:noProof/>
                        <w:color w:val="000000"/>
                        <w:sz w:val="24"/>
                        <w:szCs w:val="24"/>
                      </w:rPr>
                    </w:pPr>
                    <w:r w:rsidRPr="009E288C">
                      <w:rPr>
                        <w:rFonts w:ascii="Calibri" w:eastAsia="Calibri" w:hAnsi="Calibri" w:cs="Calibri"/>
                        <w:noProof/>
                        <w:color w:val="000000"/>
                        <w:sz w:val="24"/>
                        <w:szCs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9546E" w14:textId="1BCFAA34" w:rsidR="00A545BA" w:rsidRDefault="009E288C">
    <w:pPr>
      <w:pStyle w:val="Header"/>
    </w:pPr>
    <w:r>
      <w:rPr>
        <w:noProof/>
      </w:rPr>
      <mc:AlternateContent>
        <mc:Choice Requires="wps">
          <w:drawing>
            <wp:anchor distT="0" distB="0" distL="0" distR="0" simplePos="0" relativeHeight="251658262" behindDoc="0" locked="0" layoutInCell="1" allowOverlap="1" wp14:anchorId="08C15B7E" wp14:editId="79E91A1C">
              <wp:simplePos x="635" y="635"/>
              <wp:positionH relativeFrom="page">
                <wp:align>center</wp:align>
              </wp:positionH>
              <wp:positionV relativeFrom="page">
                <wp:align>top</wp:align>
              </wp:positionV>
              <wp:extent cx="551815" cy="496570"/>
              <wp:effectExtent l="0" t="0" r="635" b="17780"/>
              <wp:wrapNone/>
              <wp:docPr id="2070520571" name="Text Box 4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96570"/>
                      </a:xfrm>
                      <a:prstGeom prst="rect">
                        <a:avLst/>
                      </a:prstGeom>
                      <a:noFill/>
                      <a:ln>
                        <a:noFill/>
                      </a:ln>
                    </wps:spPr>
                    <wps:txbx>
                      <w:txbxContent>
                        <w:p w14:paraId="1BA056EA" w14:textId="713318E2" w:rsidR="009E288C" w:rsidRPr="009E288C" w:rsidRDefault="009E288C" w:rsidP="009E288C">
                          <w:pPr>
                            <w:spacing w:after="0"/>
                            <w:rPr>
                              <w:rFonts w:ascii="Calibri" w:eastAsia="Calibri" w:hAnsi="Calibri" w:cs="Calibri"/>
                              <w:noProof/>
                              <w:color w:val="000000"/>
                              <w:sz w:val="24"/>
                              <w:szCs w:val="24"/>
                            </w:rPr>
                          </w:pPr>
                          <w:r w:rsidRPr="009E288C">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C15B7E" id="_x0000_t202" coordsize="21600,21600" o:spt="202" path="m,l,21600r21600,l21600,xe">
              <v:stroke joinstyle="miter"/>
              <v:path gradientshapeok="t" o:connecttype="rect"/>
            </v:shapetype>
            <v:shape id="_x0000_s1042" type="#_x0000_t202" alt="OFFICIAL" style="position:absolute;margin-left:0;margin-top:0;width:43.45pt;height:39.1pt;z-index:25165826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" filled="f" stroked="f">
              <v:textbox style="mso-fit-shape-to-text:t" inset="0,15pt,0,0">
                <w:txbxContent>
                  <w:p w14:paraId="1BA056EA" w14:textId="713318E2" w:rsidR="009E288C" w:rsidRPr="009E288C" w:rsidRDefault="009E288C" w:rsidP="009E288C">
                    <w:pPr>
                      <w:spacing w:after="0"/>
                      <w:rPr>
                        <w:rFonts w:ascii="Calibri" w:eastAsia="Calibri" w:hAnsi="Calibri" w:cs="Calibri"/>
                        <w:noProof/>
                        <w:color w:val="000000"/>
                        <w:sz w:val="24"/>
                        <w:szCs w:val="24"/>
                      </w:rPr>
                    </w:pPr>
                    <w:r w:rsidRPr="009E288C">
                      <w:rPr>
                        <w:rFonts w:ascii="Calibri" w:eastAsia="Calibri" w:hAnsi="Calibri" w:cs="Calibri"/>
                        <w:noProof/>
                        <w:color w:val="000000"/>
                        <w:sz w:val="24"/>
                        <w:szCs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62737" w14:textId="3E8B7941" w:rsidR="009E288C" w:rsidRDefault="009E288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EB1D9" w14:textId="72BFAFD2" w:rsidR="009E288C" w:rsidRDefault="009E288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DA44F" w14:textId="435B975A" w:rsidR="009E288C" w:rsidRDefault="009E288C">
    <w:pPr>
      <w:pStyle w:val="Header"/>
    </w:pPr>
    <w:r>
      <w:rPr>
        <w:noProof/>
      </w:rPr>
      <mc:AlternateContent>
        <mc:Choice Requires="wps">
          <w:drawing>
            <wp:anchor distT="0" distB="0" distL="0" distR="0" simplePos="0" relativeHeight="251658264" behindDoc="0" locked="0" layoutInCell="1" allowOverlap="1" wp14:anchorId="2BCA3F2C" wp14:editId="6019B6EE">
              <wp:simplePos x="635" y="635"/>
              <wp:positionH relativeFrom="page">
                <wp:align>center</wp:align>
              </wp:positionH>
              <wp:positionV relativeFrom="page">
                <wp:align>top</wp:align>
              </wp:positionV>
              <wp:extent cx="551815" cy="496570"/>
              <wp:effectExtent l="0" t="0" r="635" b="17780"/>
              <wp:wrapNone/>
              <wp:docPr id="503866453" name="Text Box 4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96570"/>
                      </a:xfrm>
                      <a:prstGeom prst="rect">
                        <a:avLst/>
                      </a:prstGeom>
                      <a:noFill/>
                      <a:ln>
                        <a:noFill/>
                      </a:ln>
                    </wps:spPr>
                    <wps:txbx>
                      <w:txbxContent>
                        <w:p w14:paraId="3FFF402E" w14:textId="3E4DFBB4" w:rsidR="009E288C" w:rsidRPr="009E288C" w:rsidRDefault="009E288C" w:rsidP="009E288C">
                          <w:pPr>
                            <w:spacing w:after="0"/>
                            <w:rPr>
                              <w:rFonts w:ascii="Calibri" w:eastAsia="Calibri" w:hAnsi="Calibri" w:cs="Calibri"/>
                              <w:noProof/>
                              <w:color w:val="000000"/>
                              <w:sz w:val="24"/>
                              <w:szCs w:val="24"/>
                            </w:rPr>
                          </w:pPr>
                          <w:r w:rsidRPr="009E288C">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CA3F2C" id="_x0000_t202" coordsize="21600,21600" o:spt="202" path="m,l,21600r21600,l21600,xe">
              <v:stroke joinstyle="miter"/>
              <v:path gradientshapeok="t" o:connecttype="rect"/>
            </v:shapetype>
            <v:shape id="Text Box 47" o:spid="_x0000_s1047" type="#_x0000_t202" alt="OFFICIAL" style="position:absolute;margin-left:0;margin-top:0;width:43.45pt;height:39.1pt;z-index:251658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" filled="f" stroked="f">
              <v:textbox style="mso-fit-shape-to-text:t" inset="0,15pt,0,0">
                <w:txbxContent>
                  <w:p w14:paraId="3FFF402E" w14:textId="3E4DFBB4" w:rsidR="009E288C" w:rsidRPr="009E288C" w:rsidRDefault="009E288C" w:rsidP="009E288C">
                    <w:pPr>
                      <w:spacing w:after="0"/>
                      <w:rPr>
                        <w:rFonts w:ascii="Calibri" w:eastAsia="Calibri" w:hAnsi="Calibri" w:cs="Calibri"/>
                        <w:noProof/>
                        <w:color w:val="000000"/>
                        <w:sz w:val="24"/>
                        <w:szCs w:val="24"/>
                      </w:rPr>
                    </w:pPr>
                    <w:r w:rsidRPr="009E288C">
                      <w:rPr>
                        <w:rFonts w:ascii="Calibri" w:eastAsia="Calibri" w:hAnsi="Calibri" w:cs="Calibri"/>
                        <w:noProof/>
                        <w:color w:val="0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52AECE0"/>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DE1ED638"/>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FD762172"/>
    <w:lvl w:ilvl="0">
      <w:start w:val="1"/>
      <w:numFmt w:val="bullet"/>
      <w:pStyle w:val="ListBullet"/>
      <w:lvlText w:val=""/>
      <w:lvlJc w:val="left"/>
      <w:pPr>
        <w:tabs>
          <w:tab w:val="num" w:pos="360"/>
        </w:tabs>
        <w:ind w:left="360" w:hanging="360"/>
      </w:pPr>
      <w:rPr>
        <w:rFonts w:ascii="Symbol" w:hAnsi="Symbol" w:hint="default"/>
        <w:color w:val="4472C4" w:themeColor="accent1"/>
      </w:rPr>
    </w:lvl>
  </w:abstractNum>
  <w:abstractNum w:abstractNumId="3" w15:restartNumberingAfterBreak="0">
    <w:nsid w:val="00474C28"/>
    <w:multiLevelType w:val="hybridMultilevel"/>
    <w:tmpl w:val="C54A3F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09204FB"/>
    <w:multiLevelType w:val="hybridMultilevel"/>
    <w:tmpl w:val="BBD69468"/>
    <w:lvl w:ilvl="0" w:tplc="F248350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0C943E3"/>
    <w:multiLevelType w:val="hybridMultilevel"/>
    <w:tmpl w:val="529829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0DA6C65"/>
    <w:multiLevelType w:val="hybridMultilevel"/>
    <w:tmpl w:val="679E9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0EA444A"/>
    <w:multiLevelType w:val="hybridMultilevel"/>
    <w:tmpl w:val="F9EC83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113534E"/>
    <w:multiLevelType w:val="hybridMultilevel"/>
    <w:tmpl w:val="767E5C6E"/>
    <w:lvl w:ilvl="0" w:tplc="82AC64E6">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13203D0"/>
    <w:multiLevelType w:val="hybridMultilevel"/>
    <w:tmpl w:val="D2A245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3212EBF"/>
    <w:multiLevelType w:val="hybridMultilevel"/>
    <w:tmpl w:val="3A74DB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3D11B46"/>
    <w:multiLevelType w:val="hybridMultilevel"/>
    <w:tmpl w:val="FFA4DA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43D52EA"/>
    <w:multiLevelType w:val="hybridMultilevel"/>
    <w:tmpl w:val="3F982994"/>
    <w:lvl w:ilvl="0" w:tplc="8B52547E">
      <w:start w:val="1"/>
      <w:numFmt w:val="bullet"/>
      <w:lvlText w:val="-"/>
      <w:lvlJc w:val="left"/>
      <w:pPr>
        <w:ind w:left="360" w:hanging="360"/>
      </w:pPr>
      <w:rPr>
        <w:rFonts w:ascii="Arial" w:eastAsia="SimSun" w:hAnsi="Arial" w:cs="Aria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04DA3EB8"/>
    <w:multiLevelType w:val="hybridMultilevel"/>
    <w:tmpl w:val="A17482A2"/>
    <w:lvl w:ilvl="0" w:tplc="FFFFFFFF">
      <w:start w:val="1"/>
      <w:numFmt w:val="lowerRoman"/>
      <w:lvlText w:val="(%1)"/>
      <w:lvlJc w:val="left"/>
      <w:pPr>
        <w:ind w:left="1060" w:hanging="360"/>
      </w:pPr>
      <w:rPr>
        <w:rFonts w:hint="default"/>
      </w:r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14" w15:restartNumberingAfterBreak="0">
    <w:nsid w:val="052F152D"/>
    <w:multiLevelType w:val="hybridMultilevel"/>
    <w:tmpl w:val="4C7EDB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5CA580E"/>
    <w:multiLevelType w:val="hybridMultilevel"/>
    <w:tmpl w:val="FFAAC77C"/>
    <w:lvl w:ilvl="0" w:tplc="82AC64E6">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060A6120"/>
    <w:multiLevelType w:val="hybridMultilevel"/>
    <w:tmpl w:val="FC04EFE8"/>
    <w:lvl w:ilvl="0" w:tplc="FFFFFFFF">
      <w:start w:val="1"/>
      <w:numFmt w:val="bullet"/>
      <w:lvlText w:val=""/>
      <w:lvlJc w:val="left"/>
      <w:pPr>
        <w:tabs>
          <w:tab w:val="num" w:pos="360"/>
        </w:tabs>
        <w:ind w:left="360" w:hanging="360"/>
      </w:pPr>
      <w:rPr>
        <w:rFonts w:ascii="Symbol" w:hAnsi="Symbol" w:hint="default"/>
      </w:rPr>
    </w:lvl>
    <w:lvl w:ilvl="1" w:tplc="FFFFFFFF">
      <w:start w:val="1"/>
      <w:numFmt w:val="lowerRoman"/>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063E2C54"/>
    <w:multiLevelType w:val="hybridMultilevel"/>
    <w:tmpl w:val="9B22E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06435ED9"/>
    <w:multiLevelType w:val="hybridMultilevel"/>
    <w:tmpl w:val="B608CD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06DC5DE5"/>
    <w:multiLevelType w:val="multilevel"/>
    <w:tmpl w:val="8F2041BC"/>
    <w:lvl w:ilvl="0">
      <w:start w:val="1"/>
      <w:numFmt w:val="decimal"/>
      <w:pStyle w:val="ListNumber"/>
      <w:lvlText w:val="%1."/>
      <w:lvlJc w:val="left"/>
      <w:pPr>
        <w:ind w:left="397" w:hanging="397"/>
      </w:pPr>
      <w:rPr>
        <w:rFonts w:hint="default"/>
      </w:rPr>
    </w:lvl>
    <w:lvl w:ilvl="1">
      <w:start w:val="1"/>
      <w:numFmt w:val="lowerLetter"/>
      <w:pStyle w:val="ListNumber2"/>
      <w:lvlText w:val="%2."/>
      <w:lvlJc w:val="left"/>
      <w:pPr>
        <w:ind w:left="794" w:hanging="397"/>
      </w:pPr>
      <w:rPr>
        <w:rFonts w:hint="default"/>
      </w:rPr>
    </w:lvl>
    <w:lvl w:ilvl="2">
      <w:start w:val="1"/>
      <w:numFmt w:val="lowerRoman"/>
      <w:pStyle w:val="ListNumber3"/>
      <w:lvlText w:val="%3."/>
      <w:lvlJc w:val="left"/>
      <w:pPr>
        <w:ind w:left="1191" w:hanging="397"/>
      </w:pPr>
      <w:rPr>
        <w:rFonts w:hint="default"/>
      </w:rPr>
    </w:lvl>
    <w:lvl w:ilvl="3">
      <w:start w:val="1"/>
      <w:numFmt w:val="decimal"/>
      <w:pStyle w:val="ListNumber4"/>
      <w:lvlText w:val="%4."/>
      <w:lvlJc w:val="left"/>
      <w:pPr>
        <w:ind w:left="1588" w:hanging="397"/>
      </w:pPr>
      <w:rPr>
        <w:rFonts w:hint="default"/>
      </w:rPr>
    </w:lvl>
    <w:lvl w:ilvl="4">
      <w:start w:val="1"/>
      <w:numFmt w:val="lowerLetter"/>
      <w:pStyle w:val="ListNumber5"/>
      <w:lvlText w:val="%5."/>
      <w:lvlJc w:val="left"/>
      <w:pPr>
        <w:ind w:left="1985" w:hanging="397"/>
      </w:pPr>
      <w:rPr>
        <w:rFonts w:hint="default"/>
      </w:rPr>
    </w:lvl>
    <w:lvl w:ilvl="5">
      <w:start w:val="1"/>
      <w:numFmt w:val="lowerRoman"/>
      <w:lvlText w:val="(%6)"/>
      <w:lvlJc w:val="lef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left"/>
      <w:pPr>
        <w:ind w:left="3573" w:hanging="397"/>
      </w:pPr>
      <w:rPr>
        <w:rFonts w:hint="default"/>
      </w:rPr>
    </w:lvl>
  </w:abstractNum>
  <w:abstractNum w:abstractNumId="20" w15:restartNumberingAfterBreak="0">
    <w:nsid w:val="077137DA"/>
    <w:multiLevelType w:val="hybridMultilevel"/>
    <w:tmpl w:val="DA0A5F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07A85EC4"/>
    <w:multiLevelType w:val="hybridMultilevel"/>
    <w:tmpl w:val="D278042C"/>
    <w:lvl w:ilvl="0" w:tplc="8B52547E">
      <w:start w:val="1"/>
      <w:numFmt w:val="bullet"/>
      <w:lvlText w:val="-"/>
      <w:lvlJc w:val="left"/>
      <w:pPr>
        <w:ind w:left="720" w:hanging="360"/>
      </w:pPr>
      <w:rPr>
        <w:rFonts w:ascii="Arial" w:eastAsia="SimSu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07C675CF"/>
    <w:multiLevelType w:val="hybridMultilevel"/>
    <w:tmpl w:val="9502D7D0"/>
    <w:lvl w:ilvl="0" w:tplc="BEF8E9DA">
      <w:numFmt w:val="bullet"/>
      <w:lvlText w:val=""/>
      <w:lvlJc w:val="left"/>
      <w:pPr>
        <w:ind w:left="405"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07D52312"/>
    <w:multiLevelType w:val="hybridMultilevel"/>
    <w:tmpl w:val="25B4ED4E"/>
    <w:lvl w:ilvl="0" w:tplc="0C090003">
      <w:start w:val="1"/>
      <w:numFmt w:val="bullet"/>
      <w:lvlText w:val="o"/>
      <w:lvlJc w:val="left"/>
      <w:pPr>
        <w:ind w:left="1060" w:hanging="360"/>
      </w:pPr>
      <w:rPr>
        <w:rFonts w:ascii="Courier New" w:hAnsi="Courier New" w:cs="Courier New"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4" w15:restartNumberingAfterBreak="0">
    <w:nsid w:val="08DE4CC8"/>
    <w:multiLevelType w:val="hybridMultilevel"/>
    <w:tmpl w:val="B010DE7A"/>
    <w:lvl w:ilvl="0" w:tplc="FFFFFFFF">
      <w:start w:val="1"/>
      <w:numFmt w:val="bullet"/>
      <w:lvlText w:val=""/>
      <w:lvlJc w:val="left"/>
      <w:pPr>
        <w:tabs>
          <w:tab w:val="num" w:pos="360"/>
        </w:tabs>
        <w:ind w:left="360" w:hanging="360"/>
      </w:pPr>
      <w:rPr>
        <w:rFonts w:ascii="Symbol" w:hAnsi="Symbol" w:hint="default"/>
      </w:rPr>
    </w:lvl>
    <w:lvl w:ilvl="1" w:tplc="FFFFFFFF">
      <w:start w:val="1"/>
      <w:numFmt w:val="lowerRoman"/>
      <w:lvlText w:val="(%2)"/>
      <w:lvlJc w:val="left"/>
      <w:pPr>
        <w:ind w:left="106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09650633"/>
    <w:multiLevelType w:val="hybridMultilevel"/>
    <w:tmpl w:val="13BA3CAE"/>
    <w:lvl w:ilvl="0" w:tplc="82AC64E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0A465E37"/>
    <w:multiLevelType w:val="hybridMultilevel"/>
    <w:tmpl w:val="5B8A21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0B2003B7"/>
    <w:multiLevelType w:val="hybridMultilevel"/>
    <w:tmpl w:val="30BE5582"/>
    <w:lvl w:ilvl="0" w:tplc="A1747DEC">
      <w:start w:val="1"/>
      <w:numFmt w:val="lowerLetter"/>
      <w:lvlText w:val="(%1)"/>
      <w:lvlJc w:val="left"/>
      <w:pPr>
        <w:ind w:left="390" w:hanging="39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0B7545E2"/>
    <w:multiLevelType w:val="multilevel"/>
    <w:tmpl w:val="6298CC6A"/>
    <w:styleLink w:val="BulletListStyle"/>
    <w:lvl w:ilvl="0">
      <w:start w:val="1"/>
      <w:numFmt w:val="bullet"/>
      <w:lvlText w:val=""/>
      <w:lvlJc w:val="left"/>
      <w:pPr>
        <w:ind w:left="397" w:hanging="397"/>
      </w:pPr>
      <w:rPr>
        <w:rFonts w:ascii="Symbol" w:hAnsi="Symbol" w:hint="default"/>
      </w:rPr>
    </w:lvl>
    <w:lvl w:ilvl="1">
      <w:start w:val="1"/>
      <w:numFmt w:val="none"/>
      <w:lvlText w:val="–"/>
      <w:lvlJc w:val="left"/>
      <w:pPr>
        <w:ind w:left="794" w:hanging="397"/>
      </w:pPr>
      <w:rPr>
        <w:rFonts w:hint="default"/>
      </w:rPr>
    </w:lvl>
    <w:lvl w:ilvl="2">
      <w:start w:val="1"/>
      <w:numFmt w:val="bullet"/>
      <w:lvlText w:val=""/>
      <w:lvlJc w:val="left"/>
      <w:pPr>
        <w:ind w:left="1191" w:hanging="397"/>
      </w:pPr>
      <w:rPr>
        <w:rFonts w:ascii="Wingdings" w:hAnsi="Wingdings" w:hint="default"/>
      </w:rPr>
    </w:lvl>
    <w:lvl w:ilvl="3">
      <w:start w:val="1"/>
      <w:numFmt w:val="none"/>
      <w:lvlText w:val="–"/>
      <w:lvlJc w:val="left"/>
      <w:pPr>
        <w:ind w:left="1588" w:hanging="397"/>
      </w:pPr>
      <w:rPr>
        <w:rFonts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tabs>
          <w:tab w:val="num" w:pos="2666"/>
        </w:tabs>
        <w:ind w:left="2779" w:hanging="397"/>
      </w:pPr>
      <w:rPr>
        <w:rFonts w:ascii="Symbol" w:hAnsi="Symbol" w:hint="default"/>
      </w:rPr>
    </w:lvl>
    <w:lvl w:ilvl="7">
      <w:start w:val="1"/>
      <w:numFmt w:val="bullet"/>
      <w:lvlText w:val="o"/>
      <w:lvlJc w:val="left"/>
      <w:pPr>
        <w:tabs>
          <w:tab w:val="num" w:pos="3063"/>
        </w:tabs>
        <w:ind w:left="3176" w:hanging="397"/>
      </w:pPr>
      <w:rPr>
        <w:rFonts w:ascii="Courier New" w:hAnsi="Courier New" w:cs="Courier New" w:hint="default"/>
      </w:rPr>
    </w:lvl>
    <w:lvl w:ilvl="8">
      <w:start w:val="1"/>
      <w:numFmt w:val="bullet"/>
      <w:lvlText w:val=""/>
      <w:lvlJc w:val="left"/>
      <w:pPr>
        <w:tabs>
          <w:tab w:val="num" w:pos="3460"/>
        </w:tabs>
        <w:ind w:left="3573" w:hanging="397"/>
      </w:pPr>
      <w:rPr>
        <w:rFonts w:ascii="Wingdings" w:hAnsi="Wingdings" w:hint="default"/>
      </w:rPr>
    </w:lvl>
  </w:abstractNum>
  <w:abstractNum w:abstractNumId="29" w15:restartNumberingAfterBreak="0">
    <w:nsid w:val="0BB268EC"/>
    <w:multiLevelType w:val="hybridMultilevel"/>
    <w:tmpl w:val="E6ACE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0BC10ADE"/>
    <w:multiLevelType w:val="hybridMultilevel"/>
    <w:tmpl w:val="4614F65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0BC24276"/>
    <w:multiLevelType w:val="hybridMultilevel"/>
    <w:tmpl w:val="BD201F3A"/>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0BFF597A"/>
    <w:multiLevelType w:val="hybridMultilevel"/>
    <w:tmpl w:val="E474B0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0D6A4162"/>
    <w:multiLevelType w:val="multilevel"/>
    <w:tmpl w:val="C024DAA4"/>
    <w:styleLink w:val="ListBulletAlphaStyle"/>
    <w:lvl w:ilvl="0">
      <w:start w:val="1"/>
      <w:numFmt w:val="lowerLetter"/>
      <w:pStyle w:val="ListAlpha"/>
      <w:lvlText w:val="(%1)"/>
      <w:lvlJc w:val="left"/>
      <w:pPr>
        <w:tabs>
          <w:tab w:val="num" w:pos="284"/>
        </w:tabs>
        <w:ind w:left="284" w:hanging="284"/>
      </w:pPr>
      <w:rPr>
        <w:rFonts w:hint="default"/>
      </w:rPr>
    </w:lvl>
    <w:lvl w:ilvl="1">
      <w:start w:val="1"/>
      <w:numFmt w:val="lowerRoman"/>
      <w:pStyle w:val="ListAlpha2"/>
      <w:lvlText w:val="(%2)"/>
      <w:lvlJc w:val="left"/>
      <w:pPr>
        <w:tabs>
          <w:tab w:val="num" w:pos="568"/>
        </w:tabs>
        <w:ind w:left="568" w:hanging="284"/>
      </w:pPr>
      <w:rPr>
        <w:rFonts w:hint="default"/>
      </w:rPr>
    </w:lvl>
    <w:lvl w:ilvl="2">
      <w:start w:val="1"/>
      <w:numFmt w:val="upperLetter"/>
      <w:pStyle w:val="ListAlpha3"/>
      <w:lvlText w:val="(%3)"/>
      <w:lvlJc w:val="left"/>
      <w:pPr>
        <w:tabs>
          <w:tab w:val="num" w:pos="852"/>
        </w:tabs>
        <w:ind w:left="852" w:hanging="284"/>
      </w:pPr>
      <w:rPr>
        <w:rFont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34" w15:restartNumberingAfterBreak="0">
    <w:nsid w:val="0DBE5672"/>
    <w:multiLevelType w:val="hybridMultilevel"/>
    <w:tmpl w:val="43125E82"/>
    <w:lvl w:ilvl="0" w:tplc="82AC64E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0DCA2B2C"/>
    <w:multiLevelType w:val="hybridMultilevel"/>
    <w:tmpl w:val="1DA21E38"/>
    <w:lvl w:ilvl="0" w:tplc="F3E2E600">
      <w:start w:val="1"/>
      <w:numFmt w:val="lowerLetter"/>
      <w:lvlText w:val="(%1)"/>
      <w:lvlJc w:val="left"/>
      <w:pPr>
        <w:ind w:left="758" w:hanging="398"/>
      </w:pPr>
      <w:rPr>
        <w:rFonts w:eastAsia="SimSun"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0DFF17FE"/>
    <w:multiLevelType w:val="hybridMultilevel"/>
    <w:tmpl w:val="4B0C82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0E300016"/>
    <w:multiLevelType w:val="hybridMultilevel"/>
    <w:tmpl w:val="09FEBD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0EA801E3"/>
    <w:multiLevelType w:val="hybridMultilevel"/>
    <w:tmpl w:val="C3760488"/>
    <w:lvl w:ilvl="0" w:tplc="82AC64E6">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100543E7"/>
    <w:multiLevelType w:val="hybridMultilevel"/>
    <w:tmpl w:val="9BAEEF8E"/>
    <w:lvl w:ilvl="0" w:tplc="4C0CE86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102B67FF"/>
    <w:multiLevelType w:val="hybridMultilevel"/>
    <w:tmpl w:val="C1660CB2"/>
    <w:lvl w:ilvl="0" w:tplc="66A05F7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1033246C"/>
    <w:multiLevelType w:val="hybridMultilevel"/>
    <w:tmpl w:val="03C873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1045474B"/>
    <w:multiLevelType w:val="hybridMultilevel"/>
    <w:tmpl w:val="A1CA3B0A"/>
    <w:lvl w:ilvl="0" w:tplc="82AC64E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1093184C"/>
    <w:multiLevelType w:val="hybridMultilevel"/>
    <w:tmpl w:val="6704975E"/>
    <w:lvl w:ilvl="0" w:tplc="82AC64E6">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121F675F"/>
    <w:multiLevelType w:val="hybridMultilevel"/>
    <w:tmpl w:val="E738F22C"/>
    <w:lvl w:ilvl="0" w:tplc="F462E6B8">
      <w:start w:val="1"/>
      <w:numFmt w:val="lowerLetter"/>
      <w:lvlText w:val="(%1)"/>
      <w:lvlJc w:val="left"/>
      <w:pPr>
        <w:ind w:left="758" w:hanging="398"/>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128A764D"/>
    <w:multiLevelType w:val="hybridMultilevel"/>
    <w:tmpl w:val="7BCC9E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135900DC"/>
    <w:multiLevelType w:val="hybridMultilevel"/>
    <w:tmpl w:val="4344F2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149B27EB"/>
    <w:multiLevelType w:val="hybridMultilevel"/>
    <w:tmpl w:val="B9768134"/>
    <w:lvl w:ilvl="0" w:tplc="D2B4EB4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14AC2D8A"/>
    <w:multiLevelType w:val="hybridMultilevel"/>
    <w:tmpl w:val="EB40BECC"/>
    <w:lvl w:ilvl="0" w:tplc="82AC64E6">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9" w15:restartNumberingAfterBreak="0">
    <w:nsid w:val="14E370DD"/>
    <w:multiLevelType w:val="hybridMultilevel"/>
    <w:tmpl w:val="298AE0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150048EC"/>
    <w:multiLevelType w:val="hybridMultilevel"/>
    <w:tmpl w:val="95402DB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1" w15:restartNumberingAfterBreak="0">
    <w:nsid w:val="15656B82"/>
    <w:multiLevelType w:val="hybridMultilevel"/>
    <w:tmpl w:val="63C4C2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0">
    <w:nsid w:val="15D36A6E"/>
    <w:multiLevelType w:val="hybridMultilevel"/>
    <w:tmpl w:val="804A3F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15:restartNumberingAfterBreak="0">
    <w:nsid w:val="161C6A16"/>
    <w:multiLevelType w:val="hybridMultilevel"/>
    <w:tmpl w:val="468618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16736E5C"/>
    <w:multiLevelType w:val="hybridMultilevel"/>
    <w:tmpl w:val="3D0EA4BC"/>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172D4674"/>
    <w:multiLevelType w:val="hybridMultilevel"/>
    <w:tmpl w:val="0D54A8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181B7A7B"/>
    <w:multiLevelType w:val="hybridMultilevel"/>
    <w:tmpl w:val="D40EB07A"/>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7" w15:restartNumberingAfterBreak="0">
    <w:nsid w:val="18AE7694"/>
    <w:multiLevelType w:val="hybridMultilevel"/>
    <w:tmpl w:val="FC6C5F3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19AC219C"/>
    <w:multiLevelType w:val="hybridMultilevel"/>
    <w:tmpl w:val="583C7330"/>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1A4E623F"/>
    <w:multiLevelType w:val="hybridMultilevel"/>
    <w:tmpl w:val="BFCEE2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1AB41342"/>
    <w:multiLevelType w:val="hybridMultilevel"/>
    <w:tmpl w:val="DDB85C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1B513927"/>
    <w:multiLevelType w:val="hybridMultilevel"/>
    <w:tmpl w:val="7C22BC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2" w15:restartNumberingAfterBreak="0">
    <w:nsid w:val="1BDA2842"/>
    <w:multiLevelType w:val="hybridMultilevel"/>
    <w:tmpl w:val="6DA4B2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3" w15:restartNumberingAfterBreak="0">
    <w:nsid w:val="1C464D97"/>
    <w:multiLevelType w:val="hybridMultilevel"/>
    <w:tmpl w:val="E1F05E7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4" w15:restartNumberingAfterBreak="0">
    <w:nsid w:val="1C924888"/>
    <w:multiLevelType w:val="hybridMultilevel"/>
    <w:tmpl w:val="7FA6A2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1CB622E3"/>
    <w:multiLevelType w:val="hybridMultilevel"/>
    <w:tmpl w:val="4E6020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1D16112B"/>
    <w:multiLevelType w:val="hybridMultilevel"/>
    <w:tmpl w:val="802A6C42"/>
    <w:lvl w:ilvl="0" w:tplc="3210D9A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1DBD1285"/>
    <w:multiLevelType w:val="hybridMultilevel"/>
    <w:tmpl w:val="6D90CCF0"/>
    <w:lvl w:ilvl="0" w:tplc="6090108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1DE33896"/>
    <w:multiLevelType w:val="hybridMultilevel"/>
    <w:tmpl w:val="06BA4A6A"/>
    <w:lvl w:ilvl="0" w:tplc="5A76DDBE">
      <w:start w:val="1"/>
      <w:numFmt w:val="lowerLetter"/>
      <w:lvlText w:val="(%1)"/>
      <w:lvlJc w:val="left"/>
      <w:pPr>
        <w:ind w:left="720" w:hanging="360"/>
      </w:pPr>
      <w:rPr>
        <w:rFonts w:hint="default"/>
        <w:color w:val="4472C4"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1E961E13"/>
    <w:multiLevelType w:val="hybridMultilevel"/>
    <w:tmpl w:val="D87235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1EAA0A30"/>
    <w:multiLevelType w:val="hybridMultilevel"/>
    <w:tmpl w:val="880CC05C"/>
    <w:lvl w:ilvl="0" w:tplc="70D407A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1FA115CD"/>
    <w:multiLevelType w:val="hybridMultilevel"/>
    <w:tmpl w:val="0D42EF8C"/>
    <w:lvl w:ilvl="0" w:tplc="82AC64E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2" w15:restartNumberingAfterBreak="0">
    <w:nsid w:val="20D42166"/>
    <w:multiLevelType w:val="hybridMultilevel"/>
    <w:tmpl w:val="DF2A0DF2"/>
    <w:lvl w:ilvl="0" w:tplc="EAEE4C9A">
      <w:start w:val="1"/>
      <w:numFmt w:val="bullet"/>
      <w:lvlText w:val="-"/>
      <w:lvlJc w:val="left"/>
      <w:pPr>
        <w:ind w:left="720" w:hanging="360"/>
      </w:pPr>
      <w:rPr>
        <w:rFonts w:ascii="Courier New" w:hAnsi="Courier New" w:hint="default"/>
      </w:rPr>
    </w:lvl>
    <w:lvl w:ilvl="1" w:tplc="EAEE4C9A">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20DC5675"/>
    <w:multiLevelType w:val="hybridMultilevel"/>
    <w:tmpl w:val="2BEE8DFC"/>
    <w:lvl w:ilvl="0" w:tplc="FFFFFFFF">
      <w:start w:val="1"/>
      <w:numFmt w:val="lowerRoman"/>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 w15:restartNumberingAfterBreak="0">
    <w:nsid w:val="216724FD"/>
    <w:multiLevelType w:val="hybridMultilevel"/>
    <w:tmpl w:val="B4967C1E"/>
    <w:lvl w:ilvl="0" w:tplc="4E5A3B20">
      <w:start w:val="1"/>
      <w:numFmt w:val="lowerLetter"/>
      <w:lvlText w:val="(%1)"/>
      <w:lvlJc w:val="left"/>
      <w:pPr>
        <w:ind w:left="720" w:hanging="360"/>
      </w:pPr>
      <w:rPr>
        <w:rFonts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21C54029"/>
    <w:multiLevelType w:val="hybridMultilevel"/>
    <w:tmpl w:val="A1A0F024"/>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22177BC4"/>
    <w:multiLevelType w:val="hybridMultilevel"/>
    <w:tmpl w:val="9B441686"/>
    <w:lvl w:ilvl="0" w:tplc="FF7E461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7" w15:restartNumberingAfterBreak="0">
    <w:nsid w:val="22612AEA"/>
    <w:multiLevelType w:val="hybridMultilevel"/>
    <w:tmpl w:val="078E118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22A713A8"/>
    <w:multiLevelType w:val="hybridMultilevel"/>
    <w:tmpl w:val="7A2EA0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22B070A8"/>
    <w:multiLevelType w:val="hybridMultilevel"/>
    <w:tmpl w:val="521447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238D1FCC"/>
    <w:multiLevelType w:val="hybridMultilevel"/>
    <w:tmpl w:val="2AAC4B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23F6608A"/>
    <w:multiLevelType w:val="hybridMultilevel"/>
    <w:tmpl w:val="A114FB52"/>
    <w:lvl w:ilvl="0" w:tplc="82AC64E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2" w15:restartNumberingAfterBreak="0">
    <w:nsid w:val="244345F1"/>
    <w:multiLevelType w:val="hybridMultilevel"/>
    <w:tmpl w:val="1AA0B29E"/>
    <w:lvl w:ilvl="0" w:tplc="82AC64E6">
      <w:start w:val="1"/>
      <w:numFmt w:val="low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3" w15:restartNumberingAfterBreak="0">
    <w:nsid w:val="24A807FA"/>
    <w:multiLevelType w:val="hybridMultilevel"/>
    <w:tmpl w:val="651C79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4" w15:restartNumberingAfterBreak="0">
    <w:nsid w:val="24BE4CB7"/>
    <w:multiLevelType w:val="hybridMultilevel"/>
    <w:tmpl w:val="AFFA89C6"/>
    <w:lvl w:ilvl="0" w:tplc="82AC64E6">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5" w15:restartNumberingAfterBreak="0">
    <w:nsid w:val="24C4243B"/>
    <w:multiLevelType w:val="multilevel"/>
    <w:tmpl w:val="32A07AB2"/>
    <w:lvl w:ilvl="0">
      <w:start w:val="1"/>
      <w:numFmt w:val="lowerLetter"/>
      <w:lvlText w:val="(%1)"/>
      <w:lvlJc w:val="left"/>
      <w:pPr>
        <w:ind w:left="397" w:hanging="397"/>
      </w:pPr>
      <w:rPr>
        <w:rFonts w:hint="default"/>
      </w:rPr>
    </w:lvl>
    <w:lvl w:ilvl="1">
      <w:start w:val="1"/>
      <w:numFmt w:val="lowerRoman"/>
      <w:lvlText w:val="(%2)"/>
      <w:lvlJc w:val="left"/>
      <w:pPr>
        <w:ind w:left="794"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26427ADF"/>
    <w:multiLevelType w:val="hybridMultilevel"/>
    <w:tmpl w:val="42F86F8E"/>
    <w:lvl w:ilvl="0" w:tplc="FFFFFFFF">
      <w:start w:val="1"/>
      <w:numFmt w:val="lowerRoman"/>
      <w:lvlText w:val="(%1)"/>
      <w:lvlJc w:val="left"/>
      <w:pPr>
        <w:ind w:left="1060" w:hanging="360"/>
      </w:pPr>
      <w:rPr>
        <w:rFonts w:hint="default"/>
      </w:r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87" w15:restartNumberingAfterBreak="0">
    <w:nsid w:val="26716936"/>
    <w:multiLevelType w:val="hybridMultilevel"/>
    <w:tmpl w:val="90D25202"/>
    <w:lvl w:ilvl="0" w:tplc="8306E8F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8" w15:restartNumberingAfterBreak="0">
    <w:nsid w:val="26B368A1"/>
    <w:multiLevelType w:val="hybridMultilevel"/>
    <w:tmpl w:val="54A2322C"/>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9" w15:restartNumberingAfterBreak="0">
    <w:nsid w:val="26BA74C1"/>
    <w:multiLevelType w:val="hybridMultilevel"/>
    <w:tmpl w:val="B7FCC10C"/>
    <w:lvl w:ilvl="0" w:tplc="FFFFFFFF">
      <w:start w:val="1"/>
      <w:numFmt w:val="lowerRoman"/>
      <w:lvlText w:val="(%1)"/>
      <w:lvlJc w:val="left"/>
      <w:pPr>
        <w:ind w:left="1060" w:hanging="360"/>
      </w:pPr>
      <w:rPr>
        <w:rFonts w:hint="default"/>
      </w:r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90" w15:restartNumberingAfterBreak="0">
    <w:nsid w:val="26FC5CCB"/>
    <w:multiLevelType w:val="hybridMultilevel"/>
    <w:tmpl w:val="4928D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1" w15:restartNumberingAfterBreak="0">
    <w:nsid w:val="274B1484"/>
    <w:multiLevelType w:val="hybridMultilevel"/>
    <w:tmpl w:val="68AAC0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 w15:restartNumberingAfterBreak="0">
    <w:nsid w:val="276E5BB1"/>
    <w:multiLevelType w:val="hybridMultilevel"/>
    <w:tmpl w:val="A8A0A162"/>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3" w15:restartNumberingAfterBreak="0">
    <w:nsid w:val="2771568D"/>
    <w:multiLevelType w:val="hybridMultilevel"/>
    <w:tmpl w:val="6DACCA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4" w15:restartNumberingAfterBreak="0">
    <w:nsid w:val="277C7128"/>
    <w:multiLevelType w:val="hybridMultilevel"/>
    <w:tmpl w:val="4FDC3004"/>
    <w:lvl w:ilvl="0" w:tplc="82AC64E6">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5" w15:restartNumberingAfterBreak="0">
    <w:nsid w:val="27CB4264"/>
    <w:multiLevelType w:val="multilevel"/>
    <w:tmpl w:val="AA66B30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6" w15:restartNumberingAfterBreak="0">
    <w:nsid w:val="2806306B"/>
    <w:multiLevelType w:val="hybridMultilevel"/>
    <w:tmpl w:val="689CC49E"/>
    <w:lvl w:ilvl="0" w:tplc="7D3CE98E">
      <w:start w:val="1"/>
      <w:numFmt w:val="lowerLetter"/>
      <w:lvlText w:val="(%1)"/>
      <w:lvlJc w:val="left"/>
      <w:pPr>
        <w:ind w:left="390" w:hanging="390"/>
      </w:pPr>
      <w:rPr>
        <w:rFonts w:hint="default"/>
        <w:b w:val="0"/>
        <w:bCs/>
        <w:i/>
        <w:iCs/>
        <w:color w:val="auto"/>
        <w:sz w:val="1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7" w15:restartNumberingAfterBreak="0">
    <w:nsid w:val="28C1281B"/>
    <w:multiLevelType w:val="hybridMultilevel"/>
    <w:tmpl w:val="A6D611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8" w15:restartNumberingAfterBreak="0">
    <w:nsid w:val="28CC5671"/>
    <w:multiLevelType w:val="hybridMultilevel"/>
    <w:tmpl w:val="6AA0F248"/>
    <w:lvl w:ilvl="0" w:tplc="82AC64E6">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9" w15:restartNumberingAfterBreak="0">
    <w:nsid w:val="2978095B"/>
    <w:multiLevelType w:val="hybridMultilevel"/>
    <w:tmpl w:val="78BEAE72"/>
    <w:lvl w:ilvl="0" w:tplc="94B67CA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0" w15:restartNumberingAfterBreak="0">
    <w:nsid w:val="29973B4E"/>
    <w:multiLevelType w:val="hybridMultilevel"/>
    <w:tmpl w:val="C7B611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1" w15:restartNumberingAfterBreak="0">
    <w:nsid w:val="2A331E8F"/>
    <w:multiLevelType w:val="hybridMultilevel"/>
    <w:tmpl w:val="8166B7D8"/>
    <w:lvl w:ilvl="0" w:tplc="527CE2EE">
      <w:start w:val="1"/>
      <w:numFmt w:val="lowerLetter"/>
      <w:lvlText w:val="(%1)"/>
      <w:lvlJc w:val="left"/>
      <w:pPr>
        <w:ind w:left="758" w:hanging="398"/>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2" w15:restartNumberingAfterBreak="0">
    <w:nsid w:val="2AA53BEA"/>
    <w:multiLevelType w:val="multilevel"/>
    <w:tmpl w:val="B6509240"/>
    <w:numStyleLink w:val="ListBulletStyle"/>
  </w:abstractNum>
  <w:abstractNum w:abstractNumId="103" w15:restartNumberingAfterBreak="0">
    <w:nsid w:val="2ADB5D90"/>
    <w:multiLevelType w:val="hybridMultilevel"/>
    <w:tmpl w:val="5B2E50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4" w15:restartNumberingAfterBreak="0">
    <w:nsid w:val="2AF669DC"/>
    <w:multiLevelType w:val="hybridMultilevel"/>
    <w:tmpl w:val="EFA8AB42"/>
    <w:lvl w:ilvl="0" w:tplc="82AC64E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5" w15:restartNumberingAfterBreak="0">
    <w:nsid w:val="2B6E6673"/>
    <w:multiLevelType w:val="hybridMultilevel"/>
    <w:tmpl w:val="17240976"/>
    <w:lvl w:ilvl="0" w:tplc="ACD024B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6" w15:restartNumberingAfterBreak="0">
    <w:nsid w:val="2B744C05"/>
    <w:multiLevelType w:val="hybridMultilevel"/>
    <w:tmpl w:val="63FC4644"/>
    <w:lvl w:ilvl="0" w:tplc="0C090001">
      <w:start w:val="1"/>
      <w:numFmt w:val="bullet"/>
      <w:lvlText w:val=""/>
      <w:lvlJc w:val="left"/>
      <w:pPr>
        <w:ind w:left="323" w:hanging="360"/>
      </w:pPr>
      <w:rPr>
        <w:rFonts w:ascii="Symbol" w:hAnsi="Symbol" w:hint="default"/>
      </w:rPr>
    </w:lvl>
    <w:lvl w:ilvl="1" w:tplc="0C090003" w:tentative="1">
      <w:start w:val="1"/>
      <w:numFmt w:val="bullet"/>
      <w:lvlText w:val="o"/>
      <w:lvlJc w:val="left"/>
      <w:pPr>
        <w:ind w:left="1043" w:hanging="360"/>
      </w:pPr>
      <w:rPr>
        <w:rFonts w:ascii="Courier New" w:hAnsi="Courier New" w:cs="Courier New" w:hint="default"/>
      </w:rPr>
    </w:lvl>
    <w:lvl w:ilvl="2" w:tplc="0C090005" w:tentative="1">
      <w:start w:val="1"/>
      <w:numFmt w:val="bullet"/>
      <w:lvlText w:val=""/>
      <w:lvlJc w:val="left"/>
      <w:pPr>
        <w:ind w:left="1763" w:hanging="360"/>
      </w:pPr>
      <w:rPr>
        <w:rFonts w:ascii="Wingdings" w:hAnsi="Wingdings" w:hint="default"/>
      </w:rPr>
    </w:lvl>
    <w:lvl w:ilvl="3" w:tplc="0C090001" w:tentative="1">
      <w:start w:val="1"/>
      <w:numFmt w:val="bullet"/>
      <w:lvlText w:val=""/>
      <w:lvlJc w:val="left"/>
      <w:pPr>
        <w:ind w:left="2483" w:hanging="360"/>
      </w:pPr>
      <w:rPr>
        <w:rFonts w:ascii="Symbol" w:hAnsi="Symbol" w:hint="default"/>
      </w:rPr>
    </w:lvl>
    <w:lvl w:ilvl="4" w:tplc="0C090003" w:tentative="1">
      <w:start w:val="1"/>
      <w:numFmt w:val="bullet"/>
      <w:lvlText w:val="o"/>
      <w:lvlJc w:val="left"/>
      <w:pPr>
        <w:ind w:left="3203" w:hanging="360"/>
      </w:pPr>
      <w:rPr>
        <w:rFonts w:ascii="Courier New" w:hAnsi="Courier New" w:cs="Courier New" w:hint="default"/>
      </w:rPr>
    </w:lvl>
    <w:lvl w:ilvl="5" w:tplc="0C090005" w:tentative="1">
      <w:start w:val="1"/>
      <w:numFmt w:val="bullet"/>
      <w:lvlText w:val=""/>
      <w:lvlJc w:val="left"/>
      <w:pPr>
        <w:ind w:left="3923" w:hanging="360"/>
      </w:pPr>
      <w:rPr>
        <w:rFonts w:ascii="Wingdings" w:hAnsi="Wingdings" w:hint="default"/>
      </w:rPr>
    </w:lvl>
    <w:lvl w:ilvl="6" w:tplc="0C090001" w:tentative="1">
      <w:start w:val="1"/>
      <w:numFmt w:val="bullet"/>
      <w:lvlText w:val=""/>
      <w:lvlJc w:val="left"/>
      <w:pPr>
        <w:ind w:left="4643" w:hanging="360"/>
      </w:pPr>
      <w:rPr>
        <w:rFonts w:ascii="Symbol" w:hAnsi="Symbol" w:hint="default"/>
      </w:rPr>
    </w:lvl>
    <w:lvl w:ilvl="7" w:tplc="0C090003" w:tentative="1">
      <w:start w:val="1"/>
      <w:numFmt w:val="bullet"/>
      <w:lvlText w:val="o"/>
      <w:lvlJc w:val="left"/>
      <w:pPr>
        <w:ind w:left="5363" w:hanging="360"/>
      </w:pPr>
      <w:rPr>
        <w:rFonts w:ascii="Courier New" w:hAnsi="Courier New" w:cs="Courier New" w:hint="default"/>
      </w:rPr>
    </w:lvl>
    <w:lvl w:ilvl="8" w:tplc="0C090005" w:tentative="1">
      <w:start w:val="1"/>
      <w:numFmt w:val="bullet"/>
      <w:lvlText w:val=""/>
      <w:lvlJc w:val="left"/>
      <w:pPr>
        <w:ind w:left="6083" w:hanging="360"/>
      </w:pPr>
      <w:rPr>
        <w:rFonts w:ascii="Wingdings" w:hAnsi="Wingdings" w:hint="default"/>
      </w:rPr>
    </w:lvl>
  </w:abstractNum>
  <w:abstractNum w:abstractNumId="107" w15:restartNumberingAfterBreak="0">
    <w:nsid w:val="2B9075F8"/>
    <w:multiLevelType w:val="hybridMultilevel"/>
    <w:tmpl w:val="EE8CF6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8" w15:restartNumberingAfterBreak="0">
    <w:nsid w:val="2C6E3048"/>
    <w:multiLevelType w:val="hybridMultilevel"/>
    <w:tmpl w:val="E488B2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9" w15:restartNumberingAfterBreak="0">
    <w:nsid w:val="2CEF19D7"/>
    <w:multiLevelType w:val="hybridMultilevel"/>
    <w:tmpl w:val="FC945C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0" w15:restartNumberingAfterBreak="0">
    <w:nsid w:val="2D5A0CAF"/>
    <w:multiLevelType w:val="hybridMultilevel"/>
    <w:tmpl w:val="76EA63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1" w15:restartNumberingAfterBreak="0">
    <w:nsid w:val="2DE90691"/>
    <w:multiLevelType w:val="hybridMultilevel"/>
    <w:tmpl w:val="50F8B164"/>
    <w:lvl w:ilvl="0" w:tplc="82AC64E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2" w15:restartNumberingAfterBreak="0">
    <w:nsid w:val="2E41202D"/>
    <w:multiLevelType w:val="hybridMultilevel"/>
    <w:tmpl w:val="359042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3" w15:restartNumberingAfterBreak="0">
    <w:nsid w:val="2E5F2E52"/>
    <w:multiLevelType w:val="hybridMultilevel"/>
    <w:tmpl w:val="F3188ABC"/>
    <w:lvl w:ilvl="0" w:tplc="1BCA5CF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4" w15:restartNumberingAfterBreak="0">
    <w:nsid w:val="2E6C12A3"/>
    <w:multiLevelType w:val="hybridMultilevel"/>
    <w:tmpl w:val="6226E1DA"/>
    <w:lvl w:ilvl="0" w:tplc="FFFFFFFF">
      <w:start w:val="1"/>
      <w:numFmt w:val="lowerRoman"/>
      <w:lvlText w:val="(%1)"/>
      <w:lvlJc w:val="left"/>
      <w:pPr>
        <w:ind w:left="1060" w:hanging="360"/>
      </w:pPr>
      <w:rPr>
        <w:rFonts w:hint="default"/>
      </w:r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115" w15:restartNumberingAfterBreak="0">
    <w:nsid w:val="2EC449B9"/>
    <w:multiLevelType w:val="hybridMultilevel"/>
    <w:tmpl w:val="0B18D7D8"/>
    <w:lvl w:ilvl="0" w:tplc="FFFFFFFF">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6" w15:restartNumberingAfterBreak="0">
    <w:nsid w:val="2EE534B6"/>
    <w:multiLevelType w:val="hybridMultilevel"/>
    <w:tmpl w:val="EE827CCE"/>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7" w15:restartNumberingAfterBreak="0">
    <w:nsid w:val="2F074974"/>
    <w:multiLevelType w:val="multilevel"/>
    <w:tmpl w:val="6352B66E"/>
    <w:lvl w:ilvl="0">
      <w:start w:val="1"/>
      <w:numFmt w:val="lowerLetter"/>
      <w:lvlText w:val="(%1)"/>
      <w:lvlJc w:val="left"/>
      <w:pPr>
        <w:tabs>
          <w:tab w:val="num" w:pos="284"/>
        </w:tabs>
        <w:ind w:left="284" w:hanging="284"/>
      </w:pPr>
      <w:rPr>
        <w:rFonts w:hint="default"/>
      </w:rPr>
    </w:lvl>
    <w:lvl w:ilvl="1">
      <w:start w:val="1"/>
      <w:numFmt w:val="bullet"/>
      <w:lvlText w:val="–"/>
      <w:lvlJc w:val="left"/>
      <w:pPr>
        <w:tabs>
          <w:tab w:val="num" w:pos="568"/>
        </w:tabs>
        <w:ind w:left="568" w:hanging="284"/>
      </w:pPr>
      <w:rPr>
        <w:rFonts w:ascii="Arial" w:hAnsi="Arial" w:hint="default"/>
      </w:rPr>
    </w:lvl>
    <w:lvl w:ilvl="2">
      <w:start w:val="1"/>
      <w:numFmt w:val="bullet"/>
      <w:lvlText w:val=""/>
      <w:lvlJc w:val="left"/>
      <w:pPr>
        <w:tabs>
          <w:tab w:val="num" w:pos="852"/>
        </w:tabs>
        <w:ind w:left="852" w:hanging="284"/>
      </w:pPr>
      <w:rPr>
        <w:rFonts w:ascii="Symbol" w:hAnsi="Symbol"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118" w15:restartNumberingAfterBreak="0">
    <w:nsid w:val="2FBB4379"/>
    <w:multiLevelType w:val="hybridMultilevel"/>
    <w:tmpl w:val="DE6A34CC"/>
    <w:lvl w:ilvl="0" w:tplc="124EB57C">
      <w:start w:val="1"/>
      <w:numFmt w:val="lowerRoman"/>
      <w:lvlText w:val="(%1)"/>
      <w:lvlJc w:val="left"/>
      <w:pPr>
        <w:ind w:left="1060" w:hanging="720"/>
      </w:pPr>
      <w:rPr>
        <w:rFonts w:hint="default"/>
      </w:rPr>
    </w:lvl>
    <w:lvl w:ilvl="1" w:tplc="0C090019" w:tentative="1">
      <w:start w:val="1"/>
      <w:numFmt w:val="lowerLetter"/>
      <w:lvlText w:val="%2."/>
      <w:lvlJc w:val="left"/>
      <w:pPr>
        <w:ind w:left="1420" w:hanging="360"/>
      </w:pPr>
    </w:lvl>
    <w:lvl w:ilvl="2" w:tplc="0C09001B" w:tentative="1">
      <w:start w:val="1"/>
      <w:numFmt w:val="lowerRoman"/>
      <w:lvlText w:val="%3."/>
      <w:lvlJc w:val="right"/>
      <w:pPr>
        <w:ind w:left="2140" w:hanging="180"/>
      </w:pPr>
    </w:lvl>
    <w:lvl w:ilvl="3" w:tplc="0C09000F" w:tentative="1">
      <w:start w:val="1"/>
      <w:numFmt w:val="decimal"/>
      <w:lvlText w:val="%4."/>
      <w:lvlJc w:val="left"/>
      <w:pPr>
        <w:ind w:left="2860" w:hanging="360"/>
      </w:pPr>
    </w:lvl>
    <w:lvl w:ilvl="4" w:tplc="0C090019" w:tentative="1">
      <w:start w:val="1"/>
      <w:numFmt w:val="lowerLetter"/>
      <w:lvlText w:val="%5."/>
      <w:lvlJc w:val="left"/>
      <w:pPr>
        <w:ind w:left="3580" w:hanging="360"/>
      </w:pPr>
    </w:lvl>
    <w:lvl w:ilvl="5" w:tplc="0C09001B" w:tentative="1">
      <w:start w:val="1"/>
      <w:numFmt w:val="lowerRoman"/>
      <w:lvlText w:val="%6."/>
      <w:lvlJc w:val="right"/>
      <w:pPr>
        <w:ind w:left="4300" w:hanging="180"/>
      </w:pPr>
    </w:lvl>
    <w:lvl w:ilvl="6" w:tplc="0C09000F" w:tentative="1">
      <w:start w:val="1"/>
      <w:numFmt w:val="decimal"/>
      <w:lvlText w:val="%7."/>
      <w:lvlJc w:val="left"/>
      <w:pPr>
        <w:ind w:left="5020" w:hanging="360"/>
      </w:pPr>
    </w:lvl>
    <w:lvl w:ilvl="7" w:tplc="0C090019" w:tentative="1">
      <w:start w:val="1"/>
      <w:numFmt w:val="lowerLetter"/>
      <w:lvlText w:val="%8."/>
      <w:lvlJc w:val="left"/>
      <w:pPr>
        <w:ind w:left="5740" w:hanging="360"/>
      </w:pPr>
    </w:lvl>
    <w:lvl w:ilvl="8" w:tplc="0C09001B" w:tentative="1">
      <w:start w:val="1"/>
      <w:numFmt w:val="lowerRoman"/>
      <w:lvlText w:val="%9."/>
      <w:lvlJc w:val="right"/>
      <w:pPr>
        <w:ind w:left="6460" w:hanging="180"/>
      </w:pPr>
    </w:lvl>
  </w:abstractNum>
  <w:abstractNum w:abstractNumId="119" w15:restartNumberingAfterBreak="0">
    <w:nsid w:val="303A5312"/>
    <w:multiLevelType w:val="hybridMultilevel"/>
    <w:tmpl w:val="6B143C62"/>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0" w15:restartNumberingAfterBreak="0">
    <w:nsid w:val="30C41016"/>
    <w:multiLevelType w:val="hybridMultilevel"/>
    <w:tmpl w:val="DB5AAE34"/>
    <w:lvl w:ilvl="0" w:tplc="82AC64E6">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1" w15:restartNumberingAfterBreak="0">
    <w:nsid w:val="31066AD3"/>
    <w:multiLevelType w:val="hybridMultilevel"/>
    <w:tmpl w:val="DCF2BF92"/>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2" w15:restartNumberingAfterBreak="0">
    <w:nsid w:val="3212092A"/>
    <w:multiLevelType w:val="hybridMultilevel"/>
    <w:tmpl w:val="7FFEA7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3" w15:restartNumberingAfterBreak="0">
    <w:nsid w:val="32790464"/>
    <w:multiLevelType w:val="hybridMultilevel"/>
    <w:tmpl w:val="EE2A4B92"/>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32DD047B"/>
    <w:multiLevelType w:val="hybridMultilevel"/>
    <w:tmpl w:val="3EC21D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5" w15:restartNumberingAfterBreak="0">
    <w:nsid w:val="32FD5ADE"/>
    <w:multiLevelType w:val="multilevel"/>
    <w:tmpl w:val="6298CC6A"/>
    <w:numStyleLink w:val="BulletListStyle"/>
  </w:abstractNum>
  <w:abstractNum w:abstractNumId="126" w15:restartNumberingAfterBreak="0">
    <w:nsid w:val="33B27CA6"/>
    <w:multiLevelType w:val="hybridMultilevel"/>
    <w:tmpl w:val="5DCA9B96"/>
    <w:lvl w:ilvl="0" w:tplc="271CE172">
      <w:start w:val="1"/>
      <w:numFmt w:val="lowerRoman"/>
      <w:lvlText w:val="(%1)"/>
      <w:lvlJc w:val="left"/>
      <w:pPr>
        <w:ind w:left="1060" w:hanging="720"/>
      </w:pPr>
      <w:rPr>
        <w:rFonts w:hint="default"/>
      </w:rPr>
    </w:lvl>
    <w:lvl w:ilvl="1" w:tplc="0C090019" w:tentative="1">
      <w:start w:val="1"/>
      <w:numFmt w:val="lowerLetter"/>
      <w:lvlText w:val="%2."/>
      <w:lvlJc w:val="left"/>
      <w:pPr>
        <w:ind w:left="1420" w:hanging="360"/>
      </w:pPr>
    </w:lvl>
    <w:lvl w:ilvl="2" w:tplc="0C09001B" w:tentative="1">
      <w:start w:val="1"/>
      <w:numFmt w:val="lowerRoman"/>
      <w:lvlText w:val="%3."/>
      <w:lvlJc w:val="right"/>
      <w:pPr>
        <w:ind w:left="2140" w:hanging="180"/>
      </w:pPr>
    </w:lvl>
    <w:lvl w:ilvl="3" w:tplc="0C09000F" w:tentative="1">
      <w:start w:val="1"/>
      <w:numFmt w:val="decimal"/>
      <w:lvlText w:val="%4."/>
      <w:lvlJc w:val="left"/>
      <w:pPr>
        <w:ind w:left="2860" w:hanging="360"/>
      </w:pPr>
    </w:lvl>
    <w:lvl w:ilvl="4" w:tplc="0C090019" w:tentative="1">
      <w:start w:val="1"/>
      <w:numFmt w:val="lowerLetter"/>
      <w:lvlText w:val="%5."/>
      <w:lvlJc w:val="left"/>
      <w:pPr>
        <w:ind w:left="3580" w:hanging="360"/>
      </w:pPr>
    </w:lvl>
    <w:lvl w:ilvl="5" w:tplc="0C09001B" w:tentative="1">
      <w:start w:val="1"/>
      <w:numFmt w:val="lowerRoman"/>
      <w:lvlText w:val="%6."/>
      <w:lvlJc w:val="right"/>
      <w:pPr>
        <w:ind w:left="4300" w:hanging="180"/>
      </w:pPr>
    </w:lvl>
    <w:lvl w:ilvl="6" w:tplc="0C09000F" w:tentative="1">
      <w:start w:val="1"/>
      <w:numFmt w:val="decimal"/>
      <w:lvlText w:val="%7."/>
      <w:lvlJc w:val="left"/>
      <w:pPr>
        <w:ind w:left="5020" w:hanging="360"/>
      </w:pPr>
    </w:lvl>
    <w:lvl w:ilvl="7" w:tplc="0C090019" w:tentative="1">
      <w:start w:val="1"/>
      <w:numFmt w:val="lowerLetter"/>
      <w:lvlText w:val="%8."/>
      <w:lvlJc w:val="left"/>
      <w:pPr>
        <w:ind w:left="5740" w:hanging="360"/>
      </w:pPr>
    </w:lvl>
    <w:lvl w:ilvl="8" w:tplc="0C09001B" w:tentative="1">
      <w:start w:val="1"/>
      <w:numFmt w:val="lowerRoman"/>
      <w:lvlText w:val="%9."/>
      <w:lvlJc w:val="right"/>
      <w:pPr>
        <w:ind w:left="6460" w:hanging="180"/>
      </w:pPr>
    </w:lvl>
  </w:abstractNum>
  <w:abstractNum w:abstractNumId="127" w15:restartNumberingAfterBreak="0">
    <w:nsid w:val="33CC5E32"/>
    <w:multiLevelType w:val="hybridMultilevel"/>
    <w:tmpl w:val="13A030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8" w15:restartNumberingAfterBreak="0">
    <w:nsid w:val="342E03F5"/>
    <w:multiLevelType w:val="hybridMultilevel"/>
    <w:tmpl w:val="F5E87A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9" w15:restartNumberingAfterBreak="0">
    <w:nsid w:val="342E73C9"/>
    <w:multiLevelType w:val="hybridMultilevel"/>
    <w:tmpl w:val="5EB48E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0" w15:restartNumberingAfterBreak="0">
    <w:nsid w:val="3469645A"/>
    <w:multiLevelType w:val="hybridMultilevel"/>
    <w:tmpl w:val="2E1C70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1" w15:restartNumberingAfterBreak="0">
    <w:nsid w:val="34A9643F"/>
    <w:multiLevelType w:val="hybridMultilevel"/>
    <w:tmpl w:val="22F218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2" w15:restartNumberingAfterBreak="0">
    <w:nsid w:val="354674A8"/>
    <w:multiLevelType w:val="hybridMultilevel"/>
    <w:tmpl w:val="368CF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3" w15:restartNumberingAfterBreak="0">
    <w:nsid w:val="35651FA0"/>
    <w:multiLevelType w:val="hybridMultilevel"/>
    <w:tmpl w:val="E1B435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4" w15:restartNumberingAfterBreak="0">
    <w:nsid w:val="356700AB"/>
    <w:multiLevelType w:val="hybridMultilevel"/>
    <w:tmpl w:val="D05E2332"/>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5" w15:restartNumberingAfterBreak="0">
    <w:nsid w:val="36370A87"/>
    <w:multiLevelType w:val="hybridMultilevel"/>
    <w:tmpl w:val="378411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6" w15:restartNumberingAfterBreak="0">
    <w:nsid w:val="364A61A4"/>
    <w:multiLevelType w:val="hybridMultilevel"/>
    <w:tmpl w:val="1F1A76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7" w15:restartNumberingAfterBreak="0">
    <w:nsid w:val="36690DC4"/>
    <w:multiLevelType w:val="hybridMultilevel"/>
    <w:tmpl w:val="A3EE6B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8" w15:restartNumberingAfterBreak="0">
    <w:nsid w:val="3688420E"/>
    <w:multiLevelType w:val="hybridMultilevel"/>
    <w:tmpl w:val="957082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9" w15:restartNumberingAfterBreak="0">
    <w:nsid w:val="36B62839"/>
    <w:multiLevelType w:val="hybridMultilevel"/>
    <w:tmpl w:val="4CC20F6C"/>
    <w:lvl w:ilvl="0" w:tplc="3244E13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0" w15:restartNumberingAfterBreak="0">
    <w:nsid w:val="36C27025"/>
    <w:multiLevelType w:val="multilevel"/>
    <w:tmpl w:val="773241D6"/>
    <w:lvl w:ilvl="0">
      <w:start w:val="1"/>
      <w:numFmt w:val="lowerLetter"/>
      <w:lvlText w:val="(%1)"/>
      <w:lvlJc w:val="left"/>
      <w:pPr>
        <w:tabs>
          <w:tab w:val="num" w:pos="284"/>
        </w:tabs>
        <w:ind w:left="284" w:hanging="284"/>
      </w:pPr>
      <w:rPr>
        <w:rFonts w:hint="default"/>
      </w:rPr>
    </w:lvl>
    <w:lvl w:ilvl="1">
      <w:start w:val="1"/>
      <w:numFmt w:val="bullet"/>
      <w:lvlText w:val="–"/>
      <w:lvlJc w:val="left"/>
      <w:pPr>
        <w:tabs>
          <w:tab w:val="num" w:pos="568"/>
        </w:tabs>
        <w:ind w:left="568" w:hanging="284"/>
      </w:pPr>
      <w:rPr>
        <w:rFonts w:ascii="Arial" w:hAnsi="Arial" w:hint="default"/>
      </w:rPr>
    </w:lvl>
    <w:lvl w:ilvl="2">
      <w:start w:val="1"/>
      <w:numFmt w:val="bullet"/>
      <w:lvlText w:val=""/>
      <w:lvlJc w:val="left"/>
      <w:pPr>
        <w:tabs>
          <w:tab w:val="num" w:pos="852"/>
        </w:tabs>
        <w:ind w:left="852" w:hanging="284"/>
      </w:pPr>
      <w:rPr>
        <w:rFonts w:ascii="Symbol" w:hAnsi="Symbol"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141" w15:restartNumberingAfterBreak="0">
    <w:nsid w:val="36C55121"/>
    <w:multiLevelType w:val="hybridMultilevel"/>
    <w:tmpl w:val="6CB277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2" w15:restartNumberingAfterBreak="0">
    <w:nsid w:val="37283927"/>
    <w:multiLevelType w:val="hybridMultilevel"/>
    <w:tmpl w:val="4748FA18"/>
    <w:lvl w:ilvl="0" w:tplc="82AC64E6">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3" w15:restartNumberingAfterBreak="0">
    <w:nsid w:val="37B84DEC"/>
    <w:multiLevelType w:val="hybridMultilevel"/>
    <w:tmpl w:val="7A7ED078"/>
    <w:lvl w:ilvl="0" w:tplc="994A4E8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4" w15:restartNumberingAfterBreak="0">
    <w:nsid w:val="37DB011F"/>
    <w:multiLevelType w:val="hybridMultilevel"/>
    <w:tmpl w:val="7C1CE06C"/>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5" w15:restartNumberingAfterBreak="0">
    <w:nsid w:val="37FE42FC"/>
    <w:multiLevelType w:val="multilevel"/>
    <w:tmpl w:val="B6509240"/>
    <w:styleLink w:val="ListBulletStyle"/>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8"/>
        </w:tabs>
        <w:ind w:left="568" w:hanging="284"/>
      </w:pPr>
      <w:rPr>
        <w:rFonts w:ascii="Arial" w:hAnsi="Arial" w:hint="default"/>
      </w:rPr>
    </w:lvl>
    <w:lvl w:ilvl="2">
      <w:start w:val="1"/>
      <w:numFmt w:val="bullet"/>
      <w:lvlText w:val=""/>
      <w:lvlJc w:val="left"/>
      <w:pPr>
        <w:tabs>
          <w:tab w:val="num" w:pos="852"/>
        </w:tabs>
        <w:ind w:left="852" w:hanging="284"/>
      </w:pPr>
      <w:rPr>
        <w:rFonts w:ascii="Symbol" w:hAnsi="Symbol"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146" w15:restartNumberingAfterBreak="0">
    <w:nsid w:val="384917F1"/>
    <w:multiLevelType w:val="hybridMultilevel"/>
    <w:tmpl w:val="6768565A"/>
    <w:lvl w:ilvl="0" w:tplc="FFFFFFFF">
      <w:start w:val="1"/>
      <w:numFmt w:val="lowerRoman"/>
      <w:lvlText w:val="(%1)"/>
      <w:lvlJc w:val="left"/>
      <w:pPr>
        <w:ind w:left="720" w:hanging="360"/>
      </w:pPr>
      <w:rPr>
        <w:rFonts w:hint="default"/>
      </w:rPr>
    </w:lvl>
    <w:lvl w:ilvl="1" w:tplc="B0DED590">
      <w:start w:val="1"/>
      <w:numFmt w:val="lowerLetter"/>
      <w:lvlText w:val="(%2)"/>
      <w:lvlJc w:val="left"/>
      <w:pPr>
        <w:ind w:left="1440" w:hanging="360"/>
      </w:pPr>
      <w:rPr>
        <w:rFonts w:hint="default"/>
      </w:rPr>
    </w:lvl>
    <w:lvl w:ilvl="2" w:tplc="734804EC">
      <w:start w:val="1"/>
      <w:numFmt w:val="lowerLetter"/>
      <w:lvlText w:val="%3."/>
      <w:lvlJc w:val="left"/>
      <w:pPr>
        <w:ind w:left="2340" w:hanging="360"/>
      </w:pPr>
      <w:rPr>
        <w:rFonts w:hint="default"/>
      </w:rPr>
    </w:lvl>
    <w:lvl w:ilvl="3" w:tplc="3C24C5D2">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70AA8DB2">
      <w:start w:val="1"/>
      <w:numFmt w:val="lowerRoman"/>
      <w:lvlText w:val="(%6)"/>
      <w:lvlJc w:val="left"/>
      <w:pPr>
        <w:ind w:left="450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7" w15:restartNumberingAfterBreak="0">
    <w:nsid w:val="386C35BA"/>
    <w:multiLevelType w:val="hybridMultilevel"/>
    <w:tmpl w:val="A8AE924A"/>
    <w:lvl w:ilvl="0" w:tplc="70AA8DB2">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8" w15:restartNumberingAfterBreak="0">
    <w:nsid w:val="3941226C"/>
    <w:multiLevelType w:val="multilevel"/>
    <w:tmpl w:val="C024DAA4"/>
    <w:numStyleLink w:val="ListBulletAlphaStyle"/>
  </w:abstractNum>
  <w:abstractNum w:abstractNumId="149" w15:restartNumberingAfterBreak="0">
    <w:nsid w:val="39C739F5"/>
    <w:multiLevelType w:val="hybridMultilevel"/>
    <w:tmpl w:val="E3FAB3F8"/>
    <w:lvl w:ilvl="0" w:tplc="82AC64E6">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0" w15:restartNumberingAfterBreak="0">
    <w:nsid w:val="3A0C3102"/>
    <w:multiLevelType w:val="hybridMultilevel"/>
    <w:tmpl w:val="C5060A46"/>
    <w:lvl w:ilvl="0" w:tplc="5868048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1" w15:restartNumberingAfterBreak="0">
    <w:nsid w:val="3B7E7E6D"/>
    <w:multiLevelType w:val="hybridMultilevel"/>
    <w:tmpl w:val="C72EB4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2" w15:restartNumberingAfterBreak="0">
    <w:nsid w:val="3BBD0E9C"/>
    <w:multiLevelType w:val="hybridMultilevel"/>
    <w:tmpl w:val="5C9409E4"/>
    <w:lvl w:ilvl="0" w:tplc="671AD60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3" w15:restartNumberingAfterBreak="0">
    <w:nsid w:val="3C554919"/>
    <w:multiLevelType w:val="hybridMultilevel"/>
    <w:tmpl w:val="33F21D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4" w15:restartNumberingAfterBreak="0">
    <w:nsid w:val="3C624AD8"/>
    <w:multiLevelType w:val="hybridMultilevel"/>
    <w:tmpl w:val="0AF811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5" w15:restartNumberingAfterBreak="0">
    <w:nsid w:val="3C8A37EF"/>
    <w:multiLevelType w:val="hybridMultilevel"/>
    <w:tmpl w:val="37D444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6" w15:restartNumberingAfterBreak="0">
    <w:nsid w:val="3C901CF1"/>
    <w:multiLevelType w:val="hybridMultilevel"/>
    <w:tmpl w:val="269E0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7" w15:restartNumberingAfterBreak="0">
    <w:nsid w:val="3C90233F"/>
    <w:multiLevelType w:val="hybridMultilevel"/>
    <w:tmpl w:val="2CC4D9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8" w15:restartNumberingAfterBreak="0">
    <w:nsid w:val="3CB11F25"/>
    <w:multiLevelType w:val="hybridMultilevel"/>
    <w:tmpl w:val="D960BC08"/>
    <w:lvl w:ilvl="0" w:tplc="A116495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9" w15:restartNumberingAfterBreak="0">
    <w:nsid w:val="3CB245E2"/>
    <w:multiLevelType w:val="hybridMultilevel"/>
    <w:tmpl w:val="668C6988"/>
    <w:lvl w:ilvl="0" w:tplc="FFFFFFFF">
      <w:start w:val="1"/>
      <w:numFmt w:val="lowerRoman"/>
      <w:lvlText w:val="(%1)"/>
      <w:lvlJc w:val="left"/>
      <w:pPr>
        <w:ind w:left="1060" w:hanging="360"/>
      </w:pPr>
      <w:rPr>
        <w:rFonts w:hint="default"/>
      </w:r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160" w15:restartNumberingAfterBreak="0">
    <w:nsid w:val="3CE97723"/>
    <w:multiLevelType w:val="hybridMultilevel"/>
    <w:tmpl w:val="BBD0BC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1" w15:restartNumberingAfterBreak="0">
    <w:nsid w:val="3D2E4856"/>
    <w:multiLevelType w:val="hybridMultilevel"/>
    <w:tmpl w:val="25C6A5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2" w15:restartNumberingAfterBreak="0">
    <w:nsid w:val="3D4B2110"/>
    <w:multiLevelType w:val="hybridMultilevel"/>
    <w:tmpl w:val="4CF6F1F0"/>
    <w:lvl w:ilvl="0" w:tplc="82AC64E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3" w15:restartNumberingAfterBreak="0">
    <w:nsid w:val="3D907F78"/>
    <w:multiLevelType w:val="hybridMultilevel"/>
    <w:tmpl w:val="E8E084BC"/>
    <w:lvl w:ilvl="0" w:tplc="4A10DAD2">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4" w15:restartNumberingAfterBreak="0">
    <w:nsid w:val="3DD55B11"/>
    <w:multiLevelType w:val="hybridMultilevel"/>
    <w:tmpl w:val="EC7E6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5" w15:restartNumberingAfterBreak="0">
    <w:nsid w:val="3E404EE7"/>
    <w:multiLevelType w:val="hybridMultilevel"/>
    <w:tmpl w:val="F58C7ED2"/>
    <w:lvl w:ilvl="0" w:tplc="98B8793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6" w15:restartNumberingAfterBreak="0">
    <w:nsid w:val="3E9931AE"/>
    <w:multiLevelType w:val="hybridMultilevel"/>
    <w:tmpl w:val="472CAF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7" w15:restartNumberingAfterBreak="0">
    <w:nsid w:val="3EDD5B98"/>
    <w:multiLevelType w:val="hybridMultilevel"/>
    <w:tmpl w:val="300457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8" w15:restartNumberingAfterBreak="0">
    <w:nsid w:val="3EF8660C"/>
    <w:multiLevelType w:val="hybridMultilevel"/>
    <w:tmpl w:val="44665C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9" w15:restartNumberingAfterBreak="0">
    <w:nsid w:val="3F542D80"/>
    <w:multiLevelType w:val="hybridMultilevel"/>
    <w:tmpl w:val="6DF0F962"/>
    <w:lvl w:ilvl="0" w:tplc="82AC64E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0" w15:restartNumberingAfterBreak="0">
    <w:nsid w:val="3F682C53"/>
    <w:multiLevelType w:val="hybridMultilevel"/>
    <w:tmpl w:val="5E2E6D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1" w15:restartNumberingAfterBreak="0">
    <w:nsid w:val="40913814"/>
    <w:multiLevelType w:val="hybridMultilevel"/>
    <w:tmpl w:val="89089212"/>
    <w:lvl w:ilvl="0" w:tplc="82AC64E6">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2" w15:restartNumberingAfterBreak="0">
    <w:nsid w:val="40D331F5"/>
    <w:multiLevelType w:val="hybridMultilevel"/>
    <w:tmpl w:val="81F2A5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3" w15:restartNumberingAfterBreak="0">
    <w:nsid w:val="410B0C94"/>
    <w:multiLevelType w:val="hybridMultilevel"/>
    <w:tmpl w:val="8FECDB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4" w15:restartNumberingAfterBreak="0">
    <w:nsid w:val="41E81387"/>
    <w:multiLevelType w:val="hybridMultilevel"/>
    <w:tmpl w:val="D0FC09D2"/>
    <w:lvl w:ilvl="0" w:tplc="80FE33C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5" w15:restartNumberingAfterBreak="0">
    <w:nsid w:val="4222644D"/>
    <w:multiLevelType w:val="hybridMultilevel"/>
    <w:tmpl w:val="412A66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6" w15:restartNumberingAfterBreak="0">
    <w:nsid w:val="42254489"/>
    <w:multiLevelType w:val="hybridMultilevel"/>
    <w:tmpl w:val="E71A7E54"/>
    <w:lvl w:ilvl="0" w:tplc="82AC64E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7" w15:restartNumberingAfterBreak="0">
    <w:nsid w:val="42381FEA"/>
    <w:multiLevelType w:val="hybridMultilevel"/>
    <w:tmpl w:val="B41636B8"/>
    <w:lvl w:ilvl="0" w:tplc="42DEB6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8" w15:restartNumberingAfterBreak="0">
    <w:nsid w:val="42673937"/>
    <w:multiLevelType w:val="hybridMultilevel"/>
    <w:tmpl w:val="04F6CCFC"/>
    <w:lvl w:ilvl="0" w:tplc="A8D8146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9" w15:restartNumberingAfterBreak="0">
    <w:nsid w:val="43A55E38"/>
    <w:multiLevelType w:val="hybridMultilevel"/>
    <w:tmpl w:val="CBBC93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0" w15:restartNumberingAfterBreak="0">
    <w:nsid w:val="43CB021F"/>
    <w:multiLevelType w:val="hybridMultilevel"/>
    <w:tmpl w:val="FED4D8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1" w15:restartNumberingAfterBreak="0">
    <w:nsid w:val="44151C92"/>
    <w:multiLevelType w:val="hybridMultilevel"/>
    <w:tmpl w:val="981E36B2"/>
    <w:lvl w:ilvl="0" w:tplc="83C23B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2" w15:restartNumberingAfterBreak="0">
    <w:nsid w:val="44524200"/>
    <w:multiLevelType w:val="hybridMultilevel"/>
    <w:tmpl w:val="585412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3" w15:restartNumberingAfterBreak="0">
    <w:nsid w:val="44843136"/>
    <w:multiLevelType w:val="hybridMultilevel"/>
    <w:tmpl w:val="593A6514"/>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4" w15:restartNumberingAfterBreak="0">
    <w:nsid w:val="4499515D"/>
    <w:multiLevelType w:val="hybridMultilevel"/>
    <w:tmpl w:val="876A80A0"/>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5" w15:restartNumberingAfterBreak="0">
    <w:nsid w:val="44AC49AE"/>
    <w:multiLevelType w:val="hybridMultilevel"/>
    <w:tmpl w:val="DEB8C322"/>
    <w:lvl w:ilvl="0" w:tplc="82AC64E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6" w15:restartNumberingAfterBreak="0">
    <w:nsid w:val="44DC64B6"/>
    <w:multiLevelType w:val="hybridMultilevel"/>
    <w:tmpl w:val="B0E4B9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7" w15:restartNumberingAfterBreak="0">
    <w:nsid w:val="454108EC"/>
    <w:multiLevelType w:val="hybridMultilevel"/>
    <w:tmpl w:val="A9FA55B8"/>
    <w:lvl w:ilvl="0" w:tplc="82AC64E6">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8" w15:restartNumberingAfterBreak="0">
    <w:nsid w:val="45465FF0"/>
    <w:multiLevelType w:val="hybridMultilevel"/>
    <w:tmpl w:val="68422584"/>
    <w:lvl w:ilvl="0" w:tplc="8C865948">
      <w:start w:val="1"/>
      <w:numFmt w:val="lowerLetter"/>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9" w15:restartNumberingAfterBreak="0">
    <w:nsid w:val="45854781"/>
    <w:multiLevelType w:val="hybridMultilevel"/>
    <w:tmpl w:val="DAB29E52"/>
    <w:lvl w:ilvl="0" w:tplc="43403A74">
      <w:start w:val="1"/>
      <w:numFmt w:val="bullet"/>
      <w:pStyle w:val="ListBullet2"/>
      <w:lvlText w:val="–"/>
      <w:lvlJc w:val="left"/>
      <w:pPr>
        <w:ind w:left="1003" w:hanging="360"/>
      </w:pPr>
      <w:rPr>
        <w:rFonts w:ascii="Arial" w:hAnsi="Arial" w:hint="default"/>
      </w:rPr>
    </w:lvl>
    <w:lvl w:ilvl="1" w:tplc="0C090003" w:tentative="1">
      <w:start w:val="1"/>
      <w:numFmt w:val="bullet"/>
      <w:lvlText w:val="o"/>
      <w:lvlJc w:val="left"/>
      <w:pPr>
        <w:ind w:left="1723" w:hanging="360"/>
      </w:pPr>
      <w:rPr>
        <w:rFonts w:ascii="Courier New" w:hAnsi="Courier New" w:cs="Courier New" w:hint="default"/>
      </w:rPr>
    </w:lvl>
    <w:lvl w:ilvl="2" w:tplc="0C090005" w:tentative="1">
      <w:start w:val="1"/>
      <w:numFmt w:val="bullet"/>
      <w:lvlText w:val=""/>
      <w:lvlJc w:val="left"/>
      <w:pPr>
        <w:ind w:left="2443" w:hanging="360"/>
      </w:pPr>
      <w:rPr>
        <w:rFonts w:ascii="Wingdings" w:hAnsi="Wingdings" w:hint="default"/>
      </w:rPr>
    </w:lvl>
    <w:lvl w:ilvl="3" w:tplc="0C090001" w:tentative="1">
      <w:start w:val="1"/>
      <w:numFmt w:val="bullet"/>
      <w:lvlText w:val=""/>
      <w:lvlJc w:val="left"/>
      <w:pPr>
        <w:ind w:left="3163" w:hanging="360"/>
      </w:pPr>
      <w:rPr>
        <w:rFonts w:ascii="Symbol" w:hAnsi="Symbol" w:hint="default"/>
      </w:rPr>
    </w:lvl>
    <w:lvl w:ilvl="4" w:tplc="0C090003" w:tentative="1">
      <w:start w:val="1"/>
      <w:numFmt w:val="bullet"/>
      <w:lvlText w:val="o"/>
      <w:lvlJc w:val="left"/>
      <w:pPr>
        <w:ind w:left="3883" w:hanging="360"/>
      </w:pPr>
      <w:rPr>
        <w:rFonts w:ascii="Courier New" w:hAnsi="Courier New" w:cs="Courier New" w:hint="default"/>
      </w:rPr>
    </w:lvl>
    <w:lvl w:ilvl="5" w:tplc="0C090005" w:tentative="1">
      <w:start w:val="1"/>
      <w:numFmt w:val="bullet"/>
      <w:lvlText w:val=""/>
      <w:lvlJc w:val="left"/>
      <w:pPr>
        <w:ind w:left="4603" w:hanging="360"/>
      </w:pPr>
      <w:rPr>
        <w:rFonts w:ascii="Wingdings" w:hAnsi="Wingdings" w:hint="default"/>
      </w:rPr>
    </w:lvl>
    <w:lvl w:ilvl="6" w:tplc="0C090001" w:tentative="1">
      <w:start w:val="1"/>
      <w:numFmt w:val="bullet"/>
      <w:lvlText w:val=""/>
      <w:lvlJc w:val="left"/>
      <w:pPr>
        <w:ind w:left="5323" w:hanging="360"/>
      </w:pPr>
      <w:rPr>
        <w:rFonts w:ascii="Symbol" w:hAnsi="Symbol" w:hint="default"/>
      </w:rPr>
    </w:lvl>
    <w:lvl w:ilvl="7" w:tplc="0C090003" w:tentative="1">
      <w:start w:val="1"/>
      <w:numFmt w:val="bullet"/>
      <w:lvlText w:val="o"/>
      <w:lvlJc w:val="left"/>
      <w:pPr>
        <w:ind w:left="6043" w:hanging="360"/>
      </w:pPr>
      <w:rPr>
        <w:rFonts w:ascii="Courier New" w:hAnsi="Courier New" w:cs="Courier New" w:hint="default"/>
      </w:rPr>
    </w:lvl>
    <w:lvl w:ilvl="8" w:tplc="0C090005" w:tentative="1">
      <w:start w:val="1"/>
      <w:numFmt w:val="bullet"/>
      <w:lvlText w:val=""/>
      <w:lvlJc w:val="left"/>
      <w:pPr>
        <w:ind w:left="6763" w:hanging="360"/>
      </w:pPr>
      <w:rPr>
        <w:rFonts w:ascii="Wingdings" w:hAnsi="Wingdings" w:hint="default"/>
      </w:rPr>
    </w:lvl>
  </w:abstractNum>
  <w:abstractNum w:abstractNumId="190" w15:restartNumberingAfterBreak="0">
    <w:nsid w:val="45B038D9"/>
    <w:multiLevelType w:val="hybridMultilevel"/>
    <w:tmpl w:val="F546494E"/>
    <w:lvl w:ilvl="0" w:tplc="68DA0D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1" w15:restartNumberingAfterBreak="0">
    <w:nsid w:val="45B61BE6"/>
    <w:multiLevelType w:val="hybridMultilevel"/>
    <w:tmpl w:val="363CFC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2" w15:restartNumberingAfterBreak="0">
    <w:nsid w:val="46334AF9"/>
    <w:multiLevelType w:val="hybridMultilevel"/>
    <w:tmpl w:val="74FA2020"/>
    <w:lvl w:ilvl="0" w:tplc="82AC64E6">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3" w15:restartNumberingAfterBreak="0">
    <w:nsid w:val="464747A3"/>
    <w:multiLevelType w:val="hybridMultilevel"/>
    <w:tmpl w:val="EFC0377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4" w15:restartNumberingAfterBreak="0">
    <w:nsid w:val="47222920"/>
    <w:multiLevelType w:val="hybridMultilevel"/>
    <w:tmpl w:val="C3C63B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5" w15:restartNumberingAfterBreak="0">
    <w:nsid w:val="474564EF"/>
    <w:multiLevelType w:val="hybridMultilevel"/>
    <w:tmpl w:val="C6C865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6" w15:restartNumberingAfterBreak="0">
    <w:nsid w:val="476241DE"/>
    <w:multiLevelType w:val="hybridMultilevel"/>
    <w:tmpl w:val="3306E85C"/>
    <w:lvl w:ilvl="0" w:tplc="82AC64E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7" w15:restartNumberingAfterBreak="0">
    <w:nsid w:val="47DE638B"/>
    <w:multiLevelType w:val="hybridMultilevel"/>
    <w:tmpl w:val="15023BB4"/>
    <w:lvl w:ilvl="0" w:tplc="FFFFFFFF">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8" w15:restartNumberingAfterBreak="0">
    <w:nsid w:val="47F66A06"/>
    <w:multiLevelType w:val="hybridMultilevel"/>
    <w:tmpl w:val="05469466"/>
    <w:lvl w:ilvl="0" w:tplc="FFFFFFFF">
      <w:start w:val="1"/>
      <w:numFmt w:val="lowerRoman"/>
      <w:lvlText w:val="(%1)"/>
      <w:lvlJc w:val="left"/>
      <w:pPr>
        <w:ind w:left="360" w:hanging="360"/>
      </w:pPr>
      <w:rPr>
        <w:rFonts w:hint="default"/>
      </w:rPr>
    </w:lvl>
    <w:lvl w:ilvl="1" w:tplc="88E8BC50">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9" w15:restartNumberingAfterBreak="0">
    <w:nsid w:val="482D2DE7"/>
    <w:multiLevelType w:val="hybridMultilevel"/>
    <w:tmpl w:val="5420A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0" w15:restartNumberingAfterBreak="0">
    <w:nsid w:val="486178E0"/>
    <w:multiLevelType w:val="hybridMultilevel"/>
    <w:tmpl w:val="93E406E4"/>
    <w:lvl w:ilvl="0" w:tplc="6526F22E">
      <w:start w:val="1"/>
      <w:numFmt w:val="lowerLetter"/>
      <w:lvlText w:val="(%1)"/>
      <w:lvlJc w:val="left"/>
      <w:pPr>
        <w:ind w:left="720" w:hanging="360"/>
      </w:pPr>
      <w:rPr>
        <w:rFonts w:hint="default"/>
        <w:b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1" w15:restartNumberingAfterBreak="0">
    <w:nsid w:val="4862182B"/>
    <w:multiLevelType w:val="hybridMultilevel"/>
    <w:tmpl w:val="A5E6F5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2" w15:restartNumberingAfterBreak="0">
    <w:nsid w:val="486871B5"/>
    <w:multiLevelType w:val="hybridMultilevel"/>
    <w:tmpl w:val="F6EC52A0"/>
    <w:lvl w:ilvl="0" w:tplc="52D0664C">
      <w:start w:val="1"/>
      <w:numFmt w:val="lowerLetter"/>
      <w:lvlText w:val="(%1)"/>
      <w:lvlJc w:val="left"/>
      <w:pPr>
        <w:ind w:left="720" w:hanging="360"/>
      </w:pPr>
      <w:rPr>
        <w:rFonts w:hint="default"/>
        <w:sz w:val="18"/>
        <w:szCs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3" w15:restartNumberingAfterBreak="0">
    <w:nsid w:val="48EA0A3E"/>
    <w:multiLevelType w:val="hybridMultilevel"/>
    <w:tmpl w:val="BB483492"/>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4" w15:restartNumberingAfterBreak="0">
    <w:nsid w:val="4A932659"/>
    <w:multiLevelType w:val="hybridMultilevel"/>
    <w:tmpl w:val="67361664"/>
    <w:lvl w:ilvl="0" w:tplc="82AC64E6">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5" w15:restartNumberingAfterBreak="0">
    <w:nsid w:val="4A9E579C"/>
    <w:multiLevelType w:val="hybridMultilevel"/>
    <w:tmpl w:val="51B61446"/>
    <w:lvl w:ilvl="0" w:tplc="3872C3B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6" w15:restartNumberingAfterBreak="0">
    <w:nsid w:val="4B6367C4"/>
    <w:multiLevelType w:val="multilevel"/>
    <w:tmpl w:val="5202B19A"/>
    <w:styleLink w:val="NumberedHeadings"/>
    <w:lvl w:ilvl="0">
      <w:start w:val="1"/>
      <w:numFmt w:val="decimal"/>
      <w:pStyle w:val="Heading1numbered"/>
      <w:lvlText w:val="%1"/>
      <w:lvlJc w:val="left"/>
      <w:pPr>
        <w:ind w:left="397" w:hanging="397"/>
      </w:pPr>
      <w:rPr>
        <w:rFonts w:hint="default"/>
        <w:color w:val="auto"/>
      </w:rPr>
    </w:lvl>
    <w:lvl w:ilvl="1">
      <w:start w:val="1"/>
      <w:numFmt w:val="decimal"/>
      <w:pStyle w:val="Heading2numbered"/>
      <w:lvlText w:val="%1.%2"/>
      <w:lvlJc w:val="left"/>
      <w:pPr>
        <w:ind w:left="624" w:hanging="624"/>
      </w:pPr>
      <w:rPr>
        <w:rFonts w:hint="default"/>
      </w:rPr>
    </w:lvl>
    <w:lvl w:ilvl="2">
      <w:start w:val="1"/>
      <w:numFmt w:val="decimal"/>
      <w:pStyle w:val="Heading3numbered"/>
      <w:lvlText w:val="%1.%2.%3"/>
      <w:lvlJc w:val="left"/>
      <w:pPr>
        <w:ind w:left="1390" w:hanging="964"/>
      </w:pPr>
      <w:rPr>
        <w:rFonts w:hint="default"/>
      </w:rPr>
    </w:lvl>
    <w:lvl w:ilvl="3">
      <w:start w:val="1"/>
      <w:numFmt w:val="none"/>
      <w:lvlText w:val="–"/>
      <w:lvlJc w:val="left"/>
      <w:pPr>
        <w:ind w:left="1588" w:hanging="397"/>
      </w:pPr>
      <w:rPr>
        <w:rFonts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tabs>
          <w:tab w:val="num" w:pos="2666"/>
        </w:tabs>
        <w:ind w:left="2779" w:hanging="397"/>
      </w:pPr>
      <w:rPr>
        <w:rFonts w:ascii="Symbol" w:hAnsi="Symbol" w:hint="default"/>
      </w:rPr>
    </w:lvl>
    <w:lvl w:ilvl="7">
      <w:start w:val="1"/>
      <w:numFmt w:val="bullet"/>
      <w:lvlText w:val="o"/>
      <w:lvlJc w:val="left"/>
      <w:pPr>
        <w:tabs>
          <w:tab w:val="num" w:pos="3063"/>
        </w:tabs>
        <w:ind w:left="3176" w:hanging="397"/>
      </w:pPr>
      <w:rPr>
        <w:rFonts w:ascii="Courier New" w:hAnsi="Courier New" w:cs="Courier New" w:hint="default"/>
      </w:rPr>
    </w:lvl>
    <w:lvl w:ilvl="8">
      <w:start w:val="1"/>
      <w:numFmt w:val="bullet"/>
      <w:lvlText w:val=""/>
      <w:lvlJc w:val="left"/>
      <w:pPr>
        <w:tabs>
          <w:tab w:val="num" w:pos="3460"/>
        </w:tabs>
        <w:ind w:left="3573" w:hanging="397"/>
      </w:pPr>
      <w:rPr>
        <w:rFonts w:ascii="Wingdings" w:hAnsi="Wingdings" w:hint="default"/>
      </w:rPr>
    </w:lvl>
  </w:abstractNum>
  <w:abstractNum w:abstractNumId="207" w15:restartNumberingAfterBreak="0">
    <w:nsid w:val="4BE6042D"/>
    <w:multiLevelType w:val="hybridMultilevel"/>
    <w:tmpl w:val="C79417F8"/>
    <w:lvl w:ilvl="0" w:tplc="FFFFFFFF">
      <w:start w:val="1"/>
      <w:numFmt w:val="lowerRoman"/>
      <w:lvlText w:val="(%1)"/>
      <w:lvlJc w:val="left"/>
      <w:pPr>
        <w:ind w:left="1060" w:hanging="360"/>
      </w:pPr>
      <w:rPr>
        <w:rFonts w:hint="default"/>
      </w:r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208" w15:restartNumberingAfterBreak="0">
    <w:nsid w:val="4C506AF5"/>
    <w:multiLevelType w:val="hybridMultilevel"/>
    <w:tmpl w:val="879AB638"/>
    <w:lvl w:ilvl="0" w:tplc="82AC64E6">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9" w15:restartNumberingAfterBreak="0">
    <w:nsid w:val="4CAA6044"/>
    <w:multiLevelType w:val="multilevel"/>
    <w:tmpl w:val="B6509240"/>
    <w:numStyleLink w:val="ListBulletStyle"/>
  </w:abstractNum>
  <w:abstractNum w:abstractNumId="210" w15:restartNumberingAfterBreak="0">
    <w:nsid w:val="4D0C0F05"/>
    <w:multiLevelType w:val="hybridMultilevel"/>
    <w:tmpl w:val="A894C1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1" w15:restartNumberingAfterBreak="0">
    <w:nsid w:val="4D266265"/>
    <w:multiLevelType w:val="hybridMultilevel"/>
    <w:tmpl w:val="473C1682"/>
    <w:lvl w:ilvl="0" w:tplc="82AC64E6">
      <w:start w:val="1"/>
      <w:numFmt w:val="lowerLetter"/>
      <w:lvlText w:val="(%1)"/>
      <w:lvlJc w:val="left"/>
      <w:pPr>
        <w:tabs>
          <w:tab w:val="num" w:pos="360"/>
        </w:tabs>
        <w:ind w:left="36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2" w15:restartNumberingAfterBreak="0">
    <w:nsid w:val="4D2F3759"/>
    <w:multiLevelType w:val="hybridMultilevel"/>
    <w:tmpl w:val="0004E91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3" w15:restartNumberingAfterBreak="0">
    <w:nsid w:val="4FAF372C"/>
    <w:multiLevelType w:val="hybridMultilevel"/>
    <w:tmpl w:val="039E3BC2"/>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4" w15:restartNumberingAfterBreak="0">
    <w:nsid w:val="50C85FB4"/>
    <w:multiLevelType w:val="hybridMultilevel"/>
    <w:tmpl w:val="B8AE8996"/>
    <w:lvl w:ilvl="0" w:tplc="5F5E1B4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5" w15:restartNumberingAfterBreak="0">
    <w:nsid w:val="50D3797F"/>
    <w:multiLevelType w:val="hybridMultilevel"/>
    <w:tmpl w:val="8F2AE1E2"/>
    <w:lvl w:ilvl="0" w:tplc="4A10DAD2">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6" w15:restartNumberingAfterBreak="0">
    <w:nsid w:val="511D1938"/>
    <w:multiLevelType w:val="hybridMultilevel"/>
    <w:tmpl w:val="8410F5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7" w15:restartNumberingAfterBreak="0">
    <w:nsid w:val="51735D48"/>
    <w:multiLevelType w:val="hybridMultilevel"/>
    <w:tmpl w:val="BC8AA3DA"/>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8" w15:restartNumberingAfterBreak="0">
    <w:nsid w:val="51AD1E2C"/>
    <w:multiLevelType w:val="hybridMultilevel"/>
    <w:tmpl w:val="4E5EED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9" w15:restartNumberingAfterBreak="0">
    <w:nsid w:val="5204199F"/>
    <w:multiLevelType w:val="hybridMultilevel"/>
    <w:tmpl w:val="BB74FF16"/>
    <w:lvl w:ilvl="0" w:tplc="FFFFFFFF">
      <w:start w:val="1"/>
      <w:numFmt w:val="bullet"/>
      <w:lvlText w:val=""/>
      <w:lvlJc w:val="left"/>
      <w:pPr>
        <w:ind w:left="720" w:hanging="360"/>
      </w:pPr>
      <w:rPr>
        <w:rFonts w:ascii="Symbol" w:hAnsi="Symbol" w:hint="default"/>
      </w:rPr>
    </w:lvl>
    <w:lvl w:ilvl="1" w:tplc="82AC64E6">
      <w:start w:val="1"/>
      <w:numFmt w:val="lowerLetter"/>
      <w:lvlText w:val="(%2)"/>
      <w:lvlJc w:val="left"/>
      <w:pPr>
        <w:ind w:left="36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0" w15:restartNumberingAfterBreak="0">
    <w:nsid w:val="52112EDA"/>
    <w:multiLevelType w:val="hybridMultilevel"/>
    <w:tmpl w:val="411AFF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1" w15:restartNumberingAfterBreak="0">
    <w:nsid w:val="522A5260"/>
    <w:multiLevelType w:val="hybridMultilevel"/>
    <w:tmpl w:val="C8EA3DC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2" w15:restartNumberingAfterBreak="0">
    <w:nsid w:val="52445474"/>
    <w:multiLevelType w:val="hybridMultilevel"/>
    <w:tmpl w:val="83C81A9E"/>
    <w:lvl w:ilvl="0" w:tplc="0C090001">
      <w:start w:val="1"/>
      <w:numFmt w:val="bullet"/>
      <w:lvlText w:val=""/>
      <w:lvlJc w:val="left"/>
      <w:pPr>
        <w:ind w:left="720"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3" w15:restartNumberingAfterBreak="0">
    <w:nsid w:val="52FE1F6A"/>
    <w:multiLevelType w:val="hybridMultilevel"/>
    <w:tmpl w:val="DF901198"/>
    <w:lvl w:ilvl="0" w:tplc="82AC64E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4" w15:restartNumberingAfterBreak="0">
    <w:nsid w:val="53C210F2"/>
    <w:multiLevelType w:val="multilevel"/>
    <w:tmpl w:val="90B4B0F4"/>
    <w:lvl w:ilvl="0">
      <w:start w:val="1"/>
      <w:numFmt w:val="lowerLetter"/>
      <w:lvlText w:val="(%1)"/>
      <w:lvlJc w:val="left"/>
      <w:pPr>
        <w:tabs>
          <w:tab w:val="num" w:pos="284"/>
        </w:tabs>
        <w:ind w:left="284" w:hanging="284"/>
      </w:pPr>
      <w:rPr>
        <w:rFonts w:hint="default"/>
      </w:rPr>
    </w:lvl>
    <w:lvl w:ilvl="1">
      <w:start w:val="1"/>
      <w:numFmt w:val="lowerRoman"/>
      <w:lvlText w:val="(%2)"/>
      <w:lvlJc w:val="left"/>
      <w:pPr>
        <w:ind w:left="360" w:hanging="360"/>
      </w:pPr>
      <w:rPr>
        <w:rFonts w:hint="default"/>
      </w:rPr>
    </w:lvl>
    <w:lvl w:ilvl="2">
      <w:start w:val="1"/>
      <w:numFmt w:val="upperLetter"/>
      <w:lvlText w:val="(%3)"/>
      <w:lvlJc w:val="left"/>
      <w:pPr>
        <w:tabs>
          <w:tab w:val="num" w:pos="852"/>
        </w:tabs>
        <w:ind w:left="852" w:hanging="284"/>
      </w:pPr>
      <w:rPr>
        <w:rFont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225" w15:restartNumberingAfterBreak="0">
    <w:nsid w:val="53D61098"/>
    <w:multiLevelType w:val="hybridMultilevel"/>
    <w:tmpl w:val="8ABA7C7A"/>
    <w:lvl w:ilvl="0" w:tplc="C4ACAA4E">
      <w:start w:val="1"/>
      <w:numFmt w:val="lowerLetter"/>
      <w:lvlText w:val="(%1)"/>
      <w:lvlJc w:val="left"/>
      <w:pPr>
        <w:ind w:left="720" w:hanging="360"/>
      </w:pPr>
      <w:rPr>
        <w:rFonts w:hint="default"/>
        <w:sz w:val="18"/>
        <w:szCs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6" w15:restartNumberingAfterBreak="0">
    <w:nsid w:val="53FF2B18"/>
    <w:multiLevelType w:val="hybridMultilevel"/>
    <w:tmpl w:val="F1CA61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7" w15:restartNumberingAfterBreak="0">
    <w:nsid w:val="542848B8"/>
    <w:multiLevelType w:val="hybridMultilevel"/>
    <w:tmpl w:val="0E60B6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8" w15:restartNumberingAfterBreak="0">
    <w:nsid w:val="54730D2D"/>
    <w:multiLevelType w:val="hybridMultilevel"/>
    <w:tmpl w:val="6C8E1B1C"/>
    <w:lvl w:ilvl="0" w:tplc="FFFFFFFF">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9" w15:restartNumberingAfterBreak="0">
    <w:nsid w:val="548C4C00"/>
    <w:multiLevelType w:val="hybridMultilevel"/>
    <w:tmpl w:val="806C3BB0"/>
    <w:lvl w:ilvl="0" w:tplc="EBFEED9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0" w15:restartNumberingAfterBreak="0">
    <w:nsid w:val="54E33F46"/>
    <w:multiLevelType w:val="hybridMultilevel"/>
    <w:tmpl w:val="5C3CE86A"/>
    <w:lvl w:ilvl="0" w:tplc="6F16163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1" w15:restartNumberingAfterBreak="0">
    <w:nsid w:val="54EF22F8"/>
    <w:multiLevelType w:val="hybridMultilevel"/>
    <w:tmpl w:val="6CA8F9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2" w15:restartNumberingAfterBreak="0">
    <w:nsid w:val="54F158DD"/>
    <w:multiLevelType w:val="hybridMultilevel"/>
    <w:tmpl w:val="AD0C14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3" w15:restartNumberingAfterBreak="0">
    <w:nsid w:val="55427F98"/>
    <w:multiLevelType w:val="hybridMultilevel"/>
    <w:tmpl w:val="7AA2094A"/>
    <w:lvl w:ilvl="0" w:tplc="FFFFFFFF">
      <w:start w:val="1"/>
      <w:numFmt w:val="lowerRoman"/>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4" w15:restartNumberingAfterBreak="0">
    <w:nsid w:val="55492753"/>
    <w:multiLevelType w:val="multilevel"/>
    <w:tmpl w:val="96C80CFC"/>
    <w:lvl w:ilvl="0">
      <w:start w:val="1"/>
      <w:numFmt w:val="bullet"/>
      <w:lvlText w:val=""/>
      <w:lvlJc w:val="left"/>
      <w:pPr>
        <w:tabs>
          <w:tab w:val="num" w:pos="284"/>
        </w:tabs>
        <w:ind w:left="284" w:hanging="284"/>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tabs>
          <w:tab w:val="num" w:pos="852"/>
        </w:tabs>
        <w:ind w:left="852" w:hanging="284"/>
      </w:pPr>
      <w:rPr>
        <w:rFonts w:ascii="Symbol" w:hAnsi="Symbol"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235" w15:restartNumberingAfterBreak="0">
    <w:nsid w:val="554B5C7F"/>
    <w:multiLevelType w:val="hybridMultilevel"/>
    <w:tmpl w:val="5F34A7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6" w15:restartNumberingAfterBreak="0">
    <w:nsid w:val="563A2819"/>
    <w:multiLevelType w:val="hybridMultilevel"/>
    <w:tmpl w:val="20363156"/>
    <w:lvl w:ilvl="0" w:tplc="FFFFFFFF">
      <w:start w:val="1"/>
      <w:numFmt w:val="lowerRoman"/>
      <w:lvlText w:val="(%1)"/>
      <w:lvlJc w:val="left"/>
      <w:pPr>
        <w:ind w:left="1060" w:hanging="360"/>
      </w:pPr>
      <w:rPr>
        <w:rFonts w:hint="default"/>
      </w:r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237" w15:restartNumberingAfterBreak="0">
    <w:nsid w:val="565F416F"/>
    <w:multiLevelType w:val="hybridMultilevel"/>
    <w:tmpl w:val="DFD0EA3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8" w15:restartNumberingAfterBreak="0">
    <w:nsid w:val="567105C5"/>
    <w:multiLevelType w:val="hybridMultilevel"/>
    <w:tmpl w:val="EA404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9" w15:restartNumberingAfterBreak="0">
    <w:nsid w:val="572B5795"/>
    <w:multiLevelType w:val="hybridMultilevel"/>
    <w:tmpl w:val="81809D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0" w15:restartNumberingAfterBreak="0">
    <w:nsid w:val="574E17E3"/>
    <w:multiLevelType w:val="hybridMultilevel"/>
    <w:tmpl w:val="1F346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1" w15:restartNumberingAfterBreak="0">
    <w:nsid w:val="577E3774"/>
    <w:multiLevelType w:val="hybridMultilevel"/>
    <w:tmpl w:val="BDE23F98"/>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2" w15:restartNumberingAfterBreak="0">
    <w:nsid w:val="57A064D4"/>
    <w:multiLevelType w:val="hybridMultilevel"/>
    <w:tmpl w:val="E8D6FB5E"/>
    <w:lvl w:ilvl="0" w:tplc="0C090001">
      <w:start w:val="1"/>
      <w:numFmt w:val="bullet"/>
      <w:lvlText w:val=""/>
      <w:lvlJc w:val="left"/>
      <w:pPr>
        <w:ind w:left="683" w:hanging="360"/>
      </w:pPr>
      <w:rPr>
        <w:rFonts w:ascii="Symbol" w:hAnsi="Symbol" w:hint="default"/>
      </w:rPr>
    </w:lvl>
    <w:lvl w:ilvl="1" w:tplc="0C090003" w:tentative="1">
      <w:start w:val="1"/>
      <w:numFmt w:val="bullet"/>
      <w:lvlText w:val="o"/>
      <w:lvlJc w:val="left"/>
      <w:pPr>
        <w:ind w:left="1403" w:hanging="360"/>
      </w:pPr>
      <w:rPr>
        <w:rFonts w:ascii="Courier New" w:hAnsi="Courier New" w:cs="Courier New" w:hint="default"/>
      </w:rPr>
    </w:lvl>
    <w:lvl w:ilvl="2" w:tplc="0C090005" w:tentative="1">
      <w:start w:val="1"/>
      <w:numFmt w:val="bullet"/>
      <w:lvlText w:val=""/>
      <w:lvlJc w:val="left"/>
      <w:pPr>
        <w:ind w:left="2123" w:hanging="360"/>
      </w:pPr>
      <w:rPr>
        <w:rFonts w:ascii="Wingdings" w:hAnsi="Wingdings" w:hint="default"/>
      </w:rPr>
    </w:lvl>
    <w:lvl w:ilvl="3" w:tplc="0C090001" w:tentative="1">
      <w:start w:val="1"/>
      <w:numFmt w:val="bullet"/>
      <w:lvlText w:val=""/>
      <w:lvlJc w:val="left"/>
      <w:pPr>
        <w:ind w:left="2843" w:hanging="360"/>
      </w:pPr>
      <w:rPr>
        <w:rFonts w:ascii="Symbol" w:hAnsi="Symbol" w:hint="default"/>
      </w:rPr>
    </w:lvl>
    <w:lvl w:ilvl="4" w:tplc="0C090003" w:tentative="1">
      <w:start w:val="1"/>
      <w:numFmt w:val="bullet"/>
      <w:lvlText w:val="o"/>
      <w:lvlJc w:val="left"/>
      <w:pPr>
        <w:ind w:left="3563" w:hanging="360"/>
      </w:pPr>
      <w:rPr>
        <w:rFonts w:ascii="Courier New" w:hAnsi="Courier New" w:cs="Courier New" w:hint="default"/>
      </w:rPr>
    </w:lvl>
    <w:lvl w:ilvl="5" w:tplc="0C090005" w:tentative="1">
      <w:start w:val="1"/>
      <w:numFmt w:val="bullet"/>
      <w:lvlText w:val=""/>
      <w:lvlJc w:val="left"/>
      <w:pPr>
        <w:ind w:left="4283" w:hanging="360"/>
      </w:pPr>
      <w:rPr>
        <w:rFonts w:ascii="Wingdings" w:hAnsi="Wingdings" w:hint="default"/>
      </w:rPr>
    </w:lvl>
    <w:lvl w:ilvl="6" w:tplc="0C090001" w:tentative="1">
      <w:start w:val="1"/>
      <w:numFmt w:val="bullet"/>
      <w:lvlText w:val=""/>
      <w:lvlJc w:val="left"/>
      <w:pPr>
        <w:ind w:left="5003" w:hanging="360"/>
      </w:pPr>
      <w:rPr>
        <w:rFonts w:ascii="Symbol" w:hAnsi="Symbol" w:hint="default"/>
      </w:rPr>
    </w:lvl>
    <w:lvl w:ilvl="7" w:tplc="0C090003" w:tentative="1">
      <w:start w:val="1"/>
      <w:numFmt w:val="bullet"/>
      <w:lvlText w:val="o"/>
      <w:lvlJc w:val="left"/>
      <w:pPr>
        <w:ind w:left="5723" w:hanging="360"/>
      </w:pPr>
      <w:rPr>
        <w:rFonts w:ascii="Courier New" w:hAnsi="Courier New" w:cs="Courier New" w:hint="default"/>
      </w:rPr>
    </w:lvl>
    <w:lvl w:ilvl="8" w:tplc="0C090005" w:tentative="1">
      <w:start w:val="1"/>
      <w:numFmt w:val="bullet"/>
      <w:lvlText w:val=""/>
      <w:lvlJc w:val="left"/>
      <w:pPr>
        <w:ind w:left="6443" w:hanging="360"/>
      </w:pPr>
      <w:rPr>
        <w:rFonts w:ascii="Wingdings" w:hAnsi="Wingdings" w:hint="default"/>
      </w:rPr>
    </w:lvl>
  </w:abstractNum>
  <w:abstractNum w:abstractNumId="243" w15:restartNumberingAfterBreak="0">
    <w:nsid w:val="57D1335F"/>
    <w:multiLevelType w:val="hybridMultilevel"/>
    <w:tmpl w:val="B26ED12A"/>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4" w15:restartNumberingAfterBreak="0">
    <w:nsid w:val="580461F4"/>
    <w:multiLevelType w:val="hybridMultilevel"/>
    <w:tmpl w:val="2E7212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5" w15:restartNumberingAfterBreak="0">
    <w:nsid w:val="588C4A93"/>
    <w:multiLevelType w:val="hybridMultilevel"/>
    <w:tmpl w:val="646AD3F2"/>
    <w:lvl w:ilvl="0" w:tplc="EAEE4C9A">
      <w:start w:val="1"/>
      <w:numFmt w:val="bullet"/>
      <w:lvlText w:val="-"/>
      <w:lvlJc w:val="left"/>
      <w:pPr>
        <w:ind w:left="720" w:hanging="360"/>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6" w15:restartNumberingAfterBreak="0">
    <w:nsid w:val="58D35353"/>
    <w:multiLevelType w:val="multilevel"/>
    <w:tmpl w:val="FCD4F4EC"/>
    <w:lvl w:ilvl="0">
      <w:start w:val="1"/>
      <w:numFmt w:val="lowerLetter"/>
      <w:lvlText w:val="(%1)"/>
      <w:lvlJc w:val="left"/>
      <w:pPr>
        <w:tabs>
          <w:tab w:val="num" w:pos="284"/>
        </w:tabs>
        <w:ind w:left="284" w:hanging="284"/>
      </w:pPr>
      <w:rPr>
        <w:rFonts w:hint="default"/>
      </w:rPr>
    </w:lvl>
    <w:lvl w:ilvl="1">
      <w:start w:val="1"/>
      <w:numFmt w:val="bullet"/>
      <w:lvlText w:val="–"/>
      <w:lvlJc w:val="left"/>
      <w:pPr>
        <w:tabs>
          <w:tab w:val="num" w:pos="568"/>
        </w:tabs>
        <w:ind w:left="568" w:hanging="284"/>
      </w:pPr>
      <w:rPr>
        <w:rFonts w:ascii="Arial" w:hAnsi="Arial" w:hint="default"/>
      </w:rPr>
    </w:lvl>
    <w:lvl w:ilvl="2">
      <w:start w:val="1"/>
      <w:numFmt w:val="bullet"/>
      <w:lvlText w:val=""/>
      <w:lvlJc w:val="left"/>
      <w:pPr>
        <w:tabs>
          <w:tab w:val="num" w:pos="852"/>
        </w:tabs>
        <w:ind w:left="852" w:hanging="284"/>
      </w:pPr>
      <w:rPr>
        <w:rFonts w:ascii="Symbol" w:hAnsi="Symbol"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247" w15:restartNumberingAfterBreak="0">
    <w:nsid w:val="59375F59"/>
    <w:multiLevelType w:val="hybridMultilevel"/>
    <w:tmpl w:val="1E8C52CC"/>
    <w:lvl w:ilvl="0" w:tplc="6CB27EE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8" w15:restartNumberingAfterBreak="0">
    <w:nsid w:val="5957344B"/>
    <w:multiLevelType w:val="multilevel"/>
    <w:tmpl w:val="68587FE8"/>
    <w:lvl w:ilvl="0">
      <w:start w:val="1"/>
      <w:numFmt w:val="lowerLetter"/>
      <w:lvlText w:val="(%1)"/>
      <w:lvlJc w:val="left"/>
      <w:pPr>
        <w:tabs>
          <w:tab w:val="num" w:pos="284"/>
        </w:tabs>
        <w:ind w:left="284" w:hanging="284"/>
      </w:pPr>
      <w:rPr>
        <w:rFonts w:hint="default"/>
      </w:rPr>
    </w:lvl>
    <w:lvl w:ilvl="1">
      <w:start w:val="1"/>
      <w:numFmt w:val="bullet"/>
      <w:lvlText w:val="–"/>
      <w:lvlJc w:val="left"/>
      <w:pPr>
        <w:tabs>
          <w:tab w:val="num" w:pos="568"/>
        </w:tabs>
        <w:ind w:left="568" w:hanging="284"/>
      </w:pPr>
      <w:rPr>
        <w:rFonts w:ascii="Arial" w:hAnsi="Arial" w:hint="default"/>
      </w:rPr>
    </w:lvl>
    <w:lvl w:ilvl="2">
      <w:start w:val="1"/>
      <w:numFmt w:val="bullet"/>
      <w:lvlText w:val=""/>
      <w:lvlJc w:val="left"/>
      <w:pPr>
        <w:tabs>
          <w:tab w:val="num" w:pos="852"/>
        </w:tabs>
        <w:ind w:left="852" w:hanging="284"/>
      </w:pPr>
      <w:rPr>
        <w:rFonts w:ascii="Symbol" w:hAnsi="Symbol"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249" w15:restartNumberingAfterBreak="0">
    <w:nsid w:val="59AF65C2"/>
    <w:multiLevelType w:val="multilevel"/>
    <w:tmpl w:val="95A20B3A"/>
    <w:styleLink w:val="ListContinueStyle"/>
    <w:lvl w:ilvl="0">
      <w:start w:val="1"/>
      <w:numFmt w:val="none"/>
      <w:pStyle w:val="ListContinue"/>
      <w:lvlText w:val=""/>
      <w:lvlJc w:val="left"/>
      <w:pPr>
        <w:tabs>
          <w:tab w:val="num" w:pos="1133"/>
        </w:tabs>
        <w:ind w:left="284" w:hanging="284"/>
      </w:pPr>
      <w:rPr>
        <w:rFonts w:hint="default"/>
      </w:rPr>
    </w:lvl>
    <w:lvl w:ilvl="1">
      <w:start w:val="1"/>
      <w:numFmt w:val="none"/>
      <w:pStyle w:val="ListContinue2"/>
      <w:lvlText w:val=""/>
      <w:lvlJc w:val="left"/>
      <w:pPr>
        <w:tabs>
          <w:tab w:val="num" w:pos="1417"/>
        </w:tabs>
        <w:ind w:left="568" w:hanging="284"/>
      </w:pPr>
      <w:rPr>
        <w:rFonts w:hint="default"/>
      </w:rPr>
    </w:lvl>
    <w:lvl w:ilvl="2">
      <w:start w:val="1"/>
      <w:numFmt w:val="none"/>
      <w:pStyle w:val="ListContinue3"/>
      <w:lvlText w:val=""/>
      <w:lvlJc w:val="left"/>
      <w:pPr>
        <w:tabs>
          <w:tab w:val="num" w:pos="1701"/>
        </w:tabs>
        <w:ind w:left="852" w:hanging="284"/>
      </w:pPr>
      <w:rPr>
        <w:rFonts w:hint="default"/>
      </w:rPr>
    </w:lvl>
    <w:lvl w:ilvl="3">
      <w:start w:val="1"/>
      <w:numFmt w:val="bullet"/>
      <w:lvlText w:val=""/>
      <w:lvlJc w:val="left"/>
      <w:pPr>
        <w:tabs>
          <w:tab w:val="num" w:pos="1985"/>
        </w:tabs>
        <w:ind w:left="1136" w:hanging="284"/>
      </w:pPr>
      <w:rPr>
        <w:rFonts w:ascii="Symbol" w:hAnsi="Symbol" w:hint="default"/>
      </w:rPr>
    </w:lvl>
    <w:lvl w:ilvl="4">
      <w:start w:val="1"/>
      <w:numFmt w:val="bullet"/>
      <w:lvlText w:val="o"/>
      <w:lvlJc w:val="left"/>
      <w:pPr>
        <w:tabs>
          <w:tab w:val="num" w:pos="2269"/>
        </w:tabs>
        <w:ind w:left="1420" w:hanging="284"/>
      </w:pPr>
      <w:rPr>
        <w:rFonts w:ascii="Courier New" w:hAnsi="Courier New" w:cs="Courier New" w:hint="default"/>
      </w:rPr>
    </w:lvl>
    <w:lvl w:ilvl="5">
      <w:start w:val="1"/>
      <w:numFmt w:val="bullet"/>
      <w:lvlText w:val=""/>
      <w:lvlJc w:val="left"/>
      <w:pPr>
        <w:tabs>
          <w:tab w:val="num" w:pos="2553"/>
        </w:tabs>
        <w:ind w:left="1704" w:hanging="284"/>
      </w:pPr>
      <w:rPr>
        <w:rFonts w:ascii="Wingdings" w:hAnsi="Wingdings" w:hint="default"/>
      </w:rPr>
    </w:lvl>
    <w:lvl w:ilvl="6">
      <w:start w:val="1"/>
      <w:numFmt w:val="bullet"/>
      <w:lvlText w:val=""/>
      <w:lvlJc w:val="left"/>
      <w:pPr>
        <w:tabs>
          <w:tab w:val="num" w:pos="2837"/>
        </w:tabs>
        <w:ind w:left="1988" w:hanging="284"/>
      </w:pPr>
      <w:rPr>
        <w:rFonts w:ascii="Symbol" w:hAnsi="Symbol" w:hint="default"/>
      </w:rPr>
    </w:lvl>
    <w:lvl w:ilvl="7">
      <w:start w:val="1"/>
      <w:numFmt w:val="bullet"/>
      <w:lvlText w:val="o"/>
      <w:lvlJc w:val="left"/>
      <w:pPr>
        <w:tabs>
          <w:tab w:val="num" w:pos="3121"/>
        </w:tabs>
        <w:ind w:left="2272" w:hanging="284"/>
      </w:pPr>
      <w:rPr>
        <w:rFonts w:ascii="Courier New" w:hAnsi="Courier New" w:cs="Courier New" w:hint="default"/>
      </w:rPr>
    </w:lvl>
    <w:lvl w:ilvl="8">
      <w:start w:val="1"/>
      <w:numFmt w:val="bullet"/>
      <w:lvlText w:val=""/>
      <w:lvlJc w:val="left"/>
      <w:pPr>
        <w:tabs>
          <w:tab w:val="num" w:pos="3405"/>
        </w:tabs>
        <w:ind w:left="2556" w:hanging="284"/>
      </w:pPr>
      <w:rPr>
        <w:rFonts w:ascii="Wingdings" w:hAnsi="Wingdings" w:hint="default"/>
      </w:rPr>
    </w:lvl>
  </w:abstractNum>
  <w:abstractNum w:abstractNumId="250" w15:restartNumberingAfterBreak="0">
    <w:nsid w:val="59C655EF"/>
    <w:multiLevelType w:val="hybridMultilevel"/>
    <w:tmpl w:val="DD16332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1" w15:restartNumberingAfterBreak="0">
    <w:nsid w:val="59EE443C"/>
    <w:multiLevelType w:val="hybridMultilevel"/>
    <w:tmpl w:val="E8ACBFBA"/>
    <w:lvl w:ilvl="0" w:tplc="FFFFFFFF">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2" w15:restartNumberingAfterBreak="0">
    <w:nsid w:val="5B5F0B26"/>
    <w:multiLevelType w:val="hybridMultilevel"/>
    <w:tmpl w:val="DC6493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3" w15:restartNumberingAfterBreak="0">
    <w:nsid w:val="5BBA4160"/>
    <w:multiLevelType w:val="hybridMultilevel"/>
    <w:tmpl w:val="6826DD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4" w15:restartNumberingAfterBreak="0">
    <w:nsid w:val="5C173917"/>
    <w:multiLevelType w:val="hybridMultilevel"/>
    <w:tmpl w:val="C764E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5" w15:restartNumberingAfterBreak="0">
    <w:nsid w:val="5C6D7EED"/>
    <w:multiLevelType w:val="hybridMultilevel"/>
    <w:tmpl w:val="240C28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6" w15:restartNumberingAfterBreak="0">
    <w:nsid w:val="5CA50118"/>
    <w:multiLevelType w:val="hybridMultilevel"/>
    <w:tmpl w:val="A0F2D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7" w15:restartNumberingAfterBreak="0">
    <w:nsid w:val="5CAF73C7"/>
    <w:multiLevelType w:val="hybridMultilevel"/>
    <w:tmpl w:val="EAE294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8" w15:restartNumberingAfterBreak="0">
    <w:nsid w:val="5CBA11F3"/>
    <w:multiLevelType w:val="hybridMultilevel"/>
    <w:tmpl w:val="F1F8411E"/>
    <w:lvl w:ilvl="0" w:tplc="FFFFFFFF">
      <w:start w:val="1"/>
      <w:numFmt w:val="lowerRoman"/>
      <w:lvlText w:val="(%1)"/>
      <w:lvlJc w:val="left"/>
      <w:pPr>
        <w:ind w:left="1060" w:hanging="360"/>
      </w:pPr>
      <w:rPr>
        <w:rFonts w:hint="default"/>
      </w:rPr>
    </w:lvl>
    <w:lvl w:ilvl="1" w:tplc="7916AE22">
      <w:start w:val="1"/>
      <w:numFmt w:val="lowerLetter"/>
      <w:lvlText w:val="(%2)"/>
      <w:lvlJc w:val="left"/>
      <w:pPr>
        <w:ind w:left="1780" w:hanging="360"/>
      </w:pPr>
      <w:rPr>
        <w:rFonts w:hint="default"/>
      </w:r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259" w15:restartNumberingAfterBreak="0">
    <w:nsid w:val="5CBA28BD"/>
    <w:multiLevelType w:val="hybridMultilevel"/>
    <w:tmpl w:val="4CAE305C"/>
    <w:lvl w:ilvl="0" w:tplc="4A10DAD2">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0" w15:restartNumberingAfterBreak="0">
    <w:nsid w:val="5CDB7598"/>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1" w15:restartNumberingAfterBreak="0">
    <w:nsid w:val="5D20685C"/>
    <w:multiLevelType w:val="hybridMultilevel"/>
    <w:tmpl w:val="C40812D4"/>
    <w:lvl w:ilvl="0" w:tplc="096AA05E">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2" w15:restartNumberingAfterBreak="0">
    <w:nsid w:val="5DB95AF9"/>
    <w:multiLevelType w:val="hybridMultilevel"/>
    <w:tmpl w:val="C11AB02A"/>
    <w:lvl w:ilvl="0" w:tplc="FFFFFFFF">
      <w:start w:val="1"/>
      <w:numFmt w:val="lowerRoman"/>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start w:val="1"/>
      <w:numFmt w:val="lowerLetter"/>
      <w:lvlText w:val="%3."/>
      <w:lvlJc w:val="left"/>
      <w:pPr>
        <w:ind w:left="2340" w:hanging="360"/>
      </w:pPr>
      <w:rPr>
        <w:rFonts w:hint="default"/>
      </w:rPr>
    </w:lvl>
    <w:lvl w:ilvl="3" w:tplc="FFFFFFFF">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start w:val="1"/>
      <w:numFmt w:val="lowerRoman"/>
      <w:lvlText w:val="(%6)"/>
      <w:lvlJc w:val="left"/>
      <w:pPr>
        <w:ind w:left="36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3" w15:restartNumberingAfterBreak="0">
    <w:nsid w:val="5DCB7FF3"/>
    <w:multiLevelType w:val="hybridMultilevel"/>
    <w:tmpl w:val="D60C0E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4" w15:restartNumberingAfterBreak="0">
    <w:nsid w:val="5E5E7692"/>
    <w:multiLevelType w:val="hybridMultilevel"/>
    <w:tmpl w:val="20B878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5" w15:restartNumberingAfterBreak="0">
    <w:nsid w:val="5F004DAD"/>
    <w:multiLevelType w:val="hybridMultilevel"/>
    <w:tmpl w:val="E4A661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6" w15:restartNumberingAfterBreak="0">
    <w:nsid w:val="5F766C79"/>
    <w:multiLevelType w:val="multilevel"/>
    <w:tmpl w:val="68587FE8"/>
    <w:lvl w:ilvl="0">
      <w:start w:val="1"/>
      <w:numFmt w:val="lowerLetter"/>
      <w:lvlText w:val="(%1)"/>
      <w:lvlJc w:val="left"/>
      <w:pPr>
        <w:tabs>
          <w:tab w:val="num" w:pos="284"/>
        </w:tabs>
        <w:ind w:left="284" w:hanging="284"/>
      </w:pPr>
      <w:rPr>
        <w:rFonts w:hint="default"/>
      </w:rPr>
    </w:lvl>
    <w:lvl w:ilvl="1">
      <w:start w:val="1"/>
      <w:numFmt w:val="bullet"/>
      <w:lvlText w:val="–"/>
      <w:lvlJc w:val="left"/>
      <w:pPr>
        <w:tabs>
          <w:tab w:val="num" w:pos="568"/>
        </w:tabs>
        <w:ind w:left="568" w:hanging="284"/>
      </w:pPr>
      <w:rPr>
        <w:rFonts w:ascii="Arial" w:hAnsi="Arial" w:hint="default"/>
      </w:rPr>
    </w:lvl>
    <w:lvl w:ilvl="2">
      <w:start w:val="1"/>
      <w:numFmt w:val="bullet"/>
      <w:lvlText w:val=""/>
      <w:lvlJc w:val="left"/>
      <w:pPr>
        <w:tabs>
          <w:tab w:val="num" w:pos="852"/>
        </w:tabs>
        <w:ind w:left="852" w:hanging="284"/>
      </w:pPr>
      <w:rPr>
        <w:rFonts w:ascii="Symbol" w:hAnsi="Symbol"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267" w15:restartNumberingAfterBreak="0">
    <w:nsid w:val="5FCB33FE"/>
    <w:multiLevelType w:val="multilevel"/>
    <w:tmpl w:val="31108854"/>
    <w:lvl w:ilvl="0">
      <w:start w:val="1"/>
      <w:numFmt w:val="bullet"/>
      <w:lvlText w:val=""/>
      <w:lvlJc w:val="left"/>
      <w:pPr>
        <w:ind w:left="397" w:hanging="397"/>
      </w:pPr>
      <w:rPr>
        <w:rFonts w:ascii="Symbol" w:hAnsi="Symbol" w:hint="default"/>
      </w:rPr>
    </w:lvl>
    <w:lvl w:ilvl="1">
      <w:start w:val="1"/>
      <w:numFmt w:val="lowerRoman"/>
      <w:lvlText w:val="(%2)"/>
      <w:lvlJc w:val="left"/>
      <w:pPr>
        <w:ind w:left="794"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8" w15:restartNumberingAfterBreak="0">
    <w:nsid w:val="5FEF0FC0"/>
    <w:multiLevelType w:val="hybridMultilevel"/>
    <w:tmpl w:val="95AA2F3C"/>
    <w:lvl w:ilvl="0" w:tplc="82AC64E6">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9" w15:restartNumberingAfterBreak="0">
    <w:nsid w:val="600F7C01"/>
    <w:multiLevelType w:val="hybridMultilevel"/>
    <w:tmpl w:val="90489568"/>
    <w:lvl w:ilvl="0" w:tplc="1BB6736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0" w15:restartNumberingAfterBreak="0">
    <w:nsid w:val="6039488D"/>
    <w:multiLevelType w:val="hybridMultilevel"/>
    <w:tmpl w:val="04A69174"/>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71" w15:restartNumberingAfterBreak="0">
    <w:nsid w:val="60671D73"/>
    <w:multiLevelType w:val="hybridMultilevel"/>
    <w:tmpl w:val="1DF6C4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2" w15:restartNumberingAfterBreak="0">
    <w:nsid w:val="610422AA"/>
    <w:multiLevelType w:val="hybridMultilevel"/>
    <w:tmpl w:val="1E342ACC"/>
    <w:lvl w:ilvl="0" w:tplc="82AC64E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3" w15:restartNumberingAfterBreak="0">
    <w:nsid w:val="61182124"/>
    <w:multiLevelType w:val="hybridMultilevel"/>
    <w:tmpl w:val="1262AE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4" w15:restartNumberingAfterBreak="0">
    <w:nsid w:val="611B10E1"/>
    <w:multiLevelType w:val="hybridMultilevel"/>
    <w:tmpl w:val="111EFCBA"/>
    <w:lvl w:ilvl="0" w:tplc="4A10DAD2">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5" w15:restartNumberingAfterBreak="0">
    <w:nsid w:val="61247A7F"/>
    <w:multiLevelType w:val="hybridMultilevel"/>
    <w:tmpl w:val="5F2C6E20"/>
    <w:lvl w:ilvl="0" w:tplc="FFFFFFFF">
      <w:start w:val="1"/>
      <w:numFmt w:val="bullet"/>
      <w:lvlText w:val=""/>
      <w:lvlJc w:val="left"/>
      <w:pPr>
        <w:ind w:left="720" w:hanging="360"/>
      </w:pPr>
      <w:rPr>
        <w:rFonts w:ascii="Symbol" w:hAnsi="Symbol" w:hint="default"/>
      </w:rPr>
    </w:lvl>
    <w:lvl w:ilvl="1" w:tplc="82AC64E6">
      <w:start w:val="1"/>
      <w:numFmt w:val="lowerLetter"/>
      <w:lvlText w:val="(%2)"/>
      <w:lvlJc w:val="left"/>
      <w:pPr>
        <w:ind w:left="36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6" w15:restartNumberingAfterBreak="0">
    <w:nsid w:val="6238514B"/>
    <w:multiLevelType w:val="hybridMultilevel"/>
    <w:tmpl w:val="DA9877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7" w15:restartNumberingAfterBreak="0">
    <w:nsid w:val="62605106"/>
    <w:multiLevelType w:val="hybridMultilevel"/>
    <w:tmpl w:val="1EB6A5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8" w15:restartNumberingAfterBreak="0">
    <w:nsid w:val="62E10DE3"/>
    <w:multiLevelType w:val="hybridMultilevel"/>
    <w:tmpl w:val="8AAA01EE"/>
    <w:lvl w:ilvl="0" w:tplc="9E525F1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9" w15:restartNumberingAfterBreak="0">
    <w:nsid w:val="62FD485F"/>
    <w:multiLevelType w:val="hybridMultilevel"/>
    <w:tmpl w:val="00EA59EC"/>
    <w:lvl w:ilvl="0" w:tplc="5E0099C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0" w15:restartNumberingAfterBreak="0">
    <w:nsid w:val="63574EC1"/>
    <w:multiLevelType w:val="hybridMultilevel"/>
    <w:tmpl w:val="1CD8D24E"/>
    <w:lvl w:ilvl="0" w:tplc="82AC64E6">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1" w15:restartNumberingAfterBreak="0">
    <w:nsid w:val="63783F81"/>
    <w:multiLevelType w:val="hybridMultilevel"/>
    <w:tmpl w:val="0E2E46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2" w15:restartNumberingAfterBreak="0">
    <w:nsid w:val="63F504F2"/>
    <w:multiLevelType w:val="hybridMultilevel"/>
    <w:tmpl w:val="CCFA21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3" w15:restartNumberingAfterBreak="0">
    <w:nsid w:val="640B34A8"/>
    <w:multiLevelType w:val="hybridMultilevel"/>
    <w:tmpl w:val="C248BB32"/>
    <w:lvl w:ilvl="0" w:tplc="82AC64E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4" w15:restartNumberingAfterBreak="0">
    <w:nsid w:val="659317B4"/>
    <w:multiLevelType w:val="hybridMultilevel"/>
    <w:tmpl w:val="2FC26B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5" w15:restartNumberingAfterBreak="0">
    <w:nsid w:val="66382C19"/>
    <w:multiLevelType w:val="hybridMultilevel"/>
    <w:tmpl w:val="FA342C16"/>
    <w:lvl w:ilvl="0" w:tplc="82AC64E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6" w15:restartNumberingAfterBreak="0">
    <w:nsid w:val="663D76CB"/>
    <w:multiLevelType w:val="hybridMultilevel"/>
    <w:tmpl w:val="A1281D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7" w15:restartNumberingAfterBreak="0">
    <w:nsid w:val="675F7F5F"/>
    <w:multiLevelType w:val="hybridMultilevel"/>
    <w:tmpl w:val="CA6C49A8"/>
    <w:lvl w:ilvl="0" w:tplc="82AC64E6">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8" w15:restartNumberingAfterBreak="0">
    <w:nsid w:val="683A47ED"/>
    <w:multiLevelType w:val="hybridMultilevel"/>
    <w:tmpl w:val="DB0CE00C"/>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9" w15:restartNumberingAfterBreak="0">
    <w:nsid w:val="688D2A94"/>
    <w:multiLevelType w:val="hybridMultilevel"/>
    <w:tmpl w:val="BCCEC396"/>
    <w:lvl w:ilvl="0" w:tplc="C93E03DE">
      <w:start w:val="1"/>
      <w:numFmt w:val="lowerRoman"/>
      <w:lvlText w:val="(%1)"/>
      <w:lvlJc w:val="left"/>
      <w:pPr>
        <w:ind w:left="1060" w:hanging="720"/>
      </w:pPr>
      <w:rPr>
        <w:rFonts w:hint="default"/>
      </w:rPr>
    </w:lvl>
    <w:lvl w:ilvl="1" w:tplc="0C090019" w:tentative="1">
      <w:start w:val="1"/>
      <w:numFmt w:val="lowerLetter"/>
      <w:lvlText w:val="%2."/>
      <w:lvlJc w:val="left"/>
      <w:pPr>
        <w:ind w:left="1420" w:hanging="360"/>
      </w:pPr>
    </w:lvl>
    <w:lvl w:ilvl="2" w:tplc="0C09001B" w:tentative="1">
      <w:start w:val="1"/>
      <w:numFmt w:val="lowerRoman"/>
      <w:lvlText w:val="%3."/>
      <w:lvlJc w:val="right"/>
      <w:pPr>
        <w:ind w:left="2140" w:hanging="180"/>
      </w:pPr>
    </w:lvl>
    <w:lvl w:ilvl="3" w:tplc="0C09000F" w:tentative="1">
      <w:start w:val="1"/>
      <w:numFmt w:val="decimal"/>
      <w:lvlText w:val="%4."/>
      <w:lvlJc w:val="left"/>
      <w:pPr>
        <w:ind w:left="2860" w:hanging="360"/>
      </w:pPr>
    </w:lvl>
    <w:lvl w:ilvl="4" w:tplc="0C090019" w:tentative="1">
      <w:start w:val="1"/>
      <w:numFmt w:val="lowerLetter"/>
      <w:lvlText w:val="%5."/>
      <w:lvlJc w:val="left"/>
      <w:pPr>
        <w:ind w:left="3580" w:hanging="360"/>
      </w:pPr>
    </w:lvl>
    <w:lvl w:ilvl="5" w:tplc="0C09001B" w:tentative="1">
      <w:start w:val="1"/>
      <w:numFmt w:val="lowerRoman"/>
      <w:lvlText w:val="%6."/>
      <w:lvlJc w:val="right"/>
      <w:pPr>
        <w:ind w:left="4300" w:hanging="180"/>
      </w:pPr>
    </w:lvl>
    <w:lvl w:ilvl="6" w:tplc="0C09000F" w:tentative="1">
      <w:start w:val="1"/>
      <w:numFmt w:val="decimal"/>
      <w:lvlText w:val="%7."/>
      <w:lvlJc w:val="left"/>
      <w:pPr>
        <w:ind w:left="5020" w:hanging="360"/>
      </w:pPr>
    </w:lvl>
    <w:lvl w:ilvl="7" w:tplc="0C090019" w:tentative="1">
      <w:start w:val="1"/>
      <w:numFmt w:val="lowerLetter"/>
      <w:lvlText w:val="%8."/>
      <w:lvlJc w:val="left"/>
      <w:pPr>
        <w:ind w:left="5740" w:hanging="360"/>
      </w:pPr>
    </w:lvl>
    <w:lvl w:ilvl="8" w:tplc="0C09001B" w:tentative="1">
      <w:start w:val="1"/>
      <w:numFmt w:val="lowerRoman"/>
      <w:lvlText w:val="%9."/>
      <w:lvlJc w:val="right"/>
      <w:pPr>
        <w:ind w:left="6460" w:hanging="180"/>
      </w:pPr>
    </w:lvl>
  </w:abstractNum>
  <w:abstractNum w:abstractNumId="290" w15:restartNumberingAfterBreak="0">
    <w:nsid w:val="69790D68"/>
    <w:multiLevelType w:val="hybridMultilevel"/>
    <w:tmpl w:val="439E5B5E"/>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1" w15:restartNumberingAfterBreak="0">
    <w:nsid w:val="69A942B8"/>
    <w:multiLevelType w:val="hybridMultilevel"/>
    <w:tmpl w:val="B2981BEA"/>
    <w:lvl w:ilvl="0" w:tplc="0C090001">
      <w:start w:val="1"/>
      <w:numFmt w:val="bullet"/>
      <w:lvlText w:val=""/>
      <w:lvlJc w:val="left"/>
      <w:pPr>
        <w:ind w:left="323" w:hanging="360"/>
      </w:pPr>
      <w:rPr>
        <w:rFonts w:ascii="Symbol" w:hAnsi="Symbol" w:hint="default"/>
      </w:rPr>
    </w:lvl>
    <w:lvl w:ilvl="1" w:tplc="0C090003" w:tentative="1">
      <w:start w:val="1"/>
      <w:numFmt w:val="bullet"/>
      <w:lvlText w:val="o"/>
      <w:lvlJc w:val="left"/>
      <w:pPr>
        <w:ind w:left="1043" w:hanging="360"/>
      </w:pPr>
      <w:rPr>
        <w:rFonts w:ascii="Courier New" w:hAnsi="Courier New" w:cs="Courier New" w:hint="default"/>
      </w:rPr>
    </w:lvl>
    <w:lvl w:ilvl="2" w:tplc="0C090005" w:tentative="1">
      <w:start w:val="1"/>
      <w:numFmt w:val="bullet"/>
      <w:lvlText w:val=""/>
      <w:lvlJc w:val="left"/>
      <w:pPr>
        <w:ind w:left="1763" w:hanging="360"/>
      </w:pPr>
      <w:rPr>
        <w:rFonts w:ascii="Wingdings" w:hAnsi="Wingdings" w:hint="default"/>
      </w:rPr>
    </w:lvl>
    <w:lvl w:ilvl="3" w:tplc="0C090001" w:tentative="1">
      <w:start w:val="1"/>
      <w:numFmt w:val="bullet"/>
      <w:lvlText w:val=""/>
      <w:lvlJc w:val="left"/>
      <w:pPr>
        <w:ind w:left="2483" w:hanging="360"/>
      </w:pPr>
      <w:rPr>
        <w:rFonts w:ascii="Symbol" w:hAnsi="Symbol" w:hint="default"/>
      </w:rPr>
    </w:lvl>
    <w:lvl w:ilvl="4" w:tplc="0C090003" w:tentative="1">
      <w:start w:val="1"/>
      <w:numFmt w:val="bullet"/>
      <w:lvlText w:val="o"/>
      <w:lvlJc w:val="left"/>
      <w:pPr>
        <w:ind w:left="3203" w:hanging="360"/>
      </w:pPr>
      <w:rPr>
        <w:rFonts w:ascii="Courier New" w:hAnsi="Courier New" w:cs="Courier New" w:hint="default"/>
      </w:rPr>
    </w:lvl>
    <w:lvl w:ilvl="5" w:tplc="0C090005" w:tentative="1">
      <w:start w:val="1"/>
      <w:numFmt w:val="bullet"/>
      <w:lvlText w:val=""/>
      <w:lvlJc w:val="left"/>
      <w:pPr>
        <w:ind w:left="3923" w:hanging="360"/>
      </w:pPr>
      <w:rPr>
        <w:rFonts w:ascii="Wingdings" w:hAnsi="Wingdings" w:hint="default"/>
      </w:rPr>
    </w:lvl>
    <w:lvl w:ilvl="6" w:tplc="0C090001" w:tentative="1">
      <w:start w:val="1"/>
      <w:numFmt w:val="bullet"/>
      <w:lvlText w:val=""/>
      <w:lvlJc w:val="left"/>
      <w:pPr>
        <w:ind w:left="4643" w:hanging="360"/>
      </w:pPr>
      <w:rPr>
        <w:rFonts w:ascii="Symbol" w:hAnsi="Symbol" w:hint="default"/>
      </w:rPr>
    </w:lvl>
    <w:lvl w:ilvl="7" w:tplc="0C090003" w:tentative="1">
      <w:start w:val="1"/>
      <w:numFmt w:val="bullet"/>
      <w:lvlText w:val="o"/>
      <w:lvlJc w:val="left"/>
      <w:pPr>
        <w:ind w:left="5363" w:hanging="360"/>
      </w:pPr>
      <w:rPr>
        <w:rFonts w:ascii="Courier New" w:hAnsi="Courier New" w:cs="Courier New" w:hint="default"/>
      </w:rPr>
    </w:lvl>
    <w:lvl w:ilvl="8" w:tplc="0C090005" w:tentative="1">
      <w:start w:val="1"/>
      <w:numFmt w:val="bullet"/>
      <w:lvlText w:val=""/>
      <w:lvlJc w:val="left"/>
      <w:pPr>
        <w:ind w:left="6083" w:hanging="360"/>
      </w:pPr>
      <w:rPr>
        <w:rFonts w:ascii="Wingdings" w:hAnsi="Wingdings" w:hint="default"/>
      </w:rPr>
    </w:lvl>
  </w:abstractNum>
  <w:abstractNum w:abstractNumId="292" w15:restartNumberingAfterBreak="0">
    <w:nsid w:val="6A411225"/>
    <w:multiLevelType w:val="hybridMultilevel"/>
    <w:tmpl w:val="6FEE90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3" w15:restartNumberingAfterBreak="0">
    <w:nsid w:val="6A7309A9"/>
    <w:multiLevelType w:val="hybridMultilevel"/>
    <w:tmpl w:val="7BD06406"/>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4" w15:restartNumberingAfterBreak="0">
    <w:nsid w:val="6AAF7B09"/>
    <w:multiLevelType w:val="hybridMultilevel"/>
    <w:tmpl w:val="C1E4F7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5" w15:restartNumberingAfterBreak="0">
    <w:nsid w:val="6AE77771"/>
    <w:multiLevelType w:val="hybridMultilevel"/>
    <w:tmpl w:val="09A8E0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6" w15:restartNumberingAfterBreak="0">
    <w:nsid w:val="6B5D1C8B"/>
    <w:multiLevelType w:val="hybridMultilevel"/>
    <w:tmpl w:val="4E407F2C"/>
    <w:lvl w:ilvl="0" w:tplc="FFFFFFFF">
      <w:start w:val="1"/>
      <w:numFmt w:val="lowerRoman"/>
      <w:lvlText w:val="(%1)"/>
      <w:lvlJc w:val="left"/>
      <w:pPr>
        <w:ind w:left="1060" w:hanging="360"/>
      </w:pPr>
      <w:rPr>
        <w:rFonts w:hint="default"/>
      </w:r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297" w15:restartNumberingAfterBreak="0">
    <w:nsid w:val="6B84714F"/>
    <w:multiLevelType w:val="hybridMultilevel"/>
    <w:tmpl w:val="558EBB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8" w15:restartNumberingAfterBreak="0">
    <w:nsid w:val="6BAF7780"/>
    <w:multiLevelType w:val="hybridMultilevel"/>
    <w:tmpl w:val="AF98F1D4"/>
    <w:lvl w:ilvl="0" w:tplc="82AC64E6">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9" w15:restartNumberingAfterBreak="0">
    <w:nsid w:val="6C1946C1"/>
    <w:multiLevelType w:val="hybridMultilevel"/>
    <w:tmpl w:val="5880938A"/>
    <w:lvl w:ilvl="0" w:tplc="7C68329A">
      <w:start w:val="1"/>
      <w:numFmt w:val="bullet"/>
      <w:lvlText w:val=""/>
      <w:lvlJc w:val="left"/>
      <w:pPr>
        <w:ind w:left="1080" w:hanging="360"/>
      </w:pPr>
      <w:rPr>
        <w:rFonts w:ascii="Symbol" w:hAnsi="Symbol"/>
      </w:rPr>
    </w:lvl>
    <w:lvl w:ilvl="1" w:tplc="CCD8FBF4">
      <w:start w:val="1"/>
      <w:numFmt w:val="bullet"/>
      <w:lvlText w:val=""/>
      <w:lvlJc w:val="left"/>
      <w:pPr>
        <w:ind w:left="1080" w:hanging="360"/>
      </w:pPr>
      <w:rPr>
        <w:rFonts w:ascii="Symbol" w:hAnsi="Symbol"/>
      </w:rPr>
    </w:lvl>
    <w:lvl w:ilvl="2" w:tplc="42C87F22">
      <w:start w:val="1"/>
      <w:numFmt w:val="bullet"/>
      <w:lvlText w:val=""/>
      <w:lvlJc w:val="left"/>
      <w:pPr>
        <w:ind w:left="1080" w:hanging="360"/>
      </w:pPr>
      <w:rPr>
        <w:rFonts w:ascii="Symbol" w:hAnsi="Symbol"/>
      </w:rPr>
    </w:lvl>
    <w:lvl w:ilvl="3" w:tplc="C8282DD0">
      <w:start w:val="1"/>
      <w:numFmt w:val="bullet"/>
      <w:lvlText w:val=""/>
      <w:lvlJc w:val="left"/>
      <w:pPr>
        <w:ind w:left="1080" w:hanging="360"/>
      </w:pPr>
      <w:rPr>
        <w:rFonts w:ascii="Symbol" w:hAnsi="Symbol"/>
      </w:rPr>
    </w:lvl>
    <w:lvl w:ilvl="4" w:tplc="D2E05E42">
      <w:start w:val="1"/>
      <w:numFmt w:val="bullet"/>
      <w:lvlText w:val=""/>
      <w:lvlJc w:val="left"/>
      <w:pPr>
        <w:ind w:left="1080" w:hanging="360"/>
      </w:pPr>
      <w:rPr>
        <w:rFonts w:ascii="Symbol" w:hAnsi="Symbol"/>
      </w:rPr>
    </w:lvl>
    <w:lvl w:ilvl="5" w:tplc="5ED82146">
      <w:start w:val="1"/>
      <w:numFmt w:val="bullet"/>
      <w:lvlText w:val=""/>
      <w:lvlJc w:val="left"/>
      <w:pPr>
        <w:ind w:left="1080" w:hanging="360"/>
      </w:pPr>
      <w:rPr>
        <w:rFonts w:ascii="Symbol" w:hAnsi="Symbol"/>
      </w:rPr>
    </w:lvl>
    <w:lvl w:ilvl="6" w:tplc="D3A86174">
      <w:start w:val="1"/>
      <w:numFmt w:val="bullet"/>
      <w:lvlText w:val=""/>
      <w:lvlJc w:val="left"/>
      <w:pPr>
        <w:ind w:left="1080" w:hanging="360"/>
      </w:pPr>
      <w:rPr>
        <w:rFonts w:ascii="Symbol" w:hAnsi="Symbol"/>
      </w:rPr>
    </w:lvl>
    <w:lvl w:ilvl="7" w:tplc="F7A63BFA">
      <w:start w:val="1"/>
      <w:numFmt w:val="bullet"/>
      <w:lvlText w:val=""/>
      <w:lvlJc w:val="left"/>
      <w:pPr>
        <w:ind w:left="1080" w:hanging="360"/>
      </w:pPr>
      <w:rPr>
        <w:rFonts w:ascii="Symbol" w:hAnsi="Symbol"/>
      </w:rPr>
    </w:lvl>
    <w:lvl w:ilvl="8" w:tplc="46A8257E">
      <w:start w:val="1"/>
      <w:numFmt w:val="bullet"/>
      <w:lvlText w:val=""/>
      <w:lvlJc w:val="left"/>
      <w:pPr>
        <w:ind w:left="1080" w:hanging="360"/>
      </w:pPr>
      <w:rPr>
        <w:rFonts w:ascii="Symbol" w:hAnsi="Symbol"/>
      </w:rPr>
    </w:lvl>
  </w:abstractNum>
  <w:abstractNum w:abstractNumId="300" w15:restartNumberingAfterBreak="0">
    <w:nsid w:val="6C8E6399"/>
    <w:multiLevelType w:val="hybridMultilevel"/>
    <w:tmpl w:val="B762DCE2"/>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1" w15:restartNumberingAfterBreak="0">
    <w:nsid w:val="6CBC2801"/>
    <w:multiLevelType w:val="hybridMultilevel"/>
    <w:tmpl w:val="C342538C"/>
    <w:lvl w:ilvl="0" w:tplc="0C090001">
      <w:start w:val="1"/>
      <w:numFmt w:val="bullet"/>
      <w:lvlText w:val=""/>
      <w:lvlJc w:val="left"/>
      <w:pPr>
        <w:ind w:left="4647" w:hanging="360"/>
      </w:pPr>
      <w:rPr>
        <w:rFonts w:ascii="Symbol" w:hAnsi="Symbol" w:hint="default"/>
      </w:rPr>
    </w:lvl>
    <w:lvl w:ilvl="1" w:tplc="0C090003" w:tentative="1">
      <w:start w:val="1"/>
      <w:numFmt w:val="bullet"/>
      <w:lvlText w:val="o"/>
      <w:lvlJc w:val="left"/>
      <w:pPr>
        <w:ind w:left="5367" w:hanging="360"/>
      </w:pPr>
      <w:rPr>
        <w:rFonts w:ascii="Courier New" w:hAnsi="Courier New" w:cs="Courier New" w:hint="default"/>
      </w:rPr>
    </w:lvl>
    <w:lvl w:ilvl="2" w:tplc="0C090005" w:tentative="1">
      <w:start w:val="1"/>
      <w:numFmt w:val="bullet"/>
      <w:lvlText w:val=""/>
      <w:lvlJc w:val="left"/>
      <w:pPr>
        <w:ind w:left="6087" w:hanging="360"/>
      </w:pPr>
      <w:rPr>
        <w:rFonts w:ascii="Wingdings" w:hAnsi="Wingdings" w:hint="default"/>
      </w:rPr>
    </w:lvl>
    <w:lvl w:ilvl="3" w:tplc="0C090001" w:tentative="1">
      <w:start w:val="1"/>
      <w:numFmt w:val="bullet"/>
      <w:lvlText w:val=""/>
      <w:lvlJc w:val="left"/>
      <w:pPr>
        <w:ind w:left="6807" w:hanging="360"/>
      </w:pPr>
      <w:rPr>
        <w:rFonts w:ascii="Symbol" w:hAnsi="Symbol" w:hint="default"/>
      </w:rPr>
    </w:lvl>
    <w:lvl w:ilvl="4" w:tplc="0C090003" w:tentative="1">
      <w:start w:val="1"/>
      <w:numFmt w:val="bullet"/>
      <w:lvlText w:val="o"/>
      <w:lvlJc w:val="left"/>
      <w:pPr>
        <w:ind w:left="7527" w:hanging="360"/>
      </w:pPr>
      <w:rPr>
        <w:rFonts w:ascii="Courier New" w:hAnsi="Courier New" w:cs="Courier New" w:hint="default"/>
      </w:rPr>
    </w:lvl>
    <w:lvl w:ilvl="5" w:tplc="0C090005" w:tentative="1">
      <w:start w:val="1"/>
      <w:numFmt w:val="bullet"/>
      <w:lvlText w:val=""/>
      <w:lvlJc w:val="left"/>
      <w:pPr>
        <w:ind w:left="8247" w:hanging="360"/>
      </w:pPr>
      <w:rPr>
        <w:rFonts w:ascii="Wingdings" w:hAnsi="Wingdings" w:hint="default"/>
      </w:rPr>
    </w:lvl>
    <w:lvl w:ilvl="6" w:tplc="0C090001" w:tentative="1">
      <w:start w:val="1"/>
      <w:numFmt w:val="bullet"/>
      <w:lvlText w:val=""/>
      <w:lvlJc w:val="left"/>
      <w:pPr>
        <w:ind w:left="8967" w:hanging="360"/>
      </w:pPr>
      <w:rPr>
        <w:rFonts w:ascii="Symbol" w:hAnsi="Symbol" w:hint="default"/>
      </w:rPr>
    </w:lvl>
    <w:lvl w:ilvl="7" w:tplc="0C090003" w:tentative="1">
      <w:start w:val="1"/>
      <w:numFmt w:val="bullet"/>
      <w:lvlText w:val="o"/>
      <w:lvlJc w:val="left"/>
      <w:pPr>
        <w:ind w:left="9687" w:hanging="360"/>
      </w:pPr>
      <w:rPr>
        <w:rFonts w:ascii="Courier New" w:hAnsi="Courier New" w:cs="Courier New" w:hint="default"/>
      </w:rPr>
    </w:lvl>
    <w:lvl w:ilvl="8" w:tplc="0C090005" w:tentative="1">
      <w:start w:val="1"/>
      <w:numFmt w:val="bullet"/>
      <w:lvlText w:val=""/>
      <w:lvlJc w:val="left"/>
      <w:pPr>
        <w:ind w:left="10407" w:hanging="360"/>
      </w:pPr>
      <w:rPr>
        <w:rFonts w:ascii="Wingdings" w:hAnsi="Wingdings" w:hint="default"/>
      </w:rPr>
    </w:lvl>
  </w:abstractNum>
  <w:abstractNum w:abstractNumId="302" w15:restartNumberingAfterBreak="0">
    <w:nsid w:val="6CBC4223"/>
    <w:multiLevelType w:val="hybridMultilevel"/>
    <w:tmpl w:val="D9DC85F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3" w15:restartNumberingAfterBreak="0">
    <w:nsid w:val="6CE279C7"/>
    <w:multiLevelType w:val="hybridMultilevel"/>
    <w:tmpl w:val="32C2A74E"/>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4" w15:restartNumberingAfterBreak="0">
    <w:nsid w:val="6CE672B4"/>
    <w:multiLevelType w:val="hybridMultilevel"/>
    <w:tmpl w:val="31CE18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5" w15:restartNumberingAfterBreak="0">
    <w:nsid w:val="6E5F703A"/>
    <w:multiLevelType w:val="multilevel"/>
    <w:tmpl w:val="B6509240"/>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8"/>
        </w:tabs>
        <w:ind w:left="568" w:hanging="284"/>
      </w:pPr>
      <w:rPr>
        <w:rFonts w:ascii="Arial" w:hAnsi="Arial" w:hint="default"/>
      </w:rPr>
    </w:lvl>
    <w:lvl w:ilvl="2">
      <w:start w:val="1"/>
      <w:numFmt w:val="bullet"/>
      <w:pStyle w:val="ListBullet3"/>
      <w:lvlText w:val=""/>
      <w:lvlJc w:val="left"/>
      <w:pPr>
        <w:tabs>
          <w:tab w:val="num" w:pos="852"/>
        </w:tabs>
        <w:ind w:left="852" w:hanging="284"/>
      </w:pPr>
      <w:rPr>
        <w:rFonts w:ascii="Symbol" w:hAnsi="Symbol"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306" w15:restartNumberingAfterBreak="0">
    <w:nsid w:val="6F37608B"/>
    <w:multiLevelType w:val="hybridMultilevel"/>
    <w:tmpl w:val="3F946768"/>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7" w15:restartNumberingAfterBreak="0">
    <w:nsid w:val="6F56040A"/>
    <w:multiLevelType w:val="hybridMultilevel"/>
    <w:tmpl w:val="3932BC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8" w15:restartNumberingAfterBreak="0">
    <w:nsid w:val="6F6710BA"/>
    <w:multiLevelType w:val="hybridMultilevel"/>
    <w:tmpl w:val="C83058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9" w15:restartNumberingAfterBreak="0">
    <w:nsid w:val="701F18C2"/>
    <w:multiLevelType w:val="hybridMultilevel"/>
    <w:tmpl w:val="92E4A4F4"/>
    <w:lvl w:ilvl="0" w:tplc="AA32F2F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0" w15:restartNumberingAfterBreak="0">
    <w:nsid w:val="71242F34"/>
    <w:multiLevelType w:val="hybridMultilevel"/>
    <w:tmpl w:val="304E84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1" w15:restartNumberingAfterBreak="0">
    <w:nsid w:val="715065D9"/>
    <w:multiLevelType w:val="hybridMultilevel"/>
    <w:tmpl w:val="203033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2" w15:restartNumberingAfterBreak="0">
    <w:nsid w:val="71F75413"/>
    <w:multiLevelType w:val="hybridMultilevel"/>
    <w:tmpl w:val="5CFA4A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3" w15:restartNumberingAfterBreak="0">
    <w:nsid w:val="727B2C77"/>
    <w:multiLevelType w:val="hybridMultilevel"/>
    <w:tmpl w:val="2DFA57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4" w15:restartNumberingAfterBreak="0">
    <w:nsid w:val="72823C67"/>
    <w:multiLevelType w:val="hybridMultilevel"/>
    <w:tmpl w:val="AA5E6144"/>
    <w:lvl w:ilvl="0" w:tplc="2632C6C2">
      <w:start w:val="1"/>
      <w:numFmt w:val="lowerLetter"/>
      <w:lvlText w:val="(%1)"/>
      <w:lvlJc w:val="left"/>
      <w:pPr>
        <w:ind w:left="758" w:hanging="398"/>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5" w15:restartNumberingAfterBreak="0">
    <w:nsid w:val="7295011D"/>
    <w:multiLevelType w:val="hybridMultilevel"/>
    <w:tmpl w:val="FC084E30"/>
    <w:lvl w:ilvl="0" w:tplc="8E3C191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6" w15:restartNumberingAfterBreak="0">
    <w:nsid w:val="731C4B73"/>
    <w:multiLevelType w:val="hybridMultilevel"/>
    <w:tmpl w:val="B2667950"/>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7" w15:restartNumberingAfterBreak="0">
    <w:nsid w:val="73DE56DD"/>
    <w:multiLevelType w:val="hybridMultilevel"/>
    <w:tmpl w:val="4010EF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8" w15:restartNumberingAfterBreak="0">
    <w:nsid w:val="744D7F59"/>
    <w:multiLevelType w:val="multilevel"/>
    <w:tmpl w:val="5202B19A"/>
    <w:numStyleLink w:val="NumberedHeadings"/>
  </w:abstractNum>
  <w:abstractNum w:abstractNumId="319" w15:restartNumberingAfterBreak="0">
    <w:nsid w:val="76002FEA"/>
    <w:multiLevelType w:val="hybridMultilevel"/>
    <w:tmpl w:val="AE5CB5EA"/>
    <w:lvl w:ilvl="0" w:tplc="FFFFFFFF">
      <w:start w:val="1"/>
      <w:numFmt w:val="lowerRoman"/>
      <w:lvlText w:val="(%1)"/>
      <w:lvlJc w:val="left"/>
      <w:pPr>
        <w:ind w:left="1060" w:hanging="360"/>
      </w:pPr>
      <w:rPr>
        <w:rFonts w:hint="default"/>
      </w:r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320" w15:restartNumberingAfterBreak="0">
    <w:nsid w:val="764E6751"/>
    <w:multiLevelType w:val="hybridMultilevel"/>
    <w:tmpl w:val="6838B6C6"/>
    <w:lvl w:ilvl="0" w:tplc="3F96ACD8">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1" w15:restartNumberingAfterBreak="0">
    <w:nsid w:val="76514786"/>
    <w:multiLevelType w:val="hybridMultilevel"/>
    <w:tmpl w:val="356866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2" w15:restartNumberingAfterBreak="0">
    <w:nsid w:val="768C19AC"/>
    <w:multiLevelType w:val="hybridMultilevel"/>
    <w:tmpl w:val="2ECEE26E"/>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3" w15:restartNumberingAfterBreak="0">
    <w:nsid w:val="768F2E9D"/>
    <w:multiLevelType w:val="hybridMultilevel"/>
    <w:tmpl w:val="E474CD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4" w15:restartNumberingAfterBreak="0">
    <w:nsid w:val="772C1457"/>
    <w:multiLevelType w:val="hybridMultilevel"/>
    <w:tmpl w:val="0EB818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5" w15:restartNumberingAfterBreak="0">
    <w:nsid w:val="779C7DAE"/>
    <w:multiLevelType w:val="hybridMultilevel"/>
    <w:tmpl w:val="17463038"/>
    <w:lvl w:ilvl="0" w:tplc="37D40764">
      <w:start w:val="1"/>
      <w:numFmt w:val="lowerLetter"/>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6" w15:restartNumberingAfterBreak="0">
    <w:nsid w:val="78940AFB"/>
    <w:multiLevelType w:val="hybridMultilevel"/>
    <w:tmpl w:val="FF96D2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7" w15:restartNumberingAfterBreak="0">
    <w:nsid w:val="796C6F0D"/>
    <w:multiLevelType w:val="hybridMultilevel"/>
    <w:tmpl w:val="05DE96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8" w15:restartNumberingAfterBreak="0">
    <w:nsid w:val="7B9603C9"/>
    <w:multiLevelType w:val="hybridMultilevel"/>
    <w:tmpl w:val="4CFCB4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9" w15:restartNumberingAfterBreak="0">
    <w:nsid w:val="7B9D0F90"/>
    <w:multiLevelType w:val="hybridMultilevel"/>
    <w:tmpl w:val="4F689FCC"/>
    <w:lvl w:ilvl="0" w:tplc="FFFFFFFF">
      <w:start w:val="1"/>
      <w:numFmt w:val="lowerRoman"/>
      <w:lvlText w:val="(%1)"/>
      <w:lvlJc w:val="left"/>
      <w:pPr>
        <w:ind w:left="1077" w:hanging="360"/>
      </w:pPr>
      <w:rPr>
        <w:rFonts w:hint="default"/>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330" w15:restartNumberingAfterBreak="0">
    <w:nsid w:val="7BBC2A79"/>
    <w:multiLevelType w:val="hybridMultilevel"/>
    <w:tmpl w:val="C0480D88"/>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1" w15:restartNumberingAfterBreak="0">
    <w:nsid w:val="7BFC5353"/>
    <w:multiLevelType w:val="hybridMultilevel"/>
    <w:tmpl w:val="249E46B0"/>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2" w15:restartNumberingAfterBreak="0">
    <w:nsid w:val="7BFD61A3"/>
    <w:multiLevelType w:val="hybridMultilevel"/>
    <w:tmpl w:val="C276BED6"/>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3" w15:restartNumberingAfterBreak="0">
    <w:nsid w:val="7C093737"/>
    <w:multiLevelType w:val="hybridMultilevel"/>
    <w:tmpl w:val="C2084554"/>
    <w:lvl w:ilvl="0" w:tplc="FFFFFFFF">
      <w:start w:val="1"/>
      <w:numFmt w:val="bullet"/>
      <w:lvlText w:val=""/>
      <w:lvlJc w:val="left"/>
      <w:pPr>
        <w:ind w:left="720" w:hanging="360"/>
      </w:pPr>
      <w:rPr>
        <w:rFonts w:ascii="Symbol" w:hAnsi="Symbol" w:hint="default"/>
      </w:rPr>
    </w:lvl>
    <w:lvl w:ilvl="1" w:tplc="1E342ACC">
      <w:start w:val="1"/>
      <w:numFmt w:val="lowerLetter"/>
      <w:lvlText w:val="(%2)"/>
      <w:lvlJc w:val="left"/>
      <w:pPr>
        <w:ind w:left="360" w:hanging="360"/>
      </w:pPr>
      <w:rPr>
        <w:rFonts w:hint="default"/>
        <w:b w:val="0"/>
        <w:bCs/>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4" w15:restartNumberingAfterBreak="0">
    <w:nsid w:val="7C0C1B20"/>
    <w:multiLevelType w:val="multilevel"/>
    <w:tmpl w:val="672448F4"/>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852"/>
        </w:tabs>
        <w:ind w:left="852" w:hanging="284"/>
      </w:pPr>
      <w:rPr>
        <w:rFonts w:ascii="Symbol" w:hAnsi="Symbol"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335" w15:restartNumberingAfterBreak="0">
    <w:nsid w:val="7C616EE6"/>
    <w:multiLevelType w:val="hybridMultilevel"/>
    <w:tmpl w:val="7FA08046"/>
    <w:lvl w:ilvl="0" w:tplc="CFCA247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6" w15:restartNumberingAfterBreak="0">
    <w:nsid w:val="7CC01D42"/>
    <w:multiLevelType w:val="hybridMultilevel"/>
    <w:tmpl w:val="5B4AAD1E"/>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7" w15:restartNumberingAfterBreak="0">
    <w:nsid w:val="7E1E090A"/>
    <w:multiLevelType w:val="hybridMultilevel"/>
    <w:tmpl w:val="C746769A"/>
    <w:lvl w:ilvl="0" w:tplc="82AC64E6">
      <w:start w:val="1"/>
      <w:numFmt w:val="lowerLetter"/>
      <w:lvlText w:val="(%1)"/>
      <w:lvlJc w:val="left"/>
      <w:pPr>
        <w:ind w:left="774" w:hanging="360"/>
      </w:pPr>
      <w:rPr>
        <w:rFonts w:hint="default"/>
      </w:rPr>
    </w:lvl>
    <w:lvl w:ilvl="1" w:tplc="0C090019" w:tentative="1">
      <w:start w:val="1"/>
      <w:numFmt w:val="lowerLetter"/>
      <w:lvlText w:val="%2."/>
      <w:lvlJc w:val="left"/>
      <w:pPr>
        <w:ind w:left="1494" w:hanging="360"/>
      </w:pPr>
    </w:lvl>
    <w:lvl w:ilvl="2" w:tplc="0C09001B" w:tentative="1">
      <w:start w:val="1"/>
      <w:numFmt w:val="lowerRoman"/>
      <w:lvlText w:val="%3."/>
      <w:lvlJc w:val="right"/>
      <w:pPr>
        <w:ind w:left="2214" w:hanging="180"/>
      </w:pPr>
    </w:lvl>
    <w:lvl w:ilvl="3" w:tplc="0C09000F" w:tentative="1">
      <w:start w:val="1"/>
      <w:numFmt w:val="decimal"/>
      <w:lvlText w:val="%4."/>
      <w:lvlJc w:val="left"/>
      <w:pPr>
        <w:ind w:left="2934" w:hanging="360"/>
      </w:pPr>
    </w:lvl>
    <w:lvl w:ilvl="4" w:tplc="0C090019" w:tentative="1">
      <w:start w:val="1"/>
      <w:numFmt w:val="lowerLetter"/>
      <w:lvlText w:val="%5."/>
      <w:lvlJc w:val="left"/>
      <w:pPr>
        <w:ind w:left="3654" w:hanging="360"/>
      </w:pPr>
    </w:lvl>
    <w:lvl w:ilvl="5" w:tplc="0C09001B" w:tentative="1">
      <w:start w:val="1"/>
      <w:numFmt w:val="lowerRoman"/>
      <w:lvlText w:val="%6."/>
      <w:lvlJc w:val="right"/>
      <w:pPr>
        <w:ind w:left="4374" w:hanging="180"/>
      </w:pPr>
    </w:lvl>
    <w:lvl w:ilvl="6" w:tplc="0C09000F" w:tentative="1">
      <w:start w:val="1"/>
      <w:numFmt w:val="decimal"/>
      <w:lvlText w:val="%7."/>
      <w:lvlJc w:val="left"/>
      <w:pPr>
        <w:ind w:left="5094" w:hanging="360"/>
      </w:pPr>
    </w:lvl>
    <w:lvl w:ilvl="7" w:tplc="0C090019" w:tentative="1">
      <w:start w:val="1"/>
      <w:numFmt w:val="lowerLetter"/>
      <w:lvlText w:val="%8."/>
      <w:lvlJc w:val="left"/>
      <w:pPr>
        <w:ind w:left="5814" w:hanging="360"/>
      </w:pPr>
    </w:lvl>
    <w:lvl w:ilvl="8" w:tplc="0C09001B" w:tentative="1">
      <w:start w:val="1"/>
      <w:numFmt w:val="lowerRoman"/>
      <w:lvlText w:val="%9."/>
      <w:lvlJc w:val="right"/>
      <w:pPr>
        <w:ind w:left="6534" w:hanging="180"/>
      </w:pPr>
    </w:lvl>
  </w:abstractNum>
  <w:abstractNum w:abstractNumId="338" w15:restartNumberingAfterBreak="0">
    <w:nsid w:val="7EA60A0A"/>
    <w:multiLevelType w:val="hybridMultilevel"/>
    <w:tmpl w:val="A78E6A32"/>
    <w:lvl w:ilvl="0" w:tplc="82AC64E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9" w15:restartNumberingAfterBreak="0">
    <w:nsid w:val="7EF72AD6"/>
    <w:multiLevelType w:val="hybridMultilevel"/>
    <w:tmpl w:val="FE9C4F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0" w15:restartNumberingAfterBreak="0">
    <w:nsid w:val="7F0A7EFD"/>
    <w:multiLevelType w:val="hybridMultilevel"/>
    <w:tmpl w:val="2008375E"/>
    <w:lvl w:ilvl="0" w:tplc="82AC64E6">
      <w:start w:val="1"/>
      <w:numFmt w:val="lowerLetter"/>
      <w:lvlText w:val="(%1)"/>
      <w:lvlJc w:val="left"/>
      <w:pPr>
        <w:ind w:left="758" w:hanging="398"/>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1" w15:restartNumberingAfterBreak="0">
    <w:nsid w:val="7F0F4758"/>
    <w:multiLevelType w:val="hybridMultilevel"/>
    <w:tmpl w:val="BBE4C202"/>
    <w:lvl w:ilvl="0" w:tplc="FFFFFFFF">
      <w:start w:val="1"/>
      <w:numFmt w:val="lowerRoman"/>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2" w15:restartNumberingAfterBreak="0">
    <w:nsid w:val="7F105F8A"/>
    <w:multiLevelType w:val="hybridMultilevel"/>
    <w:tmpl w:val="07602A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3" w15:restartNumberingAfterBreak="0">
    <w:nsid w:val="7F2E4B5A"/>
    <w:multiLevelType w:val="hybridMultilevel"/>
    <w:tmpl w:val="DDC69B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25403622">
    <w:abstractNumId w:val="28"/>
  </w:num>
  <w:num w:numId="2" w16cid:durableId="90132525">
    <w:abstractNumId w:val="145"/>
  </w:num>
  <w:num w:numId="3" w16cid:durableId="448937190">
    <w:abstractNumId w:val="33"/>
  </w:num>
  <w:num w:numId="4" w16cid:durableId="331299068">
    <w:abstractNumId w:val="148"/>
  </w:num>
  <w:num w:numId="5" w16cid:durableId="231165126">
    <w:abstractNumId w:val="209"/>
  </w:num>
  <w:num w:numId="6" w16cid:durableId="1158499109">
    <w:abstractNumId w:val="102"/>
  </w:num>
  <w:num w:numId="7" w16cid:durableId="1291935062">
    <w:abstractNumId w:val="249"/>
  </w:num>
  <w:num w:numId="8" w16cid:durableId="648680424">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57105780">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64460003">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22889778">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82991894">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19047937">
    <w:abstractNumId w:val="206"/>
  </w:num>
  <w:num w:numId="14" w16cid:durableId="944505205">
    <w:abstractNumId w:val="226"/>
  </w:num>
  <w:num w:numId="15" w16cid:durableId="2060593978">
    <w:abstractNumId w:val="263"/>
  </w:num>
  <w:num w:numId="16" w16cid:durableId="1684167392">
    <w:abstractNumId w:val="61"/>
  </w:num>
  <w:num w:numId="17" w16cid:durableId="313146687">
    <w:abstractNumId w:val="180"/>
  </w:num>
  <w:num w:numId="18" w16cid:durableId="1531529196">
    <w:abstractNumId w:val="239"/>
  </w:num>
  <w:num w:numId="19" w16cid:durableId="601381377">
    <w:abstractNumId w:val="308"/>
  </w:num>
  <w:num w:numId="20" w16cid:durableId="1716586525">
    <w:abstractNumId w:val="26"/>
  </w:num>
  <w:num w:numId="21" w16cid:durableId="1966540533">
    <w:abstractNumId w:val="62"/>
  </w:num>
  <w:num w:numId="22" w16cid:durableId="1397163077">
    <w:abstractNumId w:val="179"/>
  </w:num>
  <w:num w:numId="23" w16cid:durableId="768090162">
    <w:abstractNumId w:val="109"/>
  </w:num>
  <w:num w:numId="24" w16cid:durableId="661277104">
    <w:abstractNumId w:val="168"/>
  </w:num>
  <w:num w:numId="25" w16cid:durableId="1376465256">
    <w:abstractNumId w:val="20"/>
  </w:num>
  <w:num w:numId="26" w16cid:durableId="492990074">
    <w:abstractNumId w:val="175"/>
  </w:num>
  <w:num w:numId="27" w16cid:durableId="535578682">
    <w:abstractNumId w:val="108"/>
  </w:num>
  <w:num w:numId="28" w16cid:durableId="1183318805">
    <w:abstractNumId w:val="51"/>
  </w:num>
  <w:num w:numId="29" w16cid:durableId="464617165">
    <w:abstractNumId w:val="172"/>
  </w:num>
  <w:num w:numId="30" w16cid:durableId="1946889244">
    <w:abstractNumId w:val="97"/>
  </w:num>
  <w:num w:numId="31" w16cid:durableId="1206671916">
    <w:abstractNumId w:val="221"/>
  </w:num>
  <w:num w:numId="32" w16cid:durableId="1970355704">
    <w:abstractNumId w:val="72"/>
  </w:num>
  <w:num w:numId="33" w16cid:durableId="1935280492">
    <w:abstractNumId w:val="245"/>
  </w:num>
  <w:num w:numId="34" w16cid:durableId="652804604">
    <w:abstractNumId w:val="125"/>
    <w:lvlOverride w:ilvl="0">
      <w:lvl w:ilvl="0">
        <w:start w:val="1"/>
        <w:numFmt w:val="bullet"/>
        <w:lvlText w:val=""/>
        <w:lvlJc w:val="left"/>
        <w:pPr>
          <w:ind w:left="397" w:hanging="397"/>
        </w:pPr>
        <w:rPr>
          <w:rFonts w:ascii="Symbol" w:hAnsi="Symbol" w:hint="default"/>
          <w:color w:val="4472C4" w:themeColor="accent1"/>
        </w:rPr>
      </w:lvl>
    </w:lvlOverride>
  </w:num>
  <w:num w:numId="35" w16cid:durableId="13255504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46044635">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70134770">
    <w:abstractNumId w:val="22"/>
  </w:num>
  <w:num w:numId="38" w16cid:durableId="288707922">
    <w:abstractNumId w:val="95"/>
  </w:num>
  <w:num w:numId="39" w16cid:durableId="456919954">
    <w:abstractNumId w:val="318"/>
    <w:lvlOverride w:ilvl="1">
      <w:lvl w:ilvl="1">
        <w:start w:val="1"/>
        <w:numFmt w:val="decimal"/>
        <w:pStyle w:val="Heading2numbered"/>
        <w:lvlText w:val="%1.%2"/>
        <w:lvlJc w:val="left"/>
        <w:pPr>
          <w:ind w:left="624" w:hanging="624"/>
        </w:pPr>
        <w:rPr>
          <w:rFonts w:hint="default"/>
          <w:color w:val="auto"/>
        </w:rPr>
      </w:lvl>
    </w:lvlOverride>
    <w:lvlOverride w:ilvl="2">
      <w:lvl w:ilvl="2">
        <w:start w:val="1"/>
        <w:numFmt w:val="decimal"/>
        <w:pStyle w:val="Heading3numbered"/>
        <w:lvlText w:val="%1.%2.%3"/>
        <w:lvlJc w:val="left"/>
        <w:pPr>
          <w:ind w:left="964" w:hanging="964"/>
        </w:pPr>
        <w:rPr>
          <w:rFonts w:hint="default"/>
          <w:color w:val="auto"/>
          <w:sz w:val="22"/>
          <w:szCs w:val="22"/>
        </w:rPr>
      </w:lvl>
    </w:lvlOverride>
  </w:num>
  <w:num w:numId="40" w16cid:durableId="110979010">
    <w:abstractNumId w:val="305"/>
  </w:num>
  <w:num w:numId="41" w16cid:durableId="469177243">
    <w:abstractNumId w:val="265"/>
  </w:num>
  <w:num w:numId="42" w16cid:durableId="1941331628">
    <w:abstractNumId w:val="173"/>
  </w:num>
  <w:num w:numId="43" w16cid:durableId="1966690969">
    <w:abstractNumId w:val="36"/>
  </w:num>
  <w:num w:numId="44" w16cid:durableId="1018505139">
    <w:abstractNumId w:val="133"/>
  </w:num>
  <w:num w:numId="45" w16cid:durableId="517894609">
    <w:abstractNumId w:val="161"/>
  </w:num>
  <w:num w:numId="46" w16cid:durableId="1069887966">
    <w:abstractNumId w:val="256"/>
  </w:num>
  <w:num w:numId="47" w16cid:durableId="125129514">
    <w:abstractNumId w:val="153"/>
  </w:num>
  <w:num w:numId="48" w16cid:durableId="92751232">
    <w:abstractNumId w:val="50"/>
  </w:num>
  <w:num w:numId="49" w16cid:durableId="1164586618">
    <w:abstractNumId w:val="334"/>
  </w:num>
  <w:num w:numId="50" w16cid:durableId="75447183">
    <w:abstractNumId w:val="90"/>
  </w:num>
  <w:num w:numId="51" w16cid:durableId="1336568079">
    <w:abstractNumId w:val="340"/>
  </w:num>
  <w:num w:numId="52" w16cid:durableId="1132789800">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20921165">
    <w:abstractNumId w:val="44"/>
  </w:num>
  <w:num w:numId="54" w16cid:durableId="1092240179">
    <w:abstractNumId w:val="141"/>
  </w:num>
  <w:num w:numId="55" w16cid:durableId="333921450">
    <w:abstractNumId w:val="7"/>
  </w:num>
  <w:num w:numId="56" w16cid:durableId="507328256">
    <w:abstractNumId w:val="234"/>
  </w:num>
  <w:num w:numId="57" w16cid:durableId="2017683800">
    <w:abstractNumId w:val="101"/>
  </w:num>
  <w:num w:numId="58" w16cid:durableId="67583640">
    <w:abstractNumId w:val="314"/>
  </w:num>
  <w:num w:numId="59" w16cid:durableId="1964311940">
    <w:abstractNumId w:val="2"/>
  </w:num>
  <w:num w:numId="60" w16cid:durableId="1457142948">
    <w:abstractNumId w:val="0"/>
  </w:num>
  <w:num w:numId="61" w16cid:durableId="1031758880">
    <w:abstractNumId w:val="1"/>
  </w:num>
  <w:num w:numId="62" w16cid:durableId="884483238">
    <w:abstractNumId w:val="1"/>
  </w:num>
  <w:num w:numId="63" w16cid:durableId="1425422895">
    <w:abstractNumId w:val="1"/>
  </w:num>
  <w:num w:numId="64" w16cid:durableId="163470725">
    <w:abstractNumId w:val="1"/>
  </w:num>
  <w:num w:numId="65" w16cid:durableId="1100641413">
    <w:abstractNumId w:val="254"/>
  </w:num>
  <w:num w:numId="66" w16cid:durableId="145557225">
    <w:abstractNumId w:val="156"/>
  </w:num>
  <w:num w:numId="67" w16cid:durableId="774329823">
    <w:abstractNumId w:val="55"/>
  </w:num>
  <w:num w:numId="68" w16cid:durableId="198249365">
    <w:abstractNumId w:val="6"/>
  </w:num>
  <w:num w:numId="69" w16cid:durableId="1296253283">
    <w:abstractNumId w:val="127"/>
  </w:num>
  <w:num w:numId="70" w16cid:durableId="1657567255">
    <w:abstractNumId w:val="244"/>
  </w:num>
  <w:num w:numId="71" w16cid:durableId="1512179203">
    <w:abstractNumId w:val="305"/>
  </w:num>
  <w:num w:numId="72" w16cid:durableId="1781991458">
    <w:abstractNumId w:val="305"/>
  </w:num>
  <w:num w:numId="73" w16cid:durableId="1632635060">
    <w:abstractNumId w:val="305"/>
  </w:num>
  <w:num w:numId="74" w16cid:durableId="1914966323">
    <w:abstractNumId w:val="305"/>
  </w:num>
  <w:num w:numId="75" w16cid:durableId="2035223783">
    <w:abstractNumId w:val="80"/>
  </w:num>
  <w:num w:numId="76" w16cid:durableId="1622223055">
    <w:abstractNumId w:val="305"/>
  </w:num>
  <w:num w:numId="77" w16cid:durableId="1269000542">
    <w:abstractNumId w:val="29"/>
  </w:num>
  <w:num w:numId="78" w16cid:durableId="690499365">
    <w:abstractNumId w:val="218"/>
  </w:num>
  <w:num w:numId="79" w16cid:durableId="1844396992">
    <w:abstractNumId w:val="165"/>
  </w:num>
  <w:num w:numId="80" w16cid:durableId="201096448">
    <w:abstractNumId w:val="110"/>
  </w:num>
  <w:num w:numId="81" w16cid:durableId="1321303754">
    <w:abstractNumId w:val="284"/>
  </w:num>
  <w:num w:numId="82" w16cid:durableId="126121527">
    <w:abstractNumId w:val="2"/>
  </w:num>
  <w:num w:numId="83" w16cid:durableId="1149445481">
    <w:abstractNumId w:val="305"/>
  </w:num>
  <w:num w:numId="84" w16cid:durableId="1184900068">
    <w:abstractNumId w:val="305"/>
  </w:num>
  <w:num w:numId="85" w16cid:durableId="1278366066">
    <w:abstractNumId w:val="147"/>
  </w:num>
  <w:num w:numId="86" w16cid:durableId="452208337">
    <w:abstractNumId w:val="146"/>
  </w:num>
  <w:num w:numId="87" w16cid:durableId="1205750873">
    <w:abstractNumId w:val="170"/>
  </w:num>
  <w:num w:numId="88" w16cid:durableId="1626038904">
    <w:abstractNumId w:val="286"/>
  </w:num>
  <w:num w:numId="89" w16cid:durableId="1488353188">
    <w:abstractNumId w:val="40"/>
  </w:num>
  <w:num w:numId="90" w16cid:durableId="1336689775">
    <w:abstractNumId w:val="305"/>
  </w:num>
  <w:num w:numId="91" w16cid:durableId="1396010251">
    <w:abstractNumId w:val="305"/>
  </w:num>
  <w:num w:numId="92" w16cid:durableId="425271427">
    <w:abstractNumId w:val="305"/>
  </w:num>
  <w:num w:numId="93" w16cid:durableId="1352995317">
    <w:abstractNumId w:val="267"/>
  </w:num>
  <w:num w:numId="94" w16cid:durableId="1105803928">
    <w:abstractNumId w:val="305"/>
  </w:num>
  <w:num w:numId="95" w16cid:durableId="1281691215">
    <w:abstractNumId w:val="107"/>
  </w:num>
  <w:num w:numId="96" w16cid:durableId="2088727514">
    <w:abstractNumId w:val="190"/>
  </w:num>
  <w:num w:numId="97" w16cid:durableId="674579532">
    <w:abstractNumId w:val="264"/>
  </w:num>
  <w:num w:numId="98" w16cid:durableId="24330926">
    <w:abstractNumId w:val="167"/>
  </w:num>
  <w:num w:numId="99" w16cid:durableId="567308814">
    <w:abstractNumId w:val="193"/>
  </w:num>
  <w:num w:numId="100" w16cid:durableId="823395559">
    <w:abstractNumId w:val="135"/>
  </w:num>
  <w:num w:numId="101" w16cid:durableId="1328360255">
    <w:abstractNumId w:val="201"/>
  </w:num>
  <w:num w:numId="102" w16cid:durableId="489105762">
    <w:abstractNumId w:val="220"/>
  </w:num>
  <w:num w:numId="103" w16cid:durableId="1890215935">
    <w:abstractNumId w:val="274"/>
  </w:num>
  <w:num w:numId="104" w16cid:durableId="1266033991">
    <w:abstractNumId w:val="163"/>
  </w:num>
  <w:num w:numId="105" w16cid:durableId="719280706">
    <w:abstractNumId w:val="215"/>
  </w:num>
  <w:num w:numId="106" w16cid:durableId="1004624653">
    <w:abstractNumId w:val="259"/>
  </w:num>
  <w:num w:numId="107" w16cid:durableId="1288394343">
    <w:abstractNumId w:val="294"/>
  </w:num>
  <w:num w:numId="108" w16cid:durableId="667829591">
    <w:abstractNumId w:val="330"/>
  </w:num>
  <w:num w:numId="109" w16cid:durableId="1785147826">
    <w:abstractNumId w:val="100"/>
  </w:num>
  <w:num w:numId="110" w16cid:durableId="368913892">
    <w:abstractNumId w:val="315"/>
  </w:num>
  <w:num w:numId="111" w16cid:durableId="133260522">
    <w:abstractNumId w:val="154"/>
  </w:num>
  <w:num w:numId="112" w16cid:durableId="1097210180">
    <w:abstractNumId w:val="95"/>
  </w:num>
  <w:num w:numId="113" w16cid:durableId="1347057036">
    <w:abstractNumId w:val="95"/>
  </w:num>
  <w:num w:numId="114" w16cid:durableId="902103786">
    <w:abstractNumId w:val="321"/>
  </w:num>
  <w:num w:numId="115" w16cid:durableId="1231581436">
    <w:abstractNumId w:val="87"/>
  </w:num>
  <w:num w:numId="116" w16cid:durableId="1501700112">
    <w:abstractNumId w:val="160"/>
  </w:num>
  <w:num w:numId="117" w16cid:durableId="1230116366">
    <w:abstractNumId w:val="174"/>
  </w:num>
  <w:num w:numId="118" w16cid:durableId="946623200">
    <w:abstractNumId w:val="69"/>
  </w:num>
  <w:num w:numId="119" w16cid:durableId="257177901">
    <w:abstractNumId w:val="181"/>
  </w:num>
  <w:num w:numId="120" w16cid:durableId="2007050137">
    <w:abstractNumId w:val="227"/>
  </w:num>
  <w:num w:numId="121" w16cid:durableId="1636369499">
    <w:abstractNumId w:val="99"/>
  </w:num>
  <w:num w:numId="122" w16cid:durableId="1272938013">
    <w:abstractNumId w:val="9"/>
  </w:num>
  <w:num w:numId="123" w16cid:durableId="489101024">
    <w:abstractNumId w:val="309"/>
  </w:num>
  <w:num w:numId="124" w16cid:durableId="2058356794">
    <w:abstractNumId w:val="2"/>
  </w:num>
  <w:num w:numId="125" w16cid:durableId="2087143887">
    <w:abstractNumId w:val="2"/>
  </w:num>
  <w:num w:numId="126" w16cid:durableId="1938705645">
    <w:abstractNumId w:val="2"/>
  </w:num>
  <w:num w:numId="127" w16cid:durableId="506018993">
    <w:abstractNumId w:val="76"/>
  </w:num>
  <w:num w:numId="128" w16cid:durableId="638147818">
    <w:abstractNumId w:val="198"/>
  </w:num>
  <w:num w:numId="129" w16cid:durableId="1950892717">
    <w:abstractNumId w:val="152"/>
  </w:num>
  <w:num w:numId="130" w16cid:durableId="1756658672">
    <w:abstractNumId w:val="301"/>
  </w:num>
  <w:num w:numId="131" w16cid:durableId="174347127">
    <w:abstractNumId w:val="137"/>
  </w:num>
  <w:num w:numId="132" w16cid:durableId="438764313">
    <w:abstractNumId w:val="2"/>
  </w:num>
  <w:num w:numId="133" w16cid:durableId="686057425">
    <w:abstractNumId w:val="2"/>
  </w:num>
  <w:num w:numId="134" w16cid:durableId="491799055">
    <w:abstractNumId w:val="2"/>
  </w:num>
  <w:num w:numId="135" w16cid:durableId="6298321">
    <w:abstractNumId w:val="4"/>
  </w:num>
  <w:num w:numId="136" w16cid:durableId="1755130113">
    <w:abstractNumId w:val="2"/>
  </w:num>
  <w:num w:numId="137" w16cid:durableId="25449666">
    <w:abstractNumId w:val="2"/>
  </w:num>
  <w:num w:numId="138" w16cid:durableId="1162354788">
    <w:abstractNumId w:val="2"/>
  </w:num>
  <w:num w:numId="139" w16cid:durableId="1262445831">
    <w:abstractNumId w:val="2"/>
  </w:num>
  <w:num w:numId="140" w16cid:durableId="1713339834">
    <w:abstractNumId w:val="2"/>
  </w:num>
  <w:num w:numId="141" w16cid:durableId="1259751736">
    <w:abstractNumId w:val="230"/>
  </w:num>
  <w:num w:numId="142" w16cid:durableId="514081695">
    <w:abstractNumId w:val="2"/>
  </w:num>
  <w:num w:numId="143" w16cid:durableId="591356200">
    <w:abstractNumId w:val="2"/>
  </w:num>
  <w:num w:numId="144" w16cid:durableId="1403411733">
    <w:abstractNumId w:val="2"/>
  </w:num>
  <w:num w:numId="145" w16cid:durableId="1963686059">
    <w:abstractNumId w:val="2"/>
  </w:num>
  <w:num w:numId="146" w16cid:durableId="1442265636">
    <w:abstractNumId w:val="2"/>
  </w:num>
  <w:num w:numId="147" w16cid:durableId="1646933566">
    <w:abstractNumId w:val="150"/>
  </w:num>
  <w:num w:numId="148" w16cid:durableId="1772356417">
    <w:abstractNumId w:val="2"/>
  </w:num>
  <w:num w:numId="149" w16cid:durableId="1250188140">
    <w:abstractNumId w:val="66"/>
  </w:num>
  <w:num w:numId="150" w16cid:durableId="522137439">
    <w:abstractNumId w:val="269"/>
  </w:num>
  <w:num w:numId="151" w16cid:durableId="273560250">
    <w:abstractNumId w:val="2"/>
  </w:num>
  <w:num w:numId="152" w16cid:durableId="1817140138">
    <w:abstractNumId w:val="21"/>
  </w:num>
  <w:num w:numId="153" w16cid:durableId="538397544">
    <w:abstractNumId w:val="2"/>
  </w:num>
  <w:num w:numId="154" w16cid:durableId="864363390">
    <w:abstractNumId w:val="233"/>
  </w:num>
  <w:num w:numId="155" w16cid:durableId="1316687459">
    <w:abstractNumId w:val="113"/>
  </w:num>
  <w:num w:numId="156" w16cid:durableId="1538816907">
    <w:abstractNumId w:val="191"/>
  </w:num>
  <w:num w:numId="157" w16cid:durableId="1051223305">
    <w:abstractNumId w:val="240"/>
  </w:num>
  <w:num w:numId="158" w16cid:durableId="596139333">
    <w:abstractNumId w:val="317"/>
  </w:num>
  <w:num w:numId="159" w16cid:durableId="1892230751">
    <w:abstractNumId w:val="143"/>
  </w:num>
  <w:num w:numId="160" w16cid:durableId="1340505628">
    <w:abstractNumId w:val="253"/>
  </w:num>
  <w:num w:numId="161" w16cid:durableId="2014532049">
    <w:abstractNumId w:val="324"/>
  </w:num>
  <w:num w:numId="162" w16cid:durableId="760374853">
    <w:abstractNumId w:val="2"/>
  </w:num>
  <w:num w:numId="163" w16cid:durableId="408238527">
    <w:abstractNumId w:val="260"/>
  </w:num>
  <w:num w:numId="164" w16cid:durableId="681973359">
    <w:abstractNumId w:val="2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1767725710">
    <w:abstractNumId w:val="210"/>
  </w:num>
  <w:num w:numId="166" w16cid:durableId="506797777">
    <w:abstractNumId w:val="273"/>
  </w:num>
  <w:num w:numId="167" w16cid:durableId="1050230467">
    <w:abstractNumId w:val="37"/>
  </w:num>
  <w:num w:numId="168" w16cid:durableId="2011253126">
    <w:abstractNumId w:val="242"/>
  </w:num>
  <w:num w:numId="169" w16cid:durableId="950865035">
    <w:abstractNumId w:val="291"/>
  </w:num>
  <w:num w:numId="170" w16cid:durableId="1760444988">
    <w:abstractNumId w:val="106"/>
  </w:num>
  <w:num w:numId="171" w16cid:durableId="1617757618">
    <w:abstractNumId w:val="131"/>
  </w:num>
  <w:num w:numId="172" w16cid:durableId="1869373067">
    <w:abstractNumId w:val="166"/>
  </w:num>
  <w:num w:numId="173" w16cid:durableId="1794595952">
    <w:abstractNumId w:val="5"/>
  </w:num>
  <w:num w:numId="174" w16cid:durableId="100612557">
    <w:abstractNumId w:val="79"/>
  </w:num>
  <w:num w:numId="175" w16cid:durableId="1943876712">
    <w:abstractNumId w:val="199"/>
  </w:num>
  <w:num w:numId="176" w16cid:durableId="64841817">
    <w:abstractNumId w:val="276"/>
  </w:num>
  <w:num w:numId="177" w16cid:durableId="599413887">
    <w:abstractNumId w:val="252"/>
  </w:num>
  <w:num w:numId="178" w16cid:durableId="1497841815">
    <w:abstractNumId w:val="103"/>
  </w:num>
  <w:num w:numId="179" w16cid:durableId="1130786346">
    <w:abstractNumId w:val="41"/>
  </w:num>
  <w:num w:numId="180" w16cid:durableId="1491674619">
    <w:abstractNumId w:val="231"/>
  </w:num>
  <w:num w:numId="181" w16cid:durableId="1909419957">
    <w:abstractNumId w:val="216"/>
  </w:num>
  <w:num w:numId="182" w16cid:durableId="244845891">
    <w:abstractNumId w:val="57"/>
  </w:num>
  <w:num w:numId="183" w16cid:durableId="382757534">
    <w:abstractNumId w:val="318"/>
  </w:num>
  <w:num w:numId="184" w16cid:durableId="578683988">
    <w:abstractNumId w:val="2"/>
  </w:num>
  <w:num w:numId="185" w16cid:durableId="1333678728">
    <w:abstractNumId w:val="2"/>
  </w:num>
  <w:num w:numId="186" w16cid:durableId="895091229">
    <w:abstractNumId w:val="186"/>
  </w:num>
  <w:num w:numId="187" w16cid:durableId="787546942">
    <w:abstractNumId w:val="53"/>
  </w:num>
  <w:num w:numId="188" w16cid:durableId="143087135">
    <w:abstractNumId w:val="205"/>
  </w:num>
  <w:num w:numId="189" w16cid:durableId="1320420944">
    <w:abstractNumId w:val="2"/>
  </w:num>
  <w:num w:numId="190" w16cid:durableId="2101951090">
    <w:abstractNumId w:val="2"/>
  </w:num>
  <w:num w:numId="191" w16cid:durableId="1125125593">
    <w:abstractNumId w:val="2"/>
  </w:num>
  <w:num w:numId="192" w16cid:durableId="157234051">
    <w:abstractNumId w:val="282"/>
  </w:num>
  <w:num w:numId="193" w16cid:durableId="1845317554">
    <w:abstractNumId w:val="67"/>
  </w:num>
  <w:num w:numId="194" w16cid:durableId="1703894903">
    <w:abstractNumId w:val="59"/>
  </w:num>
  <w:num w:numId="195" w16cid:durableId="1877619396">
    <w:abstractNumId w:val="70"/>
  </w:num>
  <w:num w:numId="196" w16cid:durableId="849105392">
    <w:abstractNumId w:val="112"/>
  </w:num>
  <w:num w:numId="197" w16cid:durableId="352615765">
    <w:abstractNumId w:val="311"/>
  </w:num>
  <w:num w:numId="198" w16cid:durableId="973677120">
    <w:abstractNumId w:val="39"/>
  </w:num>
  <w:num w:numId="199" w16cid:durableId="1707825670">
    <w:abstractNumId w:val="238"/>
  </w:num>
  <w:num w:numId="200" w16cid:durableId="1221668490">
    <w:abstractNumId w:val="49"/>
  </w:num>
  <w:num w:numId="201" w16cid:durableId="1395082582">
    <w:abstractNumId w:val="157"/>
  </w:num>
  <w:num w:numId="202" w16cid:durableId="1815102223">
    <w:abstractNumId w:val="278"/>
  </w:num>
  <w:num w:numId="203" w16cid:durableId="108286203">
    <w:abstractNumId w:val="328"/>
  </w:num>
  <w:num w:numId="204" w16cid:durableId="651907746">
    <w:abstractNumId w:val="158"/>
  </w:num>
  <w:num w:numId="205" w16cid:durableId="1636106878">
    <w:abstractNumId w:val="2"/>
  </w:num>
  <w:num w:numId="206" w16cid:durableId="1325930850">
    <w:abstractNumId w:val="318"/>
  </w:num>
  <w:num w:numId="207" w16cid:durableId="2131506566">
    <w:abstractNumId w:val="318"/>
  </w:num>
  <w:num w:numId="208" w16cid:durableId="294142261">
    <w:abstractNumId w:val="164"/>
  </w:num>
  <w:num w:numId="209" w16cid:durableId="1779711690">
    <w:abstractNumId w:val="139"/>
  </w:num>
  <w:num w:numId="210" w16cid:durableId="2090535354">
    <w:abstractNumId w:val="277"/>
  </w:num>
  <w:num w:numId="211" w16cid:durableId="717315581">
    <w:abstractNumId w:val="18"/>
  </w:num>
  <w:num w:numId="212" w16cid:durableId="283268270">
    <w:abstractNumId w:val="335"/>
  </w:num>
  <w:num w:numId="213" w16cid:durableId="1623196440">
    <w:abstractNumId w:val="178"/>
  </w:num>
  <w:num w:numId="214" w16cid:durableId="1727096252">
    <w:abstractNumId w:val="122"/>
  </w:num>
  <w:num w:numId="215" w16cid:durableId="2083943662">
    <w:abstractNumId w:val="46"/>
  </w:num>
  <w:num w:numId="216" w16cid:durableId="1897817640">
    <w:abstractNumId w:val="105"/>
  </w:num>
  <w:num w:numId="217" w16cid:durableId="2107454532">
    <w:abstractNumId w:val="318"/>
    <w:lvlOverride w:ilvl="2">
      <w:lvl w:ilvl="2">
        <w:start w:val="1"/>
        <w:numFmt w:val="decimal"/>
        <w:pStyle w:val="Heading3numbered"/>
        <w:lvlText w:val="%1.%2.%3"/>
        <w:lvlJc w:val="left"/>
        <w:pPr>
          <w:ind w:left="1390" w:hanging="964"/>
        </w:pPr>
        <w:rPr>
          <w:rFonts w:hint="default"/>
          <w:color w:val="auto"/>
          <w:sz w:val="22"/>
          <w:szCs w:val="22"/>
        </w:rPr>
      </w:lvl>
    </w:lvlOverride>
  </w:num>
  <w:num w:numId="218" w16cid:durableId="2113699725">
    <w:abstractNumId w:val="318"/>
    <w:lvlOverride w:ilvl="2">
      <w:lvl w:ilvl="2">
        <w:start w:val="1"/>
        <w:numFmt w:val="decimal"/>
        <w:pStyle w:val="Heading3numbered"/>
        <w:lvlText w:val="%1.%2.%3"/>
        <w:lvlJc w:val="left"/>
        <w:pPr>
          <w:ind w:left="1390" w:hanging="964"/>
        </w:pPr>
        <w:rPr>
          <w:rFonts w:hint="default"/>
          <w:color w:val="auto"/>
          <w:sz w:val="22"/>
          <w:szCs w:val="22"/>
        </w:rPr>
      </w:lvl>
    </w:lvlOverride>
  </w:num>
  <w:num w:numId="219" w16cid:durableId="1689483108">
    <w:abstractNumId w:val="17"/>
  </w:num>
  <w:num w:numId="220" w16cid:durableId="987440124">
    <w:abstractNumId w:val="214"/>
  </w:num>
  <w:num w:numId="221" w16cid:durableId="1081676649">
    <w:abstractNumId w:val="2"/>
  </w:num>
  <w:num w:numId="222" w16cid:durableId="735904610">
    <w:abstractNumId w:val="11"/>
  </w:num>
  <w:num w:numId="223" w16cid:durableId="290788649">
    <w:abstractNumId w:val="2"/>
  </w:num>
  <w:num w:numId="224" w16cid:durableId="746995781">
    <w:abstractNumId w:val="2"/>
  </w:num>
  <w:num w:numId="225" w16cid:durableId="663168169">
    <w:abstractNumId w:val="60"/>
  </w:num>
  <w:num w:numId="226" w16cid:durableId="1581136038">
    <w:abstractNumId w:val="16"/>
  </w:num>
  <w:num w:numId="227" w16cid:durableId="701130577">
    <w:abstractNumId w:val="270"/>
  </w:num>
  <w:num w:numId="228" w16cid:durableId="382170040">
    <w:abstractNumId w:val="303"/>
  </w:num>
  <w:num w:numId="229" w16cid:durableId="1875652973">
    <w:abstractNumId w:val="251"/>
  </w:num>
  <w:num w:numId="230" w16cid:durableId="382797562">
    <w:abstractNumId w:val="255"/>
  </w:num>
  <w:num w:numId="231" w16cid:durableId="1775709026">
    <w:abstractNumId w:val="339"/>
  </w:num>
  <w:num w:numId="232" w16cid:durableId="1150445834">
    <w:abstractNumId w:val="134"/>
  </w:num>
  <w:num w:numId="233" w16cid:durableId="968819322">
    <w:abstractNumId w:val="78"/>
  </w:num>
  <w:num w:numId="234" w16cid:durableId="290136517">
    <w:abstractNumId w:val="183"/>
  </w:num>
  <w:num w:numId="235" w16cid:durableId="1478034354">
    <w:abstractNumId w:val="297"/>
  </w:num>
  <w:num w:numId="236" w16cid:durableId="503790673">
    <w:abstractNumId w:val="54"/>
  </w:num>
  <w:num w:numId="237" w16cid:durableId="1167211083">
    <w:abstractNumId w:val="2"/>
  </w:num>
  <w:num w:numId="238" w16cid:durableId="1857002">
    <w:abstractNumId w:val="138"/>
  </w:num>
  <w:num w:numId="239" w16cid:durableId="1907764560">
    <w:abstractNumId w:val="306"/>
  </w:num>
  <w:num w:numId="240" w16cid:durableId="42946642">
    <w:abstractNumId w:val="91"/>
  </w:num>
  <w:num w:numId="241" w16cid:durableId="323825135">
    <w:abstractNumId w:val="241"/>
  </w:num>
  <w:num w:numId="242" w16cid:durableId="636498405">
    <w:abstractNumId w:val="281"/>
  </w:num>
  <w:num w:numId="243" w16cid:durableId="1874729373">
    <w:abstractNumId w:val="92"/>
  </w:num>
  <w:num w:numId="244" w16cid:durableId="72942231">
    <w:abstractNumId w:val="14"/>
  </w:num>
  <w:num w:numId="245" w16cid:durableId="579101036">
    <w:abstractNumId w:val="336"/>
  </w:num>
  <w:num w:numId="246" w16cid:durableId="160391444">
    <w:abstractNumId w:val="343"/>
  </w:num>
  <w:num w:numId="247" w16cid:durableId="984314807">
    <w:abstractNumId w:val="229"/>
  </w:num>
  <w:num w:numId="248" w16cid:durableId="531186164">
    <w:abstractNumId w:val="288"/>
  </w:num>
  <w:num w:numId="249" w16cid:durableId="1157069100">
    <w:abstractNumId w:val="307"/>
  </w:num>
  <w:num w:numId="250" w16cid:durableId="2144038122">
    <w:abstractNumId w:val="322"/>
  </w:num>
  <w:num w:numId="251" w16cid:durableId="1975594035">
    <w:abstractNumId w:val="228"/>
  </w:num>
  <w:num w:numId="252" w16cid:durableId="578946359">
    <w:abstractNumId w:val="279"/>
  </w:num>
  <w:num w:numId="253" w16cid:durableId="2130079399">
    <w:abstractNumId w:val="197"/>
  </w:num>
  <w:num w:numId="254" w16cid:durableId="396127188">
    <w:abstractNumId w:val="342"/>
  </w:num>
  <w:num w:numId="255" w16cid:durableId="1578397749">
    <w:abstractNumId w:val="217"/>
  </w:num>
  <w:num w:numId="256" w16cid:durableId="329456464">
    <w:abstractNumId w:val="10"/>
  </w:num>
  <w:num w:numId="257" w16cid:durableId="719286571">
    <w:abstractNumId w:val="300"/>
  </w:num>
  <w:num w:numId="258" w16cid:durableId="717894406">
    <w:abstractNumId w:val="130"/>
  </w:num>
  <w:num w:numId="259" w16cid:durableId="1762749679">
    <w:abstractNumId w:val="31"/>
  </w:num>
  <w:num w:numId="260" w16cid:durableId="82726537">
    <w:abstractNumId w:val="65"/>
  </w:num>
  <w:num w:numId="261" w16cid:durableId="2082746793">
    <w:abstractNumId w:val="250"/>
  </w:num>
  <w:num w:numId="262" w16cid:durableId="2058817359">
    <w:abstractNumId w:val="3"/>
  </w:num>
  <w:num w:numId="263" w16cid:durableId="158346710">
    <w:abstractNumId w:val="290"/>
  </w:num>
  <w:num w:numId="264" w16cid:durableId="583032095">
    <w:abstractNumId w:val="128"/>
  </w:num>
  <w:num w:numId="265" w16cid:durableId="1180462608">
    <w:abstractNumId w:val="293"/>
  </w:num>
  <w:num w:numId="266" w16cid:durableId="45884148">
    <w:abstractNumId w:val="64"/>
  </w:num>
  <w:num w:numId="267" w16cid:durableId="1772510671">
    <w:abstractNumId w:val="331"/>
  </w:num>
  <w:num w:numId="268" w16cid:durableId="1279489335">
    <w:abstractNumId w:val="45"/>
  </w:num>
  <w:num w:numId="269" w16cid:durableId="1935432045">
    <w:abstractNumId w:val="121"/>
  </w:num>
  <w:num w:numId="270" w16cid:durableId="2101825631">
    <w:abstractNumId w:val="23"/>
  </w:num>
  <w:num w:numId="271" w16cid:durableId="2066682814">
    <w:abstractNumId w:val="118"/>
  </w:num>
  <w:num w:numId="272" w16cid:durableId="336035190">
    <w:abstractNumId w:val="323"/>
  </w:num>
  <w:num w:numId="273" w16cid:durableId="730882075">
    <w:abstractNumId w:val="203"/>
  </w:num>
  <w:num w:numId="274" w16cid:durableId="1188638915">
    <w:abstractNumId w:val="235"/>
  </w:num>
  <w:num w:numId="275" w16cid:durableId="778446911">
    <w:abstractNumId w:val="144"/>
  </w:num>
  <w:num w:numId="276" w16cid:durableId="412892341">
    <w:abstractNumId w:val="155"/>
  </w:num>
  <w:num w:numId="277" w16cid:durableId="869338267">
    <w:abstractNumId w:val="316"/>
  </w:num>
  <w:num w:numId="278" w16cid:durableId="1672489185">
    <w:abstractNumId w:val="295"/>
  </w:num>
  <w:num w:numId="279" w16cid:durableId="1669022616">
    <w:abstractNumId w:val="116"/>
  </w:num>
  <w:num w:numId="280" w16cid:durableId="1116632978">
    <w:abstractNumId w:val="310"/>
  </w:num>
  <w:num w:numId="281" w16cid:durableId="649215214">
    <w:abstractNumId w:val="184"/>
  </w:num>
  <w:num w:numId="282" w16cid:durableId="555700504">
    <w:abstractNumId w:val="182"/>
  </w:num>
  <w:num w:numId="283" w16cid:durableId="672221543">
    <w:abstractNumId w:val="58"/>
  </w:num>
  <w:num w:numId="284" w16cid:durableId="581455898">
    <w:abstractNumId w:val="136"/>
  </w:num>
  <w:num w:numId="285" w16cid:durableId="428351301">
    <w:abstractNumId w:val="75"/>
  </w:num>
  <w:num w:numId="286" w16cid:durableId="1955280994">
    <w:abstractNumId w:val="151"/>
  </w:num>
  <w:num w:numId="287" w16cid:durableId="2010523352">
    <w:abstractNumId w:val="243"/>
  </w:num>
  <w:num w:numId="288" w16cid:durableId="156656402">
    <w:abstractNumId w:val="292"/>
  </w:num>
  <w:num w:numId="289" w16cid:durableId="660499819">
    <w:abstractNumId w:val="271"/>
  </w:num>
  <w:num w:numId="290" w16cid:durableId="1425493495">
    <w:abstractNumId w:val="189"/>
  </w:num>
  <w:num w:numId="291" w16cid:durableId="320156755">
    <w:abstractNumId w:val="2"/>
  </w:num>
  <w:num w:numId="292" w16cid:durableId="1845196082">
    <w:abstractNumId w:val="237"/>
  </w:num>
  <w:num w:numId="293" w16cid:durableId="867526467">
    <w:abstractNumId w:val="202"/>
  </w:num>
  <w:num w:numId="294" w16cid:durableId="96145115">
    <w:abstractNumId w:val="126"/>
  </w:num>
  <w:num w:numId="295" w16cid:durableId="1476869751">
    <w:abstractNumId w:val="320"/>
  </w:num>
  <w:num w:numId="296" w16cid:durableId="996421122">
    <w:abstractNumId w:val="111"/>
  </w:num>
  <w:num w:numId="297" w16cid:durableId="877276918">
    <w:abstractNumId w:val="169"/>
  </w:num>
  <w:num w:numId="298" w16cid:durableId="496460956">
    <w:abstractNumId w:val="25"/>
  </w:num>
  <w:num w:numId="299" w16cid:durableId="13605">
    <w:abstractNumId w:val="337"/>
  </w:num>
  <w:num w:numId="300" w16cid:durableId="1200581146">
    <w:abstractNumId w:val="74"/>
  </w:num>
  <w:num w:numId="301" w16cid:durableId="727723434">
    <w:abstractNumId w:val="71"/>
  </w:num>
  <w:num w:numId="302" w16cid:durableId="1107889674">
    <w:abstractNumId w:val="298"/>
  </w:num>
  <w:num w:numId="303" w16cid:durableId="113715534">
    <w:abstractNumId w:val="187"/>
  </w:num>
  <w:num w:numId="304" w16cid:durableId="118957739">
    <w:abstractNumId w:val="86"/>
  </w:num>
  <w:num w:numId="305" w16cid:durableId="1721398522">
    <w:abstractNumId w:val="289"/>
  </w:num>
  <w:num w:numId="306" w16cid:durableId="850491330">
    <w:abstractNumId w:val="114"/>
  </w:num>
  <w:num w:numId="307" w16cid:durableId="1850556413">
    <w:abstractNumId w:val="82"/>
  </w:num>
  <w:num w:numId="308" w16cid:durableId="326053062">
    <w:abstractNumId w:val="56"/>
  </w:num>
  <w:num w:numId="309" w16cid:durableId="392198490">
    <w:abstractNumId w:val="185"/>
  </w:num>
  <w:num w:numId="310" w16cid:durableId="40255571">
    <w:abstractNumId w:val="296"/>
  </w:num>
  <w:num w:numId="311" w16cid:durableId="204173640">
    <w:abstractNumId w:val="81"/>
  </w:num>
  <w:num w:numId="312" w16cid:durableId="1761295096">
    <w:abstractNumId w:val="338"/>
  </w:num>
  <w:num w:numId="313" w16cid:durableId="496074047">
    <w:abstractNumId w:val="159"/>
  </w:num>
  <w:num w:numId="314" w16cid:durableId="743723475">
    <w:abstractNumId w:val="176"/>
  </w:num>
  <w:num w:numId="315" w16cid:durableId="2111390328">
    <w:abstractNumId w:val="196"/>
  </w:num>
  <w:num w:numId="316" w16cid:durableId="793907813">
    <w:abstractNumId w:val="285"/>
  </w:num>
  <w:num w:numId="317" w16cid:durableId="1039863772">
    <w:abstractNumId w:val="30"/>
  </w:num>
  <w:num w:numId="318" w16cid:durableId="173495670">
    <w:abstractNumId w:val="272"/>
  </w:num>
  <w:num w:numId="319" w16cid:durableId="922956757">
    <w:abstractNumId w:val="200"/>
  </w:num>
  <w:num w:numId="320" w16cid:durableId="2036273314">
    <w:abstractNumId w:val="192"/>
  </w:num>
  <w:num w:numId="321" w16cid:durableId="240799957">
    <w:abstractNumId w:val="225"/>
  </w:num>
  <w:num w:numId="322" w16cid:durableId="246504509">
    <w:abstractNumId w:val="207"/>
  </w:num>
  <w:num w:numId="323" w16cid:durableId="1375077570">
    <w:abstractNumId w:val="162"/>
  </w:num>
  <w:num w:numId="324" w16cid:durableId="391734928">
    <w:abstractNumId w:val="38"/>
  </w:num>
  <w:num w:numId="325" w16cid:durableId="1477381636">
    <w:abstractNumId w:val="283"/>
  </w:num>
  <w:num w:numId="326" w16cid:durableId="1661932421">
    <w:abstractNumId w:val="34"/>
  </w:num>
  <w:num w:numId="327" w16cid:durableId="1123964199">
    <w:abstractNumId w:val="329"/>
  </w:num>
  <w:num w:numId="328" w16cid:durableId="169031524">
    <w:abstractNumId w:val="104"/>
  </w:num>
  <w:num w:numId="329" w16cid:durableId="501551571">
    <w:abstractNumId w:val="42"/>
  </w:num>
  <w:num w:numId="330" w16cid:durableId="1386833383">
    <w:abstractNumId w:val="142"/>
  </w:num>
  <w:num w:numId="331" w16cid:durableId="81607356">
    <w:abstractNumId w:val="13"/>
  </w:num>
  <w:num w:numId="332" w16cid:durableId="128013818">
    <w:abstractNumId w:val="68"/>
  </w:num>
  <w:num w:numId="333" w16cid:durableId="1894343394">
    <w:abstractNumId w:val="236"/>
  </w:num>
  <w:num w:numId="334" w16cid:durableId="1384257421">
    <w:abstractNumId w:val="94"/>
  </w:num>
  <w:num w:numId="335" w16cid:durableId="107631160">
    <w:abstractNumId w:val="319"/>
  </w:num>
  <w:num w:numId="336" w16cid:durableId="35204922">
    <w:abstractNumId w:val="280"/>
  </w:num>
  <w:num w:numId="337" w16cid:durableId="69154864">
    <w:abstractNumId w:val="208"/>
  </w:num>
  <w:num w:numId="338" w16cid:durableId="2129544243">
    <w:abstractNumId w:val="211"/>
  </w:num>
  <w:num w:numId="339" w16cid:durableId="1208489847">
    <w:abstractNumId w:val="24"/>
  </w:num>
  <w:num w:numId="340" w16cid:durableId="603005030">
    <w:abstractNumId w:val="266"/>
  </w:num>
  <w:num w:numId="341" w16cid:durableId="1821540078">
    <w:abstractNumId w:val="223"/>
  </w:num>
  <w:num w:numId="342" w16cid:durableId="1365054529">
    <w:abstractNumId w:val="188"/>
  </w:num>
  <w:num w:numId="343" w16cid:durableId="675887231">
    <w:abstractNumId w:val="117"/>
  </w:num>
  <w:num w:numId="344" w16cid:durableId="1188984555">
    <w:abstractNumId w:val="341"/>
  </w:num>
  <w:num w:numId="345" w16cid:durableId="1469592448">
    <w:abstractNumId w:val="246"/>
  </w:num>
  <w:num w:numId="346" w16cid:durableId="902448717">
    <w:abstractNumId w:val="224"/>
  </w:num>
  <w:num w:numId="347" w16cid:durableId="1421411213">
    <w:abstractNumId w:val="262"/>
  </w:num>
  <w:num w:numId="348" w16cid:durableId="2057268285">
    <w:abstractNumId w:val="140"/>
  </w:num>
  <w:num w:numId="349" w16cid:durableId="400831515">
    <w:abstractNumId w:val="8"/>
  </w:num>
  <w:num w:numId="350" w16cid:durableId="1213729428">
    <w:abstractNumId w:val="213"/>
  </w:num>
  <w:num w:numId="351" w16cid:durableId="1287199731">
    <w:abstractNumId w:val="326"/>
  </w:num>
  <w:num w:numId="352" w16cid:durableId="2113015965">
    <w:abstractNumId w:val="73"/>
  </w:num>
  <w:num w:numId="353" w16cid:durableId="859127989">
    <w:abstractNumId w:val="12"/>
  </w:num>
  <w:num w:numId="354" w16cid:durableId="1747068278">
    <w:abstractNumId w:val="268"/>
  </w:num>
  <w:num w:numId="355" w16cid:durableId="575936317">
    <w:abstractNumId w:val="115"/>
  </w:num>
  <w:num w:numId="356" w16cid:durableId="222373061">
    <w:abstractNumId w:val="171"/>
  </w:num>
  <w:num w:numId="357" w16cid:durableId="1594583402">
    <w:abstractNumId w:val="84"/>
  </w:num>
  <w:num w:numId="358" w16cid:durableId="555824904">
    <w:abstractNumId w:val="149"/>
  </w:num>
  <w:num w:numId="359" w16cid:durableId="732847973">
    <w:abstractNumId w:val="123"/>
  </w:num>
  <w:num w:numId="360" w16cid:durableId="1649817607">
    <w:abstractNumId w:val="98"/>
  </w:num>
  <w:num w:numId="361" w16cid:durableId="1282420875">
    <w:abstractNumId w:val="48"/>
  </w:num>
  <w:num w:numId="362" w16cid:durableId="1835761236">
    <w:abstractNumId w:val="204"/>
  </w:num>
  <w:num w:numId="363" w16cid:durableId="626786405">
    <w:abstractNumId w:val="219"/>
  </w:num>
  <w:num w:numId="364" w16cid:durableId="214633090">
    <w:abstractNumId w:val="258"/>
  </w:num>
  <w:num w:numId="365" w16cid:durableId="561598813">
    <w:abstractNumId w:val="275"/>
  </w:num>
  <w:num w:numId="366" w16cid:durableId="147743955">
    <w:abstractNumId w:val="333"/>
  </w:num>
  <w:num w:numId="367" w16cid:durableId="1352033284">
    <w:abstractNumId w:val="43"/>
  </w:num>
  <w:num w:numId="368" w16cid:durableId="1109088377">
    <w:abstractNumId w:val="287"/>
  </w:num>
  <w:num w:numId="369" w16cid:durableId="1199512790">
    <w:abstractNumId w:val="15"/>
  </w:num>
  <w:num w:numId="370" w16cid:durableId="1318623">
    <w:abstractNumId w:val="332"/>
  </w:num>
  <w:num w:numId="371" w16cid:durableId="1635525406">
    <w:abstractNumId w:val="304"/>
  </w:num>
  <w:num w:numId="372" w16cid:durableId="362021182">
    <w:abstractNumId w:val="194"/>
  </w:num>
  <w:num w:numId="373" w16cid:durableId="200244077">
    <w:abstractNumId w:val="195"/>
  </w:num>
  <w:num w:numId="374" w16cid:durableId="1424108934">
    <w:abstractNumId w:val="325"/>
  </w:num>
  <w:num w:numId="375" w16cid:durableId="1553271035">
    <w:abstractNumId w:val="89"/>
  </w:num>
  <w:num w:numId="376" w16cid:durableId="494415512">
    <w:abstractNumId w:val="222"/>
  </w:num>
  <w:num w:numId="377" w16cid:durableId="1361273274">
    <w:abstractNumId w:val="35"/>
  </w:num>
  <w:num w:numId="378" w16cid:durableId="1479571593">
    <w:abstractNumId w:val="120"/>
  </w:num>
  <w:num w:numId="379" w16cid:durableId="1802338183">
    <w:abstractNumId w:val="124"/>
  </w:num>
  <w:num w:numId="380" w16cid:durableId="1644189197">
    <w:abstractNumId w:val="299"/>
  </w:num>
  <w:num w:numId="381" w16cid:durableId="224797980">
    <w:abstractNumId w:val="47"/>
  </w:num>
  <w:num w:numId="382" w16cid:durableId="2090032621">
    <w:abstractNumId w:val="32"/>
  </w:num>
  <w:num w:numId="383" w16cid:durableId="2044817856">
    <w:abstractNumId w:val="88"/>
  </w:num>
  <w:num w:numId="384" w16cid:durableId="624970966">
    <w:abstractNumId w:val="313"/>
  </w:num>
  <w:num w:numId="385" w16cid:durableId="908614312">
    <w:abstractNumId w:val="63"/>
  </w:num>
  <w:num w:numId="386" w16cid:durableId="2099594574">
    <w:abstractNumId w:val="327"/>
  </w:num>
  <w:num w:numId="387" w16cid:durableId="1053195990">
    <w:abstractNumId w:val="129"/>
  </w:num>
  <w:num w:numId="388" w16cid:durableId="1081371183">
    <w:abstractNumId w:val="302"/>
  </w:num>
  <w:num w:numId="389" w16cid:durableId="1072703174">
    <w:abstractNumId w:val="77"/>
  </w:num>
  <w:num w:numId="390" w16cid:durableId="289938434">
    <w:abstractNumId w:val="132"/>
  </w:num>
  <w:num w:numId="391" w16cid:durableId="1641416851">
    <w:abstractNumId w:val="177"/>
  </w:num>
  <w:num w:numId="392" w16cid:durableId="1950694870">
    <w:abstractNumId w:val="312"/>
  </w:num>
  <w:num w:numId="393" w16cid:durableId="1142425178">
    <w:abstractNumId w:val="232"/>
  </w:num>
  <w:num w:numId="394" w16cid:durableId="1958679188">
    <w:abstractNumId w:val="257"/>
  </w:num>
  <w:num w:numId="395" w16cid:durableId="811022637">
    <w:abstractNumId w:val="119"/>
  </w:num>
  <w:num w:numId="396" w16cid:durableId="1683582985">
    <w:abstractNumId w:val="212"/>
  </w:num>
  <w:num w:numId="397" w16cid:durableId="371929786">
    <w:abstractNumId w:val="318"/>
    <w:lvlOverride w:ilvl="2">
      <w:lvl w:ilvl="2">
        <w:start w:val="1"/>
        <w:numFmt w:val="decimal"/>
        <w:pStyle w:val="Heading3numbered"/>
        <w:lvlText w:val="%1.%2.%3"/>
        <w:lvlJc w:val="left"/>
        <w:pPr>
          <w:ind w:left="964" w:hanging="964"/>
        </w:pPr>
        <w:rPr>
          <w:rFonts w:hint="default"/>
          <w:color w:val="auto"/>
          <w:sz w:val="22"/>
          <w:szCs w:val="22"/>
        </w:rPr>
      </w:lvl>
    </w:lvlOverride>
  </w:num>
  <w:num w:numId="398" w16cid:durableId="1597329292">
    <w:abstractNumId w:val="318"/>
    <w:lvlOverride w:ilvl="2">
      <w:lvl w:ilvl="2">
        <w:start w:val="1"/>
        <w:numFmt w:val="decimal"/>
        <w:pStyle w:val="Heading3numbered"/>
        <w:lvlText w:val="%1.%2.%3"/>
        <w:lvlJc w:val="left"/>
        <w:pPr>
          <w:ind w:left="964" w:hanging="964"/>
        </w:pPr>
        <w:rPr>
          <w:rFonts w:hint="default"/>
          <w:color w:val="auto"/>
          <w:sz w:val="22"/>
          <w:szCs w:val="22"/>
        </w:rPr>
      </w:lvl>
    </w:lvlOverride>
  </w:num>
  <w:num w:numId="399" w16cid:durableId="1417166623">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0" w16cid:durableId="1824083222">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16cid:durableId="1601110827">
    <w:abstractNumId w:val="248"/>
  </w:num>
  <w:num w:numId="402" w16cid:durableId="178663115">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3" w16cid:durableId="21904211">
    <w:abstractNumId w:val="93"/>
  </w:num>
  <w:num w:numId="404" w16cid:durableId="1891577068">
    <w:abstractNumId w:val="83"/>
  </w:num>
  <w:num w:numId="405" w16cid:durableId="1963730152">
    <w:abstractNumId w:val="96"/>
  </w:num>
  <w:num w:numId="406" w16cid:durableId="1263755535">
    <w:abstractNumId w:val="27"/>
  </w:num>
  <w:num w:numId="407" w16cid:durableId="949243026">
    <w:abstractNumId w:val="247"/>
  </w:num>
  <w:num w:numId="408" w16cid:durableId="686639327">
    <w:abstractNumId w:val="261"/>
  </w:num>
  <w:num w:numId="409" w16cid:durableId="46802769">
    <w:abstractNumId w:val="52"/>
  </w:num>
  <w:numIdMacAtCleanup w:val="4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0AB"/>
    <w:rsid w:val="0000000F"/>
    <w:rsid w:val="00000094"/>
    <w:rsid w:val="0000020B"/>
    <w:rsid w:val="0000025A"/>
    <w:rsid w:val="00000360"/>
    <w:rsid w:val="00000480"/>
    <w:rsid w:val="0000054E"/>
    <w:rsid w:val="000005C8"/>
    <w:rsid w:val="000005D9"/>
    <w:rsid w:val="00000720"/>
    <w:rsid w:val="000008B7"/>
    <w:rsid w:val="00000A52"/>
    <w:rsid w:val="00000ABA"/>
    <w:rsid w:val="00000BC3"/>
    <w:rsid w:val="00000CAF"/>
    <w:rsid w:val="00000E2F"/>
    <w:rsid w:val="00000F76"/>
    <w:rsid w:val="00000F77"/>
    <w:rsid w:val="00000F84"/>
    <w:rsid w:val="0000103E"/>
    <w:rsid w:val="00001212"/>
    <w:rsid w:val="00001274"/>
    <w:rsid w:val="000015A5"/>
    <w:rsid w:val="00001718"/>
    <w:rsid w:val="00001719"/>
    <w:rsid w:val="00001897"/>
    <w:rsid w:val="000018A2"/>
    <w:rsid w:val="000019C8"/>
    <w:rsid w:val="00001A74"/>
    <w:rsid w:val="00001A9A"/>
    <w:rsid w:val="00001B1D"/>
    <w:rsid w:val="00001D2D"/>
    <w:rsid w:val="00001D87"/>
    <w:rsid w:val="00001FF5"/>
    <w:rsid w:val="00002228"/>
    <w:rsid w:val="000022F7"/>
    <w:rsid w:val="00002522"/>
    <w:rsid w:val="0000255D"/>
    <w:rsid w:val="000028A3"/>
    <w:rsid w:val="000029B1"/>
    <w:rsid w:val="00002B6E"/>
    <w:rsid w:val="00002B90"/>
    <w:rsid w:val="00002BA9"/>
    <w:rsid w:val="00002C12"/>
    <w:rsid w:val="00002D04"/>
    <w:rsid w:val="00002E6D"/>
    <w:rsid w:val="00002EBF"/>
    <w:rsid w:val="000032F9"/>
    <w:rsid w:val="0000335C"/>
    <w:rsid w:val="00003393"/>
    <w:rsid w:val="000033D2"/>
    <w:rsid w:val="00003405"/>
    <w:rsid w:val="0000356F"/>
    <w:rsid w:val="000035C0"/>
    <w:rsid w:val="000035E5"/>
    <w:rsid w:val="00003672"/>
    <w:rsid w:val="00003716"/>
    <w:rsid w:val="000037AC"/>
    <w:rsid w:val="000037B6"/>
    <w:rsid w:val="00003867"/>
    <w:rsid w:val="000038E7"/>
    <w:rsid w:val="00003AD2"/>
    <w:rsid w:val="00003BA4"/>
    <w:rsid w:val="00003C76"/>
    <w:rsid w:val="00003C7B"/>
    <w:rsid w:val="00003F02"/>
    <w:rsid w:val="00003F3F"/>
    <w:rsid w:val="0000424E"/>
    <w:rsid w:val="00004256"/>
    <w:rsid w:val="000045C1"/>
    <w:rsid w:val="000047D9"/>
    <w:rsid w:val="00004A71"/>
    <w:rsid w:val="00004DA1"/>
    <w:rsid w:val="00004ECE"/>
    <w:rsid w:val="00004FED"/>
    <w:rsid w:val="0000526D"/>
    <w:rsid w:val="000054EF"/>
    <w:rsid w:val="000055C8"/>
    <w:rsid w:val="00005752"/>
    <w:rsid w:val="000058A7"/>
    <w:rsid w:val="000058C6"/>
    <w:rsid w:val="00005901"/>
    <w:rsid w:val="00005916"/>
    <w:rsid w:val="00005950"/>
    <w:rsid w:val="00005B96"/>
    <w:rsid w:val="00005E6F"/>
    <w:rsid w:val="0000601A"/>
    <w:rsid w:val="0000608E"/>
    <w:rsid w:val="0000609C"/>
    <w:rsid w:val="000061F7"/>
    <w:rsid w:val="00006230"/>
    <w:rsid w:val="0000644A"/>
    <w:rsid w:val="000064CD"/>
    <w:rsid w:val="00006578"/>
    <w:rsid w:val="00006593"/>
    <w:rsid w:val="000066EF"/>
    <w:rsid w:val="0000686B"/>
    <w:rsid w:val="00006881"/>
    <w:rsid w:val="000069D9"/>
    <w:rsid w:val="00006AE7"/>
    <w:rsid w:val="00006BC9"/>
    <w:rsid w:val="00006D75"/>
    <w:rsid w:val="00006EE6"/>
    <w:rsid w:val="00006FF7"/>
    <w:rsid w:val="000072C8"/>
    <w:rsid w:val="0000735B"/>
    <w:rsid w:val="0000747C"/>
    <w:rsid w:val="0000750C"/>
    <w:rsid w:val="00007620"/>
    <w:rsid w:val="00007768"/>
    <w:rsid w:val="00007F14"/>
    <w:rsid w:val="0000A125"/>
    <w:rsid w:val="000104D6"/>
    <w:rsid w:val="000104FC"/>
    <w:rsid w:val="00010527"/>
    <w:rsid w:val="00010555"/>
    <w:rsid w:val="00010588"/>
    <w:rsid w:val="000105C3"/>
    <w:rsid w:val="000106D8"/>
    <w:rsid w:val="00010ABD"/>
    <w:rsid w:val="00010BD4"/>
    <w:rsid w:val="00010D3D"/>
    <w:rsid w:val="00010F42"/>
    <w:rsid w:val="00011014"/>
    <w:rsid w:val="00011080"/>
    <w:rsid w:val="00011193"/>
    <w:rsid w:val="00011361"/>
    <w:rsid w:val="000113E4"/>
    <w:rsid w:val="00011434"/>
    <w:rsid w:val="0001145B"/>
    <w:rsid w:val="0001146E"/>
    <w:rsid w:val="00011562"/>
    <w:rsid w:val="000115BC"/>
    <w:rsid w:val="000116A9"/>
    <w:rsid w:val="000116EF"/>
    <w:rsid w:val="0001176C"/>
    <w:rsid w:val="0001179A"/>
    <w:rsid w:val="00011822"/>
    <w:rsid w:val="0001183B"/>
    <w:rsid w:val="00011A3E"/>
    <w:rsid w:val="00011A60"/>
    <w:rsid w:val="00011A6D"/>
    <w:rsid w:val="00011B68"/>
    <w:rsid w:val="00011BC6"/>
    <w:rsid w:val="00011C87"/>
    <w:rsid w:val="00011CE1"/>
    <w:rsid w:val="00011D41"/>
    <w:rsid w:val="00011D73"/>
    <w:rsid w:val="00011DC8"/>
    <w:rsid w:val="000121E6"/>
    <w:rsid w:val="000123AD"/>
    <w:rsid w:val="00012413"/>
    <w:rsid w:val="000126AD"/>
    <w:rsid w:val="00012743"/>
    <w:rsid w:val="0001280C"/>
    <w:rsid w:val="00012B5C"/>
    <w:rsid w:val="00012BD3"/>
    <w:rsid w:val="00012C6D"/>
    <w:rsid w:val="00012E50"/>
    <w:rsid w:val="00012F59"/>
    <w:rsid w:val="00013057"/>
    <w:rsid w:val="000133B0"/>
    <w:rsid w:val="000135C9"/>
    <w:rsid w:val="00013618"/>
    <w:rsid w:val="00013623"/>
    <w:rsid w:val="00013972"/>
    <w:rsid w:val="00013AE7"/>
    <w:rsid w:val="00013B8E"/>
    <w:rsid w:val="00013BF2"/>
    <w:rsid w:val="00013C49"/>
    <w:rsid w:val="00013D4D"/>
    <w:rsid w:val="00013FF4"/>
    <w:rsid w:val="0001404C"/>
    <w:rsid w:val="000140A1"/>
    <w:rsid w:val="000140C3"/>
    <w:rsid w:val="000142F5"/>
    <w:rsid w:val="00014416"/>
    <w:rsid w:val="00014562"/>
    <w:rsid w:val="00014849"/>
    <w:rsid w:val="00014974"/>
    <w:rsid w:val="000149F9"/>
    <w:rsid w:val="00014BCE"/>
    <w:rsid w:val="00014C39"/>
    <w:rsid w:val="00014CD5"/>
    <w:rsid w:val="00014E4E"/>
    <w:rsid w:val="00014E5F"/>
    <w:rsid w:val="00014EE9"/>
    <w:rsid w:val="00014FC3"/>
    <w:rsid w:val="000150F0"/>
    <w:rsid w:val="0001516A"/>
    <w:rsid w:val="00015389"/>
    <w:rsid w:val="0001541E"/>
    <w:rsid w:val="000157A4"/>
    <w:rsid w:val="00015945"/>
    <w:rsid w:val="00015AD6"/>
    <w:rsid w:val="00015AF2"/>
    <w:rsid w:val="00015D02"/>
    <w:rsid w:val="00015D32"/>
    <w:rsid w:val="00015DA5"/>
    <w:rsid w:val="00015DD5"/>
    <w:rsid w:val="00015FED"/>
    <w:rsid w:val="0001620D"/>
    <w:rsid w:val="000163B6"/>
    <w:rsid w:val="000164DB"/>
    <w:rsid w:val="0001665C"/>
    <w:rsid w:val="000166C0"/>
    <w:rsid w:val="000166C6"/>
    <w:rsid w:val="000166F5"/>
    <w:rsid w:val="000166FE"/>
    <w:rsid w:val="00016708"/>
    <w:rsid w:val="0001670B"/>
    <w:rsid w:val="00016843"/>
    <w:rsid w:val="00016971"/>
    <w:rsid w:val="00016B5E"/>
    <w:rsid w:val="00016D03"/>
    <w:rsid w:val="00016E55"/>
    <w:rsid w:val="00016E84"/>
    <w:rsid w:val="00017059"/>
    <w:rsid w:val="000170A4"/>
    <w:rsid w:val="000170B7"/>
    <w:rsid w:val="00017156"/>
    <w:rsid w:val="000173A2"/>
    <w:rsid w:val="000173D5"/>
    <w:rsid w:val="00017472"/>
    <w:rsid w:val="0001758D"/>
    <w:rsid w:val="000175EF"/>
    <w:rsid w:val="00017635"/>
    <w:rsid w:val="00017659"/>
    <w:rsid w:val="0001768A"/>
    <w:rsid w:val="000176B9"/>
    <w:rsid w:val="000177ED"/>
    <w:rsid w:val="00017A03"/>
    <w:rsid w:val="00017B42"/>
    <w:rsid w:val="00017C62"/>
    <w:rsid w:val="00017D88"/>
    <w:rsid w:val="00017D93"/>
    <w:rsid w:val="00017EDA"/>
    <w:rsid w:val="00017F40"/>
    <w:rsid w:val="00020007"/>
    <w:rsid w:val="00020162"/>
    <w:rsid w:val="0002041C"/>
    <w:rsid w:val="00020649"/>
    <w:rsid w:val="000206A2"/>
    <w:rsid w:val="000206D3"/>
    <w:rsid w:val="0002085E"/>
    <w:rsid w:val="00020929"/>
    <w:rsid w:val="00020A01"/>
    <w:rsid w:val="00020AF7"/>
    <w:rsid w:val="00020CF4"/>
    <w:rsid w:val="00020CFE"/>
    <w:rsid w:val="00020D47"/>
    <w:rsid w:val="00020EA8"/>
    <w:rsid w:val="00020F48"/>
    <w:rsid w:val="00021132"/>
    <w:rsid w:val="00021141"/>
    <w:rsid w:val="0002120B"/>
    <w:rsid w:val="0002125B"/>
    <w:rsid w:val="000215FB"/>
    <w:rsid w:val="00021646"/>
    <w:rsid w:val="000218AD"/>
    <w:rsid w:val="00021902"/>
    <w:rsid w:val="00021D5F"/>
    <w:rsid w:val="00021D89"/>
    <w:rsid w:val="00022172"/>
    <w:rsid w:val="00022261"/>
    <w:rsid w:val="00022299"/>
    <w:rsid w:val="000223F8"/>
    <w:rsid w:val="00022631"/>
    <w:rsid w:val="00022669"/>
    <w:rsid w:val="0002267B"/>
    <w:rsid w:val="000228C7"/>
    <w:rsid w:val="000228CB"/>
    <w:rsid w:val="00022B75"/>
    <w:rsid w:val="00022CA3"/>
    <w:rsid w:val="00022DF4"/>
    <w:rsid w:val="00022E7B"/>
    <w:rsid w:val="00022F2B"/>
    <w:rsid w:val="00022F37"/>
    <w:rsid w:val="000230B8"/>
    <w:rsid w:val="0002317D"/>
    <w:rsid w:val="000232B0"/>
    <w:rsid w:val="00023508"/>
    <w:rsid w:val="000235C2"/>
    <w:rsid w:val="0002369A"/>
    <w:rsid w:val="000236A7"/>
    <w:rsid w:val="000238D2"/>
    <w:rsid w:val="00023908"/>
    <w:rsid w:val="000239C0"/>
    <w:rsid w:val="00023A72"/>
    <w:rsid w:val="00023D01"/>
    <w:rsid w:val="00023D15"/>
    <w:rsid w:val="00023D7C"/>
    <w:rsid w:val="00023E05"/>
    <w:rsid w:val="00023E10"/>
    <w:rsid w:val="00023F0F"/>
    <w:rsid w:val="0002426C"/>
    <w:rsid w:val="000242ED"/>
    <w:rsid w:val="00024361"/>
    <w:rsid w:val="00024378"/>
    <w:rsid w:val="000244D7"/>
    <w:rsid w:val="0002458D"/>
    <w:rsid w:val="00024602"/>
    <w:rsid w:val="00024606"/>
    <w:rsid w:val="00024678"/>
    <w:rsid w:val="00024744"/>
    <w:rsid w:val="000247DA"/>
    <w:rsid w:val="00024A35"/>
    <w:rsid w:val="00024ACB"/>
    <w:rsid w:val="00024B61"/>
    <w:rsid w:val="00024D3A"/>
    <w:rsid w:val="00024D73"/>
    <w:rsid w:val="00024E71"/>
    <w:rsid w:val="00024F3F"/>
    <w:rsid w:val="0002504C"/>
    <w:rsid w:val="00025232"/>
    <w:rsid w:val="00025390"/>
    <w:rsid w:val="000253C8"/>
    <w:rsid w:val="00025476"/>
    <w:rsid w:val="0002555B"/>
    <w:rsid w:val="00025680"/>
    <w:rsid w:val="000259D1"/>
    <w:rsid w:val="00025A77"/>
    <w:rsid w:val="00025B47"/>
    <w:rsid w:val="00025BA1"/>
    <w:rsid w:val="00025C99"/>
    <w:rsid w:val="00025D54"/>
    <w:rsid w:val="00025DC7"/>
    <w:rsid w:val="00025E4A"/>
    <w:rsid w:val="00025FE7"/>
    <w:rsid w:val="000263C2"/>
    <w:rsid w:val="0002679A"/>
    <w:rsid w:val="0002691E"/>
    <w:rsid w:val="00026ACC"/>
    <w:rsid w:val="00026AE2"/>
    <w:rsid w:val="00026C36"/>
    <w:rsid w:val="00026C58"/>
    <w:rsid w:val="00026C59"/>
    <w:rsid w:val="00026D72"/>
    <w:rsid w:val="00026E86"/>
    <w:rsid w:val="000270D4"/>
    <w:rsid w:val="00027156"/>
    <w:rsid w:val="000271B6"/>
    <w:rsid w:val="0002727E"/>
    <w:rsid w:val="00027631"/>
    <w:rsid w:val="000277FF"/>
    <w:rsid w:val="0002782E"/>
    <w:rsid w:val="00027894"/>
    <w:rsid w:val="0002794A"/>
    <w:rsid w:val="00027A07"/>
    <w:rsid w:val="00027C37"/>
    <w:rsid w:val="00027C77"/>
    <w:rsid w:val="00027D07"/>
    <w:rsid w:val="00027FAC"/>
    <w:rsid w:val="00027FC7"/>
    <w:rsid w:val="0003006C"/>
    <w:rsid w:val="000300D8"/>
    <w:rsid w:val="0003016D"/>
    <w:rsid w:val="000302A5"/>
    <w:rsid w:val="000302AA"/>
    <w:rsid w:val="000302BE"/>
    <w:rsid w:val="0003031C"/>
    <w:rsid w:val="00030358"/>
    <w:rsid w:val="00030474"/>
    <w:rsid w:val="0003060D"/>
    <w:rsid w:val="00030869"/>
    <w:rsid w:val="000309CB"/>
    <w:rsid w:val="000310F1"/>
    <w:rsid w:val="000311A3"/>
    <w:rsid w:val="00031368"/>
    <w:rsid w:val="00031468"/>
    <w:rsid w:val="000314F0"/>
    <w:rsid w:val="000317EF"/>
    <w:rsid w:val="00031A53"/>
    <w:rsid w:val="00031BDC"/>
    <w:rsid w:val="00031CFF"/>
    <w:rsid w:val="00031E14"/>
    <w:rsid w:val="00031EAD"/>
    <w:rsid w:val="00031FBF"/>
    <w:rsid w:val="00032008"/>
    <w:rsid w:val="000320A0"/>
    <w:rsid w:val="000321AF"/>
    <w:rsid w:val="000321B6"/>
    <w:rsid w:val="00032448"/>
    <w:rsid w:val="000324AD"/>
    <w:rsid w:val="000324D9"/>
    <w:rsid w:val="000326D5"/>
    <w:rsid w:val="000327CB"/>
    <w:rsid w:val="000328EA"/>
    <w:rsid w:val="00032964"/>
    <w:rsid w:val="00032A36"/>
    <w:rsid w:val="00032A42"/>
    <w:rsid w:val="00032A43"/>
    <w:rsid w:val="00032A7B"/>
    <w:rsid w:val="00032ADF"/>
    <w:rsid w:val="00032AEF"/>
    <w:rsid w:val="00032CB3"/>
    <w:rsid w:val="00032D15"/>
    <w:rsid w:val="00033022"/>
    <w:rsid w:val="000332A8"/>
    <w:rsid w:val="000332B9"/>
    <w:rsid w:val="00033693"/>
    <w:rsid w:val="00033855"/>
    <w:rsid w:val="000339B3"/>
    <w:rsid w:val="000339FD"/>
    <w:rsid w:val="00033A7C"/>
    <w:rsid w:val="00033BB8"/>
    <w:rsid w:val="00033C00"/>
    <w:rsid w:val="00033CB6"/>
    <w:rsid w:val="00033D67"/>
    <w:rsid w:val="00033D97"/>
    <w:rsid w:val="000340D7"/>
    <w:rsid w:val="00034440"/>
    <w:rsid w:val="00034462"/>
    <w:rsid w:val="000344AD"/>
    <w:rsid w:val="00034619"/>
    <w:rsid w:val="00034656"/>
    <w:rsid w:val="00034BC3"/>
    <w:rsid w:val="00034D19"/>
    <w:rsid w:val="00034DD2"/>
    <w:rsid w:val="00034E5E"/>
    <w:rsid w:val="00035062"/>
    <w:rsid w:val="000351D0"/>
    <w:rsid w:val="0003539E"/>
    <w:rsid w:val="0003552C"/>
    <w:rsid w:val="000358B3"/>
    <w:rsid w:val="000358CF"/>
    <w:rsid w:val="0003598B"/>
    <w:rsid w:val="00035AD5"/>
    <w:rsid w:val="00035C1A"/>
    <w:rsid w:val="00035D0C"/>
    <w:rsid w:val="00035DF0"/>
    <w:rsid w:val="0003609F"/>
    <w:rsid w:val="000360F6"/>
    <w:rsid w:val="00036294"/>
    <w:rsid w:val="000362DB"/>
    <w:rsid w:val="000363CD"/>
    <w:rsid w:val="00036572"/>
    <w:rsid w:val="00036641"/>
    <w:rsid w:val="000367FF"/>
    <w:rsid w:val="00036A65"/>
    <w:rsid w:val="00036AAF"/>
    <w:rsid w:val="00036BF9"/>
    <w:rsid w:val="00036C8B"/>
    <w:rsid w:val="00037081"/>
    <w:rsid w:val="00037151"/>
    <w:rsid w:val="0003739B"/>
    <w:rsid w:val="000373CF"/>
    <w:rsid w:val="000374B5"/>
    <w:rsid w:val="00037662"/>
    <w:rsid w:val="000376D8"/>
    <w:rsid w:val="000377BE"/>
    <w:rsid w:val="000377ED"/>
    <w:rsid w:val="0003780D"/>
    <w:rsid w:val="00037961"/>
    <w:rsid w:val="0003799E"/>
    <w:rsid w:val="00037A8C"/>
    <w:rsid w:val="00037B79"/>
    <w:rsid w:val="00037B8A"/>
    <w:rsid w:val="00037BD2"/>
    <w:rsid w:val="00037C3D"/>
    <w:rsid w:val="00037C52"/>
    <w:rsid w:val="00037E05"/>
    <w:rsid w:val="00037E72"/>
    <w:rsid w:val="0004006D"/>
    <w:rsid w:val="0004017E"/>
    <w:rsid w:val="000401A0"/>
    <w:rsid w:val="0004043B"/>
    <w:rsid w:val="00040453"/>
    <w:rsid w:val="000405AC"/>
    <w:rsid w:val="000406C3"/>
    <w:rsid w:val="00040836"/>
    <w:rsid w:val="000408BC"/>
    <w:rsid w:val="000408C0"/>
    <w:rsid w:val="000408DA"/>
    <w:rsid w:val="00040B1D"/>
    <w:rsid w:val="00040BEA"/>
    <w:rsid w:val="00040BFB"/>
    <w:rsid w:val="00040CC1"/>
    <w:rsid w:val="00040CF6"/>
    <w:rsid w:val="00040D16"/>
    <w:rsid w:val="00040F76"/>
    <w:rsid w:val="00040FBE"/>
    <w:rsid w:val="00040FDF"/>
    <w:rsid w:val="000410A1"/>
    <w:rsid w:val="00041190"/>
    <w:rsid w:val="00041193"/>
    <w:rsid w:val="00041196"/>
    <w:rsid w:val="000411C3"/>
    <w:rsid w:val="00041235"/>
    <w:rsid w:val="000412CB"/>
    <w:rsid w:val="000413C8"/>
    <w:rsid w:val="000413E0"/>
    <w:rsid w:val="00041457"/>
    <w:rsid w:val="00041533"/>
    <w:rsid w:val="0004170F"/>
    <w:rsid w:val="00041777"/>
    <w:rsid w:val="00041792"/>
    <w:rsid w:val="0004186F"/>
    <w:rsid w:val="000418B1"/>
    <w:rsid w:val="000418CA"/>
    <w:rsid w:val="00041A30"/>
    <w:rsid w:val="00041A32"/>
    <w:rsid w:val="00041A65"/>
    <w:rsid w:val="00041ABE"/>
    <w:rsid w:val="00041BCC"/>
    <w:rsid w:val="00041BD9"/>
    <w:rsid w:val="00041C35"/>
    <w:rsid w:val="00041CC8"/>
    <w:rsid w:val="00041DA0"/>
    <w:rsid w:val="00041DDC"/>
    <w:rsid w:val="00041E58"/>
    <w:rsid w:val="00041E7B"/>
    <w:rsid w:val="00041EA1"/>
    <w:rsid w:val="00041FF2"/>
    <w:rsid w:val="00042073"/>
    <w:rsid w:val="000421E0"/>
    <w:rsid w:val="0004225A"/>
    <w:rsid w:val="00042290"/>
    <w:rsid w:val="0004274E"/>
    <w:rsid w:val="00042903"/>
    <w:rsid w:val="00042B51"/>
    <w:rsid w:val="00042C97"/>
    <w:rsid w:val="00042CCA"/>
    <w:rsid w:val="00042CE3"/>
    <w:rsid w:val="00042EB5"/>
    <w:rsid w:val="00042EBC"/>
    <w:rsid w:val="00042F29"/>
    <w:rsid w:val="00042F74"/>
    <w:rsid w:val="00042FBE"/>
    <w:rsid w:val="000430DA"/>
    <w:rsid w:val="000431B9"/>
    <w:rsid w:val="00043203"/>
    <w:rsid w:val="00043269"/>
    <w:rsid w:val="000432F2"/>
    <w:rsid w:val="000432F4"/>
    <w:rsid w:val="0004333E"/>
    <w:rsid w:val="00043382"/>
    <w:rsid w:val="0004341D"/>
    <w:rsid w:val="00043451"/>
    <w:rsid w:val="000434AB"/>
    <w:rsid w:val="000434F8"/>
    <w:rsid w:val="00043520"/>
    <w:rsid w:val="00043652"/>
    <w:rsid w:val="00043678"/>
    <w:rsid w:val="00043739"/>
    <w:rsid w:val="0004378C"/>
    <w:rsid w:val="00043851"/>
    <w:rsid w:val="000438B2"/>
    <w:rsid w:val="000438B3"/>
    <w:rsid w:val="00043965"/>
    <w:rsid w:val="00043BD9"/>
    <w:rsid w:val="00043C84"/>
    <w:rsid w:val="00043E9C"/>
    <w:rsid w:val="00043F2A"/>
    <w:rsid w:val="00043F4B"/>
    <w:rsid w:val="00043FCE"/>
    <w:rsid w:val="00044042"/>
    <w:rsid w:val="000440E7"/>
    <w:rsid w:val="00044177"/>
    <w:rsid w:val="00044256"/>
    <w:rsid w:val="0004434B"/>
    <w:rsid w:val="00044423"/>
    <w:rsid w:val="0004443E"/>
    <w:rsid w:val="00044801"/>
    <w:rsid w:val="00044AE6"/>
    <w:rsid w:val="00044BEC"/>
    <w:rsid w:val="00044D27"/>
    <w:rsid w:val="00044EC0"/>
    <w:rsid w:val="00045244"/>
    <w:rsid w:val="0004541A"/>
    <w:rsid w:val="00045489"/>
    <w:rsid w:val="000456B2"/>
    <w:rsid w:val="000458D8"/>
    <w:rsid w:val="000458EE"/>
    <w:rsid w:val="000459F0"/>
    <w:rsid w:val="00045A25"/>
    <w:rsid w:val="00045D10"/>
    <w:rsid w:val="00045D11"/>
    <w:rsid w:val="00045ED0"/>
    <w:rsid w:val="00045F97"/>
    <w:rsid w:val="00045FA2"/>
    <w:rsid w:val="00045FFB"/>
    <w:rsid w:val="000463BF"/>
    <w:rsid w:val="00046502"/>
    <w:rsid w:val="00046593"/>
    <w:rsid w:val="0004669C"/>
    <w:rsid w:val="000467FF"/>
    <w:rsid w:val="00046892"/>
    <w:rsid w:val="00046A06"/>
    <w:rsid w:val="00047000"/>
    <w:rsid w:val="000470CB"/>
    <w:rsid w:val="00047211"/>
    <w:rsid w:val="000472B1"/>
    <w:rsid w:val="000473E3"/>
    <w:rsid w:val="00047470"/>
    <w:rsid w:val="000475C9"/>
    <w:rsid w:val="0004767F"/>
    <w:rsid w:val="00047896"/>
    <w:rsid w:val="00047CA5"/>
    <w:rsid w:val="00047CAE"/>
    <w:rsid w:val="00047D27"/>
    <w:rsid w:val="00047D45"/>
    <w:rsid w:val="00047DA4"/>
    <w:rsid w:val="00047EC5"/>
    <w:rsid w:val="00047FC8"/>
    <w:rsid w:val="00050069"/>
    <w:rsid w:val="000500A7"/>
    <w:rsid w:val="000500BA"/>
    <w:rsid w:val="00050326"/>
    <w:rsid w:val="000503BA"/>
    <w:rsid w:val="000503CA"/>
    <w:rsid w:val="00050475"/>
    <w:rsid w:val="00050566"/>
    <w:rsid w:val="000505B3"/>
    <w:rsid w:val="00050787"/>
    <w:rsid w:val="00050829"/>
    <w:rsid w:val="000508DB"/>
    <w:rsid w:val="00050B74"/>
    <w:rsid w:val="00050B87"/>
    <w:rsid w:val="00050CF8"/>
    <w:rsid w:val="00050E45"/>
    <w:rsid w:val="00050EF1"/>
    <w:rsid w:val="000510C4"/>
    <w:rsid w:val="000510E8"/>
    <w:rsid w:val="000510F1"/>
    <w:rsid w:val="000512FE"/>
    <w:rsid w:val="0005133F"/>
    <w:rsid w:val="000514B8"/>
    <w:rsid w:val="000515C5"/>
    <w:rsid w:val="00051787"/>
    <w:rsid w:val="00051795"/>
    <w:rsid w:val="00051A2A"/>
    <w:rsid w:val="00051AB7"/>
    <w:rsid w:val="00051B21"/>
    <w:rsid w:val="00051B63"/>
    <w:rsid w:val="00051C0F"/>
    <w:rsid w:val="00051C5B"/>
    <w:rsid w:val="00051CC3"/>
    <w:rsid w:val="00051CE7"/>
    <w:rsid w:val="00051D8A"/>
    <w:rsid w:val="00051E1D"/>
    <w:rsid w:val="00051EDB"/>
    <w:rsid w:val="0005236B"/>
    <w:rsid w:val="0005247D"/>
    <w:rsid w:val="000524D7"/>
    <w:rsid w:val="0005259A"/>
    <w:rsid w:val="000525C6"/>
    <w:rsid w:val="0005289C"/>
    <w:rsid w:val="00052930"/>
    <w:rsid w:val="000529B6"/>
    <w:rsid w:val="00052AEC"/>
    <w:rsid w:val="00052C57"/>
    <w:rsid w:val="00052D1D"/>
    <w:rsid w:val="00052D52"/>
    <w:rsid w:val="00052F9E"/>
    <w:rsid w:val="00052FB1"/>
    <w:rsid w:val="000531FF"/>
    <w:rsid w:val="00053209"/>
    <w:rsid w:val="0005323D"/>
    <w:rsid w:val="00053247"/>
    <w:rsid w:val="000533B1"/>
    <w:rsid w:val="00053440"/>
    <w:rsid w:val="00053469"/>
    <w:rsid w:val="000534DE"/>
    <w:rsid w:val="000537CD"/>
    <w:rsid w:val="00053830"/>
    <w:rsid w:val="00053862"/>
    <w:rsid w:val="0005388F"/>
    <w:rsid w:val="000538C7"/>
    <w:rsid w:val="00053966"/>
    <w:rsid w:val="00053AC1"/>
    <w:rsid w:val="00053AD2"/>
    <w:rsid w:val="00053ADF"/>
    <w:rsid w:val="00053AE9"/>
    <w:rsid w:val="00053B02"/>
    <w:rsid w:val="00053CC5"/>
    <w:rsid w:val="00053D85"/>
    <w:rsid w:val="00053DC2"/>
    <w:rsid w:val="00053DDC"/>
    <w:rsid w:val="00053E4F"/>
    <w:rsid w:val="00053E5A"/>
    <w:rsid w:val="00053EEB"/>
    <w:rsid w:val="0005403E"/>
    <w:rsid w:val="0005415C"/>
    <w:rsid w:val="000541C3"/>
    <w:rsid w:val="000541D5"/>
    <w:rsid w:val="0005428F"/>
    <w:rsid w:val="00054547"/>
    <w:rsid w:val="000545B0"/>
    <w:rsid w:val="000548AC"/>
    <w:rsid w:val="000548CF"/>
    <w:rsid w:val="00054A11"/>
    <w:rsid w:val="00054B50"/>
    <w:rsid w:val="00054B51"/>
    <w:rsid w:val="00054BDD"/>
    <w:rsid w:val="00054C1C"/>
    <w:rsid w:val="00054CE7"/>
    <w:rsid w:val="00054DB0"/>
    <w:rsid w:val="00054EC7"/>
    <w:rsid w:val="000552B8"/>
    <w:rsid w:val="000552D5"/>
    <w:rsid w:val="0005538E"/>
    <w:rsid w:val="000555FA"/>
    <w:rsid w:val="00055849"/>
    <w:rsid w:val="000558CF"/>
    <w:rsid w:val="00055926"/>
    <w:rsid w:val="00055B54"/>
    <w:rsid w:val="00055E2D"/>
    <w:rsid w:val="000560BB"/>
    <w:rsid w:val="000561CA"/>
    <w:rsid w:val="000561D0"/>
    <w:rsid w:val="0005632B"/>
    <w:rsid w:val="00056616"/>
    <w:rsid w:val="0005669B"/>
    <w:rsid w:val="000566F0"/>
    <w:rsid w:val="000567A8"/>
    <w:rsid w:val="00056838"/>
    <w:rsid w:val="000568D7"/>
    <w:rsid w:val="00056CCC"/>
    <w:rsid w:val="00056F34"/>
    <w:rsid w:val="00056FE0"/>
    <w:rsid w:val="00057016"/>
    <w:rsid w:val="00057214"/>
    <w:rsid w:val="000572C8"/>
    <w:rsid w:val="000572E0"/>
    <w:rsid w:val="0005744D"/>
    <w:rsid w:val="0005765C"/>
    <w:rsid w:val="000576BA"/>
    <w:rsid w:val="00057734"/>
    <w:rsid w:val="0005782F"/>
    <w:rsid w:val="00057AE6"/>
    <w:rsid w:val="00057C50"/>
    <w:rsid w:val="00057CFA"/>
    <w:rsid w:val="00057D61"/>
    <w:rsid w:val="00057ED1"/>
    <w:rsid w:val="00057EEC"/>
    <w:rsid w:val="00057FF9"/>
    <w:rsid w:val="0006008D"/>
    <w:rsid w:val="00060111"/>
    <w:rsid w:val="00060286"/>
    <w:rsid w:val="0006033A"/>
    <w:rsid w:val="00060441"/>
    <w:rsid w:val="00060536"/>
    <w:rsid w:val="0006081C"/>
    <w:rsid w:val="0006087F"/>
    <w:rsid w:val="000608BD"/>
    <w:rsid w:val="00060A53"/>
    <w:rsid w:val="00060ADF"/>
    <w:rsid w:val="00060B3C"/>
    <w:rsid w:val="00060C45"/>
    <w:rsid w:val="00060C5C"/>
    <w:rsid w:val="00060DCD"/>
    <w:rsid w:val="00060E8A"/>
    <w:rsid w:val="00060EA0"/>
    <w:rsid w:val="00061311"/>
    <w:rsid w:val="00061338"/>
    <w:rsid w:val="0006142E"/>
    <w:rsid w:val="00061467"/>
    <w:rsid w:val="000617F2"/>
    <w:rsid w:val="00061935"/>
    <w:rsid w:val="0006198A"/>
    <w:rsid w:val="000619E0"/>
    <w:rsid w:val="00061A11"/>
    <w:rsid w:val="00061E61"/>
    <w:rsid w:val="00061F5E"/>
    <w:rsid w:val="00061F71"/>
    <w:rsid w:val="0006203D"/>
    <w:rsid w:val="0006208C"/>
    <w:rsid w:val="00062218"/>
    <w:rsid w:val="000622BD"/>
    <w:rsid w:val="000627EE"/>
    <w:rsid w:val="00062831"/>
    <w:rsid w:val="000629C9"/>
    <w:rsid w:val="00062B46"/>
    <w:rsid w:val="00062C2A"/>
    <w:rsid w:val="00062FD3"/>
    <w:rsid w:val="00063109"/>
    <w:rsid w:val="000631C5"/>
    <w:rsid w:val="000631E0"/>
    <w:rsid w:val="0006330B"/>
    <w:rsid w:val="00063495"/>
    <w:rsid w:val="000634B6"/>
    <w:rsid w:val="0006371C"/>
    <w:rsid w:val="0006376D"/>
    <w:rsid w:val="00063905"/>
    <w:rsid w:val="00063B11"/>
    <w:rsid w:val="00063BA8"/>
    <w:rsid w:val="00063BF0"/>
    <w:rsid w:val="00063C61"/>
    <w:rsid w:val="00063E2A"/>
    <w:rsid w:val="00063E5B"/>
    <w:rsid w:val="00064141"/>
    <w:rsid w:val="00064158"/>
    <w:rsid w:val="000641B2"/>
    <w:rsid w:val="00064242"/>
    <w:rsid w:val="0006424B"/>
    <w:rsid w:val="00064521"/>
    <w:rsid w:val="00064556"/>
    <w:rsid w:val="00064583"/>
    <w:rsid w:val="00064605"/>
    <w:rsid w:val="000647D4"/>
    <w:rsid w:val="000647D7"/>
    <w:rsid w:val="00064925"/>
    <w:rsid w:val="00064942"/>
    <w:rsid w:val="000649D6"/>
    <w:rsid w:val="00064A31"/>
    <w:rsid w:val="00064C2D"/>
    <w:rsid w:val="00064D57"/>
    <w:rsid w:val="000650B7"/>
    <w:rsid w:val="00065406"/>
    <w:rsid w:val="00065467"/>
    <w:rsid w:val="000655AD"/>
    <w:rsid w:val="0006562A"/>
    <w:rsid w:val="0006569F"/>
    <w:rsid w:val="00065781"/>
    <w:rsid w:val="00065830"/>
    <w:rsid w:val="00065AF1"/>
    <w:rsid w:val="00065B43"/>
    <w:rsid w:val="00065D19"/>
    <w:rsid w:val="00065E7F"/>
    <w:rsid w:val="00065EB5"/>
    <w:rsid w:val="00065FDB"/>
    <w:rsid w:val="0006613D"/>
    <w:rsid w:val="0006616E"/>
    <w:rsid w:val="00066181"/>
    <w:rsid w:val="00066201"/>
    <w:rsid w:val="000662E1"/>
    <w:rsid w:val="00066388"/>
    <w:rsid w:val="00066495"/>
    <w:rsid w:val="00066676"/>
    <w:rsid w:val="0006681D"/>
    <w:rsid w:val="00066937"/>
    <w:rsid w:val="00066960"/>
    <w:rsid w:val="0006699A"/>
    <w:rsid w:val="000669AF"/>
    <w:rsid w:val="00066A04"/>
    <w:rsid w:val="0006724E"/>
    <w:rsid w:val="00067319"/>
    <w:rsid w:val="00067367"/>
    <w:rsid w:val="00067442"/>
    <w:rsid w:val="000674B1"/>
    <w:rsid w:val="00067650"/>
    <w:rsid w:val="00067A38"/>
    <w:rsid w:val="00067AD1"/>
    <w:rsid w:val="00067D68"/>
    <w:rsid w:val="00067E29"/>
    <w:rsid w:val="0007012C"/>
    <w:rsid w:val="00070201"/>
    <w:rsid w:val="0007027F"/>
    <w:rsid w:val="000702AD"/>
    <w:rsid w:val="00070657"/>
    <w:rsid w:val="0007066D"/>
    <w:rsid w:val="0007084E"/>
    <w:rsid w:val="000709CA"/>
    <w:rsid w:val="000709E7"/>
    <w:rsid w:val="00070A43"/>
    <w:rsid w:val="00070C52"/>
    <w:rsid w:val="00070CB6"/>
    <w:rsid w:val="00070D6E"/>
    <w:rsid w:val="00070E66"/>
    <w:rsid w:val="00070FAF"/>
    <w:rsid w:val="00070FE6"/>
    <w:rsid w:val="00071041"/>
    <w:rsid w:val="00071121"/>
    <w:rsid w:val="000711C3"/>
    <w:rsid w:val="000711EB"/>
    <w:rsid w:val="000714B5"/>
    <w:rsid w:val="000714D2"/>
    <w:rsid w:val="00071544"/>
    <w:rsid w:val="00071867"/>
    <w:rsid w:val="00071967"/>
    <w:rsid w:val="000719B9"/>
    <w:rsid w:val="00071A0B"/>
    <w:rsid w:val="00071AC8"/>
    <w:rsid w:val="00071B05"/>
    <w:rsid w:val="00071B0B"/>
    <w:rsid w:val="00071BBA"/>
    <w:rsid w:val="00071BFB"/>
    <w:rsid w:val="00071C1E"/>
    <w:rsid w:val="00071D38"/>
    <w:rsid w:val="00071D4C"/>
    <w:rsid w:val="00071E18"/>
    <w:rsid w:val="00072120"/>
    <w:rsid w:val="00072407"/>
    <w:rsid w:val="00072494"/>
    <w:rsid w:val="000724ED"/>
    <w:rsid w:val="0007256E"/>
    <w:rsid w:val="0007257B"/>
    <w:rsid w:val="0007257E"/>
    <w:rsid w:val="000725C8"/>
    <w:rsid w:val="000726BC"/>
    <w:rsid w:val="00072786"/>
    <w:rsid w:val="000729AF"/>
    <w:rsid w:val="00072CB6"/>
    <w:rsid w:val="00072E4E"/>
    <w:rsid w:val="00072F63"/>
    <w:rsid w:val="000732EB"/>
    <w:rsid w:val="000733EE"/>
    <w:rsid w:val="00073440"/>
    <w:rsid w:val="00073552"/>
    <w:rsid w:val="000735B9"/>
    <w:rsid w:val="000736BF"/>
    <w:rsid w:val="00073744"/>
    <w:rsid w:val="0007383E"/>
    <w:rsid w:val="0007385D"/>
    <w:rsid w:val="000739E3"/>
    <w:rsid w:val="000739FD"/>
    <w:rsid w:val="00073A37"/>
    <w:rsid w:val="00073C7D"/>
    <w:rsid w:val="00073C9D"/>
    <w:rsid w:val="00073E3D"/>
    <w:rsid w:val="00073F94"/>
    <w:rsid w:val="00073FAF"/>
    <w:rsid w:val="000740A7"/>
    <w:rsid w:val="00074296"/>
    <w:rsid w:val="000746D6"/>
    <w:rsid w:val="0007491A"/>
    <w:rsid w:val="00074BBE"/>
    <w:rsid w:val="00074DB7"/>
    <w:rsid w:val="00074E10"/>
    <w:rsid w:val="00074E43"/>
    <w:rsid w:val="00074FD8"/>
    <w:rsid w:val="00075594"/>
    <w:rsid w:val="000755FB"/>
    <w:rsid w:val="000758A7"/>
    <w:rsid w:val="000759F9"/>
    <w:rsid w:val="00075A64"/>
    <w:rsid w:val="00075B27"/>
    <w:rsid w:val="00075BB0"/>
    <w:rsid w:val="00075D52"/>
    <w:rsid w:val="00075DB7"/>
    <w:rsid w:val="00075FB4"/>
    <w:rsid w:val="0007609B"/>
    <w:rsid w:val="000760AE"/>
    <w:rsid w:val="00076122"/>
    <w:rsid w:val="00076238"/>
    <w:rsid w:val="0007635A"/>
    <w:rsid w:val="000763C5"/>
    <w:rsid w:val="000763EA"/>
    <w:rsid w:val="000764DB"/>
    <w:rsid w:val="0007653F"/>
    <w:rsid w:val="00076609"/>
    <w:rsid w:val="0007667A"/>
    <w:rsid w:val="000766E0"/>
    <w:rsid w:val="00076764"/>
    <w:rsid w:val="00076767"/>
    <w:rsid w:val="000768A8"/>
    <w:rsid w:val="00076BA3"/>
    <w:rsid w:val="00076BFA"/>
    <w:rsid w:val="00076D19"/>
    <w:rsid w:val="00076DDD"/>
    <w:rsid w:val="00076FC3"/>
    <w:rsid w:val="0007700B"/>
    <w:rsid w:val="0007702B"/>
    <w:rsid w:val="00077187"/>
    <w:rsid w:val="000771DC"/>
    <w:rsid w:val="0007729B"/>
    <w:rsid w:val="000772F4"/>
    <w:rsid w:val="0007731A"/>
    <w:rsid w:val="00077728"/>
    <w:rsid w:val="00077BA1"/>
    <w:rsid w:val="00077C1E"/>
    <w:rsid w:val="00077ED4"/>
    <w:rsid w:val="0008001C"/>
    <w:rsid w:val="00080099"/>
    <w:rsid w:val="00080141"/>
    <w:rsid w:val="000801DB"/>
    <w:rsid w:val="000801EA"/>
    <w:rsid w:val="00080376"/>
    <w:rsid w:val="000803D3"/>
    <w:rsid w:val="00080514"/>
    <w:rsid w:val="000805BC"/>
    <w:rsid w:val="00080613"/>
    <w:rsid w:val="000809A6"/>
    <w:rsid w:val="00080B40"/>
    <w:rsid w:val="00080B8A"/>
    <w:rsid w:val="00080BC1"/>
    <w:rsid w:val="00080C1C"/>
    <w:rsid w:val="00080C21"/>
    <w:rsid w:val="00080CA6"/>
    <w:rsid w:val="00080CAF"/>
    <w:rsid w:val="00080DEF"/>
    <w:rsid w:val="000810DA"/>
    <w:rsid w:val="00081119"/>
    <w:rsid w:val="0008111D"/>
    <w:rsid w:val="00081176"/>
    <w:rsid w:val="000812A1"/>
    <w:rsid w:val="0008131A"/>
    <w:rsid w:val="00081366"/>
    <w:rsid w:val="00081439"/>
    <w:rsid w:val="00081603"/>
    <w:rsid w:val="00081626"/>
    <w:rsid w:val="0008182B"/>
    <w:rsid w:val="00081899"/>
    <w:rsid w:val="00081B92"/>
    <w:rsid w:val="00081B96"/>
    <w:rsid w:val="00081BCB"/>
    <w:rsid w:val="00081DCF"/>
    <w:rsid w:val="00082098"/>
    <w:rsid w:val="00082146"/>
    <w:rsid w:val="0008215E"/>
    <w:rsid w:val="000823CB"/>
    <w:rsid w:val="00082461"/>
    <w:rsid w:val="00082598"/>
    <w:rsid w:val="000826A9"/>
    <w:rsid w:val="00082AA6"/>
    <w:rsid w:val="00082AA8"/>
    <w:rsid w:val="00082B77"/>
    <w:rsid w:val="00082B8C"/>
    <w:rsid w:val="00082BCB"/>
    <w:rsid w:val="00082D28"/>
    <w:rsid w:val="00082D3E"/>
    <w:rsid w:val="00082E55"/>
    <w:rsid w:val="00082E82"/>
    <w:rsid w:val="0008307C"/>
    <w:rsid w:val="0008331D"/>
    <w:rsid w:val="0008334C"/>
    <w:rsid w:val="000835D3"/>
    <w:rsid w:val="0008387B"/>
    <w:rsid w:val="00083899"/>
    <w:rsid w:val="0008393F"/>
    <w:rsid w:val="00083A9F"/>
    <w:rsid w:val="00083D63"/>
    <w:rsid w:val="00083D8D"/>
    <w:rsid w:val="00083F34"/>
    <w:rsid w:val="00083F72"/>
    <w:rsid w:val="00083F95"/>
    <w:rsid w:val="00083FB6"/>
    <w:rsid w:val="000840DE"/>
    <w:rsid w:val="0008411F"/>
    <w:rsid w:val="000841DF"/>
    <w:rsid w:val="000843A4"/>
    <w:rsid w:val="000843D3"/>
    <w:rsid w:val="00084461"/>
    <w:rsid w:val="000846FA"/>
    <w:rsid w:val="0008473B"/>
    <w:rsid w:val="0008484B"/>
    <w:rsid w:val="000848E4"/>
    <w:rsid w:val="00084998"/>
    <w:rsid w:val="00084CD1"/>
    <w:rsid w:val="00084D15"/>
    <w:rsid w:val="00084D2F"/>
    <w:rsid w:val="00084D6E"/>
    <w:rsid w:val="0008523C"/>
    <w:rsid w:val="00085448"/>
    <w:rsid w:val="00085497"/>
    <w:rsid w:val="0008581B"/>
    <w:rsid w:val="00085861"/>
    <w:rsid w:val="000858EC"/>
    <w:rsid w:val="00085B8F"/>
    <w:rsid w:val="00085BF1"/>
    <w:rsid w:val="00085F61"/>
    <w:rsid w:val="00085FB9"/>
    <w:rsid w:val="0008601C"/>
    <w:rsid w:val="0008602C"/>
    <w:rsid w:val="00086067"/>
    <w:rsid w:val="00086165"/>
    <w:rsid w:val="000861FE"/>
    <w:rsid w:val="00086311"/>
    <w:rsid w:val="00086372"/>
    <w:rsid w:val="0008676E"/>
    <w:rsid w:val="00086B6F"/>
    <w:rsid w:val="00086CD7"/>
    <w:rsid w:val="00086D1B"/>
    <w:rsid w:val="00086FAA"/>
    <w:rsid w:val="0008712C"/>
    <w:rsid w:val="00087207"/>
    <w:rsid w:val="0008725E"/>
    <w:rsid w:val="000872E5"/>
    <w:rsid w:val="00087553"/>
    <w:rsid w:val="000876F9"/>
    <w:rsid w:val="000877D9"/>
    <w:rsid w:val="00087835"/>
    <w:rsid w:val="0008790A"/>
    <w:rsid w:val="00087B06"/>
    <w:rsid w:val="00087B80"/>
    <w:rsid w:val="00087C63"/>
    <w:rsid w:val="00087C72"/>
    <w:rsid w:val="00087D2C"/>
    <w:rsid w:val="00087ECB"/>
    <w:rsid w:val="00087F14"/>
    <w:rsid w:val="0009003B"/>
    <w:rsid w:val="00090162"/>
    <w:rsid w:val="00090309"/>
    <w:rsid w:val="00090536"/>
    <w:rsid w:val="00090598"/>
    <w:rsid w:val="000906EE"/>
    <w:rsid w:val="00090740"/>
    <w:rsid w:val="0009077A"/>
    <w:rsid w:val="0009081F"/>
    <w:rsid w:val="00090827"/>
    <w:rsid w:val="00090A96"/>
    <w:rsid w:val="00090AB8"/>
    <w:rsid w:val="00090BD2"/>
    <w:rsid w:val="00090BF8"/>
    <w:rsid w:val="00090D08"/>
    <w:rsid w:val="00090D46"/>
    <w:rsid w:val="00090F97"/>
    <w:rsid w:val="00090FA9"/>
    <w:rsid w:val="000911E0"/>
    <w:rsid w:val="00091468"/>
    <w:rsid w:val="0009151B"/>
    <w:rsid w:val="00091A19"/>
    <w:rsid w:val="00091AF1"/>
    <w:rsid w:val="00091B89"/>
    <w:rsid w:val="0009218F"/>
    <w:rsid w:val="00092233"/>
    <w:rsid w:val="00092406"/>
    <w:rsid w:val="000925C4"/>
    <w:rsid w:val="00092736"/>
    <w:rsid w:val="000928B1"/>
    <w:rsid w:val="000928D7"/>
    <w:rsid w:val="000929B7"/>
    <w:rsid w:val="00092D29"/>
    <w:rsid w:val="00092E8C"/>
    <w:rsid w:val="000932B2"/>
    <w:rsid w:val="00093344"/>
    <w:rsid w:val="00093353"/>
    <w:rsid w:val="000933F0"/>
    <w:rsid w:val="00093635"/>
    <w:rsid w:val="0009370C"/>
    <w:rsid w:val="00093762"/>
    <w:rsid w:val="000937EF"/>
    <w:rsid w:val="0009381C"/>
    <w:rsid w:val="000938B4"/>
    <w:rsid w:val="00093A53"/>
    <w:rsid w:val="00093ABB"/>
    <w:rsid w:val="00093AC2"/>
    <w:rsid w:val="00093AC3"/>
    <w:rsid w:val="00093D41"/>
    <w:rsid w:val="00093FA8"/>
    <w:rsid w:val="0009420A"/>
    <w:rsid w:val="00094383"/>
    <w:rsid w:val="000943AF"/>
    <w:rsid w:val="0009448F"/>
    <w:rsid w:val="0009452B"/>
    <w:rsid w:val="0009459B"/>
    <w:rsid w:val="000945E5"/>
    <w:rsid w:val="0009465C"/>
    <w:rsid w:val="00094722"/>
    <w:rsid w:val="000947F2"/>
    <w:rsid w:val="00094A13"/>
    <w:rsid w:val="00094A9F"/>
    <w:rsid w:val="00094C43"/>
    <w:rsid w:val="00094C7B"/>
    <w:rsid w:val="00094DE5"/>
    <w:rsid w:val="00095071"/>
    <w:rsid w:val="0009516D"/>
    <w:rsid w:val="00095171"/>
    <w:rsid w:val="000951A4"/>
    <w:rsid w:val="000951A5"/>
    <w:rsid w:val="00095301"/>
    <w:rsid w:val="00095317"/>
    <w:rsid w:val="00095334"/>
    <w:rsid w:val="000953E5"/>
    <w:rsid w:val="000953E7"/>
    <w:rsid w:val="0009560A"/>
    <w:rsid w:val="00095783"/>
    <w:rsid w:val="000958E2"/>
    <w:rsid w:val="00095A1F"/>
    <w:rsid w:val="00095B10"/>
    <w:rsid w:val="00095D7B"/>
    <w:rsid w:val="00095EAC"/>
    <w:rsid w:val="00095F07"/>
    <w:rsid w:val="00095FBA"/>
    <w:rsid w:val="00096291"/>
    <w:rsid w:val="00096298"/>
    <w:rsid w:val="0009630D"/>
    <w:rsid w:val="00096388"/>
    <w:rsid w:val="000963B6"/>
    <w:rsid w:val="000963DE"/>
    <w:rsid w:val="00096441"/>
    <w:rsid w:val="0009646C"/>
    <w:rsid w:val="0009651E"/>
    <w:rsid w:val="00096639"/>
    <w:rsid w:val="0009668F"/>
    <w:rsid w:val="000966E8"/>
    <w:rsid w:val="000967D3"/>
    <w:rsid w:val="00096919"/>
    <w:rsid w:val="000969BB"/>
    <w:rsid w:val="00096BB6"/>
    <w:rsid w:val="00096BB7"/>
    <w:rsid w:val="00096D59"/>
    <w:rsid w:val="00096DB6"/>
    <w:rsid w:val="00096DC2"/>
    <w:rsid w:val="00096DFF"/>
    <w:rsid w:val="00096E5F"/>
    <w:rsid w:val="00096EDC"/>
    <w:rsid w:val="00096FF6"/>
    <w:rsid w:val="0009716C"/>
    <w:rsid w:val="000971CA"/>
    <w:rsid w:val="00097290"/>
    <w:rsid w:val="0009747B"/>
    <w:rsid w:val="00097C33"/>
    <w:rsid w:val="00097CAC"/>
    <w:rsid w:val="00097D0E"/>
    <w:rsid w:val="00097D4B"/>
    <w:rsid w:val="00097E31"/>
    <w:rsid w:val="00097E37"/>
    <w:rsid w:val="00097F8A"/>
    <w:rsid w:val="0009F535"/>
    <w:rsid w:val="000A006A"/>
    <w:rsid w:val="000A006E"/>
    <w:rsid w:val="000A008C"/>
    <w:rsid w:val="000A00B4"/>
    <w:rsid w:val="000A01DA"/>
    <w:rsid w:val="000A01EF"/>
    <w:rsid w:val="000A05DA"/>
    <w:rsid w:val="000A0790"/>
    <w:rsid w:val="000A07D9"/>
    <w:rsid w:val="000A09C4"/>
    <w:rsid w:val="000A0BD4"/>
    <w:rsid w:val="000A0EE4"/>
    <w:rsid w:val="000A105F"/>
    <w:rsid w:val="000A12F8"/>
    <w:rsid w:val="000A1352"/>
    <w:rsid w:val="000A13A1"/>
    <w:rsid w:val="000A1428"/>
    <w:rsid w:val="000A143C"/>
    <w:rsid w:val="000A1483"/>
    <w:rsid w:val="000A1504"/>
    <w:rsid w:val="000A167B"/>
    <w:rsid w:val="000A18F0"/>
    <w:rsid w:val="000A19CA"/>
    <w:rsid w:val="000A19F5"/>
    <w:rsid w:val="000A1A2D"/>
    <w:rsid w:val="000A1B33"/>
    <w:rsid w:val="000A1B34"/>
    <w:rsid w:val="000A1BCF"/>
    <w:rsid w:val="000A1C5F"/>
    <w:rsid w:val="000A1CC6"/>
    <w:rsid w:val="000A1E4F"/>
    <w:rsid w:val="000A1ED8"/>
    <w:rsid w:val="000A1F1B"/>
    <w:rsid w:val="000A1F2C"/>
    <w:rsid w:val="000A1F87"/>
    <w:rsid w:val="000A225A"/>
    <w:rsid w:val="000A2267"/>
    <w:rsid w:val="000A236D"/>
    <w:rsid w:val="000A24A6"/>
    <w:rsid w:val="000A256A"/>
    <w:rsid w:val="000A2608"/>
    <w:rsid w:val="000A2655"/>
    <w:rsid w:val="000A27DB"/>
    <w:rsid w:val="000A28C5"/>
    <w:rsid w:val="000A2AA4"/>
    <w:rsid w:val="000A2AE5"/>
    <w:rsid w:val="000A2C4D"/>
    <w:rsid w:val="000A2C78"/>
    <w:rsid w:val="000A2D05"/>
    <w:rsid w:val="000A3120"/>
    <w:rsid w:val="000A317D"/>
    <w:rsid w:val="000A329A"/>
    <w:rsid w:val="000A3318"/>
    <w:rsid w:val="000A3376"/>
    <w:rsid w:val="000A3962"/>
    <w:rsid w:val="000A3969"/>
    <w:rsid w:val="000A3982"/>
    <w:rsid w:val="000A39E9"/>
    <w:rsid w:val="000A3D65"/>
    <w:rsid w:val="000A3D6B"/>
    <w:rsid w:val="000A3DE6"/>
    <w:rsid w:val="000A40E3"/>
    <w:rsid w:val="000A4352"/>
    <w:rsid w:val="000A43AA"/>
    <w:rsid w:val="000A43E7"/>
    <w:rsid w:val="000A444C"/>
    <w:rsid w:val="000A451C"/>
    <w:rsid w:val="000A4522"/>
    <w:rsid w:val="000A4528"/>
    <w:rsid w:val="000A4588"/>
    <w:rsid w:val="000A459E"/>
    <w:rsid w:val="000A4BFB"/>
    <w:rsid w:val="000A4F83"/>
    <w:rsid w:val="000A4FCD"/>
    <w:rsid w:val="000A55D9"/>
    <w:rsid w:val="000A560F"/>
    <w:rsid w:val="000A56D5"/>
    <w:rsid w:val="000A5956"/>
    <w:rsid w:val="000A5AD7"/>
    <w:rsid w:val="000A5C65"/>
    <w:rsid w:val="000A5D31"/>
    <w:rsid w:val="000A5DCF"/>
    <w:rsid w:val="000A5ED8"/>
    <w:rsid w:val="000A5FD8"/>
    <w:rsid w:val="000A605B"/>
    <w:rsid w:val="000A6109"/>
    <w:rsid w:val="000A61C4"/>
    <w:rsid w:val="000A61F6"/>
    <w:rsid w:val="000A6407"/>
    <w:rsid w:val="000A6623"/>
    <w:rsid w:val="000A66A1"/>
    <w:rsid w:val="000A66A5"/>
    <w:rsid w:val="000A6792"/>
    <w:rsid w:val="000A68DA"/>
    <w:rsid w:val="000A693E"/>
    <w:rsid w:val="000A6A16"/>
    <w:rsid w:val="000A6B14"/>
    <w:rsid w:val="000A6B47"/>
    <w:rsid w:val="000A6BAE"/>
    <w:rsid w:val="000A6C41"/>
    <w:rsid w:val="000A6CC5"/>
    <w:rsid w:val="000A6CF4"/>
    <w:rsid w:val="000A6E26"/>
    <w:rsid w:val="000A6E6E"/>
    <w:rsid w:val="000A6F4A"/>
    <w:rsid w:val="000A70C4"/>
    <w:rsid w:val="000A70E3"/>
    <w:rsid w:val="000A72F1"/>
    <w:rsid w:val="000A7326"/>
    <w:rsid w:val="000A751A"/>
    <w:rsid w:val="000A7887"/>
    <w:rsid w:val="000A78B0"/>
    <w:rsid w:val="000A78F5"/>
    <w:rsid w:val="000A7997"/>
    <w:rsid w:val="000A79F0"/>
    <w:rsid w:val="000A7B1A"/>
    <w:rsid w:val="000A7BCB"/>
    <w:rsid w:val="000A7CC0"/>
    <w:rsid w:val="000A7D88"/>
    <w:rsid w:val="000A7E99"/>
    <w:rsid w:val="000A7EEF"/>
    <w:rsid w:val="000A7F16"/>
    <w:rsid w:val="000A7FC9"/>
    <w:rsid w:val="000B0062"/>
    <w:rsid w:val="000B00EC"/>
    <w:rsid w:val="000B01EC"/>
    <w:rsid w:val="000B02DF"/>
    <w:rsid w:val="000B02F7"/>
    <w:rsid w:val="000B0321"/>
    <w:rsid w:val="000B0569"/>
    <w:rsid w:val="000B083C"/>
    <w:rsid w:val="000B091C"/>
    <w:rsid w:val="000B09E0"/>
    <w:rsid w:val="000B09FE"/>
    <w:rsid w:val="000B0A8A"/>
    <w:rsid w:val="000B0B89"/>
    <w:rsid w:val="000B0D9D"/>
    <w:rsid w:val="000B0E2C"/>
    <w:rsid w:val="000B0FDA"/>
    <w:rsid w:val="000B1165"/>
    <w:rsid w:val="000B13F5"/>
    <w:rsid w:val="000B14BC"/>
    <w:rsid w:val="000B15A0"/>
    <w:rsid w:val="000B16DC"/>
    <w:rsid w:val="000B16E3"/>
    <w:rsid w:val="000B1B44"/>
    <w:rsid w:val="000B1B7F"/>
    <w:rsid w:val="000B1C3C"/>
    <w:rsid w:val="000B1CF0"/>
    <w:rsid w:val="000B1DE7"/>
    <w:rsid w:val="000B1DEA"/>
    <w:rsid w:val="000B2029"/>
    <w:rsid w:val="000B208E"/>
    <w:rsid w:val="000B239D"/>
    <w:rsid w:val="000B23C6"/>
    <w:rsid w:val="000B24CD"/>
    <w:rsid w:val="000B2686"/>
    <w:rsid w:val="000B2692"/>
    <w:rsid w:val="000B2738"/>
    <w:rsid w:val="000B27F6"/>
    <w:rsid w:val="000B28DB"/>
    <w:rsid w:val="000B292D"/>
    <w:rsid w:val="000B2A48"/>
    <w:rsid w:val="000B2B52"/>
    <w:rsid w:val="000B2B8A"/>
    <w:rsid w:val="000B2D1E"/>
    <w:rsid w:val="000B2DB2"/>
    <w:rsid w:val="000B2E11"/>
    <w:rsid w:val="000B3030"/>
    <w:rsid w:val="000B3076"/>
    <w:rsid w:val="000B311D"/>
    <w:rsid w:val="000B31BC"/>
    <w:rsid w:val="000B331B"/>
    <w:rsid w:val="000B33FE"/>
    <w:rsid w:val="000B342C"/>
    <w:rsid w:val="000B3441"/>
    <w:rsid w:val="000B369A"/>
    <w:rsid w:val="000B36E8"/>
    <w:rsid w:val="000B3759"/>
    <w:rsid w:val="000B37E0"/>
    <w:rsid w:val="000B390A"/>
    <w:rsid w:val="000B39E5"/>
    <w:rsid w:val="000B3C44"/>
    <w:rsid w:val="000B3D45"/>
    <w:rsid w:val="000B3E2D"/>
    <w:rsid w:val="000B3E87"/>
    <w:rsid w:val="000B3F38"/>
    <w:rsid w:val="000B3F40"/>
    <w:rsid w:val="000B4004"/>
    <w:rsid w:val="000B423D"/>
    <w:rsid w:val="000B42BE"/>
    <w:rsid w:val="000B4355"/>
    <w:rsid w:val="000B43C0"/>
    <w:rsid w:val="000B440E"/>
    <w:rsid w:val="000B447F"/>
    <w:rsid w:val="000B44C9"/>
    <w:rsid w:val="000B44CC"/>
    <w:rsid w:val="000B49EC"/>
    <w:rsid w:val="000B4C73"/>
    <w:rsid w:val="000B4C89"/>
    <w:rsid w:val="000B4F76"/>
    <w:rsid w:val="000B4F97"/>
    <w:rsid w:val="000B535D"/>
    <w:rsid w:val="000B550E"/>
    <w:rsid w:val="000B5634"/>
    <w:rsid w:val="000B5800"/>
    <w:rsid w:val="000B5A7E"/>
    <w:rsid w:val="000B5B99"/>
    <w:rsid w:val="000B5C8F"/>
    <w:rsid w:val="000B5DE7"/>
    <w:rsid w:val="000B6029"/>
    <w:rsid w:val="000B60D8"/>
    <w:rsid w:val="000B61CD"/>
    <w:rsid w:val="000B6488"/>
    <w:rsid w:val="000B65FC"/>
    <w:rsid w:val="000B6702"/>
    <w:rsid w:val="000B6792"/>
    <w:rsid w:val="000B6C93"/>
    <w:rsid w:val="000B6D4E"/>
    <w:rsid w:val="000B6DEE"/>
    <w:rsid w:val="000B6F45"/>
    <w:rsid w:val="000B6F4F"/>
    <w:rsid w:val="000B6F77"/>
    <w:rsid w:val="000B6FE3"/>
    <w:rsid w:val="000B7250"/>
    <w:rsid w:val="000B73E1"/>
    <w:rsid w:val="000B790D"/>
    <w:rsid w:val="000B7934"/>
    <w:rsid w:val="000B7BE1"/>
    <w:rsid w:val="000B7C9A"/>
    <w:rsid w:val="000C0056"/>
    <w:rsid w:val="000C0095"/>
    <w:rsid w:val="000C00B7"/>
    <w:rsid w:val="000C00CF"/>
    <w:rsid w:val="000C0162"/>
    <w:rsid w:val="000C0209"/>
    <w:rsid w:val="000C023E"/>
    <w:rsid w:val="000C0357"/>
    <w:rsid w:val="000C0496"/>
    <w:rsid w:val="000C04E4"/>
    <w:rsid w:val="000C0629"/>
    <w:rsid w:val="000C06E4"/>
    <w:rsid w:val="000C0750"/>
    <w:rsid w:val="000C0777"/>
    <w:rsid w:val="000C095D"/>
    <w:rsid w:val="000C0BE5"/>
    <w:rsid w:val="000C0CAF"/>
    <w:rsid w:val="000C0D93"/>
    <w:rsid w:val="000C0EF4"/>
    <w:rsid w:val="000C0FB6"/>
    <w:rsid w:val="000C12A6"/>
    <w:rsid w:val="000C13F2"/>
    <w:rsid w:val="000C15D3"/>
    <w:rsid w:val="000C1628"/>
    <w:rsid w:val="000C16FD"/>
    <w:rsid w:val="000C1775"/>
    <w:rsid w:val="000C17BA"/>
    <w:rsid w:val="000C19C2"/>
    <w:rsid w:val="000C1A79"/>
    <w:rsid w:val="000C1AB1"/>
    <w:rsid w:val="000C1EA5"/>
    <w:rsid w:val="000C1F40"/>
    <w:rsid w:val="000C1FA4"/>
    <w:rsid w:val="000C2040"/>
    <w:rsid w:val="000C22DF"/>
    <w:rsid w:val="000C23A0"/>
    <w:rsid w:val="000C2493"/>
    <w:rsid w:val="000C26AA"/>
    <w:rsid w:val="000C2794"/>
    <w:rsid w:val="000C2826"/>
    <w:rsid w:val="000C2878"/>
    <w:rsid w:val="000C29F9"/>
    <w:rsid w:val="000C2A03"/>
    <w:rsid w:val="000C2B61"/>
    <w:rsid w:val="000C2B76"/>
    <w:rsid w:val="000C2CD0"/>
    <w:rsid w:val="000C2CD1"/>
    <w:rsid w:val="000C2D37"/>
    <w:rsid w:val="000C2F0E"/>
    <w:rsid w:val="000C2F31"/>
    <w:rsid w:val="000C2FD9"/>
    <w:rsid w:val="000C2FEF"/>
    <w:rsid w:val="000C307F"/>
    <w:rsid w:val="000C30FB"/>
    <w:rsid w:val="000C3132"/>
    <w:rsid w:val="000C3155"/>
    <w:rsid w:val="000C3326"/>
    <w:rsid w:val="000C34EF"/>
    <w:rsid w:val="000C35C4"/>
    <w:rsid w:val="000C35D3"/>
    <w:rsid w:val="000C370E"/>
    <w:rsid w:val="000C3885"/>
    <w:rsid w:val="000C3921"/>
    <w:rsid w:val="000C3A6C"/>
    <w:rsid w:val="000C3C8C"/>
    <w:rsid w:val="000C3F41"/>
    <w:rsid w:val="000C4020"/>
    <w:rsid w:val="000C42B9"/>
    <w:rsid w:val="000C4628"/>
    <w:rsid w:val="000C4641"/>
    <w:rsid w:val="000C4655"/>
    <w:rsid w:val="000C4973"/>
    <w:rsid w:val="000C4A41"/>
    <w:rsid w:val="000C4A77"/>
    <w:rsid w:val="000C512F"/>
    <w:rsid w:val="000C5165"/>
    <w:rsid w:val="000C527E"/>
    <w:rsid w:val="000C531B"/>
    <w:rsid w:val="000C5360"/>
    <w:rsid w:val="000C54AA"/>
    <w:rsid w:val="000C557E"/>
    <w:rsid w:val="000C560C"/>
    <w:rsid w:val="000C592E"/>
    <w:rsid w:val="000C5953"/>
    <w:rsid w:val="000C5968"/>
    <w:rsid w:val="000C5AE0"/>
    <w:rsid w:val="000C5B0C"/>
    <w:rsid w:val="000C5C03"/>
    <w:rsid w:val="000C5C4D"/>
    <w:rsid w:val="000C5DE9"/>
    <w:rsid w:val="000C624E"/>
    <w:rsid w:val="000C6329"/>
    <w:rsid w:val="000C65E6"/>
    <w:rsid w:val="000C672E"/>
    <w:rsid w:val="000C689A"/>
    <w:rsid w:val="000C694E"/>
    <w:rsid w:val="000C6AA8"/>
    <w:rsid w:val="000C6C2F"/>
    <w:rsid w:val="000C6D2E"/>
    <w:rsid w:val="000C6D3B"/>
    <w:rsid w:val="000C6E81"/>
    <w:rsid w:val="000C71B8"/>
    <w:rsid w:val="000C71E5"/>
    <w:rsid w:val="000C74B4"/>
    <w:rsid w:val="000C752C"/>
    <w:rsid w:val="000C7800"/>
    <w:rsid w:val="000C78C3"/>
    <w:rsid w:val="000C7944"/>
    <w:rsid w:val="000C79A5"/>
    <w:rsid w:val="000C7ACB"/>
    <w:rsid w:val="000C7BC2"/>
    <w:rsid w:val="000C7C9C"/>
    <w:rsid w:val="000C7E29"/>
    <w:rsid w:val="000C7F19"/>
    <w:rsid w:val="000D0027"/>
    <w:rsid w:val="000D02E6"/>
    <w:rsid w:val="000D02F1"/>
    <w:rsid w:val="000D0515"/>
    <w:rsid w:val="000D069B"/>
    <w:rsid w:val="000D071B"/>
    <w:rsid w:val="000D08F6"/>
    <w:rsid w:val="000D0902"/>
    <w:rsid w:val="000D0AD4"/>
    <w:rsid w:val="000D0B22"/>
    <w:rsid w:val="000D0BE0"/>
    <w:rsid w:val="000D0BEF"/>
    <w:rsid w:val="000D0BFE"/>
    <w:rsid w:val="000D0C23"/>
    <w:rsid w:val="000D0F88"/>
    <w:rsid w:val="000D0F8D"/>
    <w:rsid w:val="000D0FB7"/>
    <w:rsid w:val="000D1040"/>
    <w:rsid w:val="000D1251"/>
    <w:rsid w:val="000D15C7"/>
    <w:rsid w:val="000D1700"/>
    <w:rsid w:val="000D1713"/>
    <w:rsid w:val="000D18D2"/>
    <w:rsid w:val="000D18E9"/>
    <w:rsid w:val="000D18F5"/>
    <w:rsid w:val="000D1B62"/>
    <w:rsid w:val="000D1C28"/>
    <w:rsid w:val="000D1CF3"/>
    <w:rsid w:val="000D1EB1"/>
    <w:rsid w:val="000D2059"/>
    <w:rsid w:val="000D2071"/>
    <w:rsid w:val="000D2505"/>
    <w:rsid w:val="000D2513"/>
    <w:rsid w:val="000D255C"/>
    <w:rsid w:val="000D25D5"/>
    <w:rsid w:val="000D263F"/>
    <w:rsid w:val="000D287A"/>
    <w:rsid w:val="000D2A31"/>
    <w:rsid w:val="000D2A69"/>
    <w:rsid w:val="000D2BFB"/>
    <w:rsid w:val="000D2D1C"/>
    <w:rsid w:val="000D2DEF"/>
    <w:rsid w:val="000D2E01"/>
    <w:rsid w:val="000D2F84"/>
    <w:rsid w:val="000D3077"/>
    <w:rsid w:val="000D30CE"/>
    <w:rsid w:val="000D30EF"/>
    <w:rsid w:val="000D310C"/>
    <w:rsid w:val="000D327A"/>
    <w:rsid w:val="000D33F2"/>
    <w:rsid w:val="000D34BD"/>
    <w:rsid w:val="000D3647"/>
    <w:rsid w:val="000D3757"/>
    <w:rsid w:val="000D3786"/>
    <w:rsid w:val="000D38F0"/>
    <w:rsid w:val="000D3BE4"/>
    <w:rsid w:val="000D3D51"/>
    <w:rsid w:val="000D3E64"/>
    <w:rsid w:val="000D3EA8"/>
    <w:rsid w:val="000D3FFA"/>
    <w:rsid w:val="000D40BA"/>
    <w:rsid w:val="000D413B"/>
    <w:rsid w:val="000D4273"/>
    <w:rsid w:val="000D42A1"/>
    <w:rsid w:val="000D451D"/>
    <w:rsid w:val="000D4723"/>
    <w:rsid w:val="000D4739"/>
    <w:rsid w:val="000D4774"/>
    <w:rsid w:val="000D47C2"/>
    <w:rsid w:val="000D47DC"/>
    <w:rsid w:val="000D484E"/>
    <w:rsid w:val="000D4880"/>
    <w:rsid w:val="000D48FE"/>
    <w:rsid w:val="000D4BB1"/>
    <w:rsid w:val="000D4CF7"/>
    <w:rsid w:val="000D4E94"/>
    <w:rsid w:val="000D5058"/>
    <w:rsid w:val="000D5152"/>
    <w:rsid w:val="000D527C"/>
    <w:rsid w:val="000D547C"/>
    <w:rsid w:val="000D553C"/>
    <w:rsid w:val="000D55D8"/>
    <w:rsid w:val="000D571E"/>
    <w:rsid w:val="000D5878"/>
    <w:rsid w:val="000D595B"/>
    <w:rsid w:val="000D59A0"/>
    <w:rsid w:val="000D5BE2"/>
    <w:rsid w:val="000D5C83"/>
    <w:rsid w:val="000D5D64"/>
    <w:rsid w:val="000D5F83"/>
    <w:rsid w:val="000D608B"/>
    <w:rsid w:val="000D6299"/>
    <w:rsid w:val="000D6311"/>
    <w:rsid w:val="000D6397"/>
    <w:rsid w:val="000D6518"/>
    <w:rsid w:val="000D68CA"/>
    <w:rsid w:val="000D6989"/>
    <w:rsid w:val="000D6ABA"/>
    <w:rsid w:val="000D6B6E"/>
    <w:rsid w:val="000D6B86"/>
    <w:rsid w:val="000D6B91"/>
    <w:rsid w:val="000D6BED"/>
    <w:rsid w:val="000D6E69"/>
    <w:rsid w:val="000D6E81"/>
    <w:rsid w:val="000D6EAC"/>
    <w:rsid w:val="000D6EC7"/>
    <w:rsid w:val="000D6F67"/>
    <w:rsid w:val="000D700D"/>
    <w:rsid w:val="000D704B"/>
    <w:rsid w:val="000D715B"/>
    <w:rsid w:val="000D7169"/>
    <w:rsid w:val="000D7204"/>
    <w:rsid w:val="000D7354"/>
    <w:rsid w:val="000D7449"/>
    <w:rsid w:val="000D75B1"/>
    <w:rsid w:val="000D7782"/>
    <w:rsid w:val="000D790A"/>
    <w:rsid w:val="000D79BF"/>
    <w:rsid w:val="000D7A3D"/>
    <w:rsid w:val="000D7D03"/>
    <w:rsid w:val="000D7D9B"/>
    <w:rsid w:val="000D7EE2"/>
    <w:rsid w:val="000E008D"/>
    <w:rsid w:val="000E01AF"/>
    <w:rsid w:val="000E0541"/>
    <w:rsid w:val="000E0564"/>
    <w:rsid w:val="000E0923"/>
    <w:rsid w:val="000E0933"/>
    <w:rsid w:val="000E0998"/>
    <w:rsid w:val="000E0B0A"/>
    <w:rsid w:val="000E0D8E"/>
    <w:rsid w:val="000E0E5D"/>
    <w:rsid w:val="000E1107"/>
    <w:rsid w:val="000E123D"/>
    <w:rsid w:val="000E1277"/>
    <w:rsid w:val="000E1468"/>
    <w:rsid w:val="000E14D8"/>
    <w:rsid w:val="000E1637"/>
    <w:rsid w:val="000E172E"/>
    <w:rsid w:val="000E195D"/>
    <w:rsid w:val="000E19BC"/>
    <w:rsid w:val="000E1B25"/>
    <w:rsid w:val="000E1B72"/>
    <w:rsid w:val="000E1E2A"/>
    <w:rsid w:val="000E1F18"/>
    <w:rsid w:val="000E1F2E"/>
    <w:rsid w:val="000E1FDC"/>
    <w:rsid w:val="000E1FFB"/>
    <w:rsid w:val="000E2031"/>
    <w:rsid w:val="000E2051"/>
    <w:rsid w:val="000E209B"/>
    <w:rsid w:val="000E2113"/>
    <w:rsid w:val="000E21D2"/>
    <w:rsid w:val="000E22BC"/>
    <w:rsid w:val="000E22E9"/>
    <w:rsid w:val="000E2490"/>
    <w:rsid w:val="000E252C"/>
    <w:rsid w:val="000E25EB"/>
    <w:rsid w:val="000E26E3"/>
    <w:rsid w:val="000E27F8"/>
    <w:rsid w:val="000E280C"/>
    <w:rsid w:val="000E298D"/>
    <w:rsid w:val="000E2DFB"/>
    <w:rsid w:val="000E2F05"/>
    <w:rsid w:val="000E2F90"/>
    <w:rsid w:val="000E30F3"/>
    <w:rsid w:val="000E314C"/>
    <w:rsid w:val="000E3219"/>
    <w:rsid w:val="000E32CF"/>
    <w:rsid w:val="000E3599"/>
    <w:rsid w:val="000E381C"/>
    <w:rsid w:val="000E384F"/>
    <w:rsid w:val="000E3A11"/>
    <w:rsid w:val="000E3A7F"/>
    <w:rsid w:val="000E3AB1"/>
    <w:rsid w:val="000E3B32"/>
    <w:rsid w:val="000E3BCF"/>
    <w:rsid w:val="000E3C15"/>
    <w:rsid w:val="000E3D45"/>
    <w:rsid w:val="000E3D93"/>
    <w:rsid w:val="000E3DB0"/>
    <w:rsid w:val="000E402F"/>
    <w:rsid w:val="000E41B7"/>
    <w:rsid w:val="000E425D"/>
    <w:rsid w:val="000E43B8"/>
    <w:rsid w:val="000E4890"/>
    <w:rsid w:val="000E4910"/>
    <w:rsid w:val="000E4911"/>
    <w:rsid w:val="000E4992"/>
    <w:rsid w:val="000E4AC5"/>
    <w:rsid w:val="000E4BC7"/>
    <w:rsid w:val="000E4C8C"/>
    <w:rsid w:val="000E4CAD"/>
    <w:rsid w:val="000E4D3A"/>
    <w:rsid w:val="000E4D64"/>
    <w:rsid w:val="000E4F6F"/>
    <w:rsid w:val="000E50D7"/>
    <w:rsid w:val="000E50E7"/>
    <w:rsid w:val="000E5169"/>
    <w:rsid w:val="000E519D"/>
    <w:rsid w:val="000E51DF"/>
    <w:rsid w:val="000E5C3F"/>
    <w:rsid w:val="000E5DAA"/>
    <w:rsid w:val="000E5DC8"/>
    <w:rsid w:val="000E5DD0"/>
    <w:rsid w:val="000E5EA9"/>
    <w:rsid w:val="000E5EBE"/>
    <w:rsid w:val="000E60FD"/>
    <w:rsid w:val="000E6137"/>
    <w:rsid w:val="000E615C"/>
    <w:rsid w:val="000E626C"/>
    <w:rsid w:val="000E6299"/>
    <w:rsid w:val="000E63AC"/>
    <w:rsid w:val="000E6530"/>
    <w:rsid w:val="000E6605"/>
    <w:rsid w:val="000E6699"/>
    <w:rsid w:val="000E6719"/>
    <w:rsid w:val="000E677F"/>
    <w:rsid w:val="000E6A0E"/>
    <w:rsid w:val="000E6A96"/>
    <w:rsid w:val="000E6B7B"/>
    <w:rsid w:val="000E6C64"/>
    <w:rsid w:val="000E6D0A"/>
    <w:rsid w:val="000E6F46"/>
    <w:rsid w:val="000E701D"/>
    <w:rsid w:val="000E738F"/>
    <w:rsid w:val="000E7421"/>
    <w:rsid w:val="000E75D3"/>
    <w:rsid w:val="000E769D"/>
    <w:rsid w:val="000E79E5"/>
    <w:rsid w:val="000E7BB0"/>
    <w:rsid w:val="000E7C7F"/>
    <w:rsid w:val="000E7CB5"/>
    <w:rsid w:val="000E7D5C"/>
    <w:rsid w:val="000E7D61"/>
    <w:rsid w:val="000E7DC6"/>
    <w:rsid w:val="000E7E64"/>
    <w:rsid w:val="000E7E72"/>
    <w:rsid w:val="000E7F94"/>
    <w:rsid w:val="000F008D"/>
    <w:rsid w:val="000F02E9"/>
    <w:rsid w:val="000F048A"/>
    <w:rsid w:val="000F0545"/>
    <w:rsid w:val="000F0621"/>
    <w:rsid w:val="000F06C0"/>
    <w:rsid w:val="000F07B5"/>
    <w:rsid w:val="000F07FE"/>
    <w:rsid w:val="000F08A1"/>
    <w:rsid w:val="000F0999"/>
    <w:rsid w:val="000F09D8"/>
    <w:rsid w:val="000F09F4"/>
    <w:rsid w:val="000F0A0C"/>
    <w:rsid w:val="000F0AAE"/>
    <w:rsid w:val="000F0D7D"/>
    <w:rsid w:val="000F0EC1"/>
    <w:rsid w:val="000F0F1E"/>
    <w:rsid w:val="000F0FB5"/>
    <w:rsid w:val="000F0FF8"/>
    <w:rsid w:val="000F13E3"/>
    <w:rsid w:val="000F14F1"/>
    <w:rsid w:val="000F1700"/>
    <w:rsid w:val="000F1ACE"/>
    <w:rsid w:val="000F1C36"/>
    <w:rsid w:val="000F1C64"/>
    <w:rsid w:val="000F1E9E"/>
    <w:rsid w:val="000F1EAB"/>
    <w:rsid w:val="000F1EC0"/>
    <w:rsid w:val="000F1EF6"/>
    <w:rsid w:val="000F1F74"/>
    <w:rsid w:val="000F213E"/>
    <w:rsid w:val="000F2140"/>
    <w:rsid w:val="000F21C3"/>
    <w:rsid w:val="000F22F6"/>
    <w:rsid w:val="000F258A"/>
    <w:rsid w:val="000F28DF"/>
    <w:rsid w:val="000F292A"/>
    <w:rsid w:val="000F29A9"/>
    <w:rsid w:val="000F2A82"/>
    <w:rsid w:val="000F2B1B"/>
    <w:rsid w:val="000F2B71"/>
    <w:rsid w:val="000F2D41"/>
    <w:rsid w:val="000F2E75"/>
    <w:rsid w:val="000F300C"/>
    <w:rsid w:val="000F3467"/>
    <w:rsid w:val="000F3715"/>
    <w:rsid w:val="000F3723"/>
    <w:rsid w:val="000F37B4"/>
    <w:rsid w:val="000F37DD"/>
    <w:rsid w:val="000F37FD"/>
    <w:rsid w:val="000F3817"/>
    <w:rsid w:val="000F38DE"/>
    <w:rsid w:val="000F39DF"/>
    <w:rsid w:val="000F3AC9"/>
    <w:rsid w:val="000F3AF0"/>
    <w:rsid w:val="000F40AD"/>
    <w:rsid w:val="000F4121"/>
    <w:rsid w:val="000F459A"/>
    <w:rsid w:val="000F45DA"/>
    <w:rsid w:val="000F4885"/>
    <w:rsid w:val="000F490B"/>
    <w:rsid w:val="000F4983"/>
    <w:rsid w:val="000F49CD"/>
    <w:rsid w:val="000F4A2B"/>
    <w:rsid w:val="000F4BF8"/>
    <w:rsid w:val="000F4CC1"/>
    <w:rsid w:val="000F4DE8"/>
    <w:rsid w:val="000F4E39"/>
    <w:rsid w:val="000F4E7F"/>
    <w:rsid w:val="000F5092"/>
    <w:rsid w:val="000F50EE"/>
    <w:rsid w:val="000F543C"/>
    <w:rsid w:val="000F5444"/>
    <w:rsid w:val="000F5455"/>
    <w:rsid w:val="000F5459"/>
    <w:rsid w:val="000F5494"/>
    <w:rsid w:val="000F5785"/>
    <w:rsid w:val="000F5842"/>
    <w:rsid w:val="000F593A"/>
    <w:rsid w:val="000F5980"/>
    <w:rsid w:val="000F598C"/>
    <w:rsid w:val="000F5A6B"/>
    <w:rsid w:val="000F5AB0"/>
    <w:rsid w:val="000F5B07"/>
    <w:rsid w:val="000F5C0F"/>
    <w:rsid w:val="000F5C7C"/>
    <w:rsid w:val="000F5E0B"/>
    <w:rsid w:val="000F5E4D"/>
    <w:rsid w:val="000F60E6"/>
    <w:rsid w:val="000F613A"/>
    <w:rsid w:val="000F618C"/>
    <w:rsid w:val="000F64DF"/>
    <w:rsid w:val="000F650A"/>
    <w:rsid w:val="000F65E6"/>
    <w:rsid w:val="000F692A"/>
    <w:rsid w:val="000F6968"/>
    <w:rsid w:val="000F699C"/>
    <w:rsid w:val="000F69B5"/>
    <w:rsid w:val="000F6AAA"/>
    <w:rsid w:val="000F6AE3"/>
    <w:rsid w:val="000F6B05"/>
    <w:rsid w:val="000F6C1D"/>
    <w:rsid w:val="000F6C57"/>
    <w:rsid w:val="000F6F67"/>
    <w:rsid w:val="000F704C"/>
    <w:rsid w:val="000F70AE"/>
    <w:rsid w:val="000F7145"/>
    <w:rsid w:val="000F714D"/>
    <w:rsid w:val="000F7179"/>
    <w:rsid w:val="000F7203"/>
    <w:rsid w:val="000F73C2"/>
    <w:rsid w:val="000F7536"/>
    <w:rsid w:val="000F7604"/>
    <w:rsid w:val="000F7728"/>
    <w:rsid w:val="000F772B"/>
    <w:rsid w:val="000F7736"/>
    <w:rsid w:val="000F7B20"/>
    <w:rsid w:val="000F7CD5"/>
    <w:rsid w:val="000F7E62"/>
    <w:rsid w:val="000F7E8A"/>
    <w:rsid w:val="000F7F63"/>
    <w:rsid w:val="00100042"/>
    <w:rsid w:val="001000AF"/>
    <w:rsid w:val="00100174"/>
    <w:rsid w:val="001003C7"/>
    <w:rsid w:val="00100476"/>
    <w:rsid w:val="001004BB"/>
    <w:rsid w:val="001004D4"/>
    <w:rsid w:val="0010050F"/>
    <w:rsid w:val="0010065F"/>
    <w:rsid w:val="001006F5"/>
    <w:rsid w:val="00100763"/>
    <w:rsid w:val="00100A87"/>
    <w:rsid w:val="00100C22"/>
    <w:rsid w:val="00100CAB"/>
    <w:rsid w:val="00100D83"/>
    <w:rsid w:val="00100EDD"/>
    <w:rsid w:val="00100FF9"/>
    <w:rsid w:val="0010109E"/>
    <w:rsid w:val="0010126D"/>
    <w:rsid w:val="0010144E"/>
    <w:rsid w:val="001014D6"/>
    <w:rsid w:val="001015FB"/>
    <w:rsid w:val="0010169C"/>
    <w:rsid w:val="001016C3"/>
    <w:rsid w:val="001016F0"/>
    <w:rsid w:val="001017D5"/>
    <w:rsid w:val="001017E9"/>
    <w:rsid w:val="001019A3"/>
    <w:rsid w:val="00101B19"/>
    <w:rsid w:val="00101BBE"/>
    <w:rsid w:val="00101C4C"/>
    <w:rsid w:val="00101F28"/>
    <w:rsid w:val="00102070"/>
    <w:rsid w:val="001020F6"/>
    <w:rsid w:val="00102389"/>
    <w:rsid w:val="0010253B"/>
    <w:rsid w:val="00102546"/>
    <w:rsid w:val="00102555"/>
    <w:rsid w:val="001025CD"/>
    <w:rsid w:val="001025FE"/>
    <w:rsid w:val="001026C2"/>
    <w:rsid w:val="00102733"/>
    <w:rsid w:val="001027CC"/>
    <w:rsid w:val="00102928"/>
    <w:rsid w:val="001029BC"/>
    <w:rsid w:val="00102B1C"/>
    <w:rsid w:val="00102C55"/>
    <w:rsid w:val="00102E10"/>
    <w:rsid w:val="0010307D"/>
    <w:rsid w:val="00103084"/>
    <w:rsid w:val="0010310D"/>
    <w:rsid w:val="00103187"/>
    <w:rsid w:val="001032FF"/>
    <w:rsid w:val="00103350"/>
    <w:rsid w:val="001034CA"/>
    <w:rsid w:val="00103602"/>
    <w:rsid w:val="001036CE"/>
    <w:rsid w:val="001036E6"/>
    <w:rsid w:val="00103905"/>
    <w:rsid w:val="00103B42"/>
    <w:rsid w:val="00103BEA"/>
    <w:rsid w:val="00103C17"/>
    <w:rsid w:val="00103C41"/>
    <w:rsid w:val="00103D3E"/>
    <w:rsid w:val="00103DD5"/>
    <w:rsid w:val="00103F52"/>
    <w:rsid w:val="0010402E"/>
    <w:rsid w:val="00104460"/>
    <w:rsid w:val="0010449A"/>
    <w:rsid w:val="00104556"/>
    <w:rsid w:val="00104900"/>
    <w:rsid w:val="00104B29"/>
    <w:rsid w:val="00104D9D"/>
    <w:rsid w:val="00104DF7"/>
    <w:rsid w:val="00104E21"/>
    <w:rsid w:val="00104E53"/>
    <w:rsid w:val="00104EE9"/>
    <w:rsid w:val="00104F7E"/>
    <w:rsid w:val="00105268"/>
    <w:rsid w:val="001053B8"/>
    <w:rsid w:val="0010555F"/>
    <w:rsid w:val="001055C5"/>
    <w:rsid w:val="001055F6"/>
    <w:rsid w:val="001057E7"/>
    <w:rsid w:val="0010580D"/>
    <w:rsid w:val="00105B09"/>
    <w:rsid w:val="00105B59"/>
    <w:rsid w:val="00105C9F"/>
    <w:rsid w:val="00105CAC"/>
    <w:rsid w:val="00105CCE"/>
    <w:rsid w:val="00105CEE"/>
    <w:rsid w:val="00105FC0"/>
    <w:rsid w:val="00106034"/>
    <w:rsid w:val="0010616D"/>
    <w:rsid w:val="001061FA"/>
    <w:rsid w:val="001063E1"/>
    <w:rsid w:val="00106513"/>
    <w:rsid w:val="00106542"/>
    <w:rsid w:val="001065E4"/>
    <w:rsid w:val="001068D8"/>
    <w:rsid w:val="001069AC"/>
    <w:rsid w:val="001069BC"/>
    <w:rsid w:val="00106BD4"/>
    <w:rsid w:val="00106D06"/>
    <w:rsid w:val="00106D62"/>
    <w:rsid w:val="00106D8D"/>
    <w:rsid w:val="00106E7E"/>
    <w:rsid w:val="00106ED2"/>
    <w:rsid w:val="00106F9A"/>
    <w:rsid w:val="00107008"/>
    <w:rsid w:val="00107096"/>
    <w:rsid w:val="001070AE"/>
    <w:rsid w:val="0010710A"/>
    <w:rsid w:val="001072EB"/>
    <w:rsid w:val="00107384"/>
    <w:rsid w:val="00107443"/>
    <w:rsid w:val="0010745D"/>
    <w:rsid w:val="0010747B"/>
    <w:rsid w:val="00107593"/>
    <w:rsid w:val="001077AB"/>
    <w:rsid w:val="0010789C"/>
    <w:rsid w:val="001078AF"/>
    <w:rsid w:val="00107990"/>
    <w:rsid w:val="00107ACC"/>
    <w:rsid w:val="00107EAE"/>
    <w:rsid w:val="00110270"/>
    <w:rsid w:val="0011040B"/>
    <w:rsid w:val="001104BA"/>
    <w:rsid w:val="0011059C"/>
    <w:rsid w:val="001106E1"/>
    <w:rsid w:val="00110701"/>
    <w:rsid w:val="0011081C"/>
    <w:rsid w:val="00110876"/>
    <w:rsid w:val="0011087A"/>
    <w:rsid w:val="001108CA"/>
    <w:rsid w:val="001108D3"/>
    <w:rsid w:val="001108F3"/>
    <w:rsid w:val="00110939"/>
    <w:rsid w:val="00110A4E"/>
    <w:rsid w:val="00110BFF"/>
    <w:rsid w:val="00110CD5"/>
    <w:rsid w:val="00110E4E"/>
    <w:rsid w:val="00110F91"/>
    <w:rsid w:val="00111118"/>
    <w:rsid w:val="00111244"/>
    <w:rsid w:val="0011137B"/>
    <w:rsid w:val="0011155F"/>
    <w:rsid w:val="001115EC"/>
    <w:rsid w:val="001117B7"/>
    <w:rsid w:val="0011193D"/>
    <w:rsid w:val="00111AB8"/>
    <w:rsid w:val="00111CF0"/>
    <w:rsid w:val="00111DCA"/>
    <w:rsid w:val="00111F3B"/>
    <w:rsid w:val="00111FDC"/>
    <w:rsid w:val="001123C5"/>
    <w:rsid w:val="001123C8"/>
    <w:rsid w:val="001125F3"/>
    <w:rsid w:val="00112608"/>
    <w:rsid w:val="00112753"/>
    <w:rsid w:val="00112859"/>
    <w:rsid w:val="00112A46"/>
    <w:rsid w:val="00112D03"/>
    <w:rsid w:val="00113189"/>
    <w:rsid w:val="001131B4"/>
    <w:rsid w:val="001133C3"/>
    <w:rsid w:val="00113614"/>
    <w:rsid w:val="001136E1"/>
    <w:rsid w:val="00113795"/>
    <w:rsid w:val="001139FC"/>
    <w:rsid w:val="00113B97"/>
    <w:rsid w:val="00113CB8"/>
    <w:rsid w:val="00113D33"/>
    <w:rsid w:val="0011410B"/>
    <w:rsid w:val="001141B3"/>
    <w:rsid w:val="00114420"/>
    <w:rsid w:val="00114493"/>
    <w:rsid w:val="001145BB"/>
    <w:rsid w:val="001147B2"/>
    <w:rsid w:val="00114894"/>
    <w:rsid w:val="001148C1"/>
    <w:rsid w:val="00114B67"/>
    <w:rsid w:val="00114B70"/>
    <w:rsid w:val="00114CDD"/>
    <w:rsid w:val="00114D35"/>
    <w:rsid w:val="00114FE1"/>
    <w:rsid w:val="00115190"/>
    <w:rsid w:val="00115219"/>
    <w:rsid w:val="0011525F"/>
    <w:rsid w:val="001152A8"/>
    <w:rsid w:val="00115467"/>
    <w:rsid w:val="001154EC"/>
    <w:rsid w:val="00115700"/>
    <w:rsid w:val="001158F4"/>
    <w:rsid w:val="00115ABB"/>
    <w:rsid w:val="00115B4D"/>
    <w:rsid w:val="00115C1E"/>
    <w:rsid w:val="00115D0D"/>
    <w:rsid w:val="00115D0F"/>
    <w:rsid w:val="00115E2F"/>
    <w:rsid w:val="00115EAA"/>
    <w:rsid w:val="00116025"/>
    <w:rsid w:val="00116051"/>
    <w:rsid w:val="001160DC"/>
    <w:rsid w:val="00116223"/>
    <w:rsid w:val="001162C2"/>
    <w:rsid w:val="001163AF"/>
    <w:rsid w:val="001165D4"/>
    <w:rsid w:val="001167D4"/>
    <w:rsid w:val="001168D8"/>
    <w:rsid w:val="00116993"/>
    <w:rsid w:val="001169E8"/>
    <w:rsid w:val="00116A28"/>
    <w:rsid w:val="00116AC5"/>
    <w:rsid w:val="00116AD9"/>
    <w:rsid w:val="00116C01"/>
    <w:rsid w:val="00116D44"/>
    <w:rsid w:val="00116F64"/>
    <w:rsid w:val="0011700E"/>
    <w:rsid w:val="001170E5"/>
    <w:rsid w:val="00117159"/>
    <w:rsid w:val="0011717D"/>
    <w:rsid w:val="00117315"/>
    <w:rsid w:val="001173DD"/>
    <w:rsid w:val="0011752E"/>
    <w:rsid w:val="00117575"/>
    <w:rsid w:val="00117585"/>
    <w:rsid w:val="0011759D"/>
    <w:rsid w:val="001176C5"/>
    <w:rsid w:val="0011778B"/>
    <w:rsid w:val="001178CE"/>
    <w:rsid w:val="00117944"/>
    <w:rsid w:val="00117AED"/>
    <w:rsid w:val="00117BD2"/>
    <w:rsid w:val="00117C21"/>
    <w:rsid w:val="00117D16"/>
    <w:rsid w:val="00117D37"/>
    <w:rsid w:val="00117E7F"/>
    <w:rsid w:val="00117ECF"/>
    <w:rsid w:val="001200E5"/>
    <w:rsid w:val="001201A8"/>
    <w:rsid w:val="001201CB"/>
    <w:rsid w:val="00120235"/>
    <w:rsid w:val="00120364"/>
    <w:rsid w:val="001203FB"/>
    <w:rsid w:val="00120439"/>
    <w:rsid w:val="0012063A"/>
    <w:rsid w:val="00120700"/>
    <w:rsid w:val="00120A95"/>
    <w:rsid w:val="00120AA9"/>
    <w:rsid w:val="00120BBA"/>
    <w:rsid w:val="00120BBD"/>
    <w:rsid w:val="00120C5C"/>
    <w:rsid w:val="00120C92"/>
    <w:rsid w:val="00120D4B"/>
    <w:rsid w:val="00120E36"/>
    <w:rsid w:val="00120EAC"/>
    <w:rsid w:val="00121320"/>
    <w:rsid w:val="00121375"/>
    <w:rsid w:val="001213DA"/>
    <w:rsid w:val="00121518"/>
    <w:rsid w:val="00121564"/>
    <w:rsid w:val="00121735"/>
    <w:rsid w:val="00121750"/>
    <w:rsid w:val="001217FE"/>
    <w:rsid w:val="00121A03"/>
    <w:rsid w:val="00121A27"/>
    <w:rsid w:val="00121A7C"/>
    <w:rsid w:val="00121B3B"/>
    <w:rsid w:val="00121B4D"/>
    <w:rsid w:val="00121CC5"/>
    <w:rsid w:val="00121CCB"/>
    <w:rsid w:val="00121D0D"/>
    <w:rsid w:val="001220B9"/>
    <w:rsid w:val="0012220D"/>
    <w:rsid w:val="00122286"/>
    <w:rsid w:val="00122363"/>
    <w:rsid w:val="00122401"/>
    <w:rsid w:val="001225E5"/>
    <w:rsid w:val="0012263F"/>
    <w:rsid w:val="001226C2"/>
    <w:rsid w:val="001229F0"/>
    <w:rsid w:val="00122C18"/>
    <w:rsid w:val="00122D01"/>
    <w:rsid w:val="00122D86"/>
    <w:rsid w:val="00122FE2"/>
    <w:rsid w:val="001230CC"/>
    <w:rsid w:val="001230F2"/>
    <w:rsid w:val="00123112"/>
    <w:rsid w:val="00123128"/>
    <w:rsid w:val="00123272"/>
    <w:rsid w:val="00123345"/>
    <w:rsid w:val="0012339A"/>
    <w:rsid w:val="001233DA"/>
    <w:rsid w:val="00123441"/>
    <w:rsid w:val="001234FA"/>
    <w:rsid w:val="001235BB"/>
    <w:rsid w:val="0012376F"/>
    <w:rsid w:val="001237B5"/>
    <w:rsid w:val="00123820"/>
    <w:rsid w:val="00123830"/>
    <w:rsid w:val="00123879"/>
    <w:rsid w:val="0012388A"/>
    <w:rsid w:val="00123A82"/>
    <w:rsid w:val="00123B52"/>
    <w:rsid w:val="00123C63"/>
    <w:rsid w:val="00123CA2"/>
    <w:rsid w:val="00123D72"/>
    <w:rsid w:val="00123EA8"/>
    <w:rsid w:val="00123EB0"/>
    <w:rsid w:val="001245A7"/>
    <w:rsid w:val="001248B3"/>
    <w:rsid w:val="001248FB"/>
    <w:rsid w:val="00124D6A"/>
    <w:rsid w:val="00125015"/>
    <w:rsid w:val="0012512A"/>
    <w:rsid w:val="001251BD"/>
    <w:rsid w:val="00125290"/>
    <w:rsid w:val="0012531D"/>
    <w:rsid w:val="001253C5"/>
    <w:rsid w:val="001255A3"/>
    <w:rsid w:val="001255CA"/>
    <w:rsid w:val="0012561D"/>
    <w:rsid w:val="00125694"/>
    <w:rsid w:val="00125865"/>
    <w:rsid w:val="00125995"/>
    <w:rsid w:val="001259FF"/>
    <w:rsid w:val="00125A4D"/>
    <w:rsid w:val="00125A99"/>
    <w:rsid w:val="00125ACE"/>
    <w:rsid w:val="00125B14"/>
    <w:rsid w:val="00125DA4"/>
    <w:rsid w:val="00125F70"/>
    <w:rsid w:val="00125FBC"/>
    <w:rsid w:val="0012602E"/>
    <w:rsid w:val="001261CC"/>
    <w:rsid w:val="001262ED"/>
    <w:rsid w:val="001263C5"/>
    <w:rsid w:val="00126483"/>
    <w:rsid w:val="00126521"/>
    <w:rsid w:val="001265B6"/>
    <w:rsid w:val="00126705"/>
    <w:rsid w:val="0012674E"/>
    <w:rsid w:val="00126750"/>
    <w:rsid w:val="00126824"/>
    <w:rsid w:val="0012693C"/>
    <w:rsid w:val="00126A7F"/>
    <w:rsid w:val="00126BC7"/>
    <w:rsid w:val="00126BEE"/>
    <w:rsid w:val="00126CD8"/>
    <w:rsid w:val="00126DCD"/>
    <w:rsid w:val="00126FA5"/>
    <w:rsid w:val="00126FD7"/>
    <w:rsid w:val="00127311"/>
    <w:rsid w:val="001273F5"/>
    <w:rsid w:val="00127608"/>
    <w:rsid w:val="001276CE"/>
    <w:rsid w:val="001276E6"/>
    <w:rsid w:val="0012772F"/>
    <w:rsid w:val="00127871"/>
    <w:rsid w:val="00127A0F"/>
    <w:rsid w:val="00127AB7"/>
    <w:rsid w:val="00127B39"/>
    <w:rsid w:val="00127B8C"/>
    <w:rsid w:val="00127D26"/>
    <w:rsid w:val="00127E14"/>
    <w:rsid w:val="00127EBA"/>
    <w:rsid w:val="001301E7"/>
    <w:rsid w:val="00130403"/>
    <w:rsid w:val="0013070F"/>
    <w:rsid w:val="00130784"/>
    <w:rsid w:val="00130825"/>
    <w:rsid w:val="0013085A"/>
    <w:rsid w:val="001308CE"/>
    <w:rsid w:val="00130951"/>
    <w:rsid w:val="00130959"/>
    <w:rsid w:val="0013095A"/>
    <w:rsid w:val="00130ABB"/>
    <w:rsid w:val="00130EAF"/>
    <w:rsid w:val="00130F77"/>
    <w:rsid w:val="00131111"/>
    <w:rsid w:val="001312BF"/>
    <w:rsid w:val="001312FB"/>
    <w:rsid w:val="001313E6"/>
    <w:rsid w:val="0013150F"/>
    <w:rsid w:val="0013160C"/>
    <w:rsid w:val="00131665"/>
    <w:rsid w:val="001316C7"/>
    <w:rsid w:val="0013181E"/>
    <w:rsid w:val="00131843"/>
    <w:rsid w:val="00131A5F"/>
    <w:rsid w:val="00131BCE"/>
    <w:rsid w:val="00131BD5"/>
    <w:rsid w:val="00131C9D"/>
    <w:rsid w:val="00131E5A"/>
    <w:rsid w:val="00131EAC"/>
    <w:rsid w:val="001320CD"/>
    <w:rsid w:val="00132185"/>
    <w:rsid w:val="001321B3"/>
    <w:rsid w:val="0013237E"/>
    <w:rsid w:val="001323FE"/>
    <w:rsid w:val="001326C4"/>
    <w:rsid w:val="0013273B"/>
    <w:rsid w:val="001329D5"/>
    <w:rsid w:val="00132A65"/>
    <w:rsid w:val="00132AE1"/>
    <w:rsid w:val="00132B3F"/>
    <w:rsid w:val="00132D31"/>
    <w:rsid w:val="00132FA1"/>
    <w:rsid w:val="00132FAF"/>
    <w:rsid w:val="00133078"/>
    <w:rsid w:val="001331C8"/>
    <w:rsid w:val="0013320C"/>
    <w:rsid w:val="00133272"/>
    <w:rsid w:val="0013330C"/>
    <w:rsid w:val="00133311"/>
    <w:rsid w:val="001333A4"/>
    <w:rsid w:val="0013353D"/>
    <w:rsid w:val="001335C0"/>
    <w:rsid w:val="001335D2"/>
    <w:rsid w:val="0013385A"/>
    <w:rsid w:val="00133C25"/>
    <w:rsid w:val="00133CB9"/>
    <w:rsid w:val="00133DFA"/>
    <w:rsid w:val="00133EDB"/>
    <w:rsid w:val="00133F62"/>
    <w:rsid w:val="0013408B"/>
    <w:rsid w:val="00134103"/>
    <w:rsid w:val="00134171"/>
    <w:rsid w:val="00134218"/>
    <w:rsid w:val="0013423E"/>
    <w:rsid w:val="001346F4"/>
    <w:rsid w:val="001347D0"/>
    <w:rsid w:val="00134A14"/>
    <w:rsid w:val="00134A7F"/>
    <w:rsid w:val="00134C96"/>
    <w:rsid w:val="00134CA8"/>
    <w:rsid w:val="00134D5E"/>
    <w:rsid w:val="00134D62"/>
    <w:rsid w:val="0013505A"/>
    <w:rsid w:val="001350A3"/>
    <w:rsid w:val="001350E8"/>
    <w:rsid w:val="00135539"/>
    <w:rsid w:val="00135669"/>
    <w:rsid w:val="0013570A"/>
    <w:rsid w:val="0013572A"/>
    <w:rsid w:val="001359B6"/>
    <w:rsid w:val="00135AD9"/>
    <w:rsid w:val="00135C39"/>
    <w:rsid w:val="00135E1F"/>
    <w:rsid w:val="00135E66"/>
    <w:rsid w:val="00135F81"/>
    <w:rsid w:val="00135F9B"/>
    <w:rsid w:val="00136038"/>
    <w:rsid w:val="0013632E"/>
    <w:rsid w:val="00136368"/>
    <w:rsid w:val="00136452"/>
    <w:rsid w:val="001365FF"/>
    <w:rsid w:val="00136641"/>
    <w:rsid w:val="00136688"/>
    <w:rsid w:val="00136717"/>
    <w:rsid w:val="00136967"/>
    <w:rsid w:val="00136A2F"/>
    <w:rsid w:val="00136A64"/>
    <w:rsid w:val="00136BBE"/>
    <w:rsid w:val="00136BC0"/>
    <w:rsid w:val="00136CE4"/>
    <w:rsid w:val="00136E5F"/>
    <w:rsid w:val="00136F02"/>
    <w:rsid w:val="00137054"/>
    <w:rsid w:val="00137159"/>
    <w:rsid w:val="00137339"/>
    <w:rsid w:val="00137349"/>
    <w:rsid w:val="001373BE"/>
    <w:rsid w:val="001375C6"/>
    <w:rsid w:val="00137614"/>
    <w:rsid w:val="0013791B"/>
    <w:rsid w:val="00137A75"/>
    <w:rsid w:val="00137DD4"/>
    <w:rsid w:val="00137E14"/>
    <w:rsid w:val="0014004D"/>
    <w:rsid w:val="00140141"/>
    <w:rsid w:val="00140154"/>
    <w:rsid w:val="0014015A"/>
    <w:rsid w:val="0014016B"/>
    <w:rsid w:val="001402B1"/>
    <w:rsid w:val="00140331"/>
    <w:rsid w:val="001403DE"/>
    <w:rsid w:val="0014061F"/>
    <w:rsid w:val="001407A5"/>
    <w:rsid w:val="001408B0"/>
    <w:rsid w:val="00140974"/>
    <w:rsid w:val="001409A0"/>
    <w:rsid w:val="001409A2"/>
    <w:rsid w:val="00140A9E"/>
    <w:rsid w:val="00140AA2"/>
    <w:rsid w:val="00140B5E"/>
    <w:rsid w:val="00140C1C"/>
    <w:rsid w:val="00140C39"/>
    <w:rsid w:val="00140CAF"/>
    <w:rsid w:val="00140D21"/>
    <w:rsid w:val="00140DFB"/>
    <w:rsid w:val="00140E20"/>
    <w:rsid w:val="00140F42"/>
    <w:rsid w:val="00140F43"/>
    <w:rsid w:val="001410A6"/>
    <w:rsid w:val="00141195"/>
    <w:rsid w:val="0014128F"/>
    <w:rsid w:val="0014136B"/>
    <w:rsid w:val="001413B3"/>
    <w:rsid w:val="00141516"/>
    <w:rsid w:val="0014170B"/>
    <w:rsid w:val="00141C04"/>
    <w:rsid w:val="00141C65"/>
    <w:rsid w:val="00141CBF"/>
    <w:rsid w:val="00141CE3"/>
    <w:rsid w:val="00141DC5"/>
    <w:rsid w:val="00141E87"/>
    <w:rsid w:val="00142075"/>
    <w:rsid w:val="001421DA"/>
    <w:rsid w:val="001421E9"/>
    <w:rsid w:val="00142327"/>
    <w:rsid w:val="0014235D"/>
    <w:rsid w:val="0014248D"/>
    <w:rsid w:val="001424C9"/>
    <w:rsid w:val="0014259E"/>
    <w:rsid w:val="00142609"/>
    <w:rsid w:val="0014262D"/>
    <w:rsid w:val="00142718"/>
    <w:rsid w:val="001427D7"/>
    <w:rsid w:val="00142814"/>
    <w:rsid w:val="00142DCB"/>
    <w:rsid w:val="00142E2C"/>
    <w:rsid w:val="00142EFF"/>
    <w:rsid w:val="00142F36"/>
    <w:rsid w:val="00143018"/>
    <w:rsid w:val="00143067"/>
    <w:rsid w:val="001431D5"/>
    <w:rsid w:val="001431DE"/>
    <w:rsid w:val="001434A8"/>
    <w:rsid w:val="00143913"/>
    <w:rsid w:val="00143A5D"/>
    <w:rsid w:val="00143AC2"/>
    <w:rsid w:val="00143B4F"/>
    <w:rsid w:val="00143B99"/>
    <w:rsid w:val="00143C7E"/>
    <w:rsid w:val="00143D1D"/>
    <w:rsid w:val="00143E37"/>
    <w:rsid w:val="00143EE1"/>
    <w:rsid w:val="00143F8F"/>
    <w:rsid w:val="00144033"/>
    <w:rsid w:val="00144180"/>
    <w:rsid w:val="001441CF"/>
    <w:rsid w:val="00144559"/>
    <w:rsid w:val="0014466B"/>
    <w:rsid w:val="00144678"/>
    <w:rsid w:val="0014473D"/>
    <w:rsid w:val="0014475D"/>
    <w:rsid w:val="00144BF9"/>
    <w:rsid w:val="00144CAF"/>
    <w:rsid w:val="00144D29"/>
    <w:rsid w:val="00144D2A"/>
    <w:rsid w:val="00144E05"/>
    <w:rsid w:val="00144EFE"/>
    <w:rsid w:val="00144F05"/>
    <w:rsid w:val="00144FEE"/>
    <w:rsid w:val="001450CF"/>
    <w:rsid w:val="00145133"/>
    <w:rsid w:val="0014514D"/>
    <w:rsid w:val="00145251"/>
    <w:rsid w:val="001452F2"/>
    <w:rsid w:val="00145448"/>
    <w:rsid w:val="001454BB"/>
    <w:rsid w:val="001454BC"/>
    <w:rsid w:val="0014563D"/>
    <w:rsid w:val="00145683"/>
    <w:rsid w:val="00145721"/>
    <w:rsid w:val="001458CA"/>
    <w:rsid w:val="00145933"/>
    <w:rsid w:val="00145B57"/>
    <w:rsid w:val="00145B9F"/>
    <w:rsid w:val="00145C29"/>
    <w:rsid w:val="00145E27"/>
    <w:rsid w:val="00145E57"/>
    <w:rsid w:val="00145F81"/>
    <w:rsid w:val="00146095"/>
    <w:rsid w:val="0014626B"/>
    <w:rsid w:val="001462A0"/>
    <w:rsid w:val="001462CC"/>
    <w:rsid w:val="00146568"/>
    <w:rsid w:val="00146629"/>
    <w:rsid w:val="0014673A"/>
    <w:rsid w:val="001468E1"/>
    <w:rsid w:val="00146960"/>
    <w:rsid w:val="00146A0C"/>
    <w:rsid w:val="00146A0E"/>
    <w:rsid w:val="00146A56"/>
    <w:rsid w:val="00146B5B"/>
    <w:rsid w:val="00146B93"/>
    <w:rsid w:val="00146BF6"/>
    <w:rsid w:val="00146C75"/>
    <w:rsid w:val="00146C8B"/>
    <w:rsid w:val="00146D3C"/>
    <w:rsid w:val="00146E5D"/>
    <w:rsid w:val="00146EF9"/>
    <w:rsid w:val="00146F1A"/>
    <w:rsid w:val="001470B5"/>
    <w:rsid w:val="00147279"/>
    <w:rsid w:val="001472E7"/>
    <w:rsid w:val="00147415"/>
    <w:rsid w:val="001474CE"/>
    <w:rsid w:val="001475A3"/>
    <w:rsid w:val="00147631"/>
    <w:rsid w:val="00147666"/>
    <w:rsid w:val="001476CD"/>
    <w:rsid w:val="0014783F"/>
    <w:rsid w:val="0014785F"/>
    <w:rsid w:val="001478EB"/>
    <w:rsid w:val="00147CBA"/>
    <w:rsid w:val="00147CF6"/>
    <w:rsid w:val="00147D7C"/>
    <w:rsid w:val="00147E84"/>
    <w:rsid w:val="0015000F"/>
    <w:rsid w:val="00150017"/>
    <w:rsid w:val="0015006A"/>
    <w:rsid w:val="00150132"/>
    <w:rsid w:val="0015031F"/>
    <w:rsid w:val="00150546"/>
    <w:rsid w:val="001505D2"/>
    <w:rsid w:val="001507C7"/>
    <w:rsid w:val="001508B4"/>
    <w:rsid w:val="001508F6"/>
    <w:rsid w:val="00150950"/>
    <w:rsid w:val="001509B1"/>
    <w:rsid w:val="00150A7F"/>
    <w:rsid w:val="00150A96"/>
    <w:rsid w:val="00150AB5"/>
    <w:rsid w:val="00150B34"/>
    <w:rsid w:val="00150D28"/>
    <w:rsid w:val="00150E50"/>
    <w:rsid w:val="00150E96"/>
    <w:rsid w:val="00150F90"/>
    <w:rsid w:val="00150FDD"/>
    <w:rsid w:val="0015116C"/>
    <w:rsid w:val="00151306"/>
    <w:rsid w:val="00151414"/>
    <w:rsid w:val="0015141B"/>
    <w:rsid w:val="001514F6"/>
    <w:rsid w:val="00151514"/>
    <w:rsid w:val="0015164C"/>
    <w:rsid w:val="0015167F"/>
    <w:rsid w:val="00151791"/>
    <w:rsid w:val="001518B1"/>
    <w:rsid w:val="001519ED"/>
    <w:rsid w:val="00151D14"/>
    <w:rsid w:val="00151D78"/>
    <w:rsid w:val="00151DCF"/>
    <w:rsid w:val="00151E23"/>
    <w:rsid w:val="00152084"/>
    <w:rsid w:val="00152226"/>
    <w:rsid w:val="001522E6"/>
    <w:rsid w:val="00152341"/>
    <w:rsid w:val="00152384"/>
    <w:rsid w:val="001524F0"/>
    <w:rsid w:val="001528A1"/>
    <w:rsid w:val="00152930"/>
    <w:rsid w:val="001529DA"/>
    <w:rsid w:val="00152C9F"/>
    <w:rsid w:val="00152CC3"/>
    <w:rsid w:val="00152CD0"/>
    <w:rsid w:val="00152DDD"/>
    <w:rsid w:val="00152E49"/>
    <w:rsid w:val="00152FAA"/>
    <w:rsid w:val="00153106"/>
    <w:rsid w:val="0015319E"/>
    <w:rsid w:val="001531CA"/>
    <w:rsid w:val="00153293"/>
    <w:rsid w:val="001536A8"/>
    <w:rsid w:val="001536C6"/>
    <w:rsid w:val="001537BF"/>
    <w:rsid w:val="001539A7"/>
    <w:rsid w:val="00153BD9"/>
    <w:rsid w:val="00153C00"/>
    <w:rsid w:val="00153C64"/>
    <w:rsid w:val="00153CF4"/>
    <w:rsid w:val="00153D9B"/>
    <w:rsid w:val="00153DD2"/>
    <w:rsid w:val="00153DED"/>
    <w:rsid w:val="00153E1B"/>
    <w:rsid w:val="00153E31"/>
    <w:rsid w:val="00153FA1"/>
    <w:rsid w:val="0015405F"/>
    <w:rsid w:val="001540C2"/>
    <w:rsid w:val="001540DF"/>
    <w:rsid w:val="001541C1"/>
    <w:rsid w:val="001541ED"/>
    <w:rsid w:val="001542B5"/>
    <w:rsid w:val="001546EC"/>
    <w:rsid w:val="001547A9"/>
    <w:rsid w:val="00154959"/>
    <w:rsid w:val="00154970"/>
    <w:rsid w:val="001549D8"/>
    <w:rsid w:val="00154ADC"/>
    <w:rsid w:val="00154CCB"/>
    <w:rsid w:val="00154E02"/>
    <w:rsid w:val="00154E4C"/>
    <w:rsid w:val="00154ED5"/>
    <w:rsid w:val="00155066"/>
    <w:rsid w:val="001550D3"/>
    <w:rsid w:val="001552AB"/>
    <w:rsid w:val="001552BE"/>
    <w:rsid w:val="0015535E"/>
    <w:rsid w:val="001553AB"/>
    <w:rsid w:val="001554FB"/>
    <w:rsid w:val="001558AF"/>
    <w:rsid w:val="00155965"/>
    <w:rsid w:val="00155B22"/>
    <w:rsid w:val="00155CD1"/>
    <w:rsid w:val="00155E19"/>
    <w:rsid w:val="00155E33"/>
    <w:rsid w:val="00155E88"/>
    <w:rsid w:val="00155ED7"/>
    <w:rsid w:val="00155F43"/>
    <w:rsid w:val="00155F76"/>
    <w:rsid w:val="001561F1"/>
    <w:rsid w:val="00156208"/>
    <w:rsid w:val="0015649E"/>
    <w:rsid w:val="00156693"/>
    <w:rsid w:val="00156879"/>
    <w:rsid w:val="00156883"/>
    <w:rsid w:val="001568C8"/>
    <w:rsid w:val="001568F5"/>
    <w:rsid w:val="001568F9"/>
    <w:rsid w:val="00156A46"/>
    <w:rsid w:val="00156A6F"/>
    <w:rsid w:val="00156ACF"/>
    <w:rsid w:val="00156ADE"/>
    <w:rsid w:val="00156F6A"/>
    <w:rsid w:val="0015708C"/>
    <w:rsid w:val="001570D2"/>
    <w:rsid w:val="00157380"/>
    <w:rsid w:val="001575A8"/>
    <w:rsid w:val="00157683"/>
    <w:rsid w:val="00157711"/>
    <w:rsid w:val="0015772C"/>
    <w:rsid w:val="00157784"/>
    <w:rsid w:val="0015794C"/>
    <w:rsid w:val="001579FE"/>
    <w:rsid w:val="00157B73"/>
    <w:rsid w:val="00157C01"/>
    <w:rsid w:val="00157CE8"/>
    <w:rsid w:val="00157DAD"/>
    <w:rsid w:val="00157E43"/>
    <w:rsid w:val="00160015"/>
    <w:rsid w:val="00160069"/>
    <w:rsid w:val="001601CE"/>
    <w:rsid w:val="00160408"/>
    <w:rsid w:val="00160539"/>
    <w:rsid w:val="0016074E"/>
    <w:rsid w:val="001609C9"/>
    <w:rsid w:val="00160A05"/>
    <w:rsid w:val="00160ACD"/>
    <w:rsid w:val="00160D54"/>
    <w:rsid w:val="00160DF6"/>
    <w:rsid w:val="00160EAC"/>
    <w:rsid w:val="0016107F"/>
    <w:rsid w:val="00161115"/>
    <w:rsid w:val="0016113B"/>
    <w:rsid w:val="0016116E"/>
    <w:rsid w:val="001611C5"/>
    <w:rsid w:val="001611EF"/>
    <w:rsid w:val="0016134A"/>
    <w:rsid w:val="00161529"/>
    <w:rsid w:val="0016154F"/>
    <w:rsid w:val="00161591"/>
    <w:rsid w:val="001616B8"/>
    <w:rsid w:val="0016182D"/>
    <w:rsid w:val="0016185D"/>
    <w:rsid w:val="00161875"/>
    <w:rsid w:val="00161876"/>
    <w:rsid w:val="00161902"/>
    <w:rsid w:val="0016197D"/>
    <w:rsid w:val="00161ABD"/>
    <w:rsid w:val="00161E1C"/>
    <w:rsid w:val="00161E69"/>
    <w:rsid w:val="00161E75"/>
    <w:rsid w:val="00161E96"/>
    <w:rsid w:val="00161ED8"/>
    <w:rsid w:val="00161F8C"/>
    <w:rsid w:val="00162454"/>
    <w:rsid w:val="0016254B"/>
    <w:rsid w:val="001626C9"/>
    <w:rsid w:val="001626CE"/>
    <w:rsid w:val="00162700"/>
    <w:rsid w:val="00162775"/>
    <w:rsid w:val="001627AA"/>
    <w:rsid w:val="00162808"/>
    <w:rsid w:val="001628B6"/>
    <w:rsid w:val="001629BF"/>
    <w:rsid w:val="00162AF1"/>
    <w:rsid w:val="00162E79"/>
    <w:rsid w:val="00162E8F"/>
    <w:rsid w:val="00162EA9"/>
    <w:rsid w:val="0016306F"/>
    <w:rsid w:val="0016319D"/>
    <w:rsid w:val="001632C8"/>
    <w:rsid w:val="00163444"/>
    <w:rsid w:val="001634F4"/>
    <w:rsid w:val="0016362D"/>
    <w:rsid w:val="0016372E"/>
    <w:rsid w:val="001637A6"/>
    <w:rsid w:val="001637C9"/>
    <w:rsid w:val="00163830"/>
    <w:rsid w:val="00163936"/>
    <w:rsid w:val="00163B19"/>
    <w:rsid w:val="00163CCD"/>
    <w:rsid w:val="00163D42"/>
    <w:rsid w:val="00163DAA"/>
    <w:rsid w:val="00163FB4"/>
    <w:rsid w:val="00164010"/>
    <w:rsid w:val="00164069"/>
    <w:rsid w:val="0016410B"/>
    <w:rsid w:val="0016412D"/>
    <w:rsid w:val="00164309"/>
    <w:rsid w:val="0016439A"/>
    <w:rsid w:val="001643D5"/>
    <w:rsid w:val="001643E8"/>
    <w:rsid w:val="0016442D"/>
    <w:rsid w:val="00164452"/>
    <w:rsid w:val="00164589"/>
    <w:rsid w:val="0016459D"/>
    <w:rsid w:val="00164699"/>
    <w:rsid w:val="00164701"/>
    <w:rsid w:val="00164711"/>
    <w:rsid w:val="00164A40"/>
    <w:rsid w:val="00164A4F"/>
    <w:rsid w:val="00164A83"/>
    <w:rsid w:val="00164B9D"/>
    <w:rsid w:val="00164C03"/>
    <w:rsid w:val="00164C9D"/>
    <w:rsid w:val="00164CCB"/>
    <w:rsid w:val="00164F12"/>
    <w:rsid w:val="00164FFE"/>
    <w:rsid w:val="00165013"/>
    <w:rsid w:val="001650A2"/>
    <w:rsid w:val="001650DB"/>
    <w:rsid w:val="0016511E"/>
    <w:rsid w:val="00165177"/>
    <w:rsid w:val="001651A2"/>
    <w:rsid w:val="0016522A"/>
    <w:rsid w:val="0016530A"/>
    <w:rsid w:val="00165397"/>
    <w:rsid w:val="0016541E"/>
    <w:rsid w:val="0016562A"/>
    <w:rsid w:val="00165635"/>
    <w:rsid w:val="0016568B"/>
    <w:rsid w:val="001656FF"/>
    <w:rsid w:val="001658EF"/>
    <w:rsid w:val="001659CB"/>
    <w:rsid w:val="001659CD"/>
    <w:rsid w:val="00165A13"/>
    <w:rsid w:val="00165BA0"/>
    <w:rsid w:val="00165CEF"/>
    <w:rsid w:val="00165D8F"/>
    <w:rsid w:val="00165DF8"/>
    <w:rsid w:val="00165F40"/>
    <w:rsid w:val="001660BC"/>
    <w:rsid w:val="001664C6"/>
    <w:rsid w:val="001664D4"/>
    <w:rsid w:val="00166561"/>
    <w:rsid w:val="00166582"/>
    <w:rsid w:val="00166590"/>
    <w:rsid w:val="001668B2"/>
    <w:rsid w:val="00166959"/>
    <w:rsid w:val="001669DC"/>
    <w:rsid w:val="00166B65"/>
    <w:rsid w:val="00166B99"/>
    <w:rsid w:val="00166C36"/>
    <w:rsid w:val="00166DAB"/>
    <w:rsid w:val="00166ED4"/>
    <w:rsid w:val="00166EF3"/>
    <w:rsid w:val="00166FFF"/>
    <w:rsid w:val="00167040"/>
    <w:rsid w:val="00167336"/>
    <w:rsid w:val="001674B8"/>
    <w:rsid w:val="00167595"/>
    <w:rsid w:val="0016766C"/>
    <w:rsid w:val="001679BE"/>
    <w:rsid w:val="00167A0B"/>
    <w:rsid w:val="00167A94"/>
    <w:rsid w:val="00167ADA"/>
    <w:rsid w:val="00167B0D"/>
    <w:rsid w:val="00167C40"/>
    <w:rsid w:val="00167C8F"/>
    <w:rsid w:val="00167CEC"/>
    <w:rsid w:val="00167D3D"/>
    <w:rsid w:val="00167DFE"/>
    <w:rsid w:val="00167E09"/>
    <w:rsid w:val="00167EEB"/>
    <w:rsid w:val="00167F3E"/>
    <w:rsid w:val="001700FB"/>
    <w:rsid w:val="00170166"/>
    <w:rsid w:val="001702AE"/>
    <w:rsid w:val="0017038A"/>
    <w:rsid w:val="001704D0"/>
    <w:rsid w:val="0017062A"/>
    <w:rsid w:val="001706E2"/>
    <w:rsid w:val="00170A09"/>
    <w:rsid w:val="00170A33"/>
    <w:rsid w:val="00170A92"/>
    <w:rsid w:val="00170B0E"/>
    <w:rsid w:val="00170B15"/>
    <w:rsid w:val="00170CE7"/>
    <w:rsid w:val="00170CE8"/>
    <w:rsid w:val="001710B2"/>
    <w:rsid w:val="001710E9"/>
    <w:rsid w:val="00171256"/>
    <w:rsid w:val="001713B2"/>
    <w:rsid w:val="001713EB"/>
    <w:rsid w:val="00171495"/>
    <w:rsid w:val="001714BC"/>
    <w:rsid w:val="001716C3"/>
    <w:rsid w:val="001719AF"/>
    <w:rsid w:val="00171D0B"/>
    <w:rsid w:val="00171E3D"/>
    <w:rsid w:val="00171EA8"/>
    <w:rsid w:val="00171FF9"/>
    <w:rsid w:val="001720B3"/>
    <w:rsid w:val="00172171"/>
    <w:rsid w:val="001721AE"/>
    <w:rsid w:val="001723FE"/>
    <w:rsid w:val="001725C7"/>
    <w:rsid w:val="001727BD"/>
    <w:rsid w:val="0017294C"/>
    <w:rsid w:val="00172A4E"/>
    <w:rsid w:val="00172A70"/>
    <w:rsid w:val="00172AC0"/>
    <w:rsid w:val="00172B33"/>
    <w:rsid w:val="00172BBD"/>
    <w:rsid w:val="00172C2B"/>
    <w:rsid w:val="00172D2F"/>
    <w:rsid w:val="00172D65"/>
    <w:rsid w:val="00172EC3"/>
    <w:rsid w:val="00172EFF"/>
    <w:rsid w:val="001730E9"/>
    <w:rsid w:val="0017312D"/>
    <w:rsid w:val="00173131"/>
    <w:rsid w:val="001731DD"/>
    <w:rsid w:val="001731EF"/>
    <w:rsid w:val="00173256"/>
    <w:rsid w:val="0017342D"/>
    <w:rsid w:val="001739C4"/>
    <w:rsid w:val="00173A79"/>
    <w:rsid w:val="00173AAF"/>
    <w:rsid w:val="00173CB6"/>
    <w:rsid w:val="00173CEC"/>
    <w:rsid w:val="00173DB3"/>
    <w:rsid w:val="00173E40"/>
    <w:rsid w:val="001740D7"/>
    <w:rsid w:val="0017434D"/>
    <w:rsid w:val="0017455F"/>
    <w:rsid w:val="00174571"/>
    <w:rsid w:val="0017457A"/>
    <w:rsid w:val="0017480D"/>
    <w:rsid w:val="0017492D"/>
    <w:rsid w:val="00174985"/>
    <w:rsid w:val="00174A23"/>
    <w:rsid w:val="00174AA2"/>
    <w:rsid w:val="00174ACF"/>
    <w:rsid w:val="00174AE4"/>
    <w:rsid w:val="00174B0A"/>
    <w:rsid w:val="00174B55"/>
    <w:rsid w:val="00174C4A"/>
    <w:rsid w:val="00174C55"/>
    <w:rsid w:val="00174D3C"/>
    <w:rsid w:val="00174EAB"/>
    <w:rsid w:val="00175099"/>
    <w:rsid w:val="00175135"/>
    <w:rsid w:val="001751D1"/>
    <w:rsid w:val="001753AF"/>
    <w:rsid w:val="00175453"/>
    <w:rsid w:val="001756E7"/>
    <w:rsid w:val="00175BA1"/>
    <w:rsid w:val="00175C9B"/>
    <w:rsid w:val="00175D9B"/>
    <w:rsid w:val="00175DAF"/>
    <w:rsid w:val="00175F15"/>
    <w:rsid w:val="00175F86"/>
    <w:rsid w:val="0017603C"/>
    <w:rsid w:val="00176185"/>
    <w:rsid w:val="00176697"/>
    <w:rsid w:val="0017688A"/>
    <w:rsid w:val="001769E3"/>
    <w:rsid w:val="00176A29"/>
    <w:rsid w:val="00176A73"/>
    <w:rsid w:val="00176C00"/>
    <w:rsid w:val="00176D7B"/>
    <w:rsid w:val="00176DBD"/>
    <w:rsid w:val="00176E53"/>
    <w:rsid w:val="00176EA0"/>
    <w:rsid w:val="00176F40"/>
    <w:rsid w:val="00177053"/>
    <w:rsid w:val="00177106"/>
    <w:rsid w:val="00177111"/>
    <w:rsid w:val="00177311"/>
    <w:rsid w:val="001774C7"/>
    <w:rsid w:val="0017756F"/>
    <w:rsid w:val="00177772"/>
    <w:rsid w:val="00177939"/>
    <w:rsid w:val="00177AB3"/>
    <w:rsid w:val="00177BE8"/>
    <w:rsid w:val="00177BFA"/>
    <w:rsid w:val="00177C2C"/>
    <w:rsid w:val="00177D09"/>
    <w:rsid w:val="00177D34"/>
    <w:rsid w:val="00177D4A"/>
    <w:rsid w:val="00177DFF"/>
    <w:rsid w:val="00177FE7"/>
    <w:rsid w:val="0017F16D"/>
    <w:rsid w:val="00180007"/>
    <w:rsid w:val="0018013A"/>
    <w:rsid w:val="00180158"/>
    <w:rsid w:val="001801AE"/>
    <w:rsid w:val="001801CD"/>
    <w:rsid w:val="0018022B"/>
    <w:rsid w:val="001804BA"/>
    <w:rsid w:val="001804D9"/>
    <w:rsid w:val="0018054B"/>
    <w:rsid w:val="0018056C"/>
    <w:rsid w:val="001805F5"/>
    <w:rsid w:val="001806C6"/>
    <w:rsid w:val="00180779"/>
    <w:rsid w:val="001807B7"/>
    <w:rsid w:val="001807E7"/>
    <w:rsid w:val="0018081C"/>
    <w:rsid w:val="001808D1"/>
    <w:rsid w:val="00180AAA"/>
    <w:rsid w:val="00180BB1"/>
    <w:rsid w:val="00180CC3"/>
    <w:rsid w:val="00180D19"/>
    <w:rsid w:val="00180E1D"/>
    <w:rsid w:val="00180E80"/>
    <w:rsid w:val="00180EE4"/>
    <w:rsid w:val="00180FBC"/>
    <w:rsid w:val="0018129B"/>
    <w:rsid w:val="001812A1"/>
    <w:rsid w:val="00181461"/>
    <w:rsid w:val="0018159C"/>
    <w:rsid w:val="001815A1"/>
    <w:rsid w:val="001815A4"/>
    <w:rsid w:val="0018172B"/>
    <w:rsid w:val="00181928"/>
    <w:rsid w:val="00181A31"/>
    <w:rsid w:val="00181C3C"/>
    <w:rsid w:val="00181C69"/>
    <w:rsid w:val="00181C94"/>
    <w:rsid w:val="00181CC5"/>
    <w:rsid w:val="00181EDB"/>
    <w:rsid w:val="00181EDC"/>
    <w:rsid w:val="0018226A"/>
    <w:rsid w:val="001822B8"/>
    <w:rsid w:val="00182468"/>
    <w:rsid w:val="00182533"/>
    <w:rsid w:val="0018259A"/>
    <w:rsid w:val="001825D2"/>
    <w:rsid w:val="0018260B"/>
    <w:rsid w:val="00182709"/>
    <w:rsid w:val="00182778"/>
    <w:rsid w:val="001827C4"/>
    <w:rsid w:val="00182802"/>
    <w:rsid w:val="00182822"/>
    <w:rsid w:val="001828AE"/>
    <w:rsid w:val="00182A9A"/>
    <w:rsid w:val="00182B92"/>
    <w:rsid w:val="00182BF6"/>
    <w:rsid w:val="00182C51"/>
    <w:rsid w:val="00182C60"/>
    <w:rsid w:val="00182DE0"/>
    <w:rsid w:val="00182EDE"/>
    <w:rsid w:val="00182F59"/>
    <w:rsid w:val="00182F64"/>
    <w:rsid w:val="00182F79"/>
    <w:rsid w:val="00182FD6"/>
    <w:rsid w:val="00182FF1"/>
    <w:rsid w:val="0018316A"/>
    <w:rsid w:val="001833DB"/>
    <w:rsid w:val="00183469"/>
    <w:rsid w:val="0018353A"/>
    <w:rsid w:val="00183623"/>
    <w:rsid w:val="0018370E"/>
    <w:rsid w:val="0018372E"/>
    <w:rsid w:val="001837F9"/>
    <w:rsid w:val="0018387F"/>
    <w:rsid w:val="001838DB"/>
    <w:rsid w:val="00183C79"/>
    <w:rsid w:val="00183CDA"/>
    <w:rsid w:val="001841C6"/>
    <w:rsid w:val="00184257"/>
    <w:rsid w:val="00184260"/>
    <w:rsid w:val="00184319"/>
    <w:rsid w:val="0018436E"/>
    <w:rsid w:val="00184425"/>
    <w:rsid w:val="001847F0"/>
    <w:rsid w:val="0018487A"/>
    <w:rsid w:val="001849E4"/>
    <w:rsid w:val="00184A21"/>
    <w:rsid w:val="00184A70"/>
    <w:rsid w:val="00184B43"/>
    <w:rsid w:val="00184B56"/>
    <w:rsid w:val="00184C4C"/>
    <w:rsid w:val="00184E98"/>
    <w:rsid w:val="00184F48"/>
    <w:rsid w:val="00184F8A"/>
    <w:rsid w:val="00184FCD"/>
    <w:rsid w:val="001850DA"/>
    <w:rsid w:val="0018527D"/>
    <w:rsid w:val="0018561A"/>
    <w:rsid w:val="00185792"/>
    <w:rsid w:val="00185817"/>
    <w:rsid w:val="00185A02"/>
    <w:rsid w:val="00185F2E"/>
    <w:rsid w:val="00186002"/>
    <w:rsid w:val="001861D4"/>
    <w:rsid w:val="00186248"/>
    <w:rsid w:val="0018657E"/>
    <w:rsid w:val="0018659C"/>
    <w:rsid w:val="0018663D"/>
    <w:rsid w:val="00186835"/>
    <w:rsid w:val="001869D8"/>
    <w:rsid w:val="00186BB2"/>
    <w:rsid w:val="00186C0D"/>
    <w:rsid w:val="00186C34"/>
    <w:rsid w:val="00186CA9"/>
    <w:rsid w:val="00186DBD"/>
    <w:rsid w:val="00186E53"/>
    <w:rsid w:val="00187132"/>
    <w:rsid w:val="00187152"/>
    <w:rsid w:val="001871C4"/>
    <w:rsid w:val="001871DE"/>
    <w:rsid w:val="001872D4"/>
    <w:rsid w:val="0018740F"/>
    <w:rsid w:val="001874E6"/>
    <w:rsid w:val="00187562"/>
    <w:rsid w:val="00187A50"/>
    <w:rsid w:val="00187A99"/>
    <w:rsid w:val="00187B2B"/>
    <w:rsid w:val="00187C5F"/>
    <w:rsid w:val="00187CBB"/>
    <w:rsid w:val="00187F9C"/>
    <w:rsid w:val="0019011B"/>
    <w:rsid w:val="001901C0"/>
    <w:rsid w:val="0019041A"/>
    <w:rsid w:val="00190429"/>
    <w:rsid w:val="0019043F"/>
    <w:rsid w:val="00190465"/>
    <w:rsid w:val="001906B5"/>
    <w:rsid w:val="001907BD"/>
    <w:rsid w:val="001908F5"/>
    <w:rsid w:val="001909EF"/>
    <w:rsid w:val="00190AAE"/>
    <w:rsid w:val="00190BCF"/>
    <w:rsid w:val="00190C68"/>
    <w:rsid w:val="00190CE3"/>
    <w:rsid w:val="00190E1C"/>
    <w:rsid w:val="00190E2F"/>
    <w:rsid w:val="0019113E"/>
    <w:rsid w:val="0019118A"/>
    <w:rsid w:val="001914ED"/>
    <w:rsid w:val="00191507"/>
    <w:rsid w:val="0019154F"/>
    <w:rsid w:val="00191615"/>
    <w:rsid w:val="00191649"/>
    <w:rsid w:val="001916F7"/>
    <w:rsid w:val="0019191F"/>
    <w:rsid w:val="001919BF"/>
    <w:rsid w:val="00191B58"/>
    <w:rsid w:val="00191C0B"/>
    <w:rsid w:val="00191CE0"/>
    <w:rsid w:val="00191DF5"/>
    <w:rsid w:val="00191E5B"/>
    <w:rsid w:val="00191F17"/>
    <w:rsid w:val="00191FFD"/>
    <w:rsid w:val="00192036"/>
    <w:rsid w:val="0019216C"/>
    <w:rsid w:val="001921E0"/>
    <w:rsid w:val="00192282"/>
    <w:rsid w:val="001922CC"/>
    <w:rsid w:val="00192563"/>
    <w:rsid w:val="0019264B"/>
    <w:rsid w:val="0019280E"/>
    <w:rsid w:val="001928B3"/>
    <w:rsid w:val="00192967"/>
    <w:rsid w:val="00192987"/>
    <w:rsid w:val="00192A7C"/>
    <w:rsid w:val="00192CEA"/>
    <w:rsid w:val="00192DF1"/>
    <w:rsid w:val="00192FAC"/>
    <w:rsid w:val="00193002"/>
    <w:rsid w:val="00193026"/>
    <w:rsid w:val="00193069"/>
    <w:rsid w:val="00193079"/>
    <w:rsid w:val="00193139"/>
    <w:rsid w:val="001931B3"/>
    <w:rsid w:val="00193386"/>
    <w:rsid w:val="00193400"/>
    <w:rsid w:val="00193A77"/>
    <w:rsid w:val="00193A95"/>
    <w:rsid w:val="00193C8B"/>
    <w:rsid w:val="00193D4A"/>
    <w:rsid w:val="00193DE0"/>
    <w:rsid w:val="00193FA2"/>
    <w:rsid w:val="00194018"/>
    <w:rsid w:val="00194058"/>
    <w:rsid w:val="00194140"/>
    <w:rsid w:val="00194206"/>
    <w:rsid w:val="00194326"/>
    <w:rsid w:val="0019434B"/>
    <w:rsid w:val="001946E5"/>
    <w:rsid w:val="001946F3"/>
    <w:rsid w:val="001948AB"/>
    <w:rsid w:val="00194A12"/>
    <w:rsid w:val="00194BB2"/>
    <w:rsid w:val="00194BBF"/>
    <w:rsid w:val="00194C04"/>
    <w:rsid w:val="00194D43"/>
    <w:rsid w:val="00194D7A"/>
    <w:rsid w:val="00194D7C"/>
    <w:rsid w:val="00194DE1"/>
    <w:rsid w:val="00194EBF"/>
    <w:rsid w:val="00194F0D"/>
    <w:rsid w:val="00194F1A"/>
    <w:rsid w:val="00194FF9"/>
    <w:rsid w:val="00195007"/>
    <w:rsid w:val="00195325"/>
    <w:rsid w:val="0019533B"/>
    <w:rsid w:val="0019538F"/>
    <w:rsid w:val="001954E0"/>
    <w:rsid w:val="00195604"/>
    <w:rsid w:val="00195653"/>
    <w:rsid w:val="001956D5"/>
    <w:rsid w:val="001959C8"/>
    <w:rsid w:val="001959DB"/>
    <w:rsid w:val="00195B3A"/>
    <w:rsid w:val="00195B4F"/>
    <w:rsid w:val="00195CEA"/>
    <w:rsid w:val="00195E31"/>
    <w:rsid w:val="00195F22"/>
    <w:rsid w:val="00195FA3"/>
    <w:rsid w:val="00196156"/>
    <w:rsid w:val="00196257"/>
    <w:rsid w:val="00196350"/>
    <w:rsid w:val="001963B7"/>
    <w:rsid w:val="00196562"/>
    <w:rsid w:val="00196AFC"/>
    <w:rsid w:val="00196BA3"/>
    <w:rsid w:val="00196E4F"/>
    <w:rsid w:val="00196FF5"/>
    <w:rsid w:val="00197081"/>
    <w:rsid w:val="00197193"/>
    <w:rsid w:val="001972FE"/>
    <w:rsid w:val="001973A8"/>
    <w:rsid w:val="0019760C"/>
    <w:rsid w:val="001977FF"/>
    <w:rsid w:val="0019784C"/>
    <w:rsid w:val="00197A28"/>
    <w:rsid w:val="00197A8E"/>
    <w:rsid w:val="00197B1B"/>
    <w:rsid w:val="00197D7F"/>
    <w:rsid w:val="00197D8A"/>
    <w:rsid w:val="00197F3F"/>
    <w:rsid w:val="00197FB2"/>
    <w:rsid w:val="001A000F"/>
    <w:rsid w:val="001A0058"/>
    <w:rsid w:val="001A0120"/>
    <w:rsid w:val="001A0358"/>
    <w:rsid w:val="001A0501"/>
    <w:rsid w:val="001A051D"/>
    <w:rsid w:val="001A06BE"/>
    <w:rsid w:val="001A0718"/>
    <w:rsid w:val="001A073B"/>
    <w:rsid w:val="001A0C2C"/>
    <w:rsid w:val="001A0C5A"/>
    <w:rsid w:val="001A0C78"/>
    <w:rsid w:val="001A0D50"/>
    <w:rsid w:val="001A0EBF"/>
    <w:rsid w:val="001A0FCD"/>
    <w:rsid w:val="001A0FEE"/>
    <w:rsid w:val="001A10D6"/>
    <w:rsid w:val="001A110F"/>
    <w:rsid w:val="001A11DC"/>
    <w:rsid w:val="001A1241"/>
    <w:rsid w:val="001A12FD"/>
    <w:rsid w:val="001A1364"/>
    <w:rsid w:val="001A148F"/>
    <w:rsid w:val="001A159B"/>
    <w:rsid w:val="001A1788"/>
    <w:rsid w:val="001A186E"/>
    <w:rsid w:val="001A18FA"/>
    <w:rsid w:val="001A19C2"/>
    <w:rsid w:val="001A1A39"/>
    <w:rsid w:val="001A1A97"/>
    <w:rsid w:val="001A1AEA"/>
    <w:rsid w:val="001A1AF7"/>
    <w:rsid w:val="001A1B04"/>
    <w:rsid w:val="001A1C01"/>
    <w:rsid w:val="001A1C72"/>
    <w:rsid w:val="001A1CE2"/>
    <w:rsid w:val="001A1E24"/>
    <w:rsid w:val="001A2104"/>
    <w:rsid w:val="001A2133"/>
    <w:rsid w:val="001A2301"/>
    <w:rsid w:val="001A2500"/>
    <w:rsid w:val="001A257F"/>
    <w:rsid w:val="001A2583"/>
    <w:rsid w:val="001A260A"/>
    <w:rsid w:val="001A2789"/>
    <w:rsid w:val="001A27E1"/>
    <w:rsid w:val="001A282B"/>
    <w:rsid w:val="001A2946"/>
    <w:rsid w:val="001A2A1C"/>
    <w:rsid w:val="001A2A9C"/>
    <w:rsid w:val="001A2C9D"/>
    <w:rsid w:val="001A2CA2"/>
    <w:rsid w:val="001A32FC"/>
    <w:rsid w:val="001A3351"/>
    <w:rsid w:val="001A3373"/>
    <w:rsid w:val="001A33BD"/>
    <w:rsid w:val="001A33D9"/>
    <w:rsid w:val="001A33FA"/>
    <w:rsid w:val="001A34FD"/>
    <w:rsid w:val="001A35DF"/>
    <w:rsid w:val="001A35F8"/>
    <w:rsid w:val="001A37F7"/>
    <w:rsid w:val="001A380F"/>
    <w:rsid w:val="001A3922"/>
    <w:rsid w:val="001A398D"/>
    <w:rsid w:val="001A3AD3"/>
    <w:rsid w:val="001A3C6F"/>
    <w:rsid w:val="001A3CE7"/>
    <w:rsid w:val="001A3D11"/>
    <w:rsid w:val="001A3D65"/>
    <w:rsid w:val="001A3EF4"/>
    <w:rsid w:val="001A3F73"/>
    <w:rsid w:val="001A3FEA"/>
    <w:rsid w:val="001A4012"/>
    <w:rsid w:val="001A4030"/>
    <w:rsid w:val="001A405E"/>
    <w:rsid w:val="001A407D"/>
    <w:rsid w:val="001A409B"/>
    <w:rsid w:val="001A40E8"/>
    <w:rsid w:val="001A423B"/>
    <w:rsid w:val="001A43D9"/>
    <w:rsid w:val="001A45E3"/>
    <w:rsid w:val="001A4614"/>
    <w:rsid w:val="001A467C"/>
    <w:rsid w:val="001A4908"/>
    <w:rsid w:val="001A498C"/>
    <w:rsid w:val="001A4AE1"/>
    <w:rsid w:val="001A4AF1"/>
    <w:rsid w:val="001A4C76"/>
    <w:rsid w:val="001A4DDC"/>
    <w:rsid w:val="001A4E30"/>
    <w:rsid w:val="001A4E58"/>
    <w:rsid w:val="001A4FC2"/>
    <w:rsid w:val="001A5029"/>
    <w:rsid w:val="001A50BD"/>
    <w:rsid w:val="001A51AE"/>
    <w:rsid w:val="001A51B7"/>
    <w:rsid w:val="001A5212"/>
    <w:rsid w:val="001A5258"/>
    <w:rsid w:val="001A52F5"/>
    <w:rsid w:val="001A5587"/>
    <w:rsid w:val="001A558E"/>
    <w:rsid w:val="001A55A6"/>
    <w:rsid w:val="001A5641"/>
    <w:rsid w:val="001A5900"/>
    <w:rsid w:val="001A5925"/>
    <w:rsid w:val="001A5938"/>
    <w:rsid w:val="001A5AA4"/>
    <w:rsid w:val="001A5AAB"/>
    <w:rsid w:val="001A5CA8"/>
    <w:rsid w:val="001A5CAC"/>
    <w:rsid w:val="001A5CF7"/>
    <w:rsid w:val="001A5E22"/>
    <w:rsid w:val="001A5E76"/>
    <w:rsid w:val="001A5F0D"/>
    <w:rsid w:val="001A5F36"/>
    <w:rsid w:val="001A614A"/>
    <w:rsid w:val="001A6181"/>
    <w:rsid w:val="001A619E"/>
    <w:rsid w:val="001A6622"/>
    <w:rsid w:val="001A67A5"/>
    <w:rsid w:val="001A67E2"/>
    <w:rsid w:val="001A6851"/>
    <w:rsid w:val="001A693E"/>
    <w:rsid w:val="001A6AA2"/>
    <w:rsid w:val="001A6AB1"/>
    <w:rsid w:val="001A6AED"/>
    <w:rsid w:val="001A6BAB"/>
    <w:rsid w:val="001A6C35"/>
    <w:rsid w:val="001A6DF2"/>
    <w:rsid w:val="001A6FE4"/>
    <w:rsid w:val="001A70EC"/>
    <w:rsid w:val="001A70FE"/>
    <w:rsid w:val="001A718D"/>
    <w:rsid w:val="001A72EF"/>
    <w:rsid w:val="001A7318"/>
    <w:rsid w:val="001A73FA"/>
    <w:rsid w:val="001A7476"/>
    <w:rsid w:val="001A75DA"/>
    <w:rsid w:val="001A780E"/>
    <w:rsid w:val="001A797B"/>
    <w:rsid w:val="001A7A64"/>
    <w:rsid w:val="001A7C2B"/>
    <w:rsid w:val="001A7CBF"/>
    <w:rsid w:val="001A7CF5"/>
    <w:rsid w:val="001A7D1A"/>
    <w:rsid w:val="001A7D8F"/>
    <w:rsid w:val="001A7DA8"/>
    <w:rsid w:val="001A7F40"/>
    <w:rsid w:val="001A7FAB"/>
    <w:rsid w:val="001B0403"/>
    <w:rsid w:val="001B0446"/>
    <w:rsid w:val="001B044A"/>
    <w:rsid w:val="001B0546"/>
    <w:rsid w:val="001B05C0"/>
    <w:rsid w:val="001B06A5"/>
    <w:rsid w:val="001B06A9"/>
    <w:rsid w:val="001B0707"/>
    <w:rsid w:val="001B08C5"/>
    <w:rsid w:val="001B09B8"/>
    <w:rsid w:val="001B09C6"/>
    <w:rsid w:val="001B0C02"/>
    <w:rsid w:val="001B0CB3"/>
    <w:rsid w:val="001B0D62"/>
    <w:rsid w:val="001B0D7D"/>
    <w:rsid w:val="001B0E03"/>
    <w:rsid w:val="001B1048"/>
    <w:rsid w:val="001B117E"/>
    <w:rsid w:val="001B1189"/>
    <w:rsid w:val="001B14C9"/>
    <w:rsid w:val="001B1616"/>
    <w:rsid w:val="001B16C1"/>
    <w:rsid w:val="001B170C"/>
    <w:rsid w:val="001B171C"/>
    <w:rsid w:val="001B18DD"/>
    <w:rsid w:val="001B1933"/>
    <w:rsid w:val="001B19AC"/>
    <w:rsid w:val="001B19BC"/>
    <w:rsid w:val="001B1A5F"/>
    <w:rsid w:val="001B1CC8"/>
    <w:rsid w:val="001B1D6A"/>
    <w:rsid w:val="001B1DF0"/>
    <w:rsid w:val="001B1DF9"/>
    <w:rsid w:val="001B1DFF"/>
    <w:rsid w:val="001B1E16"/>
    <w:rsid w:val="001B217C"/>
    <w:rsid w:val="001B21DB"/>
    <w:rsid w:val="001B256B"/>
    <w:rsid w:val="001B266B"/>
    <w:rsid w:val="001B2745"/>
    <w:rsid w:val="001B27D7"/>
    <w:rsid w:val="001B294D"/>
    <w:rsid w:val="001B2990"/>
    <w:rsid w:val="001B29BA"/>
    <w:rsid w:val="001B2A34"/>
    <w:rsid w:val="001B2AB4"/>
    <w:rsid w:val="001B2BCD"/>
    <w:rsid w:val="001B2DCD"/>
    <w:rsid w:val="001B2EAC"/>
    <w:rsid w:val="001B2F1F"/>
    <w:rsid w:val="001B30CB"/>
    <w:rsid w:val="001B3207"/>
    <w:rsid w:val="001B3272"/>
    <w:rsid w:val="001B32F0"/>
    <w:rsid w:val="001B339F"/>
    <w:rsid w:val="001B345B"/>
    <w:rsid w:val="001B3541"/>
    <w:rsid w:val="001B3633"/>
    <w:rsid w:val="001B37B1"/>
    <w:rsid w:val="001B37E1"/>
    <w:rsid w:val="001B3843"/>
    <w:rsid w:val="001B39E1"/>
    <w:rsid w:val="001B3BD9"/>
    <w:rsid w:val="001B3BE2"/>
    <w:rsid w:val="001B3E62"/>
    <w:rsid w:val="001B4071"/>
    <w:rsid w:val="001B4222"/>
    <w:rsid w:val="001B44EB"/>
    <w:rsid w:val="001B45E1"/>
    <w:rsid w:val="001B4871"/>
    <w:rsid w:val="001B4BDA"/>
    <w:rsid w:val="001B4D41"/>
    <w:rsid w:val="001B4D65"/>
    <w:rsid w:val="001B4D99"/>
    <w:rsid w:val="001B4DF0"/>
    <w:rsid w:val="001B4E1C"/>
    <w:rsid w:val="001B4EFE"/>
    <w:rsid w:val="001B5004"/>
    <w:rsid w:val="001B5248"/>
    <w:rsid w:val="001B5254"/>
    <w:rsid w:val="001B5265"/>
    <w:rsid w:val="001B5902"/>
    <w:rsid w:val="001B592D"/>
    <w:rsid w:val="001B5937"/>
    <w:rsid w:val="001B5A9C"/>
    <w:rsid w:val="001B5B14"/>
    <w:rsid w:val="001B5B1B"/>
    <w:rsid w:val="001B5B5C"/>
    <w:rsid w:val="001B5B82"/>
    <w:rsid w:val="001B5C55"/>
    <w:rsid w:val="001B5C63"/>
    <w:rsid w:val="001B5E7F"/>
    <w:rsid w:val="001B5EE7"/>
    <w:rsid w:val="001B5EFF"/>
    <w:rsid w:val="001B5F16"/>
    <w:rsid w:val="001B603F"/>
    <w:rsid w:val="001B6152"/>
    <w:rsid w:val="001B6190"/>
    <w:rsid w:val="001B62D1"/>
    <w:rsid w:val="001B63B8"/>
    <w:rsid w:val="001B64CB"/>
    <w:rsid w:val="001B6AA0"/>
    <w:rsid w:val="001B6AFD"/>
    <w:rsid w:val="001B6BBC"/>
    <w:rsid w:val="001B6D14"/>
    <w:rsid w:val="001B6D94"/>
    <w:rsid w:val="001B6DA9"/>
    <w:rsid w:val="001B6DBB"/>
    <w:rsid w:val="001B6DC7"/>
    <w:rsid w:val="001B6DCF"/>
    <w:rsid w:val="001B6E9D"/>
    <w:rsid w:val="001B6EB7"/>
    <w:rsid w:val="001B6F12"/>
    <w:rsid w:val="001B700F"/>
    <w:rsid w:val="001B701F"/>
    <w:rsid w:val="001B7080"/>
    <w:rsid w:val="001B70E4"/>
    <w:rsid w:val="001B7105"/>
    <w:rsid w:val="001B7415"/>
    <w:rsid w:val="001B7482"/>
    <w:rsid w:val="001B757F"/>
    <w:rsid w:val="001B76C2"/>
    <w:rsid w:val="001B76CE"/>
    <w:rsid w:val="001B77C1"/>
    <w:rsid w:val="001B78B0"/>
    <w:rsid w:val="001B796B"/>
    <w:rsid w:val="001B7A4B"/>
    <w:rsid w:val="001B7C7A"/>
    <w:rsid w:val="001B7CD2"/>
    <w:rsid w:val="001B7D39"/>
    <w:rsid w:val="001B7D3A"/>
    <w:rsid w:val="001B7D57"/>
    <w:rsid w:val="001B7E5C"/>
    <w:rsid w:val="001B7EBE"/>
    <w:rsid w:val="001B7FCD"/>
    <w:rsid w:val="001C01AC"/>
    <w:rsid w:val="001C034D"/>
    <w:rsid w:val="001C03B9"/>
    <w:rsid w:val="001C0591"/>
    <w:rsid w:val="001C061C"/>
    <w:rsid w:val="001C0633"/>
    <w:rsid w:val="001C06C3"/>
    <w:rsid w:val="001C06E0"/>
    <w:rsid w:val="001C0717"/>
    <w:rsid w:val="001C0A99"/>
    <w:rsid w:val="001C0C8A"/>
    <w:rsid w:val="001C0E9C"/>
    <w:rsid w:val="001C0FE3"/>
    <w:rsid w:val="001C1018"/>
    <w:rsid w:val="001C1128"/>
    <w:rsid w:val="001C139F"/>
    <w:rsid w:val="001C1422"/>
    <w:rsid w:val="001C1494"/>
    <w:rsid w:val="001C1815"/>
    <w:rsid w:val="001C19A9"/>
    <w:rsid w:val="001C1B4E"/>
    <w:rsid w:val="001C1C24"/>
    <w:rsid w:val="001C1D5D"/>
    <w:rsid w:val="001C1DBD"/>
    <w:rsid w:val="001C1DFF"/>
    <w:rsid w:val="001C1F1B"/>
    <w:rsid w:val="001C2105"/>
    <w:rsid w:val="001C21BC"/>
    <w:rsid w:val="001C220C"/>
    <w:rsid w:val="001C239D"/>
    <w:rsid w:val="001C23CB"/>
    <w:rsid w:val="001C2429"/>
    <w:rsid w:val="001C247B"/>
    <w:rsid w:val="001C26C2"/>
    <w:rsid w:val="001C27E2"/>
    <w:rsid w:val="001C28E0"/>
    <w:rsid w:val="001C28ED"/>
    <w:rsid w:val="001C2A88"/>
    <w:rsid w:val="001C2ADA"/>
    <w:rsid w:val="001C2B40"/>
    <w:rsid w:val="001C2C0F"/>
    <w:rsid w:val="001C2E29"/>
    <w:rsid w:val="001C2EEF"/>
    <w:rsid w:val="001C2FF3"/>
    <w:rsid w:val="001C30D2"/>
    <w:rsid w:val="001C31EE"/>
    <w:rsid w:val="001C3424"/>
    <w:rsid w:val="001C3547"/>
    <w:rsid w:val="001C3651"/>
    <w:rsid w:val="001C3A97"/>
    <w:rsid w:val="001C3C37"/>
    <w:rsid w:val="001C3D16"/>
    <w:rsid w:val="001C3DD5"/>
    <w:rsid w:val="001C3E3A"/>
    <w:rsid w:val="001C3F2E"/>
    <w:rsid w:val="001C4048"/>
    <w:rsid w:val="001C41B9"/>
    <w:rsid w:val="001C4313"/>
    <w:rsid w:val="001C4363"/>
    <w:rsid w:val="001C4394"/>
    <w:rsid w:val="001C43AA"/>
    <w:rsid w:val="001C4460"/>
    <w:rsid w:val="001C4597"/>
    <w:rsid w:val="001C460B"/>
    <w:rsid w:val="001C481E"/>
    <w:rsid w:val="001C4953"/>
    <w:rsid w:val="001C49DC"/>
    <w:rsid w:val="001C4A0D"/>
    <w:rsid w:val="001C4D54"/>
    <w:rsid w:val="001C4E09"/>
    <w:rsid w:val="001C4F6D"/>
    <w:rsid w:val="001C4FDD"/>
    <w:rsid w:val="001C51B2"/>
    <w:rsid w:val="001C5235"/>
    <w:rsid w:val="001C52F8"/>
    <w:rsid w:val="001C545D"/>
    <w:rsid w:val="001C557D"/>
    <w:rsid w:val="001C5694"/>
    <w:rsid w:val="001C570A"/>
    <w:rsid w:val="001C5793"/>
    <w:rsid w:val="001C57A0"/>
    <w:rsid w:val="001C58E1"/>
    <w:rsid w:val="001C59D8"/>
    <w:rsid w:val="001C5A3D"/>
    <w:rsid w:val="001C5A48"/>
    <w:rsid w:val="001C5ABB"/>
    <w:rsid w:val="001C5C0B"/>
    <w:rsid w:val="001C5DED"/>
    <w:rsid w:val="001C6024"/>
    <w:rsid w:val="001C6077"/>
    <w:rsid w:val="001C63AD"/>
    <w:rsid w:val="001C658D"/>
    <w:rsid w:val="001C6749"/>
    <w:rsid w:val="001C69A1"/>
    <w:rsid w:val="001C6A0B"/>
    <w:rsid w:val="001C6A21"/>
    <w:rsid w:val="001C6A3E"/>
    <w:rsid w:val="001C6AAD"/>
    <w:rsid w:val="001C6CA5"/>
    <w:rsid w:val="001C6CE7"/>
    <w:rsid w:val="001C6E28"/>
    <w:rsid w:val="001C6E3D"/>
    <w:rsid w:val="001C6FBB"/>
    <w:rsid w:val="001C6FE1"/>
    <w:rsid w:val="001C7090"/>
    <w:rsid w:val="001C71ED"/>
    <w:rsid w:val="001C7278"/>
    <w:rsid w:val="001C72E2"/>
    <w:rsid w:val="001C753A"/>
    <w:rsid w:val="001C7659"/>
    <w:rsid w:val="001C766E"/>
    <w:rsid w:val="001C76D4"/>
    <w:rsid w:val="001C76E9"/>
    <w:rsid w:val="001C784F"/>
    <w:rsid w:val="001C7A0A"/>
    <w:rsid w:val="001C7AB3"/>
    <w:rsid w:val="001C7C35"/>
    <w:rsid w:val="001C7C3C"/>
    <w:rsid w:val="001C7ED1"/>
    <w:rsid w:val="001D0132"/>
    <w:rsid w:val="001D03B2"/>
    <w:rsid w:val="001D04A7"/>
    <w:rsid w:val="001D04B5"/>
    <w:rsid w:val="001D075F"/>
    <w:rsid w:val="001D077C"/>
    <w:rsid w:val="001D078F"/>
    <w:rsid w:val="001D08CD"/>
    <w:rsid w:val="001D08DE"/>
    <w:rsid w:val="001D0933"/>
    <w:rsid w:val="001D0A40"/>
    <w:rsid w:val="001D0A78"/>
    <w:rsid w:val="001D0AFF"/>
    <w:rsid w:val="001D0ED5"/>
    <w:rsid w:val="001D0F18"/>
    <w:rsid w:val="001D0F53"/>
    <w:rsid w:val="001D1169"/>
    <w:rsid w:val="001D12DD"/>
    <w:rsid w:val="001D1397"/>
    <w:rsid w:val="001D1593"/>
    <w:rsid w:val="001D15B3"/>
    <w:rsid w:val="001D1640"/>
    <w:rsid w:val="001D1720"/>
    <w:rsid w:val="001D1896"/>
    <w:rsid w:val="001D1989"/>
    <w:rsid w:val="001D198B"/>
    <w:rsid w:val="001D1BBC"/>
    <w:rsid w:val="001D1C1E"/>
    <w:rsid w:val="001D1F4C"/>
    <w:rsid w:val="001D201A"/>
    <w:rsid w:val="001D225D"/>
    <w:rsid w:val="001D22F4"/>
    <w:rsid w:val="001D232F"/>
    <w:rsid w:val="001D25A3"/>
    <w:rsid w:val="001D26A1"/>
    <w:rsid w:val="001D26ED"/>
    <w:rsid w:val="001D270E"/>
    <w:rsid w:val="001D27DE"/>
    <w:rsid w:val="001D2837"/>
    <w:rsid w:val="001D29EC"/>
    <w:rsid w:val="001D2B19"/>
    <w:rsid w:val="001D2DEE"/>
    <w:rsid w:val="001D2EA7"/>
    <w:rsid w:val="001D3054"/>
    <w:rsid w:val="001D3107"/>
    <w:rsid w:val="001D311A"/>
    <w:rsid w:val="001D3169"/>
    <w:rsid w:val="001D340B"/>
    <w:rsid w:val="001D34C4"/>
    <w:rsid w:val="001D34C8"/>
    <w:rsid w:val="001D34CC"/>
    <w:rsid w:val="001D380A"/>
    <w:rsid w:val="001D3882"/>
    <w:rsid w:val="001D38F9"/>
    <w:rsid w:val="001D391F"/>
    <w:rsid w:val="001D3936"/>
    <w:rsid w:val="001D398B"/>
    <w:rsid w:val="001D3A16"/>
    <w:rsid w:val="001D3BD7"/>
    <w:rsid w:val="001D3CBE"/>
    <w:rsid w:val="001D3E81"/>
    <w:rsid w:val="001D40FC"/>
    <w:rsid w:val="001D43BE"/>
    <w:rsid w:val="001D43DE"/>
    <w:rsid w:val="001D43E4"/>
    <w:rsid w:val="001D4429"/>
    <w:rsid w:val="001D45E5"/>
    <w:rsid w:val="001D4651"/>
    <w:rsid w:val="001D46C9"/>
    <w:rsid w:val="001D46CD"/>
    <w:rsid w:val="001D4763"/>
    <w:rsid w:val="001D479D"/>
    <w:rsid w:val="001D47FB"/>
    <w:rsid w:val="001D4881"/>
    <w:rsid w:val="001D493E"/>
    <w:rsid w:val="001D494B"/>
    <w:rsid w:val="001D49A3"/>
    <w:rsid w:val="001D4B7C"/>
    <w:rsid w:val="001D4D19"/>
    <w:rsid w:val="001D4DD5"/>
    <w:rsid w:val="001D4F0D"/>
    <w:rsid w:val="001D4FA7"/>
    <w:rsid w:val="001D5057"/>
    <w:rsid w:val="001D5095"/>
    <w:rsid w:val="001D53E3"/>
    <w:rsid w:val="001D5490"/>
    <w:rsid w:val="001D54A2"/>
    <w:rsid w:val="001D562C"/>
    <w:rsid w:val="001D5A54"/>
    <w:rsid w:val="001D5C50"/>
    <w:rsid w:val="001D5FE2"/>
    <w:rsid w:val="001D62A4"/>
    <w:rsid w:val="001D6365"/>
    <w:rsid w:val="001D6383"/>
    <w:rsid w:val="001D64F3"/>
    <w:rsid w:val="001D6546"/>
    <w:rsid w:val="001D6595"/>
    <w:rsid w:val="001D6707"/>
    <w:rsid w:val="001D68C7"/>
    <w:rsid w:val="001D693C"/>
    <w:rsid w:val="001D6949"/>
    <w:rsid w:val="001D6A73"/>
    <w:rsid w:val="001D6B5F"/>
    <w:rsid w:val="001D6C9A"/>
    <w:rsid w:val="001D6EAB"/>
    <w:rsid w:val="001D6ECC"/>
    <w:rsid w:val="001D6F07"/>
    <w:rsid w:val="001D6F52"/>
    <w:rsid w:val="001D7239"/>
    <w:rsid w:val="001D732B"/>
    <w:rsid w:val="001D74A3"/>
    <w:rsid w:val="001D7637"/>
    <w:rsid w:val="001D76D9"/>
    <w:rsid w:val="001D7783"/>
    <w:rsid w:val="001D7793"/>
    <w:rsid w:val="001D7845"/>
    <w:rsid w:val="001D7B0C"/>
    <w:rsid w:val="001D7C87"/>
    <w:rsid w:val="001D7CFA"/>
    <w:rsid w:val="001E004D"/>
    <w:rsid w:val="001E01B9"/>
    <w:rsid w:val="001E043B"/>
    <w:rsid w:val="001E043F"/>
    <w:rsid w:val="001E04DE"/>
    <w:rsid w:val="001E05C4"/>
    <w:rsid w:val="001E062E"/>
    <w:rsid w:val="001E06CF"/>
    <w:rsid w:val="001E0A08"/>
    <w:rsid w:val="001E0A7B"/>
    <w:rsid w:val="001E0ACC"/>
    <w:rsid w:val="001E0D2B"/>
    <w:rsid w:val="001E0F4E"/>
    <w:rsid w:val="001E0FCE"/>
    <w:rsid w:val="001E1026"/>
    <w:rsid w:val="001E1076"/>
    <w:rsid w:val="001E107A"/>
    <w:rsid w:val="001E10E4"/>
    <w:rsid w:val="001E120A"/>
    <w:rsid w:val="001E1287"/>
    <w:rsid w:val="001E12BD"/>
    <w:rsid w:val="001E161E"/>
    <w:rsid w:val="001E1693"/>
    <w:rsid w:val="001E184A"/>
    <w:rsid w:val="001E184F"/>
    <w:rsid w:val="001E194D"/>
    <w:rsid w:val="001E1960"/>
    <w:rsid w:val="001E1981"/>
    <w:rsid w:val="001E1B8E"/>
    <w:rsid w:val="001E1BFF"/>
    <w:rsid w:val="001E1CB2"/>
    <w:rsid w:val="001E1CCC"/>
    <w:rsid w:val="001E1D91"/>
    <w:rsid w:val="001E1E15"/>
    <w:rsid w:val="001E1EA8"/>
    <w:rsid w:val="001E1F1C"/>
    <w:rsid w:val="001E20A3"/>
    <w:rsid w:val="001E2166"/>
    <w:rsid w:val="001E2216"/>
    <w:rsid w:val="001E2232"/>
    <w:rsid w:val="001E2237"/>
    <w:rsid w:val="001E226D"/>
    <w:rsid w:val="001E24BE"/>
    <w:rsid w:val="001E2535"/>
    <w:rsid w:val="001E2584"/>
    <w:rsid w:val="001E2653"/>
    <w:rsid w:val="001E26A9"/>
    <w:rsid w:val="001E26BC"/>
    <w:rsid w:val="001E26EE"/>
    <w:rsid w:val="001E2813"/>
    <w:rsid w:val="001E2839"/>
    <w:rsid w:val="001E2933"/>
    <w:rsid w:val="001E2944"/>
    <w:rsid w:val="001E2981"/>
    <w:rsid w:val="001E2A1F"/>
    <w:rsid w:val="001E2B22"/>
    <w:rsid w:val="001E2BC8"/>
    <w:rsid w:val="001E2E48"/>
    <w:rsid w:val="001E3116"/>
    <w:rsid w:val="001E3145"/>
    <w:rsid w:val="001E319A"/>
    <w:rsid w:val="001E31A7"/>
    <w:rsid w:val="001E3280"/>
    <w:rsid w:val="001E32D1"/>
    <w:rsid w:val="001E3358"/>
    <w:rsid w:val="001E33A0"/>
    <w:rsid w:val="001E3536"/>
    <w:rsid w:val="001E353E"/>
    <w:rsid w:val="001E35E6"/>
    <w:rsid w:val="001E376C"/>
    <w:rsid w:val="001E3926"/>
    <w:rsid w:val="001E39DF"/>
    <w:rsid w:val="001E3A1D"/>
    <w:rsid w:val="001E3A7D"/>
    <w:rsid w:val="001E3D94"/>
    <w:rsid w:val="001E3E52"/>
    <w:rsid w:val="001E3F02"/>
    <w:rsid w:val="001E4031"/>
    <w:rsid w:val="001E4066"/>
    <w:rsid w:val="001E411C"/>
    <w:rsid w:val="001E41CC"/>
    <w:rsid w:val="001E4227"/>
    <w:rsid w:val="001E43A4"/>
    <w:rsid w:val="001E4457"/>
    <w:rsid w:val="001E453B"/>
    <w:rsid w:val="001E453E"/>
    <w:rsid w:val="001E4553"/>
    <w:rsid w:val="001E45C3"/>
    <w:rsid w:val="001E46B3"/>
    <w:rsid w:val="001E49EF"/>
    <w:rsid w:val="001E4ADD"/>
    <w:rsid w:val="001E4D93"/>
    <w:rsid w:val="001E4DCE"/>
    <w:rsid w:val="001E4F00"/>
    <w:rsid w:val="001E5166"/>
    <w:rsid w:val="001E51BB"/>
    <w:rsid w:val="001E51C0"/>
    <w:rsid w:val="001E5214"/>
    <w:rsid w:val="001E52BA"/>
    <w:rsid w:val="001E53C1"/>
    <w:rsid w:val="001E55EE"/>
    <w:rsid w:val="001E5833"/>
    <w:rsid w:val="001E599A"/>
    <w:rsid w:val="001E5CC5"/>
    <w:rsid w:val="001E5D0F"/>
    <w:rsid w:val="001E5E32"/>
    <w:rsid w:val="001E60D6"/>
    <w:rsid w:val="001E6184"/>
    <w:rsid w:val="001E6225"/>
    <w:rsid w:val="001E6237"/>
    <w:rsid w:val="001E6240"/>
    <w:rsid w:val="001E625D"/>
    <w:rsid w:val="001E62CE"/>
    <w:rsid w:val="001E6337"/>
    <w:rsid w:val="001E6379"/>
    <w:rsid w:val="001E6518"/>
    <w:rsid w:val="001E6660"/>
    <w:rsid w:val="001E67AB"/>
    <w:rsid w:val="001E68C2"/>
    <w:rsid w:val="001E698B"/>
    <w:rsid w:val="001E69D7"/>
    <w:rsid w:val="001E6A5D"/>
    <w:rsid w:val="001E6AD8"/>
    <w:rsid w:val="001E6B12"/>
    <w:rsid w:val="001E6B54"/>
    <w:rsid w:val="001E6C78"/>
    <w:rsid w:val="001E6D66"/>
    <w:rsid w:val="001E6E1E"/>
    <w:rsid w:val="001E6F3E"/>
    <w:rsid w:val="001E716A"/>
    <w:rsid w:val="001E719C"/>
    <w:rsid w:val="001E725C"/>
    <w:rsid w:val="001E72FA"/>
    <w:rsid w:val="001E74E4"/>
    <w:rsid w:val="001E7571"/>
    <w:rsid w:val="001E7672"/>
    <w:rsid w:val="001E76CC"/>
    <w:rsid w:val="001E76DB"/>
    <w:rsid w:val="001E771B"/>
    <w:rsid w:val="001E7781"/>
    <w:rsid w:val="001E7923"/>
    <w:rsid w:val="001E7AD2"/>
    <w:rsid w:val="001E7B0F"/>
    <w:rsid w:val="001E7B67"/>
    <w:rsid w:val="001E7DAB"/>
    <w:rsid w:val="001E7DBC"/>
    <w:rsid w:val="001E7EC0"/>
    <w:rsid w:val="001E7EE9"/>
    <w:rsid w:val="001E7FD2"/>
    <w:rsid w:val="001E7FDE"/>
    <w:rsid w:val="001F0000"/>
    <w:rsid w:val="001F013D"/>
    <w:rsid w:val="001F0361"/>
    <w:rsid w:val="001F04A3"/>
    <w:rsid w:val="001F04B5"/>
    <w:rsid w:val="001F04BC"/>
    <w:rsid w:val="001F0516"/>
    <w:rsid w:val="001F0846"/>
    <w:rsid w:val="001F09F0"/>
    <w:rsid w:val="001F0A72"/>
    <w:rsid w:val="001F0B40"/>
    <w:rsid w:val="001F0B85"/>
    <w:rsid w:val="001F0B8C"/>
    <w:rsid w:val="001F0BCB"/>
    <w:rsid w:val="001F0BCD"/>
    <w:rsid w:val="001F0BFF"/>
    <w:rsid w:val="001F0F15"/>
    <w:rsid w:val="001F0F19"/>
    <w:rsid w:val="001F0FC8"/>
    <w:rsid w:val="001F1015"/>
    <w:rsid w:val="001F1023"/>
    <w:rsid w:val="001F122F"/>
    <w:rsid w:val="001F1334"/>
    <w:rsid w:val="001F1340"/>
    <w:rsid w:val="001F148A"/>
    <w:rsid w:val="001F15B8"/>
    <w:rsid w:val="001F16A4"/>
    <w:rsid w:val="001F16C7"/>
    <w:rsid w:val="001F177C"/>
    <w:rsid w:val="001F17F7"/>
    <w:rsid w:val="001F1914"/>
    <w:rsid w:val="001F1923"/>
    <w:rsid w:val="001F19C2"/>
    <w:rsid w:val="001F1AB8"/>
    <w:rsid w:val="001F1B2C"/>
    <w:rsid w:val="001F1C39"/>
    <w:rsid w:val="001F1C46"/>
    <w:rsid w:val="001F1F56"/>
    <w:rsid w:val="001F2038"/>
    <w:rsid w:val="001F208E"/>
    <w:rsid w:val="001F21F2"/>
    <w:rsid w:val="001F2260"/>
    <w:rsid w:val="001F22E1"/>
    <w:rsid w:val="001F2305"/>
    <w:rsid w:val="001F2513"/>
    <w:rsid w:val="001F2585"/>
    <w:rsid w:val="001F2638"/>
    <w:rsid w:val="001F26A9"/>
    <w:rsid w:val="001F27AD"/>
    <w:rsid w:val="001F2881"/>
    <w:rsid w:val="001F29B5"/>
    <w:rsid w:val="001F29E4"/>
    <w:rsid w:val="001F2B2A"/>
    <w:rsid w:val="001F2C09"/>
    <w:rsid w:val="001F2D4D"/>
    <w:rsid w:val="001F2D4F"/>
    <w:rsid w:val="001F2EF8"/>
    <w:rsid w:val="001F3237"/>
    <w:rsid w:val="001F33FF"/>
    <w:rsid w:val="001F3A26"/>
    <w:rsid w:val="001F3A61"/>
    <w:rsid w:val="001F3BFF"/>
    <w:rsid w:val="001F3C22"/>
    <w:rsid w:val="001F3DAE"/>
    <w:rsid w:val="001F3DC1"/>
    <w:rsid w:val="001F3EA1"/>
    <w:rsid w:val="001F3F54"/>
    <w:rsid w:val="001F435F"/>
    <w:rsid w:val="001F440C"/>
    <w:rsid w:val="001F454D"/>
    <w:rsid w:val="001F4AC3"/>
    <w:rsid w:val="001F4DCA"/>
    <w:rsid w:val="001F4DFF"/>
    <w:rsid w:val="001F4E40"/>
    <w:rsid w:val="001F4EAE"/>
    <w:rsid w:val="001F4EB5"/>
    <w:rsid w:val="001F503C"/>
    <w:rsid w:val="001F50D4"/>
    <w:rsid w:val="001F5260"/>
    <w:rsid w:val="001F537B"/>
    <w:rsid w:val="001F55A9"/>
    <w:rsid w:val="001F5614"/>
    <w:rsid w:val="001F5A0A"/>
    <w:rsid w:val="001F5C1F"/>
    <w:rsid w:val="001F5C6C"/>
    <w:rsid w:val="001F5CE8"/>
    <w:rsid w:val="001F5DE1"/>
    <w:rsid w:val="001F5F40"/>
    <w:rsid w:val="001F5F8D"/>
    <w:rsid w:val="001F5FD9"/>
    <w:rsid w:val="001F607D"/>
    <w:rsid w:val="001F60AA"/>
    <w:rsid w:val="001F61E9"/>
    <w:rsid w:val="001F6265"/>
    <w:rsid w:val="001F6297"/>
    <w:rsid w:val="001F638E"/>
    <w:rsid w:val="001F649F"/>
    <w:rsid w:val="001F64CE"/>
    <w:rsid w:val="001F65E0"/>
    <w:rsid w:val="001F660F"/>
    <w:rsid w:val="001F66BC"/>
    <w:rsid w:val="001F68C2"/>
    <w:rsid w:val="001F68FA"/>
    <w:rsid w:val="001F6AA4"/>
    <w:rsid w:val="001F6D0F"/>
    <w:rsid w:val="001F6D2A"/>
    <w:rsid w:val="001F6D57"/>
    <w:rsid w:val="001F6D6D"/>
    <w:rsid w:val="001F6DD2"/>
    <w:rsid w:val="001F6DE2"/>
    <w:rsid w:val="001F6F51"/>
    <w:rsid w:val="001F70BC"/>
    <w:rsid w:val="001F7117"/>
    <w:rsid w:val="001F71B2"/>
    <w:rsid w:val="001F7602"/>
    <w:rsid w:val="001F771E"/>
    <w:rsid w:val="001F787E"/>
    <w:rsid w:val="001F7A3A"/>
    <w:rsid w:val="001F7A42"/>
    <w:rsid w:val="001F7B62"/>
    <w:rsid w:val="001F7C7F"/>
    <w:rsid w:val="001F7DB4"/>
    <w:rsid w:val="001F7E47"/>
    <w:rsid w:val="0020002C"/>
    <w:rsid w:val="0020013A"/>
    <w:rsid w:val="002001AC"/>
    <w:rsid w:val="002001DF"/>
    <w:rsid w:val="00200256"/>
    <w:rsid w:val="002002AF"/>
    <w:rsid w:val="002002F4"/>
    <w:rsid w:val="0020036E"/>
    <w:rsid w:val="0020055F"/>
    <w:rsid w:val="00200804"/>
    <w:rsid w:val="00200928"/>
    <w:rsid w:val="00200947"/>
    <w:rsid w:val="00200A1F"/>
    <w:rsid w:val="00200A8F"/>
    <w:rsid w:val="00200C36"/>
    <w:rsid w:val="00200D52"/>
    <w:rsid w:val="00200DCC"/>
    <w:rsid w:val="00200F5F"/>
    <w:rsid w:val="0020101E"/>
    <w:rsid w:val="00201064"/>
    <w:rsid w:val="002013EE"/>
    <w:rsid w:val="00201407"/>
    <w:rsid w:val="00201418"/>
    <w:rsid w:val="002014C5"/>
    <w:rsid w:val="002014F3"/>
    <w:rsid w:val="00201665"/>
    <w:rsid w:val="0020166C"/>
    <w:rsid w:val="002016A9"/>
    <w:rsid w:val="002017CE"/>
    <w:rsid w:val="0020183D"/>
    <w:rsid w:val="0020185B"/>
    <w:rsid w:val="00201A88"/>
    <w:rsid w:val="00201AC4"/>
    <w:rsid w:val="00201BE5"/>
    <w:rsid w:val="00201C18"/>
    <w:rsid w:val="00201EE3"/>
    <w:rsid w:val="00201F28"/>
    <w:rsid w:val="00202024"/>
    <w:rsid w:val="002021C4"/>
    <w:rsid w:val="00202469"/>
    <w:rsid w:val="00202653"/>
    <w:rsid w:val="00202942"/>
    <w:rsid w:val="00202A41"/>
    <w:rsid w:val="00202AD7"/>
    <w:rsid w:val="00202ADC"/>
    <w:rsid w:val="00202B03"/>
    <w:rsid w:val="00202B3C"/>
    <w:rsid w:val="00202C45"/>
    <w:rsid w:val="00202D52"/>
    <w:rsid w:val="00202FA1"/>
    <w:rsid w:val="0020313D"/>
    <w:rsid w:val="0020323F"/>
    <w:rsid w:val="0020327E"/>
    <w:rsid w:val="00203354"/>
    <w:rsid w:val="00203427"/>
    <w:rsid w:val="002035CD"/>
    <w:rsid w:val="0020362F"/>
    <w:rsid w:val="00203811"/>
    <w:rsid w:val="0020394B"/>
    <w:rsid w:val="0020395C"/>
    <w:rsid w:val="00203A12"/>
    <w:rsid w:val="00203A26"/>
    <w:rsid w:val="00203A80"/>
    <w:rsid w:val="00203C05"/>
    <w:rsid w:val="00203CD9"/>
    <w:rsid w:val="00203F10"/>
    <w:rsid w:val="00204424"/>
    <w:rsid w:val="002044C6"/>
    <w:rsid w:val="00204509"/>
    <w:rsid w:val="0020467B"/>
    <w:rsid w:val="00204760"/>
    <w:rsid w:val="00204831"/>
    <w:rsid w:val="002049AB"/>
    <w:rsid w:val="00204A90"/>
    <w:rsid w:val="00204BAF"/>
    <w:rsid w:val="00204CD8"/>
    <w:rsid w:val="00204D04"/>
    <w:rsid w:val="00204E00"/>
    <w:rsid w:val="00205013"/>
    <w:rsid w:val="00205075"/>
    <w:rsid w:val="002050F3"/>
    <w:rsid w:val="00205132"/>
    <w:rsid w:val="00205145"/>
    <w:rsid w:val="002051B0"/>
    <w:rsid w:val="00205344"/>
    <w:rsid w:val="002053A6"/>
    <w:rsid w:val="00205558"/>
    <w:rsid w:val="00205693"/>
    <w:rsid w:val="002056AE"/>
    <w:rsid w:val="0020573B"/>
    <w:rsid w:val="00205769"/>
    <w:rsid w:val="002057E8"/>
    <w:rsid w:val="00205864"/>
    <w:rsid w:val="002058AC"/>
    <w:rsid w:val="00205AA1"/>
    <w:rsid w:val="00205D19"/>
    <w:rsid w:val="00205D94"/>
    <w:rsid w:val="00205DA8"/>
    <w:rsid w:val="00205DC3"/>
    <w:rsid w:val="00205DD1"/>
    <w:rsid w:val="00205DDC"/>
    <w:rsid w:val="00205EBC"/>
    <w:rsid w:val="00205FE7"/>
    <w:rsid w:val="0020611A"/>
    <w:rsid w:val="002061DB"/>
    <w:rsid w:val="00206238"/>
    <w:rsid w:val="0020663E"/>
    <w:rsid w:val="00206682"/>
    <w:rsid w:val="00206821"/>
    <w:rsid w:val="0020687E"/>
    <w:rsid w:val="002068AE"/>
    <w:rsid w:val="002068B2"/>
    <w:rsid w:val="002069BF"/>
    <w:rsid w:val="00206A7F"/>
    <w:rsid w:val="00206C6A"/>
    <w:rsid w:val="00206D38"/>
    <w:rsid w:val="00206E52"/>
    <w:rsid w:val="00207383"/>
    <w:rsid w:val="002073B4"/>
    <w:rsid w:val="002074AA"/>
    <w:rsid w:val="002074CB"/>
    <w:rsid w:val="002075F5"/>
    <w:rsid w:val="0020763B"/>
    <w:rsid w:val="002076B9"/>
    <w:rsid w:val="002076F2"/>
    <w:rsid w:val="002077CD"/>
    <w:rsid w:val="0020792F"/>
    <w:rsid w:val="00207977"/>
    <w:rsid w:val="002079C2"/>
    <w:rsid w:val="002079FD"/>
    <w:rsid w:val="00207B31"/>
    <w:rsid w:val="00207BED"/>
    <w:rsid w:val="00207C6F"/>
    <w:rsid w:val="00207EEE"/>
    <w:rsid w:val="0021007A"/>
    <w:rsid w:val="002101C7"/>
    <w:rsid w:val="002101EE"/>
    <w:rsid w:val="002101F4"/>
    <w:rsid w:val="0021026A"/>
    <w:rsid w:val="0021027B"/>
    <w:rsid w:val="00210461"/>
    <w:rsid w:val="00210640"/>
    <w:rsid w:val="002106C9"/>
    <w:rsid w:val="00210859"/>
    <w:rsid w:val="002108DB"/>
    <w:rsid w:val="00210A42"/>
    <w:rsid w:val="00210A53"/>
    <w:rsid w:val="00210B99"/>
    <w:rsid w:val="00210C20"/>
    <w:rsid w:val="00210CB5"/>
    <w:rsid w:val="00210CC2"/>
    <w:rsid w:val="00210E58"/>
    <w:rsid w:val="00210EC0"/>
    <w:rsid w:val="00210FC5"/>
    <w:rsid w:val="00211081"/>
    <w:rsid w:val="00211102"/>
    <w:rsid w:val="00211240"/>
    <w:rsid w:val="00211282"/>
    <w:rsid w:val="002112B3"/>
    <w:rsid w:val="002113EA"/>
    <w:rsid w:val="0021141E"/>
    <w:rsid w:val="00211746"/>
    <w:rsid w:val="0021180D"/>
    <w:rsid w:val="00211879"/>
    <w:rsid w:val="002118AD"/>
    <w:rsid w:val="002118FD"/>
    <w:rsid w:val="002119E9"/>
    <w:rsid w:val="00211AE2"/>
    <w:rsid w:val="00211AE6"/>
    <w:rsid w:val="00211B87"/>
    <w:rsid w:val="00211BF6"/>
    <w:rsid w:val="00211CDC"/>
    <w:rsid w:val="00211DF9"/>
    <w:rsid w:val="00211E02"/>
    <w:rsid w:val="002120A3"/>
    <w:rsid w:val="00212310"/>
    <w:rsid w:val="00212362"/>
    <w:rsid w:val="00212471"/>
    <w:rsid w:val="0021248C"/>
    <w:rsid w:val="0021248D"/>
    <w:rsid w:val="002124CC"/>
    <w:rsid w:val="002126A4"/>
    <w:rsid w:val="00212750"/>
    <w:rsid w:val="0021275B"/>
    <w:rsid w:val="00212795"/>
    <w:rsid w:val="002127DE"/>
    <w:rsid w:val="0021288B"/>
    <w:rsid w:val="002129DA"/>
    <w:rsid w:val="00212A61"/>
    <w:rsid w:val="00212A7C"/>
    <w:rsid w:val="00212EB3"/>
    <w:rsid w:val="00213180"/>
    <w:rsid w:val="00213223"/>
    <w:rsid w:val="00213237"/>
    <w:rsid w:val="002132E8"/>
    <w:rsid w:val="00213396"/>
    <w:rsid w:val="00213586"/>
    <w:rsid w:val="00213695"/>
    <w:rsid w:val="002136A7"/>
    <w:rsid w:val="00213789"/>
    <w:rsid w:val="002137D8"/>
    <w:rsid w:val="0021384F"/>
    <w:rsid w:val="002138E9"/>
    <w:rsid w:val="002139DB"/>
    <w:rsid w:val="002139FB"/>
    <w:rsid w:val="00213B0A"/>
    <w:rsid w:val="00213B22"/>
    <w:rsid w:val="00213C0A"/>
    <w:rsid w:val="00213CEB"/>
    <w:rsid w:val="00213D76"/>
    <w:rsid w:val="00213DFB"/>
    <w:rsid w:val="00213E60"/>
    <w:rsid w:val="002142F4"/>
    <w:rsid w:val="002143C2"/>
    <w:rsid w:val="0021440B"/>
    <w:rsid w:val="0021444A"/>
    <w:rsid w:val="00214593"/>
    <w:rsid w:val="00214785"/>
    <w:rsid w:val="00214928"/>
    <w:rsid w:val="0021495C"/>
    <w:rsid w:val="002149BA"/>
    <w:rsid w:val="00214A43"/>
    <w:rsid w:val="00214B6D"/>
    <w:rsid w:val="002151DE"/>
    <w:rsid w:val="0021547C"/>
    <w:rsid w:val="00215500"/>
    <w:rsid w:val="00215864"/>
    <w:rsid w:val="00215939"/>
    <w:rsid w:val="00215D6A"/>
    <w:rsid w:val="00215FCE"/>
    <w:rsid w:val="002161C1"/>
    <w:rsid w:val="0021632A"/>
    <w:rsid w:val="0021646A"/>
    <w:rsid w:val="002166A2"/>
    <w:rsid w:val="002166BF"/>
    <w:rsid w:val="0021675A"/>
    <w:rsid w:val="002169F5"/>
    <w:rsid w:val="002169F6"/>
    <w:rsid w:val="00216ADE"/>
    <w:rsid w:val="00216C6E"/>
    <w:rsid w:val="00216D25"/>
    <w:rsid w:val="00216E06"/>
    <w:rsid w:val="00216F85"/>
    <w:rsid w:val="00217024"/>
    <w:rsid w:val="002170DA"/>
    <w:rsid w:val="00217158"/>
    <w:rsid w:val="00217192"/>
    <w:rsid w:val="0021731D"/>
    <w:rsid w:val="002173D2"/>
    <w:rsid w:val="0021741D"/>
    <w:rsid w:val="00217427"/>
    <w:rsid w:val="00217486"/>
    <w:rsid w:val="0021775F"/>
    <w:rsid w:val="00217848"/>
    <w:rsid w:val="00217890"/>
    <w:rsid w:val="002179CF"/>
    <w:rsid w:val="00217CAF"/>
    <w:rsid w:val="00217D13"/>
    <w:rsid w:val="0022001B"/>
    <w:rsid w:val="002201F2"/>
    <w:rsid w:val="00220214"/>
    <w:rsid w:val="0022027C"/>
    <w:rsid w:val="00220288"/>
    <w:rsid w:val="0022050F"/>
    <w:rsid w:val="00220731"/>
    <w:rsid w:val="00220A2B"/>
    <w:rsid w:val="00220A36"/>
    <w:rsid w:val="00220A99"/>
    <w:rsid w:val="00220AEC"/>
    <w:rsid w:val="00220B46"/>
    <w:rsid w:val="00220BC1"/>
    <w:rsid w:val="00220C64"/>
    <w:rsid w:val="00220D11"/>
    <w:rsid w:val="00220D67"/>
    <w:rsid w:val="00220D74"/>
    <w:rsid w:val="00220DD9"/>
    <w:rsid w:val="00220E0F"/>
    <w:rsid w:val="00220EBA"/>
    <w:rsid w:val="00220F1E"/>
    <w:rsid w:val="00220FF6"/>
    <w:rsid w:val="0022121B"/>
    <w:rsid w:val="002214FB"/>
    <w:rsid w:val="002215FD"/>
    <w:rsid w:val="002216FF"/>
    <w:rsid w:val="0022181E"/>
    <w:rsid w:val="002218BB"/>
    <w:rsid w:val="00221A0E"/>
    <w:rsid w:val="00221B6E"/>
    <w:rsid w:val="00221BCC"/>
    <w:rsid w:val="00221C4E"/>
    <w:rsid w:val="00221DC1"/>
    <w:rsid w:val="00221E96"/>
    <w:rsid w:val="002221AE"/>
    <w:rsid w:val="00222280"/>
    <w:rsid w:val="002224CD"/>
    <w:rsid w:val="00222570"/>
    <w:rsid w:val="002225D1"/>
    <w:rsid w:val="002225DD"/>
    <w:rsid w:val="0022265B"/>
    <w:rsid w:val="00222777"/>
    <w:rsid w:val="002227C8"/>
    <w:rsid w:val="0022284C"/>
    <w:rsid w:val="0022296A"/>
    <w:rsid w:val="00222A02"/>
    <w:rsid w:val="00222A6B"/>
    <w:rsid w:val="00222A9B"/>
    <w:rsid w:val="00222B3E"/>
    <w:rsid w:val="00222C91"/>
    <w:rsid w:val="00222D34"/>
    <w:rsid w:val="00222DA7"/>
    <w:rsid w:val="00222F79"/>
    <w:rsid w:val="00222FEE"/>
    <w:rsid w:val="0022306A"/>
    <w:rsid w:val="00223075"/>
    <w:rsid w:val="0022317C"/>
    <w:rsid w:val="00223251"/>
    <w:rsid w:val="00223360"/>
    <w:rsid w:val="002234C7"/>
    <w:rsid w:val="0022386B"/>
    <w:rsid w:val="00223A24"/>
    <w:rsid w:val="00223B73"/>
    <w:rsid w:val="00223B95"/>
    <w:rsid w:val="00223BB0"/>
    <w:rsid w:val="00223BD9"/>
    <w:rsid w:val="00223C46"/>
    <w:rsid w:val="00223D54"/>
    <w:rsid w:val="00223E4D"/>
    <w:rsid w:val="00224227"/>
    <w:rsid w:val="002242C6"/>
    <w:rsid w:val="00224341"/>
    <w:rsid w:val="0022434F"/>
    <w:rsid w:val="002244EC"/>
    <w:rsid w:val="0022453F"/>
    <w:rsid w:val="00224549"/>
    <w:rsid w:val="0022457F"/>
    <w:rsid w:val="00224586"/>
    <w:rsid w:val="002246B0"/>
    <w:rsid w:val="002247CC"/>
    <w:rsid w:val="002247FE"/>
    <w:rsid w:val="002248C2"/>
    <w:rsid w:val="00224A40"/>
    <w:rsid w:val="00224DA9"/>
    <w:rsid w:val="00224F31"/>
    <w:rsid w:val="0022534F"/>
    <w:rsid w:val="002253C1"/>
    <w:rsid w:val="0022548F"/>
    <w:rsid w:val="00225525"/>
    <w:rsid w:val="00225561"/>
    <w:rsid w:val="002256C2"/>
    <w:rsid w:val="0022572A"/>
    <w:rsid w:val="002257EC"/>
    <w:rsid w:val="0022583B"/>
    <w:rsid w:val="00225941"/>
    <w:rsid w:val="00225A46"/>
    <w:rsid w:val="00225B00"/>
    <w:rsid w:val="00225C0A"/>
    <w:rsid w:val="00225C0B"/>
    <w:rsid w:val="00225C42"/>
    <w:rsid w:val="00225C60"/>
    <w:rsid w:val="00225E2F"/>
    <w:rsid w:val="00225EBA"/>
    <w:rsid w:val="00225EC9"/>
    <w:rsid w:val="00226055"/>
    <w:rsid w:val="00226185"/>
    <w:rsid w:val="002261EE"/>
    <w:rsid w:val="002262B1"/>
    <w:rsid w:val="002263A0"/>
    <w:rsid w:val="002263D7"/>
    <w:rsid w:val="002264E4"/>
    <w:rsid w:val="0022653D"/>
    <w:rsid w:val="0022669E"/>
    <w:rsid w:val="002267E7"/>
    <w:rsid w:val="00226A20"/>
    <w:rsid w:val="00226A75"/>
    <w:rsid w:val="00226B30"/>
    <w:rsid w:val="00226C51"/>
    <w:rsid w:val="00226DDA"/>
    <w:rsid w:val="00226FA4"/>
    <w:rsid w:val="00226FF6"/>
    <w:rsid w:val="002270D3"/>
    <w:rsid w:val="002270DF"/>
    <w:rsid w:val="002270FB"/>
    <w:rsid w:val="00227193"/>
    <w:rsid w:val="002272E1"/>
    <w:rsid w:val="00227464"/>
    <w:rsid w:val="002274D8"/>
    <w:rsid w:val="00227528"/>
    <w:rsid w:val="00227554"/>
    <w:rsid w:val="00227A5B"/>
    <w:rsid w:val="00227BD6"/>
    <w:rsid w:val="00227BED"/>
    <w:rsid w:val="00227E30"/>
    <w:rsid w:val="002300DD"/>
    <w:rsid w:val="0023020A"/>
    <w:rsid w:val="0023020C"/>
    <w:rsid w:val="002303FE"/>
    <w:rsid w:val="002304AF"/>
    <w:rsid w:val="0023055D"/>
    <w:rsid w:val="002305AD"/>
    <w:rsid w:val="00230689"/>
    <w:rsid w:val="00230694"/>
    <w:rsid w:val="002307C2"/>
    <w:rsid w:val="0023093B"/>
    <w:rsid w:val="00230984"/>
    <w:rsid w:val="00230A23"/>
    <w:rsid w:val="00230ACF"/>
    <w:rsid w:val="00230B38"/>
    <w:rsid w:val="00230B3D"/>
    <w:rsid w:val="00230D3E"/>
    <w:rsid w:val="00230D6C"/>
    <w:rsid w:val="00230DB7"/>
    <w:rsid w:val="00230DDF"/>
    <w:rsid w:val="00230DE1"/>
    <w:rsid w:val="00230F3C"/>
    <w:rsid w:val="00230FB7"/>
    <w:rsid w:val="00231019"/>
    <w:rsid w:val="002311E4"/>
    <w:rsid w:val="0023125A"/>
    <w:rsid w:val="00231400"/>
    <w:rsid w:val="0023149E"/>
    <w:rsid w:val="00231507"/>
    <w:rsid w:val="00231548"/>
    <w:rsid w:val="00231729"/>
    <w:rsid w:val="002317FA"/>
    <w:rsid w:val="00231907"/>
    <w:rsid w:val="002319E4"/>
    <w:rsid w:val="00231A20"/>
    <w:rsid w:val="00231B5B"/>
    <w:rsid w:val="00231CF5"/>
    <w:rsid w:val="00231D06"/>
    <w:rsid w:val="00231D2C"/>
    <w:rsid w:val="00231E72"/>
    <w:rsid w:val="002320C7"/>
    <w:rsid w:val="002320EF"/>
    <w:rsid w:val="0023213F"/>
    <w:rsid w:val="0023216D"/>
    <w:rsid w:val="002321E0"/>
    <w:rsid w:val="00232218"/>
    <w:rsid w:val="00232310"/>
    <w:rsid w:val="00232322"/>
    <w:rsid w:val="002325E8"/>
    <w:rsid w:val="002326E4"/>
    <w:rsid w:val="00232724"/>
    <w:rsid w:val="0023279F"/>
    <w:rsid w:val="002327C5"/>
    <w:rsid w:val="002328AC"/>
    <w:rsid w:val="0023291F"/>
    <w:rsid w:val="0023299C"/>
    <w:rsid w:val="002329CE"/>
    <w:rsid w:val="00232A6A"/>
    <w:rsid w:val="00232AE1"/>
    <w:rsid w:val="00232B67"/>
    <w:rsid w:val="00232BC5"/>
    <w:rsid w:val="00232C40"/>
    <w:rsid w:val="00232D25"/>
    <w:rsid w:val="00232E20"/>
    <w:rsid w:val="00232E33"/>
    <w:rsid w:val="00232F0D"/>
    <w:rsid w:val="00232F70"/>
    <w:rsid w:val="00232F83"/>
    <w:rsid w:val="00232FB8"/>
    <w:rsid w:val="00232FEB"/>
    <w:rsid w:val="002330CA"/>
    <w:rsid w:val="002330F1"/>
    <w:rsid w:val="002331E2"/>
    <w:rsid w:val="00233286"/>
    <w:rsid w:val="002332BF"/>
    <w:rsid w:val="002332DB"/>
    <w:rsid w:val="002333AB"/>
    <w:rsid w:val="002334DA"/>
    <w:rsid w:val="00233524"/>
    <w:rsid w:val="002336B3"/>
    <w:rsid w:val="00233799"/>
    <w:rsid w:val="002338BE"/>
    <w:rsid w:val="002339CB"/>
    <w:rsid w:val="002339D4"/>
    <w:rsid w:val="00233A87"/>
    <w:rsid w:val="00233ABE"/>
    <w:rsid w:val="00233DFD"/>
    <w:rsid w:val="00233EF5"/>
    <w:rsid w:val="00234172"/>
    <w:rsid w:val="002341CE"/>
    <w:rsid w:val="0023434C"/>
    <w:rsid w:val="002344A0"/>
    <w:rsid w:val="002344A4"/>
    <w:rsid w:val="00234525"/>
    <w:rsid w:val="00234583"/>
    <w:rsid w:val="0023458A"/>
    <w:rsid w:val="002345B1"/>
    <w:rsid w:val="00234719"/>
    <w:rsid w:val="002347EC"/>
    <w:rsid w:val="00234831"/>
    <w:rsid w:val="002348EA"/>
    <w:rsid w:val="0023495B"/>
    <w:rsid w:val="00234A78"/>
    <w:rsid w:val="00234B4A"/>
    <w:rsid w:val="00234C24"/>
    <w:rsid w:val="00234C6F"/>
    <w:rsid w:val="00234DD1"/>
    <w:rsid w:val="00234DDE"/>
    <w:rsid w:val="0023503D"/>
    <w:rsid w:val="002350B3"/>
    <w:rsid w:val="002350C0"/>
    <w:rsid w:val="002350D8"/>
    <w:rsid w:val="002352E9"/>
    <w:rsid w:val="00235417"/>
    <w:rsid w:val="00235889"/>
    <w:rsid w:val="002359AE"/>
    <w:rsid w:val="00235B03"/>
    <w:rsid w:val="00235C0A"/>
    <w:rsid w:val="00235C54"/>
    <w:rsid w:val="00235CA5"/>
    <w:rsid w:val="00235D5C"/>
    <w:rsid w:val="00235D70"/>
    <w:rsid w:val="00235E9A"/>
    <w:rsid w:val="00236121"/>
    <w:rsid w:val="00236278"/>
    <w:rsid w:val="00236310"/>
    <w:rsid w:val="00236426"/>
    <w:rsid w:val="002364A8"/>
    <w:rsid w:val="002364F4"/>
    <w:rsid w:val="002366D6"/>
    <w:rsid w:val="002367F6"/>
    <w:rsid w:val="00236B1B"/>
    <w:rsid w:val="00236BE8"/>
    <w:rsid w:val="00236C50"/>
    <w:rsid w:val="00236C77"/>
    <w:rsid w:val="00236D8E"/>
    <w:rsid w:val="00236EFE"/>
    <w:rsid w:val="00237197"/>
    <w:rsid w:val="002372B7"/>
    <w:rsid w:val="0023749A"/>
    <w:rsid w:val="002374F1"/>
    <w:rsid w:val="00237526"/>
    <w:rsid w:val="00237528"/>
    <w:rsid w:val="00237563"/>
    <w:rsid w:val="00237575"/>
    <w:rsid w:val="00237617"/>
    <w:rsid w:val="00237715"/>
    <w:rsid w:val="00237740"/>
    <w:rsid w:val="002378F4"/>
    <w:rsid w:val="00237985"/>
    <w:rsid w:val="00237AD0"/>
    <w:rsid w:val="00237B26"/>
    <w:rsid w:val="00237C21"/>
    <w:rsid w:val="00237CB0"/>
    <w:rsid w:val="00237D61"/>
    <w:rsid w:val="00237E34"/>
    <w:rsid w:val="00240070"/>
    <w:rsid w:val="002400C5"/>
    <w:rsid w:val="00240117"/>
    <w:rsid w:val="0024013B"/>
    <w:rsid w:val="00240319"/>
    <w:rsid w:val="0024035A"/>
    <w:rsid w:val="002404B2"/>
    <w:rsid w:val="00240526"/>
    <w:rsid w:val="00240634"/>
    <w:rsid w:val="00240646"/>
    <w:rsid w:val="002406A0"/>
    <w:rsid w:val="002407A3"/>
    <w:rsid w:val="0024087A"/>
    <w:rsid w:val="002409F9"/>
    <w:rsid w:val="00240DB0"/>
    <w:rsid w:val="00240E3E"/>
    <w:rsid w:val="00240E67"/>
    <w:rsid w:val="00241028"/>
    <w:rsid w:val="002410FB"/>
    <w:rsid w:val="00241141"/>
    <w:rsid w:val="002411AF"/>
    <w:rsid w:val="002411D7"/>
    <w:rsid w:val="002412E1"/>
    <w:rsid w:val="0024136A"/>
    <w:rsid w:val="002413B2"/>
    <w:rsid w:val="002414C9"/>
    <w:rsid w:val="00241680"/>
    <w:rsid w:val="002416E8"/>
    <w:rsid w:val="002416FE"/>
    <w:rsid w:val="002418CB"/>
    <w:rsid w:val="0024192E"/>
    <w:rsid w:val="00241B51"/>
    <w:rsid w:val="00241B8A"/>
    <w:rsid w:val="00241DE0"/>
    <w:rsid w:val="00241E70"/>
    <w:rsid w:val="00241FF1"/>
    <w:rsid w:val="0024211A"/>
    <w:rsid w:val="002421C9"/>
    <w:rsid w:val="0024220F"/>
    <w:rsid w:val="002422C2"/>
    <w:rsid w:val="00242335"/>
    <w:rsid w:val="002424FD"/>
    <w:rsid w:val="00242877"/>
    <w:rsid w:val="002428CD"/>
    <w:rsid w:val="00242931"/>
    <w:rsid w:val="00242C81"/>
    <w:rsid w:val="00242CAC"/>
    <w:rsid w:val="00242D71"/>
    <w:rsid w:val="00242E4E"/>
    <w:rsid w:val="00242F15"/>
    <w:rsid w:val="002435D2"/>
    <w:rsid w:val="002436E6"/>
    <w:rsid w:val="002437AF"/>
    <w:rsid w:val="00243892"/>
    <w:rsid w:val="002438A2"/>
    <w:rsid w:val="00243985"/>
    <w:rsid w:val="002439FB"/>
    <w:rsid w:val="00243A9B"/>
    <w:rsid w:val="00243AA6"/>
    <w:rsid w:val="00243AC0"/>
    <w:rsid w:val="00243BA3"/>
    <w:rsid w:val="00243C0D"/>
    <w:rsid w:val="00243C8C"/>
    <w:rsid w:val="00243DE8"/>
    <w:rsid w:val="00243DF5"/>
    <w:rsid w:val="00243F65"/>
    <w:rsid w:val="0024405E"/>
    <w:rsid w:val="002440AC"/>
    <w:rsid w:val="002441ED"/>
    <w:rsid w:val="002445D5"/>
    <w:rsid w:val="002446C3"/>
    <w:rsid w:val="002446C6"/>
    <w:rsid w:val="0024488E"/>
    <w:rsid w:val="002448CC"/>
    <w:rsid w:val="00244948"/>
    <w:rsid w:val="00244A97"/>
    <w:rsid w:val="00244AB3"/>
    <w:rsid w:val="00244AE5"/>
    <w:rsid w:val="00244B08"/>
    <w:rsid w:val="00244B3D"/>
    <w:rsid w:val="00244C82"/>
    <w:rsid w:val="00244D88"/>
    <w:rsid w:val="00244DC0"/>
    <w:rsid w:val="00244EA0"/>
    <w:rsid w:val="002452D3"/>
    <w:rsid w:val="00245389"/>
    <w:rsid w:val="002454E4"/>
    <w:rsid w:val="00245676"/>
    <w:rsid w:val="002456D2"/>
    <w:rsid w:val="00245922"/>
    <w:rsid w:val="00245A90"/>
    <w:rsid w:val="00245DA3"/>
    <w:rsid w:val="00245E33"/>
    <w:rsid w:val="00245EF9"/>
    <w:rsid w:val="00246156"/>
    <w:rsid w:val="00246184"/>
    <w:rsid w:val="0024620D"/>
    <w:rsid w:val="00246247"/>
    <w:rsid w:val="00246272"/>
    <w:rsid w:val="002463A8"/>
    <w:rsid w:val="00246410"/>
    <w:rsid w:val="0024641D"/>
    <w:rsid w:val="002464C2"/>
    <w:rsid w:val="0024653E"/>
    <w:rsid w:val="00246642"/>
    <w:rsid w:val="00246663"/>
    <w:rsid w:val="0024667D"/>
    <w:rsid w:val="00246799"/>
    <w:rsid w:val="0024679F"/>
    <w:rsid w:val="002467E4"/>
    <w:rsid w:val="00246821"/>
    <w:rsid w:val="00246B66"/>
    <w:rsid w:val="00246C51"/>
    <w:rsid w:val="00246C8C"/>
    <w:rsid w:val="00246CA3"/>
    <w:rsid w:val="00246CF5"/>
    <w:rsid w:val="00246F9D"/>
    <w:rsid w:val="00247066"/>
    <w:rsid w:val="00247168"/>
    <w:rsid w:val="0024731B"/>
    <w:rsid w:val="00247335"/>
    <w:rsid w:val="0024734D"/>
    <w:rsid w:val="002473A5"/>
    <w:rsid w:val="002475E4"/>
    <w:rsid w:val="0024763D"/>
    <w:rsid w:val="002479DF"/>
    <w:rsid w:val="00247B73"/>
    <w:rsid w:val="00247F5A"/>
    <w:rsid w:val="002483D3"/>
    <w:rsid w:val="0025000A"/>
    <w:rsid w:val="00250029"/>
    <w:rsid w:val="002500D4"/>
    <w:rsid w:val="002500D8"/>
    <w:rsid w:val="0025014F"/>
    <w:rsid w:val="00250266"/>
    <w:rsid w:val="00250657"/>
    <w:rsid w:val="0025066D"/>
    <w:rsid w:val="0025076F"/>
    <w:rsid w:val="002507C9"/>
    <w:rsid w:val="002507DA"/>
    <w:rsid w:val="002508BC"/>
    <w:rsid w:val="00250A4C"/>
    <w:rsid w:val="00250AAB"/>
    <w:rsid w:val="00250B97"/>
    <w:rsid w:val="00250C31"/>
    <w:rsid w:val="00250D8D"/>
    <w:rsid w:val="00250DE4"/>
    <w:rsid w:val="00250EAE"/>
    <w:rsid w:val="00250EEC"/>
    <w:rsid w:val="00250F00"/>
    <w:rsid w:val="00250F43"/>
    <w:rsid w:val="0025110F"/>
    <w:rsid w:val="00251244"/>
    <w:rsid w:val="0025125F"/>
    <w:rsid w:val="00251288"/>
    <w:rsid w:val="00251295"/>
    <w:rsid w:val="0025132E"/>
    <w:rsid w:val="00251349"/>
    <w:rsid w:val="0025151E"/>
    <w:rsid w:val="00251627"/>
    <w:rsid w:val="0025175A"/>
    <w:rsid w:val="0025181C"/>
    <w:rsid w:val="00251977"/>
    <w:rsid w:val="002519F8"/>
    <w:rsid w:val="00251A0E"/>
    <w:rsid w:val="00251AB6"/>
    <w:rsid w:val="00251B59"/>
    <w:rsid w:val="00251BEB"/>
    <w:rsid w:val="00251CA4"/>
    <w:rsid w:val="00251CFD"/>
    <w:rsid w:val="00251D23"/>
    <w:rsid w:val="002520E5"/>
    <w:rsid w:val="002520EE"/>
    <w:rsid w:val="00252372"/>
    <w:rsid w:val="002523E8"/>
    <w:rsid w:val="002525DC"/>
    <w:rsid w:val="0025276D"/>
    <w:rsid w:val="002528BA"/>
    <w:rsid w:val="0025294F"/>
    <w:rsid w:val="00252976"/>
    <w:rsid w:val="002529E4"/>
    <w:rsid w:val="00252A7D"/>
    <w:rsid w:val="00252BB7"/>
    <w:rsid w:val="00252CFE"/>
    <w:rsid w:val="00252EBC"/>
    <w:rsid w:val="0025300C"/>
    <w:rsid w:val="002533EC"/>
    <w:rsid w:val="0025353D"/>
    <w:rsid w:val="0025355A"/>
    <w:rsid w:val="00253639"/>
    <w:rsid w:val="0025366D"/>
    <w:rsid w:val="00253674"/>
    <w:rsid w:val="00253723"/>
    <w:rsid w:val="002538BF"/>
    <w:rsid w:val="00253913"/>
    <w:rsid w:val="00253976"/>
    <w:rsid w:val="00253B43"/>
    <w:rsid w:val="00253D95"/>
    <w:rsid w:val="00253DB2"/>
    <w:rsid w:val="00253F18"/>
    <w:rsid w:val="00253FBF"/>
    <w:rsid w:val="00254020"/>
    <w:rsid w:val="00254095"/>
    <w:rsid w:val="002540FB"/>
    <w:rsid w:val="0025411B"/>
    <w:rsid w:val="00254225"/>
    <w:rsid w:val="002542EC"/>
    <w:rsid w:val="0025437B"/>
    <w:rsid w:val="00254416"/>
    <w:rsid w:val="002544B7"/>
    <w:rsid w:val="00254745"/>
    <w:rsid w:val="0025480D"/>
    <w:rsid w:val="00254835"/>
    <w:rsid w:val="00254868"/>
    <w:rsid w:val="002548E6"/>
    <w:rsid w:val="00254973"/>
    <w:rsid w:val="00254A61"/>
    <w:rsid w:val="00254C71"/>
    <w:rsid w:val="00254C8C"/>
    <w:rsid w:val="00254E87"/>
    <w:rsid w:val="00254E89"/>
    <w:rsid w:val="00254EEA"/>
    <w:rsid w:val="00254F1B"/>
    <w:rsid w:val="00254FB4"/>
    <w:rsid w:val="00255185"/>
    <w:rsid w:val="002551F1"/>
    <w:rsid w:val="00255311"/>
    <w:rsid w:val="00255327"/>
    <w:rsid w:val="00255417"/>
    <w:rsid w:val="002554DD"/>
    <w:rsid w:val="0025551B"/>
    <w:rsid w:val="002555E5"/>
    <w:rsid w:val="0025585E"/>
    <w:rsid w:val="002558EE"/>
    <w:rsid w:val="00255904"/>
    <w:rsid w:val="00255A71"/>
    <w:rsid w:val="00255B5B"/>
    <w:rsid w:val="00255BE8"/>
    <w:rsid w:val="00255CEC"/>
    <w:rsid w:val="00255D88"/>
    <w:rsid w:val="00255DA3"/>
    <w:rsid w:val="00255DE9"/>
    <w:rsid w:val="00255E60"/>
    <w:rsid w:val="00255EA3"/>
    <w:rsid w:val="00255F6D"/>
    <w:rsid w:val="00255F86"/>
    <w:rsid w:val="00256027"/>
    <w:rsid w:val="00256043"/>
    <w:rsid w:val="0025622B"/>
    <w:rsid w:val="0025625C"/>
    <w:rsid w:val="00256260"/>
    <w:rsid w:val="00256402"/>
    <w:rsid w:val="002564A1"/>
    <w:rsid w:val="0025651D"/>
    <w:rsid w:val="002566A1"/>
    <w:rsid w:val="002568EA"/>
    <w:rsid w:val="002569C6"/>
    <w:rsid w:val="002569DD"/>
    <w:rsid w:val="00256AC2"/>
    <w:rsid w:val="00256FA6"/>
    <w:rsid w:val="002570C5"/>
    <w:rsid w:val="00257195"/>
    <w:rsid w:val="00257206"/>
    <w:rsid w:val="00257215"/>
    <w:rsid w:val="0025736C"/>
    <w:rsid w:val="00257527"/>
    <w:rsid w:val="0025752C"/>
    <w:rsid w:val="002575F7"/>
    <w:rsid w:val="00257673"/>
    <w:rsid w:val="002576AC"/>
    <w:rsid w:val="002577AD"/>
    <w:rsid w:val="00257843"/>
    <w:rsid w:val="0025793D"/>
    <w:rsid w:val="00257A15"/>
    <w:rsid w:val="00257A73"/>
    <w:rsid w:val="00257B99"/>
    <w:rsid w:val="00257D96"/>
    <w:rsid w:val="00257E41"/>
    <w:rsid w:val="00257F46"/>
    <w:rsid w:val="002602E1"/>
    <w:rsid w:val="00260327"/>
    <w:rsid w:val="0026045B"/>
    <w:rsid w:val="002604DB"/>
    <w:rsid w:val="00260533"/>
    <w:rsid w:val="00260563"/>
    <w:rsid w:val="0026058D"/>
    <w:rsid w:val="002605F5"/>
    <w:rsid w:val="00260609"/>
    <w:rsid w:val="002606E5"/>
    <w:rsid w:val="00260785"/>
    <w:rsid w:val="0026089D"/>
    <w:rsid w:val="00260996"/>
    <w:rsid w:val="0026099B"/>
    <w:rsid w:val="00260A5A"/>
    <w:rsid w:val="00260B09"/>
    <w:rsid w:val="00261033"/>
    <w:rsid w:val="00261071"/>
    <w:rsid w:val="0026107D"/>
    <w:rsid w:val="0026108A"/>
    <w:rsid w:val="00261091"/>
    <w:rsid w:val="00261104"/>
    <w:rsid w:val="00261378"/>
    <w:rsid w:val="00261444"/>
    <w:rsid w:val="00261589"/>
    <w:rsid w:val="002615F4"/>
    <w:rsid w:val="00261621"/>
    <w:rsid w:val="00261674"/>
    <w:rsid w:val="0026168D"/>
    <w:rsid w:val="002616CF"/>
    <w:rsid w:val="00261783"/>
    <w:rsid w:val="0026179E"/>
    <w:rsid w:val="002617D5"/>
    <w:rsid w:val="0026195A"/>
    <w:rsid w:val="00261996"/>
    <w:rsid w:val="00261BA1"/>
    <w:rsid w:val="00261CC1"/>
    <w:rsid w:val="00261D14"/>
    <w:rsid w:val="00261D33"/>
    <w:rsid w:val="00261D61"/>
    <w:rsid w:val="00261D78"/>
    <w:rsid w:val="00261EF5"/>
    <w:rsid w:val="00261EFD"/>
    <w:rsid w:val="002620E1"/>
    <w:rsid w:val="002621D8"/>
    <w:rsid w:val="00262304"/>
    <w:rsid w:val="002625C8"/>
    <w:rsid w:val="0026264C"/>
    <w:rsid w:val="00262672"/>
    <w:rsid w:val="0026299A"/>
    <w:rsid w:val="00262A4F"/>
    <w:rsid w:val="00262AB7"/>
    <w:rsid w:val="00262B02"/>
    <w:rsid w:val="00262CA5"/>
    <w:rsid w:val="00262D13"/>
    <w:rsid w:val="00262D4B"/>
    <w:rsid w:val="00263068"/>
    <w:rsid w:val="00263105"/>
    <w:rsid w:val="0026316B"/>
    <w:rsid w:val="00263369"/>
    <w:rsid w:val="002637D5"/>
    <w:rsid w:val="00263831"/>
    <w:rsid w:val="00263881"/>
    <w:rsid w:val="00263A2C"/>
    <w:rsid w:val="00263A8F"/>
    <w:rsid w:val="00263BA0"/>
    <w:rsid w:val="00263C25"/>
    <w:rsid w:val="0026400C"/>
    <w:rsid w:val="00264053"/>
    <w:rsid w:val="002640E1"/>
    <w:rsid w:val="00264228"/>
    <w:rsid w:val="002642D4"/>
    <w:rsid w:val="002643D3"/>
    <w:rsid w:val="00264501"/>
    <w:rsid w:val="00264534"/>
    <w:rsid w:val="00264614"/>
    <w:rsid w:val="0026461C"/>
    <w:rsid w:val="0026467B"/>
    <w:rsid w:val="00264A5C"/>
    <w:rsid w:val="00264BA3"/>
    <w:rsid w:val="00264C99"/>
    <w:rsid w:val="00264CAA"/>
    <w:rsid w:val="00264DB7"/>
    <w:rsid w:val="00264E8D"/>
    <w:rsid w:val="00264EAD"/>
    <w:rsid w:val="00264EE4"/>
    <w:rsid w:val="00264F0C"/>
    <w:rsid w:val="00264F82"/>
    <w:rsid w:val="0026513B"/>
    <w:rsid w:val="0026533D"/>
    <w:rsid w:val="00265378"/>
    <w:rsid w:val="00265462"/>
    <w:rsid w:val="0026551E"/>
    <w:rsid w:val="00265588"/>
    <w:rsid w:val="00265751"/>
    <w:rsid w:val="002657AB"/>
    <w:rsid w:val="002657B0"/>
    <w:rsid w:val="00265AFE"/>
    <w:rsid w:val="00265B2D"/>
    <w:rsid w:val="00265B93"/>
    <w:rsid w:val="00265CC3"/>
    <w:rsid w:val="00265DD1"/>
    <w:rsid w:val="00265F9F"/>
    <w:rsid w:val="00266141"/>
    <w:rsid w:val="00266182"/>
    <w:rsid w:val="002663B4"/>
    <w:rsid w:val="002664A6"/>
    <w:rsid w:val="002664C5"/>
    <w:rsid w:val="0026659E"/>
    <w:rsid w:val="00266604"/>
    <w:rsid w:val="002666A1"/>
    <w:rsid w:val="002666D2"/>
    <w:rsid w:val="0026675C"/>
    <w:rsid w:val="002667E9"/>
    <w:rsid w:val="00266960"/>
    <w:rsid w:val="00266B76"/>
    <w:rsid w:val="00266E3A"/>
    <w:rsid w:val="00266E8B"/>
    <w:rsid w:val="00266F12"/>
    <w:rsid w:val="00266F35"/>
    <w:rsid w:val="00267087"/>
    <w:rsid w:val="00267187"/>
    <w:rsid w:val="002672D1"/>
    <w:rsid w:val="002672D7"/>
    <w:rsid w:val="0026741A"/>
    <w:rsid w:val="0026744D"/>
    <w:rsid w:val="00267573"/>
    <w:rsid w:val="002676A9"/>
    <w:rsid w:val="00267713"/>
    <w:rsid w:val="00267877"/>
    <w:rsid w:val="00267896"/>
    <w:rsid w:val="00267905"/>
    <w:rsid w:val="00267926"/>
    <w:rsid w:val="00267B17"/>
    <w:rsid w:val="00267B95"/>
    <w:rsid w:val="00267C65"/>
    <w:rsid w:val="00267D78"/>
    <w:rsid w:val="00267EE7"/>
    <w:rsid w:val="0027004F"/>
    <w:rsid w:val="00270065"/>
    <w:rsid w:val="0027011D"/>
    <w:rsid w:val="002701F5"/>
    <w:rsid w:val="002702E3"/>
    <w:rsid w:val="002703D8"/>
    <w:rsid w:val="00270406"/>
    <w:rsid w:val="00270450"/>
    <w:rsid w:val="002704C6"/>
    <w:rsid w:val="002704EE"/>
    <w:rsid w:val="00270576"/>
    <w:rsid w:val="002705B8"/>
    <w:rsid w:val="002705EA"/>
    <w:rsid w:val="00270613"/>
    <w:rsid w:val="0027066B"/>
    <w:rsid w:val="0027080D"/>
    <w:rsid w:val="0027083E"/>
    <w:rsid w:val="0027094D"/>
    <w:rsid w:val="00270A0A"/>
    <w:rsid w:val="00270A62"/>
    <w:rsid w:val="00270E69"/>
    <w:rsid w:val="00270FB1"/>
    <w:rsid w:val="0027114B"/>
    <w:rsid w:val="002711EA"/>
    <w:rsid w:val="00271261"/>
    <w:rsid w:val="00271350"/>
    <w:rsid w:val="0027145E"/>
    <w:rsid w:val="002717B9"/>
    <w:rsid w:val="002717CC"/>
    <w:rsid w:val="00271C2F"/>
    <w:rsid w:val="00271D6C"/>
    <w:rsid w:val="00271DF9"/>
    <w:rsid w:val="00271F40"/>
    <w:rsid w:val="00271FFE"/>
    <w:rsid w:val="00272092"/>
    <w:rsid w:val="00272127"/>
    <w:rsid w:val="0027216A"/>
    <w:rsid w:val="00272276"/>
    <w:rsid w:val="0027231A"/>
    <w:rsid w:val="002724AA"/>
    <w:rsid w:val="00272586"/>
    <w:rsid w:val="00272858"/>
    <w:rsid w:val="00272923"/>
    <w:rsid w:val="00272C23"/>
    <w:rsid w:val="00272D06"/>
    <w:rsid w:val="00272D54"/>
    <w:rsid w:val="00272DB5"/>
    <w:rsid w:val="00272E1A"/>
    <w:rsid w:val="00272ED6"/>
    <w:rsid w:val="0027352E"/>
    <w:rsid w:val="0027380C"/>
    <w:rsid w:val="002738D5"/>
    <w:rsid w:val="002738F4"/>
    <w:rsid w:val="002739A4"/>
    <w:rsid w:val="00273AF6"/>
    <w:rsid w:val="00273B22"/>
    <w:rsid w:val="00273C2A"/>
    <w:rsid w:val="00273CAF"/>
    <w:rsid w:val="00273CFF"/>
    <w:rsid w:val="00273F2B"/>
    <w:rsid w:val="00273F7C"/>
    <w:rsid w:val="00274198"/>
    <w:rsid w:val="00274435"/>
    <w:rsid w:val="00274546"/>
    <w:rsid w:val="0027457D"/>
    <w:rsid w:val="0027460E"/>
    <w:rsid w:val="00274651"/>
    <w:rsid w:val="00274816"/>
    <w:rsid w:val="0027484F"/>
    <w:rsid w:val="002748D1"/>
    <w:rsid w:val="00274976"/>
    <w:rsid w:val="002749BC"/>
    <w:rsid w:val="00274B0D"/>
    <w:rsid w:val="00274E8A"/>
    <w:rsid w:val="00274FB5"/>
    <w:rsid w:val="00275020"/>
    <w:rsid w:val="002750BC"/>
    <w:rsid w:val="002750F2"/>
    <w:rsid w:val="0027518C"/>
    <w:rsid w:val="002752DA"/>
    <w:rsid w:val="00275313"/>
    <w:rsid w:val="00275365"/>
    <w:rsid w:val="002753A1"/>
    <w:rsid w:val="00275867"/>
    <w:rsid w:val="002758E2"/>
    <w:rsid w:val="0027594B"/>
    <w:rsid w:val="00275A77"/>
    <w:rsid w:val="00275C81"/>
    <w:rsid w:val="00275D5F"/>
    <w:rsid w:val="00275DC1"/>
    <w:rsid w:val="00275DD2"/>
    <w:rsid w:val="00275E42"/>
    <w:rsid w:val="00275E91"/>
    <w:rsid w:val="00275F21"/>
    <w:rsid w:val="00276010"/>
    <w:rsid w:val="002760E4"/>
    <w:rsid w:val="00276150"/>
    <w:rsid w:val="0027630C"/>
    <w:rsid w:val="0027650D"/>
    <w:rsid w:val="0027650F"/>
    <w:rsid w:val="002765AA"/>
    <w:rsid w:val="00276791"/>
    <w:rsid w:val="002767EA"/>
    <w:rsid w:val="002769B2"/>
    <w:rsid w:val="00276B24"/>
    <w:rsid w:val="00276B54"/>
    <w:rsid w:val="00276BA8"/>
    <w:rsid w:val="00276BB0"/>
    <w:rsid w:val="002770AC"/>
    <w:rsid w:val="00277274"/>
    <w:rsid w:val="002772B6"/>
    <w:rsid w:val="002772E6"/>
    <w:rsid w:val="0027739F"/>
    <w:rsid w:val="002774BD"/>
    <w:rsid w:val="00277879"/>
    <w:rsid w:val="00277966"/>
    <w:rsid w:val="002779CF"/>
    <w:rsid w:val="00277AB1"/>
    <w:rsid w:val="00277B72"/>
    <w:rsid w:val="00277C94"/>
    <w:rsid w:val="00277CC2"/>
    <w:rsid w:val="00277E2D"/>
    <w:rsid w:val="00277E76"/>
    <w:rsid w:val="00277EE7"/>
    <w:rsid w:val="00277F3C"/>
    <w:rsid w:val="00277F54"/>
    <w:rsid w:val="00277F8D"/>
    <w:rsid w:val="002802DE"/>
    <w:rsid w:val="002802EA"/>
    <w:rsid w:val="00280513"/>
    <w:rsid w:val="00280588"/>
    <w:rsid w:val="00280A80"/>
    <w:rsid w:val="00280AD1"/>
    <w:rsid w:val="00280CAD"/>
    <w:rsid w:val="00280CCF"/>
    <w:rsid w:val="00280EC8"/>
    <w:rsid w:val="00280ED4"/>
    <w:rsid w:val="0028106D"/>
    <w:rsid w:val="0028110B"/>
    <w:rsid w:val="00281146"/>
    <w:rsid w:val="002811C3"/>
    <w:rsid w:val="002812C7"/>
    <w:rsid w:val="00281349"/>
    <w:rsid w:val="002813BD"/>
    <w:rsid w:val="002813C7"/>
    <w:rsid w:val="0028144A"/>
    <w:rsid w:val="00281671"/>
    <w:rsid w:val="002816AA"/>
    <w:rsid w:val="002816DB"/>
    <w:rsid w:val="00281712"/>
    <w:rsid w:val="00281746"/>
    <w:rsid w:val="00281762"/>
    <w:rsid w:val="00281931"/>
    <w:rsid w:val="00281C28"/>
    <w:rsid w:val="00281C5C"/>
    <w:rsid w:val="00281C62"/>
    <w:rsid w:val="00281C82"/>
    <w:rsid w:val="00281C92"/>
    <w:rsid w:val="00281D0D"/>
    <w:rsid w:val="00281D5B"/>
    <w:rsid w:val="00281E26"/>
    <w:rsid w:val="00282004"/>
    <w:rsid w:val="00282087"/>
    <w:rsid w:val="0028220D"/>
    <w:rsid w:val="0028225D"/>
    <w:rsid w:val="00282270"/>
    <w:rsid w:val="0028249A"/>
    <w:rsid w:val="0028249C"/>
    <w:rsid w:val="002824AA"/>
    <w:rsid w:val="002824AD"/>
    <w:rsid w:val="002826C4"/>
    <w:rsid w:val="0028274A"/>
    <w:rsid w:val="0028275C"/>
    <w:rsid w:val="00282BE4"/>
    <w:rsid w:val="00282CAD"/>
    <w:rsid w:val="00282CEC"/>
    <w:rsid w:val="00282CF1"/>
    <w:rsid w:val="00282F1B"/>
    <w:rsid w:val="0028307E"/>
    <w:rsid w:val="002830E3"/>
    <w:rsid w:val="0028310B"/>
    <w:rsid w:val="002831D1"/>
    <w:rsid w:val="002832EE"/>
    <w:rsid w:val="002833CD"/>
    <w:rsid w:val="00283729"/>
    <w:rsid w:val="0028373F"/>
    <w:rsid w:val="00283887"/>
    <w:rsid w:val="002838BE"/>
    <w:rsid w:val="00283900"/>
    <w:rsid w:val="00283AF2"/>
    <w:rsid w:val="00283BED"/>
    <w:rsid w:val="00283BFE"/>
    <w:rsid w:val="00283C2A"/>
    <w:rsid w:val="00283D35"/>
    <w:rsid w:val="00283D45"/>
    <w:rsid w:val="00283E81"/>
    <w:rsid w:val="00283E96"/>
    <w:rsid w:val="00283F67"/>
    <w:rsid w:val="0028400F"/>
    <w:rsid w:val="00284239"/>
    <w:rsid w:val="00284317"/>
    <w:rsid w:val="002844B4"/>
    <w:rsid w:val="0028470A"/>
    <w:rsid w:val="002847D4"/>
    <w:rsid w:val="002847D7"/>
    <w:rsid w:val="00284901"/>
    <w:rsid w:val="002849A3"/>
    <w:rsid w:val="002849FB"/>
    <w:rsid w:val="00284A5B"/>
    <w:rsid w:val="00284A79"/>
    <w:rsid w:val="00284D33"/>
    <w:rsid w:val="00284DC4"/>
    <w:rsid w:val="00284E7D"/>
    <w:rsid w:val="00284F5F"/>
    <w:rsid w:val="00285157"/>
    <w:rsid w:val="0028523C"/>
    <w:rsid w:val="002852DD"/>
    <w:rsid w:val="0028531C"/>
    <w:rsid w:val="002853CE"/>
    <w:rsid w:val="0028541E"/>
    <w:rsid w:val="00285428"/>
    <w:rsid w:val="002855BA"/>
    <w:rsid w:val="00285699"/>
    <w:rsid w:val="00285912"/>
    <w:rsid w:val="002859BD"/>
    <w:rsid w:val="00285AC0"/>
    <w:rsid w:val="00285BB2"/>
    <w:rsid w:val="00285C89"/>
    <w:rsid w:val="00285CAC"/>
    <w:rsid w:val="00285CD3"/>
    <w:rsid w:val="00285DE5"/>
    <w:rsid w:val="00285E5B"/>
    <w:rsid w:val="00285E72"/>
    <w:rsid w:val="00285EED"/>
    <w:rsid w:val="00286061"/>
    <w:rsid w:val="002861AB"/>
    <w:rsid w:val="00286235"/>
    <w:rsid w:val="0028625A"/>
    <w:rsid w:val="0028633E"/>
    <w:rsid w:val="002863A1"/>
    <w:rsid w:val="002863D7"/>
    <w:rsid w:val="002865DC"/>
    <w:rsid w:val="002867E9"/>
    <w:rsid w:val="0028692C"/>
    <w:rsid w:val="00286960"/>
    <w:rsid w:val="00286AD9"/>
    <w:rsid w:val="00286C8C"/>
    <w:rsid w:val="00286EDB"/>
    <w:rsid w:val="00286F88"/>
    <w:rsid w:val="00287015"/>
    <w:rsid w:val="002874EE"/>
    <w:rsid w:val="0028768D"/>
    <w:rsid w:val="00287908"/>
    <w:rsid w:val="0028792C"/>
    <w:rsid w:val="002879E6"/>
    <w:rsid w:val="00287ABD"/>
    <w:rsid w:val="00287C08"/>
    <w:rsid w:val="00287CBC"/>
    <w:rsid w:val="00287DB0"/>
    <w:rsid w:val="00287F92"/>
    <w:rsid w:val="00287FA2"/>
    <w:rsid w:val="0029001F"/>
    <w:rsid w:val="002901ED"/>
    <w:rsid w:val="00290369"/>
    <w:rsid w:val="00290651"/>
    <w:rsid w:val="00290663"/>
    <w:rsid w:val="00290698"/>
    <w:rsid w:val="002906C9"/>
    <w:rsid w:val="00290784"/>
    <w:rsid w:val="00290819"/>
    <w:rsid w:val="00290A33"/>
    <w:rsid w:val="00290B73"/>
    <w:rsid w:val="00290B97"/>
    <w:rsid w:val="00290BE9"/>
    <w:rsid w:val="00290CA0"/>
    <w:rsid w:val="00290CD1"/>
    <w:rsid w:val="00290D0B"/>
    <w:rsid w:val="00290E20"/>
    <w:rsid w:val="00290F2F"/>
    <w:rsid w:val="00291005"/>
    <w:rsid w:val="0029102A"/>
    <w:rsid w:val="002910AF"/>
    <w:rsid w:val="002910E5"/>
    <w:rsid w:val="00291112"/>
    <w:rsid w:val="0029124C"/>
    <w:rsid w:val="00291332"/>
    <w:rsid w:val="00291377"/>
    <w:rsid w:val="002913C8"/>
    <w:rsid w:val="002913FE"/>
    <w:rsid w:val="0029150D"/>
    <w:rsid w:val="0029156D"/>
    <w:rsid w:val="002916E0"/>
    <w:rsid w:val="002916EE"/>
    <w:rsid w:val="00291789"/>
    <w:rsid w:val="0029179C"/>
    <w:rsid w:val="002917D9"/>
    <w:rsid w:val="0029185C"/>
    <w:rsid w:val="0029189F"/>
    <w:rsid w:val="00291A67"/>
    <w:rsid w:val="00291B80"/>
    <w:rsid w:val="00291B99"/>
    <w:rsid w:val="00291CA8"/>
    <w:rsid w:val="00291DC9"/>
    <w:rsid w:val="00291E68"/>
    <w:rsid w:val="002922E8"/>
    <w:rsid w:val="00292356"/>
    <w:rsid w:val="002923FE"/>
    <w:rsid w:val="002925E1"/>
    <w:rsid w:val="002926D9"/>
    <w:rsid w:val="002927B6"/>
    <w:rsid w:val="00292804"/>
    <w:rsid w:val="00292894"/>
    <w:rsid w:val="0029292B"/>
    <w:rsid w:val="00292945"/>
    <w:rsid w:val="00292AFD"/>
    <w:rsid w:val="00292B99"/>
    <w:rsid w:val="00292C17"/>
    <w:rsid w:val="00292C1E"/>
    <w:rsid w:val="00292C75"/>
    <w:rsid w:val="00292CDF"/>
    <w:rsid w:val="00292FF6"/>
    <w:rsid w:val="002931AC"/>
    <w:rsid w:val="0029324D"/>
    <w:rsid w:val="0029338E"/>
    <w:rsid w:val="002934D9"/>
    <w:rsid w:val="00293524"/>
    <w:rsid w:val="00293545"/>
    <w:rsid w:val="002936CA"/>
    <w:rsid w:val="00293860"/>
    <w:rsid w:val="00293A74"/>
    <w:rsid w:val="00293AB3"/>
    <w:rsid w:val="00293B0B"/>
    <w:rsid w:val="00293CAB"/>
    <w:rsid w:val="00293DA7"/>
    <w:rsid w:val="00293EA6"/>
    <w:rsid w:val="00293EBE"/>
    <w:rsid w:val="00293FA1"/>
    <w:rsid w:val="00294029"/>
    <w:rsid w:val="002941DE"/>
    <w:rsid w:val="002942CC"/>
    <w:rsid w:val="00294446"/>
    <w:rsid w:val="002945C9"/>
    <w:rsid w:val="002946B9"/>
    <w:rsid w:val="00294751"/>
    <w:rsid w:val="00294768"/>
    <w:rsid w:val="002947D4"/>
    <w:rsid w:val="002949E6"/>
    <w:rsid w:val="00294B18"/>
    <w:rsid w:val="00294C0D"/>
    <w:rsid w:val="00294C33"/>
    <w:rsid w:val="00294C9E"/>
    <w:rsid w:val="00294D4C"/>
    <w:rsid w:val="00294D4D"/>
    <w:rsid w:val="00294DEC"/>
    <w:rsid w:val="00294EA6"/>
    <w:rsid w:val="00294F91"/>
    <w:rsid w:val="00294FB5"/>
    <w:rsid w:val="00295030"/>
    <w:rsid w:val="0029503A"/>
    <w:rsid w:val="002950A3"/>
    <w:rsid w:val="0029523A"/>
    <w:rsid w:val="00295555"/>
    <w:rsid w:val="0029561B"/>
    <w:rsid w:val="002956F1"/>
    <w:rsid w:val="00295771"/>
    <w:rsid w:val="00295790"/>
    <w:rsid w:val="0029581A"/>
    <w:rsid w:val="0029593C"/>
    <w:rsid w:val="0029594C"/>
    <w:rsid w:val="00295962"/>
    <w:rsid w:val="00295A56"/>
    <w:rsid w:val="00295A89"/>
    <w:rsid w:val="00295B07"/>
    <w:rsid w:val="00295C46"/>
    <w:rsid w:val="00295E65"/>
    <w:rsid w:val="00295FC4"/>
    <w:rsid w:val="00295FE8"/>
    <w:rsid w:val="0029601C"/>
    <w:rsid w:val="0029630C"/>
    <w:rsid w:val="0029634B"/>
    <w:rsid w:val="002964B0"/>
    <w:rsid w:val="0029667E"/>
    <w:rsid w:val="002966A9"/>
    <w:rsid w:val="002966B4"/>
    <w:rsid w:val="00296A81"/>
    <w:rsid w:val="00296B2B"/>
    <w:rsid w:val="00296D18"/>
    <w:rsid w:val="00296D96"/>
    <w:rsid w:val="00296F31"/>
    <w:rsid w:val="00297074"/>
    <w:rsid w:val="002970FE"/>
    <w:rsid w:val="0029746B"/>
    <w:rsid w:val="00297509"/>
    <w:rsid w:val="0029750F"/>
    <w:rsid w:val="00297658"/>
    <w:rsid w:val="002977DD"/>
    <w:rsid w:val="002978FB"/>
    <w:rsid w:val="002978FD"/>
    <w:rsid w:val="00297949"/>
    <w:rsid w:val="00297AB6"/>
    <w:rsid w:val="00297BDE"/>
    <w:rsid w:val="00297C6A"/>
    <w:rsid w:val="00297CF7"/>
    <w:rsid w:val="00297ECF"/>
    <w:rsid w:val="00297F08"/>
    <w:rsid w:val="002A0018"/>
    <w:rsid w:val="002A0038"/>
    <w:rsid w:val="002A01A3"/>
    <w:rsid w:val="002A029A"/>
    <w:rsid w:val="002A02C0"/>
    <w:rsid w:val="002A033A"/>
    <w:rsid w:val="002A034F"/>
    <w:rsid w:val="002A0376"/>
    <w:rsid w:val="002A03C8"/>
    <w:rsid w:val="002A04CE"/>
    <w:rsid w:val="002A04FA"/>
    <w:rsid w:val="002A0524"/>
    <w:rsid w:val="002A060C"/>
    <w:rsid w:val="002A0865"/>
    <w:rsid w:val="002A08B4"/>
    <w:rsid w:val="002A0ACE"/>
    <w:rsid w:val="002A0AE1"/>
    <w:rsid w:val="002A0C47"/>
    <w:rsid w:val="002A0D73"/>
    <w:rsid w:val="002A0F55"/>
    <w:rsid w:val="002A1035"/>
    <w:rsid w:val="002A103A"/>
    <w:rsid w:val="002A1079"/>
    <w:rsid w:val="002A128C"/>
    <w:rsid w:val="002A12B8"/>
    <w:rsid w:val="002A12EE"/>
    <w:rsid w:val="002A1358"/>
    <w:rsid w:val="002A13F6"/>
    <w:rsid w:val="002A14DB"/>
    <w:rsid w:val="002A15C0"/>
    <w:rsid w:val="002A1656"/>
    <w:rsid w:val="002A17D5"/>
    <w:rsid w:val="002A17F6"/>
    <w:rsid w:val="002A1A67"/>
    <w:rsid w:val="002A1B3D"/>
    <w:rsid w:val="002A1D47"/>
    <w:rsid w:val="002A1F1B"/>
    <w:rsid w:val="002A1F55"/>
    <w:rsid w:val="002A213E"/>
    <w:rsid w:val="002A2217"/>
    <w:rsid w:val="002A241F"/>
    <w:rsid w:val="002A2490"/>
    <w:rsid w:val="002A24CD"/>
    <w:rsid w:val="002A2520"/>
    <w:rsid w:val="002A25EC"/>
    <w:rsid w:val="002A260D"/>
    <w:rsid w:val="002A2678"/>
    <w:rsid w:val="002A2A30"/>
    <w:rsid w:val="002A2AB4"/>
    <w:rsid w:val="002A2AE2"/>
    <w:rsid w:val="002A2C79"/>
    <w:rsid w:val="002A2D94"/>
    <w:rsid w:val="002A2DCE"/>
    <w:rsid w:val="002A3053"/>
    <w:rsid w:val="002A30BA"/>
    <w:rsid w:val="002A324C"/>
    <w:rsid w:val="002A3312"/>
    <w:rsid w:val="002A3428"/>
    <w:rsid w:val="002A38C2"/>
    <w:rsid w:val="002A3D17"/>
    <w:rsid w:val="002A3D25"/>
    <w:rsid w:val="002A3E58"/>
    <w:rsid w:val="002A4007"/>
    <w:rsid w:val="002A40E4"/>
    <w:rsid w:val="002A424F"/>
    <w:rsid w:val="002A42C9"/>
    <w:rsid w:val="002A42DB"/>
    <w:rsid w:val="002A432A"/>
    <w:rsid w:val="002A433A"/>
    <w:rsid w:val="002A449E"/>
    <w:rsid w:val="002A46B9"/>
    <w:rsid w:val="002A4703"/>
    <w:rsid w:val="002A47B2"/>
    <w:rsid w:val="002A495E"/>
    <w:rsid w:val="002A498B"/>
    <w:rsid w:val="002A49DB"/>
    <w:rsid w:val="002A4B81"/>
    <w:rsid w:val="002A4B93"/>
    <w:rsid w:val="002A4BF2"/>
    <w:rsid w:val="002A4C2A"/>
    <w:rsid w:val="002A4D08"/>
    <w:rsid w:val="002A4D71"/>
    <w:rsid w:val="002A4D77"/>
    <w:rsid w:val="002A4F2D"/>
    <w:rsid w:val="002A4F51"/>
    <w:rsid w:val="002A4FFE"/>
    <w:rsid w:val="002A513D"/>
    <w:rsid w:val="002A5467"/>
    <w:rsid w:val="002A5497"/>
    <w:rsid w:val="002A5500"/>
    <w:rsid w:val="002A5563"/>
    <w:rsid w:val="002A56CB"/>
    <w:rsid w:val="002A5958"/>
    <w:rsid w:val="002A5B1C"/>
    <w:rsid w:val="002A5B4C"/>
    <w:rsid w:val="002A5C7C"/>
    <w:rsid w:val="002A5E23"/>
    <w:rsid w:val="002A615F"/>
    <w:rsid w:val="002A6163"/>
    <w:rsid w:val="002A621A"/>
    <w:rsid w:val="002A6375"/>
    <w:rsid w:val="002A6415"/>
    <w:rsid w:val="002A6492"/>
    <w:rsid w:val="002A6496"/>
    <w:rsid w:val="002A6692"/>
    <w:rsid w:val="002A683B"/>
    <w:rsid w:val="002A68FA"/>
    <w:rsid w:val="002A6AF9"/>
    <w:rsid w:val="002A6B16"/>
    <w:rsid w:val="002A6B62"/>
    <w:rsid w:val="002A6D6B"/>
    <w:rsid w:val="002A6DDC"/>
    <w:rsid w:val="002A6E09"/>
    <w:rsid w:val="002A6F04"/>
    <w:rsid w:val="002A6FE6"/>
    <w:rsid w:val="002A7159"/>
    <w:rsid w:val="002A71C4"/>
    <w:rsid w:val="002A7249"/>
    <w:rsid w:val="002A7450"/>
    <w:rsid w:val="002A74D7"/>
    <w:rsid w:val="002A77C9"/>
    <w:rsid w:val="002A7855"/>
    <w:rsid w:val="002A7B6E"/>
    <w:rsid w:val="002A7C3A"/>
    <w:rsid w:val="002A7C8D"/>
    <w:rsid w:val="002A7CA3"/>
    <w:rsid w:val="002A7CD2"/>
    <w:rsid w:val="002A7E1C"/>
    <w:rsid w:val="002A7E2A"/>
    <w:rsid w:val="002A7ED1"/>
    <w:rsid w:val="002A7F46"/>
    <w:rsid w:val="002B00B9"/>
    <w:rsid w:val="002B013A"/>
    <w:rsid w:val="002B0285"/>
    <w:rsid w:val="002B04D3"/>
    <w:rsid w:val="002B050F"/>
    <w:rsid w:val="002B05B5"/>
    <w:rsid w:val="002B076B"/>
    <w:rsid w:val="002B0864"/>
    <w:rsid w:val="002B0936"/>
    <w:rsid w:val="002B0974"/>
    <w:rsid w:val="002B0C80"/>
    <w:rsid w:val="002B0DA2"/>
    <w:rsid w:val="002B0DF8"/>
    <w:rsid w:val="002B0E60"/>
    <w:rsid w:val="002B0E63"/>
    <w:rsid w:val="002B0E9D"/>
    <w:rsid w:val="002B0F25"/>
    <w:rsid w:val="002B0F32"/>
    <w:rsid w:val="002B0FB0"/>
    <w:rsid w:val="002B0FEB"/>
    <w:rsid w:val="002B10CE"/>
    <w:rsid w:val="002B10DB"/>
    <w:rsid w:val="002B1182"/>
    <w:rsid w:val="002B1340"/>
    <w:rsid w:val="002B1694"/>
    <w:rsid w:val="002B1803"/>
    <w:rsid w:val="002B1945"/>
    <w:rsid w:val="002B1A0F"/>
    <w:rsid w:val="002B1C16"/>
    <w:rsid w:val="002B1CE7"/>
    <w:rsid w:val="002B1F51"/>
    <w:rsid w:val="002B1F54"/>
    <w:rsid w:val="002B1FA2"/>
    <w:rsid w:val="002B2294"/>
    <w:rsid w:val="002B2317"/>
    <w:rsid w:val="002B248F"/>
    <w:rsid w:val="002B27D5"/>
    <w:rsid w:val="002B29B5"/>
    <w:rsid w:val="002B29F2"/>
    <w:rsid w:val="002B2A14"/>
    <w:rsid w:val="002B2A9C"/>
    <w:rsid w:val="002B2AFF"/>
    <w:rsid w:val="002B2DF3"/>
    <w:rsid w:val="002B2E87"/>
    <w:rsid w:val="002B2F23"/>
    <w:rsid w:val="002B2F51"/>
    <w:rsid w:val="002B326D"/>
    <w:rsid w:val="002B32AD"/>
    <w:rsid w:val="002B3553"/>
    <w:rsid w:val="002B35F4"/>
    <w:rsid w:val="002B36C5"/>
    <w:rsid w:val="002B36E0"/>
    <w:rsid w:val="002B37B6"/>
    <w:rsid w:val="002B37D7"/>
    <w:rsid w:val="002B3820"/>
    <w:rsid w:val="002B3B4C"/>
    <w:rsid w:val="002B3C2B"/>
    <w:rsid w:val="002B3D9C"/>
    <w:rsid w:val="002B3DE3"/>
    <w:rsid w:val="002B3E4D"/>
    <w:rsid w:val="002B3E62"/>
    <w:rsid w:val="002B3E74"/>
    <w:rsid w:val="002B3FC6"/>
    <w:rsid w:val="002B444E"/>
    <w:rsid w:val="002B46C5"/>
    <w:rsid w:val="002B473B"/>
    <w:rsid w:val="002B4779"/>
    <w:rsid w:val="002B47AB"/>
    <w:rsid w:val="002B480D"/>
    <w:rsid w:val="002B49C4"/>
    <w:rsid w:val="002B4A69"/>
    <w:rsid w:val="002B4AFE"/>
    <w:rsid w:val="002B4C61"/>
    <w:rsid w:val="002B4D7C"/>
    <w:rsid w:val="002B4F15"/>
    <w:rsid w:val="002B4F4E"/>
    <w:rsid w:val="002B505A"/>
    <w:rsid w:val="002B50A2"/>
    <w:rsid w:val="002B51C7"/>
    <w:rsid w:val="002B5247"/>
    <w:rsid w:val="002B525B"/>
    <w:rsid w:val="002B546C"/>
    <w:rsid w:val="002B56EF"/>
    <w:rsid w:val="002B56FA"/>
    <w:rsid w:val="002B583C"/>
    <w:rsid w:val="002B5A8C"/>
    <w:rsid w:val="002B5B33"/>
    <w:rsid w:val="002B5B4F"/>
    <w:rsid w:val="002B5B7C"/>
    <w:rsid w:val="002B5F1E"/>
    <w:rsid w:val="002B61A6"/>
    <w:rsid w:val="002B62B5"/>
    <w:rsid w:val="002B647F"/>
    <w:rsid w:val="002B65A5"/>
    <w:rsid w:val="002B6679"/>
    <w:rsid w:val="002B69AF"/>
    <w:rsid w:val="002B6A29"/>
    <w:rsid w:val="002B6CEE"/>
    <w:rsid w:val="002B6DD1"/>
    <w:rsid w:val="002B6DDA"/>
    <w:rsid w:val="002B6F13"/>
    <w:rsid w:val="002B72F6"/>
    <w:rsid w:val="002B7421"/>
    <w:rsid w:val="002B747A"/>
    <w:rsid w:val="002B74C5"/>
    <w:rsid w:val="002B77AE"/>
    <w:rsid w:val="002B7CCA"/>
    <w:rsid w:val="002B7D1F"/>
    <w:rsid w:val="002B7DE2"/>
    <w:rsid w:val="002B7DF1"/>
    <w:rsid w:val="002B7F8D"/>
    <w:rsid w:val="002B7FD9"/>
    <w:rsid w:val="002B7FEA"/>
    <w:rsid w:val="002C006B"/>
    <w:rsid w:val="002C0189"/>
    <w:rsid w:val="002C01B0"/>
    <w:rsid w:val="002C021A"/>
    <w:rsid w:val="002C0225"/>
    <w:rsid w:val="002C023F"/>
    <w:rsid w:val="002C0320"/>
    <w:rsid w:val="002C032E"/>
    <w:rsid w:val="002C038F"/>
    <w:rsid w:val="002C039B"/>
    <w:rsid w:val="002C03A4"/>
    <w:rsid w:val="002C03E1"/>
    <w:rsid w:val="002C0645"/>
    <w:rsid w:val="002C0727"/>
    <w:rsid w:val="002C098D"/>
    <w:rsid w:val="002C0A9F"/>
    <w:rsid w:val="002C0B58"/>
    <w:rsid w:val="002C0C06"/>
    <w:rsid w:val="002C0C0F"/>
    <w:rsid w:val="002C0C5C"/>
    <w:rsid w:val="002C0CE0"/>
    <w:rsid w:val="002C0D65"/>
    <w:rsid w:val="002C0D9B"/>
    <w:rsid w:val="002C0F35"/>
    <w:rsid w:val="002C0FDD"/>
    <w:rsid w:val="002C1019"/>
    <w:rsid w:val="002C11E2"/>
    <w:rsid w:val="002C12D7"/>
    <w:rsid w:val="002C1396"/>
    <w:rsid w:val="002C13F7"/>
    <w:rsid w:val="002C1509"/>
    <w:rsid w:val="002C15BB"/>
    <w:rsid w:val="002C172C"/>
    <w:rsid w:val="002C1924"/>
    <w:rsid w:val="002C19BA"/>
    <w:rsid w:val="002C1A29"/>
    <w:rsid w:val="002C1A48"/>
    <w:rsid w:val="002C1AFE"/>
    <w:rsid w:val="002C1B71"/>
    <w:rsid w:val="002C1C5A"/>
    <w:rsid w:val="002C1C63"/>
    <w:rsid w:val="002C1CF9"/>
    <w:rsid w:val="002C1CFB"/>
    <w:rsid w:val="002C1DB3"/>
    <w:rsid w:val="002C1E95"/>
    <w:rsid w:val="002C1EFE"/>
    <w:rsid w:val="002C204E"/>
    <w:rsid w:val="002C213E"/>
    <w:rsid w:val="002C2288"/>
    <w:rsid w:val="002C229D"/>
    <w:rsid w:val="002C22B3"/>
    <w:rsid w:val="002C245B"/>
    <w:rsid w:val="002C24E1"/>
    <w:rsid w:val="002C252D"/>
    <w:rsid w:val="002C253A"/>
    <w:rsid w:val="002C2542"/>
    <w:rsid w:val="002C25FE"/>
    <w:rsid w:val="002C26DD"/>
    <w:rsid w:val="002C289B"/>
    <w:rsid w:val="002C2947"/>
    <w:rsid w:val="002C2971"/>
    <w:rsid w:val="002C2B16"/>
    <w:rsid w:val="002C2BC3"/>
    <w:rsid w:val="002C2C41"/>
    <w:rsid w:val="002C2D50"/>
    <w:rsid w:val="002C2E61"/>
    <w:rsid w:val="002C2E8C"/>
    <w:rsid w:val="002C2EA5"/>
    <w:rsid w:val="002C2EFC"/>
    <w:rsid w:val="002C2F42"/>
    <w:rsid w:val="002C3004"/>
    <w:rsid w:val="002C31E8"/>
    <w:rsid w:val="002C3205"/>
    <w:rsid w:val="002C326B"/>
    <w:rsid w:val="002C338C"/>
    <w:rsid w:val="002C33A2"/>
    <w:rsid w:val="002C33C4"/>
    <w:rsid w:val="002C3441"/>
    <w:rsid w:val="002C366D"/>
    <w:rsid w:val="002C37D5"/>
    <w:rsid w:val="002C3A53"/>
    <w:rsid w:val="002C3AF6"/>
    <w:rsid w:val="002C3BE2"/>
    <w:rsid w:val="002C3CC9"/>
    <w:rsid w:val="002C3F50"/>
    <w:rsid w:val="002C4338"/>
    <w:rsid w:val="002C4668"/>
    <w:rsid w:val="002C4819"/>
    <w:rsid w:val="002C482F"/>
    <w:rsid w:val="002C4853"/>
    <w:rsid w:val="002C4A56"/>
    <w:rsid w:val="002C4BD3"/>
    <w:rsid w:val="002C4F2E"/>
    <w:rsid w:val="002C4FB8"/>
    <w:rsid w:val="002C526F"/>
    <w:rsid w:val="002C52C8"/>
    <w:rsid w:val="002C53A4"/>
    <w:rsid w:val="002C5467"/>
    <w:rsid w:val="002C5478"/>
    <w:rsid w:val="002C558C"/>
    <w:rsid w:val="002C568E"/>
    <w:rsid w:val="002C5818"/>
    <w:rsid w:val="002C5850"/>
    <w:rsid w:val="002C5891"/>
    <w:rsid w:val="002C5932"/>
    <w:rsid w:val="002C5A5E"/>
    <w:rsid w:val="002C5A9E"/>
    <w:rsid w:val="002C5ABF"/>
    <w:rsid w:val="002C5BA2"/>
    <w:rsid w:val="002C5BAF"/>
    <w:rsid w:val="002C5E80"/>
    <w:rsid w:val="002C5EFA"/>
    <w:rsid w:val="002C5F1B"/>
    <w:rsid w:val="002C5F90"/>
    <w:rsid w:val="002C6024"/>
    <w:rsid w:val="002C60DE"/>
    <w:rsid w:val="002C6124"/>
    <w:rsid w:val="002C6361"/>
    <w:rsid w:val="002C645C"/>
    <w:rsid w:val="002C65F7"/>
    <w:rsid w:val="002C6667"/>
    <w:rsid w:val="002C6692"/>
    <w:rsid w:val="002C690E"/>
    <w:rsid w:val="002C6B38"/>
    <w:rsid w:val="002C6C99"/>
    <w:rsid w:val="002C6CA6"/>
    <w:rsid w:val="002C6E09"/>
    <w:rsid w:val="002C6E76"/>
    <w:rsid w:val="002C6F37"/>
    <w:rsid w:val="002C7000"/>
    <w:rsid w:val="002C737B"/>
    <w:rsid w:val="002C73A8"/>
    <w:rsid w:val="002C7429"/>
    <w:rsid w:val="002C7726"/>
    <w:rsid w:val="002C772B"/>
    <w:rsid w:val="002C7819"/>
    <w:rsid w:val="002C783D"/>
    <w:rsid w:val="002C7A57"/>
    <w:rsid w:val="002C7B24"/>
    <w:rsid w:val="002C7B47"/>
    <w:rsid w:val="002C7E5C"/>
    <w:rsid w:val="002C7EEF"/>
    <w:rsid w:val="002C7FB1"/>
    <w:rsid w:val="002D00FA"/>
    <w:rsid w:val="002D0105"/>
    <w:rsid w:val="002D0141"/>
    <w:rsid w:val="002D0406"/>
    <w:rsid w:val="002D054C"/>
    <w:rsid w:val="002D08AD"/>
    <w:rsid w:val="002D090F"/>
    <w:rsid w:val="002D0941"/>
    <w:rsid w:val="002D0AA6"/>
    <w:rsid w:val="002D0AD9"/>
    <w:rsid w:val="002D0C85"/>
    <w:rsid w:val="002D0F25"/>
    <w:rsid w:val="002D0FF7"/>
    <w:rsid w:val="002D1128"/>
    <w:rsid w:val="002D1178"/>
    <w:rsid w:val="002D12C7"/>
    <w:rsid w:val="002D130D"/>
    <w:rsid w:val="002D1498"/>
    <w:rsid w:val="002D15A2"/>
    <w:rsid w:val="002D16BC"/>
    <w:rsid w:val="002D1960"/>
    <w:rsid w:val="002D197A"/>
    <w:rsid w:val="002D1C42"/>
    <w:rsid w:val="002D1F29"/>
    <w:rsid w:val="002D1F9F"/>
    <w:rsid w:val="002D2085"/>
    <w:rsid w:val="002D213E"/>
    <w:rsid w:val="002D21E8"/>
    <w:rsid w:val="002D228C"/>
    <w:rsid w:val="002D2391"/>
    <w:rsid w:val="002D25E4"/>
    <w:rsid w:val="002D26E9"/>
    <w:rsid w:val="002D27DF"/>
    <w:rsid w:val="002D2804"/>
    <w:rsid w:val="002D2AA3"/>
    <w:rsid w:val="002D2AB0"/>
    <w:rsid w:val="002D2AC7"/>
    <w:rsid w:val="002D2B01"/>
    <w:rsid w:val="002D2BC2"/>
    <w:rsid w:val="002D2D43"/>
    <w:rsid w:val="002D2EBF"/>
    <w:rsid w:val="002D329E"/>
    <w:rsid w:val="002D3311"/>
    <w:rsid w:val="002D333F"/>
    <w:rsid w:val="002D337A"/>
    <w:rsid w:val="002D337F"/>
    <w:rsid w:val="002D33D9"/>
    <w:rsid w:val="002D34FC"/>
    <w:rsid w:val="002D363D"/>
    <w:rsid w:val="002D37AE"/>
    <w:rsid w:val="002D37BC"/>
    <w:rsid w:val="002D37E2"/>
    <w:rsid w:val="002D37E3"/>
    <w:rsid w:val="002D3963"/>
    <w:rsid w:val="002D399A"/>
    <w:rsid w:val="002D39B7"/>
    <w:rsid w:val="002D3C67"/>
    <w:rsid w:val="002D3CE6"/>
    <w:rsid w:val="002D3D20"/>
    <w:rsid w:val="002D3E63"/>
    <w:rsid w:val="002D3ECE"/>
    <w:rsid w:val="002D3FB7"/>
    <w:rsid w:val="002D4099"/>
    <w:rsid w:val="002D4101"/>
    <w:rsid w:val="002D4212"/>
    <w:rsid w:val="002D45E2"/>
    <w:rsid w:val="002D472D"/>
    <w:rsid w:val="002D4846"/>
    <w:rsid w:val="002D491F"/>
    <w:rsid w:val="002D4A05"/>
    <w:rsid w:val="002D4BA1"/>
    <w:rsid w:val="002D4BD0"/>
    <w:rsid w:val="002D4C16"/>
    <w:rsid w:val="002D4D31"/>
    <w:rsid w:val="002D4EBF"/>
    <w:rsid w:val="002D4F2B"/>
    <w:rsid w:val="002D505C"/>
    <w:rsid w:val="002D50A0"/>
    <w:rsid w:val="002D5153"/>
    <w:rsid w:val="002D527C"/>
    <w:rsid w:val="002D52C1"/>
    <w:rsid w:val="002D52FB"/>
    <w:rsid w:val="002D541B"/>
    <w:rsid w:val="002D5540"/>
    <w:rsid w:val="002D5625"/>
    <w:rsid w:val="002D587C"/>
    <w:rsid w:val="002D5AB1"/>
    <w:rsid w:val="002D5B64"/>
    <w:rsid w:val="002D614D"/>
    <w:rsid w:val="002D6261"/>
    <w:rsid w:val="002D62E0"/>
    <w:rsid w:val="002D631E"/>
    <w:rsid w:val="002D6339"/>
    <w:rsid w:val="002D637B"/>
    <w:rsid w:val="002D6383"/>
    <w:rsid w:val="002D638A"/>
    <w:rsid w:val="002D64C4"/>
    <w:rsid w:val="002D65B1"/>
    <w:rsid w:val="002D660C"/>
    <w:rsid w:val="002D66A8"/>
    <w:rsid w:val="002D6851"/>
    <w:rsid w:val="002D6C50"/>
    <w:rsid w:val="002D6E07"/>
    <w:rsid w:val="002D6F8F"/>
    <w:rsid w:val="002D6FA4"/>
    <w:rsid w:val="002D7083"/>
    <w:rsid w:val="002D714B"/>
    <w:rsid w:val="002D7217"/>
    <w:rsid w:val="002D7347"/>
    <w:rsid w:val="002D738A"/>
    <w:rsid w:val="002D7593"/>
    <w:rsid w:val="002D75C4"/>
    <w:rsid w:val="002D766D"/>
    <w:rsid w:val="002D76EF"/>
    <w:rsid w:val="002D7844"/>
    <w:rsid w:val="002D78A5"/>
    <w:rsid w:val="002D79EB"/>
    <w:rsid w:val="002D79F1"/>
    <w:rsid w:val="002D7B30"/>
    <w:rsid w:val="002D7B57"/>
    <w:rsid w:val="002D7C8B"/>
    <w:rsid w:val="002D7E1A"/>
    <w:rsid w:val="002D7F9C"/>
    <w:rsid w:val="002D7F9F"/>
    <w:rsid w:val="002E0170"/>
    <w:rsid w:val="002E0185"/>
    <w:rsid w:val="002E0354"/>
    <w:rsid w:val="002E0366"/>
    <w:rsid w:val="002E039E"/>
    <w:rsid w:val="002E0426"/>
    <w:rsid w:val="002E04C0"/>
    <w:rsid w:val="002E05DB"/>
    <w:rsid w:val="002E063A"/>
    <w:rsid w:val="002E06C5"/>
    <w:rsid w:val="002E07D6"/>
    <w:rsid w:val="002E07F2"/>
    <w:rsid w:val="002E09E2"/>
    <w:rsid w:val="002E0A73"/>
    <w:rsid w:val="002E0C1A"/>
    <w:rsid w:val="002E0F21"/>
    <w:rsid w:val="002E0F76"/>
    <w:rsid w:val="002E130A"/>
    <w:rsid w:val="002E1458"/>
    <w:rsid w:val="002E1589"/>
    <w:rsid w:val="002E160C"/>
    <w:rsid w:val="002E1753"/>
    <w:rsid w:val="002E192D"/>
    <w:rsid w:val="002E1A4A"/>
    <w:rsid w:val="002E1AF3"/>
    <w:rsid w:val="002E1B16"/>
    <w:rsid w:val="002E1B37"/>
    <w:rsid w:val="002E1B3D"/>
    <w:rsid w:val="002E1C11"/>
    <w:rsid w:val="002E1C30"/>
    <w:rsid w:val="002E1C4D"/>
    <w:rsid w:val="002E1DF5"/>
    <w:rsid w:val="002E2133"/>
    <w:rsid w:val="002E2233"/>
    <w:rsid w:val="002E245E"/>
    <w:rsid w:val="002E24EC"/>
    <w:rsid w:val="002E2763"/>
    <w:rsid w:val="002E27D2"/>
    <w:rsid w:val="002E28F7"/>
    <w:rsid w:val="002E2A0F"/>
    <w:rsid w:val="002E2A75"/>
    <w:rsid w:val="002E2AFB"/>
    <w:rsid w:val="002E2BB1"/>
    <w:rsid w:val="002E2CAC"/>
    <w:rsid w:val="002E2D1A"/>
    <w:rsid w:val="002E2D76"/>
    <w:rsid w:val="002E2FC3"/>
    <w:rsid w:val="002E3031"/>
    <w:rsid w:val="002E3176"/>
    <w:rsid w:val="002E3193"/>
    <w:rsid w:val="002E31CB"/>
    <w:rsid w:val="002E3231"/>
    <w:rsid w:val="002E327C"/>
    <w:rsid w:val="002E3502"/>
    <w:rsid w:val="002E35DE"/>
    <w:rsid w:val="002E37D3"/>
    <w:rsid w:val="002E37F6"/>
    <w:rsid w:val="002E38B3"/>
    <w:rsid w:val="002E3CE9"/>
    <w:rsid w:val="002E3DBB"/>
    <w:rsid w:val="002E3DCD"/>
    <w:rsid w:val="002E401B"/>
    <w:rsid w:val="002E404F"/>
    <w:rsid w:val="002E407E"/>
    <w:rsid w:val="002E40F2"/>
    <w:rsid w:val="002E4138"/>
    <w:rsid w:val="002E41D8"/>
    <w:rsid w:val="002E44ED"/>
    <w:rsid w:val="002E451C"/>
    <w:rsid w:val="002E4538"/>
    <w:rsid w:val="002E45DB"/>
    <w:rsid w:val="002E4619"/>
    <w:rsid w:val="002E4671"/>
    <w:rsid w:val="002E46C3"/>
    <w:rsid w:val="002E4903"/>
    <w:rsid w:val="002E49C8"/>
    <w:rsid w:val="002E4A54"/>
    <w:rsid w:val="002E4B25"/>
    <w:rsid w:val="002E4BA9"/>
    <w:rsid w:val="002E4CE1"/>
    <w:rsid w:val="002E4CF5"/>
    <w:rsid w:val="002E4ECB"/>
    <w:rsid w:val="002E4F37"/>
    <w:rsid w:val="002E4F3B"/>
    <w:rsid w:val="002E50C0"/>
    <w:rsid w:val="002E5139"/>
    <w:rsid w:val="002E5250"/>
    <w:rsid w:val="002E53AC"/>
    <w:rsid w:val="002E5522"/>
    <w:rsid w:val="002E5697"/>
    <w:rsid w:val="002E57C5"/>
    <w:rsid w:val="002E581D"/>
    <w:rsid w:val="002E5887"/>
    <w:rsid w:val="002E58CB"/>
    <w:rsid w:val="002E5927"/>
    <w:rsid w:val="002E5A2C"/>
    <w:rsid w:val="002E5AC9"/>
    <w:rsid w:val="002E5C7F"/>
    <w:rsid w:val="002E5C89"/>
    <w:rsid w:val="002E5D62"/>
    <w:rsid w:val="002E5E18"/>
    <w:rsid w:val="002E5EF5"/>
    <w:rsid w:val="002E5F6A"/>
    <w:rsid w:val="002E6142"/>
    <w:rsid w:val="002E62C5"/>
    <w:rsid w:val="002E6314"/>
    <w:rsid w:val="002E6321"/>
    <w:rsid w:val="002E635B"/>
    <w:rsid w:val="002E6409"/>
    <w:rsid w:val="002E655C"/>
    <w:rsid w:val="002E6637"/>
    <w:rsid w:val="002E6669"/>
    <w:rsid w:val="002E66F6"/>
    <w:rsid w:val="002E67AD"/>
    <w:rsid w:val="002E67CD"/>
    <w:rsid w:val="002E680E"/>
    <w:rsid w:val="002E68D4"/>
    <w:rsid w:val="002E68E6"/>
    <w:rsid w:val="002E6907"/>
    <w:rsid w:val="002E6939"/>
    <w:rsid w:val="002E6D88"/>
    <w:rsid w:val="002E6DC1"/>
    <w:rsid w:val="002E6E2A"/>
    <w:rsid w:val="002E6EB5"/>
    <w:rsid w:val="002E7239"/>
    <w:rsid w:val="002E72F2"/>
    <w:rsid w:val="002E73F8"/>
    <w:rsid w:val="002E740C"/>
    <w:rsid w:val="002E740F"/>
    <w:rsid w:val="002E771E"/>
    <w:rsid w:val="002E78BF"/>
    <w:rsid w:val="002E7B73"/>
    <w:rsid w:val="002E7CF0"/>
    <w:rsid w:val="002E7F63"/>
    <w:rsid w:val="002E7F64"/>
    <w:rsid w:val="002E7FAB"/>
    <w:rsid w:val="002F00B8"/>
    <w:rsid w:val="002F00EB"/>
    <w:rsid w:val="002F010A"/>
    <w:rsid w:val="002F01DD"/>
    <w:rsid w:val="002F0208"/>
    <w:rsid w:val="002F053D"/>
    <w:rsid w:val="002F05A2"/>
    <w:rsid w:val="002F05E2"/>
    <w:rsid w:val="002F0724"/>
    <w:rsid w:val="002F08F3"/>
    <w:rsid w:val="002F0A0C"/>
    <w:rsid w:val="002F0A45"/>
    <w:rsid w:val="002F0B16"/>
    <w:rsid w:val="002F0C3D"/>
    <w:rsid w:val="002F0C50"/>
    <w:rsid w:val="002F0F61"/>
    <w:rsid w:val="002F0FBB"/>
    <w:rsid w:val="002F1160"/>
    <w:rsid w:val="002F12B4"/>
    <w:rsid w:val="002F12DA"/>
    <w:rsid w:val="002F13A2"/>
    <w:rsid w:val="002F13BD"/>
    <w:rsid w:val="002F149C"/>
    <w:rsid w:val="002F1693"/>
    <w:rsid w:val="002F181B"/>
    <w:rsid w:val="002F18BD"/>
    <w:rsid w:val="002F18C1"/>
    <w:rsid w:val="002F1C3C"/>
    <w:rsid w:val="002F1C4A"/>
    <w:rsid w:val="002F1D86"/>
    <w:rsid w:val="002F1DA9"/>
    <w:rsid w:val="002F1E66"/>
    <w:rsid w:val="002F205E"/>
    <w:rsid w:val="002F21B1"/>
    <w:rsid w:val="002F224E"/>
    <w:rsid w:val="002F2293"/>
    <w:rsid w:val="002F23CB"/>
    <w:rsid w:val="002F2416"/>
    <w:rsid w:val="002F249F"/>
    <w:rsid w:val="002F2515"/>
    <w:rsid w:val="002F269D"/>
    <w:rsid w:val="002F275E"/>
    <w:rsid w:val="002F28C8"/>
    <w:rsid w:val="002F2ACC"/>
    <w:rsid w:val="002F2B3F"/>
    <w:rsid w:val="002F2D4A"/>
    <w:rsid w:val="002F30BA"/>
    <w:rsid w:val="002F31CD"/>
    <w:rsid w:val="002F3208"/>
    <w:rsid w:val="002F323B"/>
    <w:rsid w:val="002F344C"/>
    <w:rsid w:val="002F34D5"/>
    <w:rsid w:val="002F3536"/>
    <w:rsid w:val="002F36E2"/>
    <w:rsid w:val="002F3793"/>
    <w:rsid w:val="002F3A17"/>
    <w:rsid w:val="002F3B16"/>
    <w:rsid w:val="002F3C63"/>
    <w:rsid w:val="002F3F1E"/>
    <w:rsid w:val="002F40F6"/>
    <w:rsid w:val="002F4192"/>
    <w:rsid w:val="002F43F5"/>
    <w:rsid w:val="002F454E"/>
    <w:rsid w:val="002F46D0"/>
    <w:rsid w:val="002F4818"/>
    <w:rsid w:val="002F48E6"/>
    <w:rsid w:val="002F4A6D"/>
    <w:rsid w:val="002F4AA4"/>
    <w:rsid w:val="002F4B44"/>
    <w:rsid w:val="002F4CB3"/>
    <w:rsid w:val="002F4D37"/>
    <w:rsid w:val="002F4DCD"/>
    <w:rsid w:val="002F4FC4"/>
    <w:rsid w:val="002F5037"/>
    <w:rsid w:val="002F5286"/>
    <w:rsid w:val="002F5315"/>
    <w:rsid w:val="002F5468"/>
    <w:rsid w:val="002F54A3"/>
    <w:rsid w:val="002F550C"/>
    <w:rsid w:val="002F5875"/>
    <w:rsid w:val="002F5879"/>
    <w:rsid w:val="002F58E6"/>
    <w:rsid w:val="002F5B95"/>
    <w:rsid w:val="002F5BF5"/>
    <w:rsid w:val="002F5C3D"/>
    <w:rsid w:val="002F5C89"/>
    <w:rsid w:val="002F5D23"/>
    <w:rsid w:val="002F5EC8"/>
    <w:rsid w:val="002F5ED0"/>
    <w:rsid w:val="002F6399"/>
    <w:rsid w:val="002F63AB"/>
    <w:rsid w:val="002F63DB"/>
    <w:rsid w:val="002F658F"/>
    <w:rsid w:val="002F663B"/>
    <w:rsid w:val="002F683B"/>
    <w:rsid w:val="002F6966"/>
    <w:rsid w:val="002F6B46"/>
    <w:rsid w:val="002F6BA6"/>
    <w:rsid w:val="002F6C92"/>
    <w:rsid w:val="002F6CCD"/>
    <w:rsid w:val="002F6CEC"/>
    <w:rsid w:val="002F6E03"/>
    <w:rsid w:val="002F7069"/>
    <w:rsid w:val="002F7183"/>
    <w:rsid w:val="002F71E6"/>
    <w:rsid w:val="002F724F"/>
    <w:rsid w:val="002F7338"/>
    <w:rsid w:val="002F7345"/>
    <w:rsid w:val="002F735C"/>
    <w:rsid w:val="002F7425"/>
    <w:rsid w:val="002F7453"/>
    <w:rsid w:val="002F7479"/>
    <w:rsid w:val="002F76A4"/>
    <w:rsid w:val="002F7922"/>
    <w:rsid w:val="002F7952"/>
    <w:rsid w:val="002F7A2E"/>
    <w:rsid w:val="002F7C8E"/>
    <w:rsid w:val="002F7CB7"/>
    <w:rsid w:val="002F7EDD"/>
    <w:rsid w:val="00300401"/>
    <w:rsid w:val="00300468"/>
    <w:rsid w:val="00300675"/>
    <w:rsid w:val="00300AF1"/>
    <w:rsid w:val="00300B77"/>
    <w:rsid w:val="00300B8A"/>
    <w:rsid w:val="00300CA3"/>
    <w:rsid w:val="00300D04"/>
    <w:rsid w:val="00300D2A"/>
    <w:rsid w:val="00300D86"/>
    <w:rsid w:val="00300DA2"/>
    <w:rsid w:val="00300E1A"/>
    <w:rsid w:val="003010E5"/>
    <w:rsid w:val="00301195"/>
    <w:rsid w:val="003011B3"/>
    <w:rsid w:val="003011D3"/>
    <w:rsid w:val="00301249"/>
    <w:rsid w:val="00301296"/>
    <w:rsid w:val="003012CD"/>
    <w:rsid w:val="003013A7"/>
    <w:rsid w:val="003015B9"/>
    <w:rsid w:val="0030170E"/>
    <w:rsid w:val="003018AA"/>
    <w:rsid w:val="003018B6"/>
    <w:rsid w:val="003018F6"/>
    <w:rsid w:val="00301900"/>
    <w:rsid w:val="00301922"/>
    <w:rsid w:val="0030196D"/>
    <w:rsid w:val="00301A0E"/>
    <w:rsid w:val="00301A54"/>
    <w:rsid w:val="00301B2C"/>
    <w:rsid w:val="00301BB1"/>
    <w:rsid w:val="00301D1F"/>
    <w:rsid w:val="00301DF7"/>
    <w:rsid w:val="00301EFB"/>
    <w:rsid w:val="00301F5D"/>
    <w:rsid w:val="0030207F"/>
    <w:rsid w:val="003020C1"/>
    <w:rsid w:val="0030222F"/>
    <w:rsid w:val="0030230B"/>
    <w:rsid w:val="0030235E"/>
    <w:rsid w:val="003023F5"/>
    <w:rsid w:val="00302490"/>
    <w:rsid w:val="00302497"/>
    <w:rsid w:val="003026EA"/>
    <w:rsid w:val="00302860"/>
    <w:rsid w:val="003028BA"/>
    <w:rsid w:val="003029B0"/>
    <w:rsid w:val="00302AA5"/>
    <w:rsid w:val="00302C3F"/>
    <w:rsid w:val="00302D6E"/>
    <w:rsid w:val="00302DC3"/>
    <w:rsid w:val="00302DD8"/>
    <w:rsid w:val="00303143"/>
    <w:rsid w:val="003031DD"/>
    <w:rsid w:val="00303510"/>
    <w:rsid w:val="00303591"/>
    <w:rsid w:val="003035D1"/>
    <w:rsid w:val="00303736"/>
    <w:rsid w:val="0030398A"/>
    <w:rsid w:val="003039D9"/>
    <w:rsid w:val="00303A7F"/>
    <w:rsid w:val="00303C34"/>
    <w:rsid w:val="00303CBA"/>
    <w:rsid w:val="00303D5D"/>
    <w:rsid w:val="00303D9A"/>
    <w:rsid w:val="00304141"/>
    <w:rsid w:val="00304152"/>
    <w:rsid w:val="003041C9"/>
    <w:rsid w:val="00304396"/>
    <w:rsid w:val="00304434"/>
    <w:rsid w:val="003044CC"/>
    <w:rsid w:val="00304559"/>
    <w:rsid w:val="00304701"/>
    <w:rsid w:val="003048DB"/>
    <w:rsid w:val="00304DD9"/>
    <w:rsid w:val="00304E2C"/>
    <w:rsid w:val="00304E46"/>
    <w:rsid w:val="00304FFD"/>
    <w:rsid w:val="00305390"/>
    <w:rsid w:val="003053EB"/>
    <w:rsid w:val="0030559F"/>
    <w:rsid w:val="00305633"/>
    <w:rsid w:val="0030590F"/>
    <w:rsid w:val="00305A2A"/>
    <w:rsid w:val="00305AE9"/>
    <w:rsid w:val="00305B6B"/>
    <w:rsid w:val="00305D7F"/>
    <w:rsid w:val="00305DEF"/>
    <w:rsid w:val="00305F06"/>
    <w:rsid w:val="00305F2B"/>
    <w:rsid w:val="00306028"/>
    <w:rsid w:val="003060F9"/>
    <w:rsid w:val="003061C0"/>
    <w:rsid w:val="00306205"/>
    <w:rsid w:val="00306324"/>
    <w:rsid w:val="00306363"/>
    <w:rsid w:val="00306388"/>
    <w:rsid w:val="0030644F"/>
    <w:rsid w:val="0030650A"/>
    <w:rsid w:val="00306600"/>
    <w:rsid w:val="00306768"/>
    <w:rsid w:val="0030686D"/>
    <w:rsid w:val="003068C0"/>
    <w:rsid w:val="00306AC6"/>
    <w:rsid w:val="00306AC8"/>
    <w:rsid w:val="00306AFF"/>
    <w:rsid w:val="00306B5A"/>
    <w:rsid w:val="00306C96"/>
    <w:rsid w:val="00306D71"/>
    <w:rsid w:val="00306D7A"/>
    <w:rsid w:val="00306E36"/>
    <w:rsid w:val="00306E5B"/>
    <w:rsid w:val="00306F76"/>
    <w:rsid w:val="003070E4"/>
    <w:rsid w:val="00307187"/>
    <w:rsid w:val="003071A2"/>
    <w:rsid w:val="003075FC"/>
    <w:rsid w:val="0030760B"/>
    <w:rsid w:val="0030771A"/>
    <w:rsid w:val="00307813"/>
    <w:rsid w:val="00307997"/>
    <w:rsid w:val="00307A4D"/>
    <w:rsid w:val="00307A9B"/>
    <w:rsid w:val="00307AA5"/>
    <w:rsid w:val="00307B6E"/>
    <w:rsid w:val="00307CA1"/>
    <w:rsid w:val="00307CA6"/>
    <w:rsid w:val="00307CBD"/>
    <w:rsid w:val="00307E56"/>
    <w:rsid w:val="00307F1E"/>
    <w:rsid w:val="00310038"/>
    <w:rsid w:val="00310223"/>
    <w:rsid w:val="00310251"/>
    <w:rsid w:val="00310315"/>
    <w:rsid w:val="00310378"/>
    <w:rsid w:val="003103B8"/>
    <w:rsid w:val="003103E9"/>
    <w:rsid w:val="003103FA"/>
    <w:rsid w:val="003104BA"/>
    <w:rsid w:val="00310549"/>
    <w:rsid w:val="003105C5"/>
    <w:rsid w:val="00310828"/>
    <w:rsid w:val="003108C9"/>
    <w:rsid w:val="00310AC3"/>
    <w:rsid w:val="00310B4C"/>
    <w:rsid w:val="00310C47"/>
    <w:rsid w:val="00310CC9"/>
    <w:rsid w:val="00310DF0"/>
    <w:rsid w:val="00310EFE"/>
    <w:rsid w:val="00310F12"/>
    <w:rsid w:val="00310FDE"/>
    <w:rsid w:val="00310FEC"/>
    <w:rsid w:val="00311085"/>
    <w:rsid w:val="0031108B"/>
    <w:rsid w:val="003110EF"/>
    <w:rsid w:val="00311190"/>
    <w:rsid w:val="003111AE"/>
    <w:rsid w:val="003111FE"/>
    <w:rsid w:val="00311290"/>
    <w:rsid w:val="00311345"/>
    <w:rsid w:val="00311374"/>
    <w:rsid w:val="00311718"/>
    <w:rsid w:val="0031177D"/>
    <w:rsid w:val="003119AB"/>
    <w:rsid w:val="00311A8C"/>
    <w:rsid w:val="00311AA0"/>
    <w:rsid w:val="00311AF2"/>
    <w:rsid w:val="00311C70"/>
    <w:rsid w:val="00311CA7"/>
    <w:rsid w:val="00311E8F"/>
    <w:rsid w:val="00311F83"/>
    <w:rsid w:val="00312006"/>
    <w:rsid w:val="0031204E"/>
    <w:rsid w:val="00312237"/>
    <w:rsid w:val="003122DD"/>
    <w:rsid w:val="00312519"/>
    <w:rsid w:val="00312549"/>
    <w:rsid w:val="00312850"/>
    <w:rsid w:val="003128F4"/>
    <w:rsid w:val="00312C11"/>
    <w:rsid w:val="00312C9B"/>
    <w:rsid w:val="00312EF9"/>
    <w:rsid w:val="00312F11"/>
    <w:rsid w:val="00312F50"/>
    <w:rsid w:val="00312F8A"/>
    <w:rsid w:val="003130C3"/>
    <w:rsid w:val="00313105"/>
    <w:rsid w:val="0031326D"/>
    <w:rsid w:val="0031336A"/>
    <w:rsid w:val="0031344C"/>
    <w:rsid w:val="003134C0"/>
    <w:rsid w:val="003134FE"/>
    <w:rsid w:val="0031357C"/>
    <w:rsid w:val="003135B9"/>
    <w:rsid w:val="003135ED"/>
    <w:rsid w:val="00313648"/>
    <w:rsid w:val="003136ED"/>
    <w:rsid w:val="0031374A"/>
    <w:rsid w:val="0031391D"/>
    <w:rsid w:val="00313973"/>
    <w:rsid w:val="00313AC0"/>
    <w:rsid w:val="00313BD5"/>
    <w:rsid w:val="00313D31"/>
    <w:rsid w:val="00313E57"/>
    <w:rsid w:val="00313E78"/>
    <w:rsid w:val="00313FD1"/>
    <w:rsid w:val="00314057"/>
    <w:rsid w:val="00314190"/>
    <w:rsid w:val="00314307"/>
    <w:rsid w:val="003143EF"/>
    <w:rsid w:val="00314656"/>
    <w:rsid w:val="003147B5"/>
    <w:rsid w:val="003147BE"/>
    <w:rsid w:val="003149CD"/>
    <w:rsid w:val="00314B79"/>
    <w:rsid w:val="00314D07"/>
    <w:rsid w:val="00314E40"/>
    <w:rsid w:val="00314E42"/>
    <w:rsid w:val="00314F3D"/>
    <w:rsid w:val="00314FB8"/>
    <w:rsid w:val="00315104"/>
    <w:rsid w:val="0031517A"/>
    <w:rsid w:val="00315296"/>
    <w:rsid w:val="003153F5"/>
    <w:rsid w:val="00315449"/>
    <w:rsid w:val="00315508"/>
    <w:rsid w:val="00315770"/>
    <w:rsid w:val="003157FB"/>
    <w:rsid w:val="00315A53"/>
    <w:rsid w:val="00315B9E"/>
    <w:rsid w:val="00315BB6"/>
    <w:rsid w:val="00315BB7"/>
    <w:rsid w:val="00315D0B"/>
    <w:rsid w:val="00315D77"/>
    <w:rsid w:val="00315DAA"/>
    <w:rsid w:val="00315E0E"/>
    <w:rsid w:val="00315E35"/>
    <w:rsid w:val="00315F53"/>
    <w:rsid w:val="003160B9"/>
    <w:rsid w:val="0031615C"/>
    <w:rsid w:val="003161C8"/>
    <w:rsid w:val="0031620F"/>
    <w:rsid w:val="00316327"/>
    <w:rsid w:val="00316348"/>
    <w:rsid w:val="003163ED"/>
    <w:rsid w:val="00316476"/>
    <w:rsid w:val="0031674B"/>
    <w:rsid w:val="00316781"/>
    <w:rsid w:val="003167C2"/>
    <w:rsid w:val="0031681F"/>
    <w:rsid w:val="00316943"/>
    <w:rsid w:val="00316A5F"/>
    <w:rsid w:val="00316B2E"/>
    <w:rsid w:val="00316B68"/>
    <w:rsid w:val="00316C79"/>
    <w:rsid w:val="00316CEB"/>
    <w:rsid w:val="00316F98"/>
    <w:rsid w:val="003170E0"/>
    <w:rsid w:val="0031710A"/>
    <w:rsid w:val="003172A5"/>
    <w:rsid w:val="00317349"/>
    <w:rsid w:val="0031737A"/>
    <w:rsid w:val="00317427"/>
    <w:rsid w:val="003174FF"/>
    <w:rsid w:val="00317796"/>
    <w:rsid w:val="00317809"/>
    <w:rsid w:val="00317B41"/>
    <w:rsid w:val="00317D33"/>
    <w:rsid w:val="00317D47"/>
    <w:rsid w:val="00317E64"/>
    <w:rsid w:val="00317E6D"/>
    <w:rsid w:val="00317E72"/>
    <w:rsid w:val="00317F32"/>
    <w:rsid w:val="00317F6B"/>
    <w:rsid w:val="0032004C"/>
    <w:rsid w:val="0032009D"/>
    <w:rsid w:val="003201BE"/>
    <w:rsid w:val="003202AF"/>
    <w:rsid w:val="00320322"/>
    <w:rsid w:val="0032033A"/>
    <w:rsid w:val="003203F0"/>
    <w:rsid w:val="003204D0"/>
    <w:rsid w:val="00320627"/>
    <w:rsid w:val="00320693"/>
    <w:rsid w:val="00320767"/>
    <w:rsid w:val="00320BD6"/>
    <w:rsid w:val="00320C17"/>
    <w:rsid w:val="00320D3B"/>
    <w:rsid w:val="00320DAC"/>
    <w:rsid w:val="00320F47"/>
    <w:rsid w:val="00320FC4"/>
    <w:rsid w:val="00321063"/>
    <w:rsid w:val="00321079"/>
    <w:rsid w:val="003210F9"/>
    <w:rsid w:val="00321131"/>
    <w:rsid w:val="0032113F"/>
    <w:rsid w:val="0032118B"/>
    <w:rsid w:val="0032141F"/>
    <w:rsid w:val="003214E9"/>
    <w:rsid w:val="0032154B"/>
    <w:rsid w:val="00321752"/>
    <w:rsid w:val="003217D9"/>
    <w:rsid w:val="00321990"/>
    <w:rsid w:val="00321995"/>
    <w:rsid w:val="00321AB5"/>
    <w:rsid w:val="00321ABF"/>
    <w:rsid w:val="00321B73"/>
    <w:rsid w:val="00321C7A"/>
    <w:rsid w:val="00321F23"/>
    <w:rsid w:val="003220A3"/>
    <w:rsid w:val="003223EE"/>
    <w:rsid w:val="00322508"/>
    <w:rsid w:val="00322723"/>
    <w:rsid w:val="003227A5"/>
    <w:rsid w:val="003228E1"/>
    <w:rsid w:val="003229C5"/>
    <w:rsid w:val="00322A9D"/>
    <w:rsid w:val="00322EA4"/>
    <w:rsid w:val="00322EAF"/>
    <w:rsid w:val="00322EB3"/>
    <w:rsid w:val="00322F0D"/>
    <w:rsid w:val="00322F9C"/>
    <w:rsid w:val="00322FBB"/>
    <w:rsid w:val="00322FDF"/>
    <w:rsid w:val="00323278"/>
    <w:rsid w:val="0032329F"/>
    <w:rsid w:val="0032338F"/>
    <w:rsid w:val="003233A5"/>
    <w:rsid w:val="003233D4"/>
    <w:rsid w:val="0032348B"/>
    <w:rsid w:val="0032350B"/>
    <w:rsid w:val="0032368D"/>
    <w:rsid w:val="00323982"/>
    <w:rsid w:val="00323B31"/>
    <w:rsid w:val="00323B32"/>
    <w:rsid w:val="00323BCD"/>
    <w:rsid w:val="00323BF1"/>
    <w:rsid w:val="00323CC7"/>
    <w:rsid w:val="00323EB0"/>
    <w:rsid w:val="00323EC6"/>
    <w:rsid w:val="00324069"/>
    <w:rsid w:val="003241EC"/>
    <w:rsid w:val="003241ED"/>
    <w:rsid w:val="00324201"/>
    <w:rsid w:val="003245D2"/>
    <w:rsid w:val="0032482A"/>
    <w:rsid w:val="003248C7"/>
    <w:rsid w:val="00324946"/>
    <w:rsid w:val="003249B0"/>
    <w:rsid w:val="00324A25"/>
    <w:rsid w:val="00324A4A"/>
    <w:rsid w:val="00324B66"/>
    <w:rsid w:val="00324E6A"/>
    <w:rsid w:val="00325033"/>
    <w:rsid w:val="00325087"/>
    <w:rsid w:val="0032509A"/>
    <w:rsid w:val="003253C1"/>
    <w:rsid w:val="00325443"/>
    <w:rsid w:val="00325664"/>
    <w:rsid w:val="00325679"/>
    <w:rsid w:val="003257BF"/>
    <w:rsid w:val="003257E3"/>
    <w:rsid w:val="00325817"/>
    <w:rsid w:val="00325949"/>
    <w:rsid w:val="0032595E"/>
    <w:rsid w:val="00325CE5"/>
    <w:rsid w:val="00325D30"/>
    <w:rsid w:val="00325DD1"/>
    <w:rsid w:val="00325E33"/>
    <w:rsid w:val="00325E80"/>
    <w:rsid w:val="0032613A"/>
    <w:rsid w:val="0032633A"/>
    <w:rsid w:val="00326391"/>
    <w:rsid w:val="0032639C"/>
    <w:rsid w:val="00326495"/>
    <w:rsid w:val="00326663"/>
    <w:rsid w:val="0032687A"/>
    <w:rsid w:val="00326A4F"/>
    <w:rsid w:val="00326BD2"/>
    <w:rsid w:val="00326DF8"/>
    <w:rsid w:val="00326E49"/>
    <w:rsid w:val="00326E5B"/>
    <w:rsid w:val="00326F40"/>
    <w:rsid w:val="00326FF2"/>
    <w:rsid w:val="00326FF6"/>
    <w:rsid w:val="0032721D"/>
    <w:rsid w:val="0032726D"/>
    <w:rsid w:val="00327333"/>
    <w:rsid w:val="003273EB"/>
    <w:rsid w:val="0032746F"/>
    <w:rsid w:val="003276A5"/>
    <w:rsid w:val="00327739"/>
    <w:rsid w:val="00327772"/>
    <w:rsid w:val="00327794"/>
    <w:rsid w:val="0032783B"/>
    <w:rsid w:val="0032786E"/>
    <w:rsid w:val="003278E6"/>
    <w:rsid w:val="00327AE5"/>
    <w:rsid w:val="00327B0E"/>
    <w:rsid w:val="00327BA8"/>
    <w:rsid w:val="00327C8A"/>
    <w:rsid w:val="00327CE6"/>
    <w:rsid w:val="00327EF1"/>
    <w:rsid w:val="003300A3"/>
    <w:rsid w:val="00330274"/>
    <w:rsid w:val="00330388"/>
    <w:rsid w:val="003304D6"/>
    <w:rsid w:val="00330625"/>
    <w:rsid w:val="003306A5"/>
    <w:rsid w:val="00330712"/>
    <w:rsid w:val="0033074C"/>
    <w:rsid w:val="0033075E"/>
    <w:rsid w:val="003307C2"/>
    <w:rsid w:val="00330843"/>
    <w:rsid w:val="00330A68"/>
    <w:rsid w:val="00330B1D"/>
    <w:rsid w:val="00330B28"/>
    <w:rsid w:val="00330BD2"/>
    <w:rsid w:val="00330CE0"/>
    <w:rsid w:val="00330E03"/>
    <w:rsid w:val="00330F7D"/>
    <w:rsid w:val="00330FBE"/>
    <w:rsid w:val="00331037"/>
    <w:rsid w:val="00331263"/>
    <w:rsid w:val="00331282"/>
    <w:rsid w:val="0033131A"/>
    <w:rsid w:val="003314EB"/>
    <w:rsid w:val="003314F3"/>
    <w:rsid w:val="003314F8"/>
    <w:rsid w:val="003314FE"/>
    <w:rsid w:val="00331553"/>
    <w:rsid w:val="003315BA"/>
    <w:rsid w:val="003315C7"/>
    <w:rsid w:val="003316F8"/>
    <w:rsid w:val="0033174D"/>
    <w:rsid w:val="003318F6"/>
    <w:rsid w:val="00331D05"/>
    <w:rsid w:val="00331D17"/>
    <w:rsid w:val="00331D9E"/>
    <w:rsid w:val="00331E5B"/>
    <w:rsid w:val="00331EB4"/>
    <w:rsid w:val="00331ED6"/>
    <w:rsid w:val="00331F89"/>
    <w:rsid w:val="00332259"/>
    <w:rsid w:val="0033228B"/>
    <w:rsid w:val="00332424"/>
    <w:rsid w:val="003324E9"/>
    <w:rsid w:val="00332536"/>
    <w:rsid w:val="00332613"/>
    <w:rsid w:val="0033265B"/>
    <w:rsid w:val="003326DE"/>
    <w:rsid w:val="0033289D"/>
    <w:rsid w:val="00332A47"/>
    <w:rsid w:val="00332BE0"/>
    <w:rsid w:val="00332D09"/>
    <w:rsid w:val="00332D33"/>
    <w:rsid w:val="00332EE2"/>
    <w:rsid w:val="00333026"/>
    <w:rsid w:val="0033318A"/>
    <w:rsid w:val="00333236"/>
    <w:rsid w:val="003332C6"/>
    <w:rsid w:val="00333351"/>
    <w:rsid w:val="0033339A"/>
    <w:rsid w:val="0033347C"/>
    <w:rsid w:val="0033368A"/>
    <w:rsid w:val="00333790"/>
    <w:rsid w:val="0033391F"/>
    <w:rsid w:val="00333A82"/>
    <w:rsid w:val="00333AC5"/>
    <w:rsid w:val="00333CCF"/>
    <w:rsid w:val="00333D07"/>
    <w:rsid w:val="00333EA9"/>
    <w:rsid w:val="00334049"/>
    <w:rsid w:val="003342CD"/>
    <w:rsid w:val="003342D3"/>
    <w:rsid w:val="0033436F"/>
    <w:rsid w:val="003346DB"/>
    <w:rsid w:val="003347B7"/>
    <w:rsid w:val="003349E3"/>
    <w:rsid w:val="003349F2"/>
    <w:rsid w:val="00334A09"/>
    <w:rsid w:val="00334A17"/>
    <w:rsid w:val="00334B87"/>
    <w:rsid w:val="00334CD5"/>
    <w:rsid w:val="00334D5D"/>
    <w:rsid w:val="00334E03"/>
    <w:rsid w:val="00334F5A"/>
    <w:rsid w:val="003350C8"/>
    <w:rsid w:val="003350DD"/>
    <w:rsid w:val="0033519E"/>
    <w:rsid w:val="003351F0"/>
    <w:rsid w:val="003352B5"/>
    <w:rsid w:val="003353D2"/>
    <w:rsid w:val="003354B6"/>
    <w:rsid w:val="00335560"/>
    <w:rsid w:val="0033556E"/>
    <w:rsid w:val="00335695"/>
    <w:rsid w:val="0033575E"/>
    <w:rsid w:val="00335763"/>
    <w:rsid w:val="00335860"/>
    <w:rsid w:val="003358D1"/>
    <w:rsid w:val="003358DB"/>
    <w:rsid w:val="00335923"/>
    <w:rsid w:val="00335B2C"/>
    <w:rsid w:val="00335D9D"/>
    <w:rsid w:val="00335E3F"/>
    <w:rsid w:val="003360AC"/>
    <w:rsid w:val="003360AD"/>
    <w:rsid w:val="00336251"/>
    <w:rsid w:val="00336312"/>
    <w:rsid w:val="003364D3"/>
    <w:rsid w:val="00336667"/>
    <w:rsid w:val="00336861"/>
    <w:rsid w:val="003368DA"/>
    <w:rsid w:val="00336A0F"/>
    <w:rsid w:val="00336A8E"/>
    <w:rsid w:val="00336B09"/>
    <w:rsid w:val="00336B72"/>
    <w:rsid w:val="00336B9F"/>
    <w:rsid w:val="00336BC7"/>
    <w:rsid w:val="00336C58"/>
    <w:rsid w:val="00336DE9"/>
    <w:rsid w:val="00336E6A"/>
    <w:rsid w:val="00336EC9"/>
    <w:rsid w:val="00336F6A"/>
    <w:rsid w:val="00337010"/>
    <w:rsid w:val="0033701F"/>
    <w:rsid w:val="00337071"/>
    <w:rsid w:val="003371BB"/>
    <w:rsid w:val="003372CE"/>
    <w:rsid w:val="003372FC"/>
    <w:rsid w:val="00337337"/>
    <w:rsid w:val="00337441"/>
    <w:rsid w:val="00337464"/>
    <w:rsid w:val="00337554"/>
    <w:rsid w:val="00337677"/>
    <w:rsid w:val="003377CB"/>
    <w:rsid w:val="003377D0"/>
    <w:rsid w:val="00337942"/>
    <w:rsid w:val="00337989"/>
    <w:rsid w:val="00337A9A"/>
    <w:rsid w:val="00337B50"/>
    <w:rsid w:val="00337BDF"/>
    <w:rsid w:val="00337F17"/>
    <w:rsid w:val="00340061"/>
    <w:rsid w:val="0034010D"/>
    <w:rsid w:val="003401E4"/>
    <w:rsid w:val="003402CD"/>
    <w:rsid w:val="003406EA"/>
    <w:rsid w:val="0034070F"/>
    <w:rsid w:val="0034095E"/>
    <w:rsid w:val="00340B52"/>
    <w:rsid w:val="00340BFC"/>
    <w:rsid w:val="00340D4B"/>
    <w:rsid w:val="00340DFB"/>
    <w:rsid w:val="00340F13"/>
    <w:rsid w:val="0034139A"/>
    <w:rsid w:val="003416A4"/>
    <w:rsid w:val="00341771"/>
    <w:rsid w:val="00341A3B"/>
    <w:rsid w:val="00341A42"/>
    <w:rsid w:val="00341A76"/>
    <w:rsid w:val="00341A9D"/>
    <w:rsid w:val="00341C45"/>
    <w:rsid w:val="00341C65"/>
    <w:rsid w:val="00341CE9"/>
    <w:rsid w:val="00341DA9"/>
    <w:rsid w:val="0034207A"/>
    <w:rsid w:val="003420D6"/>
    <w:rsid w:val="00342237"/>
    <w:rsid w:val="00342339"/>
    <w:rsid w:val="003423CA"/>
    <w:rsid w:val="003424AE"/>
    <w:rsid w:val="003424B3"/>
    <w:rsid w:val="00342540"/>
    <w:rsid w:val="00342589"/>
    <w:rsid w:val="003425A3"/>
    <w:rsid w:val="00342621"/>
    <w:rsid w:val="00342879"/>
    <w:rsid w:val="00342988"/>
    <w:rsid w:val="00342998"/>
    <w:rsid w:val="00342BD6"/>
    <w:rsid w:val="00342C22"/>
    <w:rsid w:val="00342CA4"/>
    <w:rsid w:val="00342CE4"/>
    <w:rsid w:val="00342E19"/>
    <w:rsid w:val="00342E36"/>
    <w:rsid w:val="00342F48"/>
    <w:rsid w:val="0034313A"/>
    <w:rsid w:val="003432B4"/>
    <w:rsid w:val="0034375C"/>
    <w:rsid w:val="00343787"/>
    <w:rsid w:val="003438E2"/>
    <w:rsid w:val="00343A2F"/>
    <w:rsid w:val="00343AA1"/>
    <w:rsid w:val="00343B19"/>
    <w:rsid w:val="00343B40"/>
    <w:rsid w:val="00343E46"/>
    <w:rsid w:val="00343E59"/>
    <w:rsid w:val="00343EE8"/>
    <w:rsid w:val="00343FBE"/>
    <w:rsid w:val="0034403E"/>
    <w:rsid w:val="0034431B"/>
    <w:rsid w:val="003443EC"/>
    <w:rsid w:val="003445BC"/>
    <w:rsid w:val="003445C4"/>
    <w:rsid w:val="00344660"/>
    <w:rsid w:val="003448EB"/>
    <w:rsid w:val="00344B2B"/>
    <w:rsid w:val="00344B64"/>
    <w:rsid w:val="00344C9B"/>
    <w:rsid w:val="00344DF1"/>
    <w:rsid w:val="00344E14"/>
    <w:rsid w:val="00344E24"/>
    <w:rsid w:val="00344F28"/>
    <w:rsid w:val="00345163"/>
    <w:rsid w:val="00345185"/>
    <w:rsid w:val="00345298"/>
    <w:rsid w:val="003452F6"/>
    <w:rsid w:val="0034537F"/>
    <w:rsid w:val="003455E3"/>
    <w:rsid w:val="00345849"/>
    <w:rsid w:val="00345906"/>
    <w:rsid w:val="003459EE"/>
    <w:rsid w:val="00345DB9"/>
    <w:rsid w:val="00345FDD"/>
    <w:rsid w:val="003461BC"/>
    <w:rsid w:val="003462B6"/>
    <w:rsid w:val="003462FC"/>
    <w:rsid w:val="00346427"/>
    <w:rsid w:val="00346479"/>
    <w:rsid w:val="00346508"/>
    <w:rsid w:val="003465C2"/>
    <w:rsid w:val="00346609"/>
    <w:rsid w:val="003467AD"/>
    <w:rsid w:val="003468EF"/>
    <w:rsid w:val="003469B5"/>
    <w:rsid w:val="003469CF"/>
    <w:rsid w:val="00346DF3"/>
    <w:rsid w:val="00347036"/>
    <w:rsid w:val="0034708E"/>
    <w:rsid w:val="00347133"/>
    <w:rsid w:val="003471E2"/>
    <w:rsid w:val="00347494"/>
    <w:rsid w:val="003474C0"/>
    <w:rsid w:val="003474E1"/>
    <w:rsid w:val="00347546"/>
    <w:rsid w:val="003476B7"/>
    <w:rsid w:val="0034774F"/>
    <w:rsid w:val="003478C8"/>
    <w:rsid w:val="003478FC"/>
    <w:rsid w:val="0034796C"/>
    <w:rsid w:val="00347976"/>
    <w:rsid w:val="00347C09"/>
    <w:rsid w:val="00347C49"/>
    <w:rsid w:val="00347E1B"/>
    <w:rsid w:val="00350047"/>
    <w:rsid w:val="0035008C"/>
    <w:rsid w:val="00350274"/>
    <w:rsid w:val="0035043C"/>
    <w:rsid w:val="00350581"/>
    <w:rsid w:val="003505F4"/>
    <w:rsid w:val="003506D0"/>
    <w:rsid w:val="00350792"/>
    <w:rsid w:val="003507BA"/>
    <w:rsid w:val="00350849"/>
    <w:rsid w:val="00350888"/>
    <w:rsid w:val="003508ED"/>
    <w:rsid w:val="003508F8"/>
    <w:rsid w:val="00350AA9"/>
    <w:rsid w:val="00350B00"/>
    <w:rsid w:val="00350B49"/>
    <w:rsid w:val="00350B52"/>
    <w:rsid w:val="00350C4D"/>
    <w:rsid w:val="00350C8A"/>
    <w:rsid w:val="00350CE0"/>
    <w:rsid w:val="00350D85"/>
    <w:rsid w:val="00350F0C"/>
    <w:rsid w:val="00350FDE"/>
    <w:rsid w:val="0035104E"/>
    <w:rsid w:val="00351196"/>
    <w:rsid w:val="003511D8"/>
    <w:rsid w:val="003511F6"/>
    <w:rsid w:val="00351325"/>
    <w:rsid w:val="0035156C"/>
    <w:rsid w:val="0035161B"/>
    <w:rsid w:val="0035164B"/>
    <w:rsid w:val="0035175D"/>
    <w:rsid w:val="003517AF"/>
    <w:rsid w:val="00351810"/>
    <w:rsid w:val="00351965"/>
    <w:rsid w:val="00351B66"/>
    <w:rsid w:val="00351D46"/>
    <w:rsid w:val="00351E72"/>
    <w:rsid w:val="00351F1E"/>
    <w:rsid w:val="003522EC"/>
    <w:rsid w:val="00352338"/>
    <w:rsid w:val="003523BA"/>
    <w:rsid w:val="00352539"/>
    <w:rsid w:val="0035255F"/>
    <w:rsid w:val="00352582"/>
    <w:rsid w:val="0035266B"/>
    <w:rsid w:val="00352681"/>
    <w:rsid w:val="0035276D"/>
    <w:rsid w:val="003529B0"/>
    <w:rsid w:val="00352A1E"/>
    <w:rsid w:val="00352ABA"/>
    <w:rsid w:val="00352B82"/>
    <w:rsid w:val="00352D63"/>
    <w:rsid w:val="00352D65"/>
    <w:rsid w:val="00352E61"/>
    <w:rsid w:val="00352FEE"/>
    <w:rsid w:val="003530C2"/>
    <w:rsid w:val="003532BC"/>
    <w:rsid w:val="0035334C"/>
    <w:rsid w:val="003534CE"/>
    <w:rsid w:val="00353531"/>
    <w:rsid w:val="003536B0"/>
    <w:rsid w:val="003538F7"/>
    <w:rsid w:val="003539D5"/>
    <w:rsid w:val="00353BFB"/>
    <w:rsid w:val="00353D00"/>
    <w:rsid w:val="00353D47"/>
    <w:rsid w:val="0035409B"/>
    <w:rsid w:val="003541D4"/>
    <w:rsid w:val="00354212"/>
    <w:rsid w:val="003542A8"/>
    <w:rsid w:val="0035439D"/>
    <w:rsid w:val="00354458"/>
    <w:rsid w:val="00354519"/>
    <w:rsid w:val="00354579"/>
    <w:rsid w:val="0035467B"/>
    <w:rsid w:val="00354745"/>
    <w:rsid w:val="0035477A"/>
    <w:rsid w:val="003547CB"/>
    <w:rsid w:val="003547E7"/>
    <w:rsid w:val="00354962"/>
    <w:rsid w:val="00354ADF"/>
    <w:rsid w:val="00354C03"/>
    <w:rsid w:val="00354C52"/>
    <w:rsid w:val="00354DF6"/>
    <w:rsid w:val="00354E58"/>
    <w:rsid w:val="00354F33"/>
    <w:rsid w:val="00354F57"/>
    <w:rsid w:val="003551B7"/>
    <w:rsid w:val="00355380"/>
    <w:rsid w:val="003553EB"/>
    <w:rsid w:val="003554AD"/>
    <w:rsid w:val="0035558A"/>
    <w:rsid w:val="003556E4"/>
    <w:rsid w:val="0035574E"/>
    <w:rsid w:val="003557B7"/>
    <w:rsid w:val="00355802"/>
    <w:rsid w:val="0035584D"/>
    <w:rsid w:val="003558B7"/>
    <w:rsid w:val="00355911"/>
    <w:rsid w:val="00355BB2"/>
    <w:rsid w:val="00355DA1"/>
    <w:rsid w:val="00356047"/>
    <w:rsid w:val="00356049"/>
    <w:rsid w:val="00356125"/>
    <w:rsid w:val="00356205"/>
    <w:rsid w:val="00356233"/>
    <w:rsid w:val="00356298"/>
    <w:rsid w:val="0035629C"/>
    <w:rsid w:val="0035633D"/>
    <w:rsid w:val="0035645B"/>
    <w:rsid w:val="0035658F"/>
    <w:rsid w:val="003565D5"/>
    <w:rsid w:val="00356759"/>
    <w:rsid w:val="00356B55"/>
    <w:rsid w:val="00356C7A"/>
    <w:rsid w:val="00356CE8"/>
    <w:rsid w:val="00356EEC"/>
    <w:rsid w:val="00356F59"/>
    <w:rsid w:val="00356F73"/>
    <w:rsid w:val="00357337"/>
    <w:rsid w:val="0035737A"/>
    <w:rsid w:val="003574D8"/>
    <w:rsid w:val="00357566"/>
    <w:rsid w:val="003575C6"/>
    <w:rsid w:val="003577C2"/>
    <w:rsid w:val="0035781C"/>
    <w:rsid w:val="00357A95"/>
    <w:rsid w:val="00357AC0"/>
    <w:rsid w:val="00357B1A"/>
    <w:rsid w:val="00357D17"/>
    <w:rsid w:val="00357D24"/>
    <w:rsid w:val="00357F76"/>
    <w:rsid w:val="00357FC8"/>
    <w:rsid w:val="00360017"/>
    <w:rsid w:val="00360067"/>
    <w:rsid w:val="00360169"/>
    <w:rsid w:val="00360420"/>
    <w:rsid w:val="0036075F"/>
    <w:rsid w:val="00360767"/>
    <w:rsid w:val="0036096D"/>
    <w:rsid w:val="003609AA"/>
    <w:rsid w:val="00360B63"/>
    <w:rsid w:val="00360B64"/>
    <w:rsid w:val="00360C96"/>
    <w:rsid w:val="00360DD3"/>
    <w:rsid w:val="00360DF8"/>
    <w:rsid w:val="00360E59"/>
    <w:rsid w:val="00360F1B"/>
    <w:rsid w:val="00360FDD"/>
    <w:rsid w:val="0036102B"/>
    <w:rsid w:val="00361262"/>
    <w:rsid w:val="00361380"/>
    <w:rsid w:val="0036175C"/>
    <w:rsid w:val="003617EC"/>
    <w:rsid w:val="003618FF"/>
    <w:rsid w:val="00361C09"/>
    <w:rsid w:val="00361D7A"/>
    <w:rsid w:val="00362095"/>
    <w:rsid w:val="00362114"/>
    <w:rsid w:val="00362246"/>
    <w:rsid w:val="003622F3"/>
    <w:rsid w:val="00362392"/>
    <w:rsid w:val="0036246B"/>
    <w:rsid w:val="003626F0"/>
    <w:rsid w:val="0036271D"/>
    <w:rsid w:val="0036286A"/>
    <w:rsid w:val="00362B26"/>
    <w:rsid w:val="00362C2A"/>
    <w:rsid w:val="00362DA2"/>
    <w:rsid w:val="00362E4C"/>
    <w:rsid w:val="0036312B"/>
    <w:rsid w:val="00363157"/>
    <w:rsid w:val="00363211"/>
    <w:rsid w:val="00363391"/>
    <w:rsid w:val="00363593"/>
    <w:rsid w:val="0036360F"/>
    <w:rsid w:val="00363828"/>
    <w:rsid w:val="0036391D"/>
    <w:rsid w:val="00363CA7"/>
    <w:rsid w:val="00363D09"/>
    <w:rsid w:val="00363F42"/>
    <w:rsid w:val="00363F73"/>
    <w:rsid w:val="00363FAA"/>
    <w:rsid w:val="00363FAB"/>
    <w:rsid w:val="0036407C"/>
    <w:rsid w:val="003641CD"/>
    <w:rsid w:val="0036431A"/>
    <w:rsid w:val="00364396"/>
    <w:rsid w:val="00364446"/>
    <w:rsid w:val="00364470"/>
    <w:rsid w:val="0036463C"/>
    <w:rsid w:val="0036466B"/>
    <w:rsid w:val="00364673"/>
    <w:rsid w:val="003646E7"/>
    <w:rsid w:val="0036474E"/>
    <w:rsid w:val="0036475F"/>
    <w:rsid w:val="00364767"/>
    <w:rsid w:val="00364946"/>
    <w:rsid w:val="00364993"/>
    <w:rsid w:val="00364B1F"/>
    <w:rsid w:val="00364BAF"/>
    <w:rsid w:val="00364F0D"/>
    <w:rsid w:val="00364F64"/>
    <w:rsid w:val="00364F68"/>
    <w:rsid w:val="0036528E"/>
    <w:rsid w:val="00365394"/>
    <w:rsid w:val="003653DC"/>
    <w:rsid w:val="003653F2"/>
    <w:rsid w:val="00365409"/>
    <w:rsid w:val="0036548A"/>
    <w:rsid w:val="003654D3"/>
    <w:rsid w:val="003654E1"/>
    <w:rsid w:val="00365632"/>
    <w:rsid w:val="0036570D"/>
    <w:rsid w:val="003659DE"/>
    <w:rsid w:val="00365A7D"/>
    <w:rsid w:val="00365C71"/>
    <w:rsid w:val="00365D06"/>
    <w:rsid w:val="00365EB4"/>
    <w:rsid w:val="00365FAC"/>
    <w:rsid w:val="00366056"/>
    <w:rsid w:val="00366075"/>
    <w:rsid w:val="00366165"/>
    <w:rsid w:val="00366184"/>
    <w:rsid w:val="00366236"/>
    <w:rsid w:val="00366319"/>
    <w:rsid w:val="003663CC"/>
    <w:rsid w:val="00366436"/>
    <w:rsid w:val="00366652"/>
    <w:rsid w:val="00366698"/>
    <w:rsid w:val="003666A5"/>
    <w:rsid w:val="0036672D"/>
    <w:rsid w:val="00366766"/>
    <w:rsid w:val="00366793"/>
    <w:rsid w:val="0036682B"/>
    <w:rsid w:val="0036684B"/>
    <w:rsid w:val="003668C6"/>
    <w:rsid w:val="00366A12"/>
    <w:rsid w:val="00366A4D"/>
    <w:rsid w:val="00366B1B"/>
    <w:rsid w:val="00366BC3"/>
    <w:rsid w:val="00366D38"/>
    <w:rsid w:val="00366F75"/>
    <w:rsid w:val="0036702E"/>
    <w:rsid w:val="00367171"/>
    <w:rsid w:val="0036722F"/>
    <w:rsid w:val="003672BE"/>
    <w:rsid w:val="003673B4"/>
    <w:rsid w:val="00367416"/>
    <w:rsid w:val="003674EF"/>
    <w:rsid w:val="003675CA"/>
    <w:rsid w:val="003676B2"/>
    <w:rsid w:val="003677D9"/>
    <w:rsid w:val="003677FC"/>
    <w:rsid w:val="003678EB"/>
    <w:rsid w:val="00367AC5"/>
    <w:rsid w:val="00367D53"/>
    <w:rsid w:val="00367D78"/>
    <w:rsid w:val="00367D84"/>
    <w:rsid w:val="00367FA5"/>
    <w:rsid w:val="0037009E"/>
    <w:rsid w:val="0037033B"/>
    <w:rsid w:val="0037036D"/>
    <w:rsid w:val="00370463"/>
    <w:rsid w:val="0037055E"/>
    <w:rsid w:val="00370637"/>
    <w:rsid w:val="003709B9"/>
    <w:rsid w:val="003709C1"/>
    <w:rsid w:val="003709C2"/>
    <w:rsid w:val="00370C04"/>
    <w:rsid w:val="00370C3C"/>
    <w:rsid w:val="00370EFB"/>
    <w:rsid w:val="00371026"/>
    <w:rsid w:val="00371076"/>
    <w:rsid w:val="00371227"/>
    <w:rsid w:val="0037136A"/>
    <w:rsid w:val="0037148A"/>
    <w:rsid w:val="00371531"/>
    <w:rsid w:val="003716A5"/>
    <w:rsid w:val="00371759"/>
    <w:rsid w:val="00371763"/>
    <w:rsid w:val="0037181E"/>
    <w:rsid w:val="003719CD"/>
    <w:rsid w:val="00371A2F"/>
    <w:rsid w:val="00371AAC"/>
    <w:rsid w:val="00371CF7"/>
    <w:rsid w:val="00371ECA"/>
    <w:rsid w:val="00371EE9"/>
    <w:rsid w:val="00372121"/>
    <w:rsid w:val="00372162"/>
    <w:rsid w:val="00372197"/>
    <w:rsid w:val="0037223B"/>
    <w:rsid w:val="003722B6"/>
    <w:rsid w:val="00372359"/>
    <w:rsid w:val="0037237B"/>
    <w:rsid w:val="003723A2"/>
    <w:rsid w:val="003723F2"/>
    <w:rsid w:val="003725C5"/>
    <w:rsid w:val="00372728"/>
    <w:rsid w:val="003727A2"/>
    <w:rsid w:val="00372827"/>
    <w:rsid w:val="0037295C"/>
    <w:rsid w:val="00372B96"/>
    <w:rsid w:val="00372F13"/>
    <w:rsid w:val="00372F49"/>
    <w:rsid w:val="003730A8"/>
    <w:rsid w:val="00373251"/>
    <w:rsid w:val="00373322"/>
    <w:rsid w:val="0037344D"/>
    <w:rsid w:val="003734C2"/>
    <w:rsid w:val="003734F7"/>
    <w:rsid w:val="00373716"/>
    <w:rsid w:val="00373834"/>
    <w:rsid w:val="00373891"/>
    <w:rsid w:val="003739E8"/>
    <w:rsid w:val="00373A1A"/>
    <w:rsid w:val="00373B3F"/>
    <w:rsid w:val="00373B4A"/>
    <w:rsid w:val="00373B88"/>
    <w:rsid w:val="00373C36"/>
    <w:rsid w:val="00373C57"/>
    <w:rsid w:val="00373E53"/>
    <w:rsid w:val="00373E8F"/>
    <w:rsid w:val="00373F10"/>
    <w:rsid w:val="00373F7B"/>
    <w:rsid w:val="00374076"/>
    <w:rsid w:val="003740C4"/>
    <w:rsid w:val="00374101"/>
    <w:rsid w:val="0037452C"/>
    <w:rsid w:val="0037456C"/>
    <w:rsid w:val="003745B1"/>
    <w:rsid w:val="003745DA"/>
    <w:rsid w:val="003747B4"/>
    <w:rsid w:val="00374814"/>
    <w:rsid w:val="00374851"/>
    <w:rsid w:val="00374911"/>
    <w:rsid w:val="00374A8A"/>
    <w:rsid w:val="00374CAB"/>
    <w:rsid w:val="00374D38"/>
    <w:rsid w:val="00374D58"/>
    <w:rsid w:val="00374DAE"/>
    <w:rsid w:val="00374DFA"/>
    <w:rsid w:val="00374E92"/>
    <w:rsid w:val="00374EDE"/>
    <w:rsid w:val="00374F2F"/>
    <w:rsid w:val="0037513E"/>
    <w:rsid w:val="0037518E"/>
    <w:rsid w:val="003753D3"/>
    <w:rsid w:val="003753FC"/>
    <w:rsid w:val="00375482"/>
    <w:rsid w:val="003754B8"/>
    <w:rsid w:val="0037554A"/>
    <w:rsid w:val="003755E7"/>
    <w:rsid w:val="003757D1"/>
    <w:rsid w:val="00375817"/>
    <w:rsid w:val="00375A35"/>
    <w:rsid w:val="00375AD1"/>
    <w:rsid w:val="00375BC6"/>
    <w:rsid w:val="00375BDC"/>
    <w:rsid w:val="00375BF6"/>
    <w:rsid w:val="00375CF1"/>
    <w:rsid w:val="00375EFA"/>
    <w:rsid w:val="003760C8"/>
    <w:rsid w:val="0037632C"/>
    <w:rsid w:val="00376408"/>
    <w:rsid w:val="00376846"/>
    <w:rsid w:val="003769AA"/>
    <w:rsid w:val="00376B62"/>
    <w:rsid w:val="00376CCE"/>
    <w:rsid w:val="00377022"/>
    <w:rsid w:val="003771F8"/>
    <w:rsid w:val="003772C5"/>
    <w:rsid w:val="00377459"/>
    <w:rsid w:val="0037751B"/>
    <w:rsid w:val="00377527"/>
    <w:rsid w:val="0037754C"/>
    <w:rsid w:val="0037758E"/>
    <w:rsid w:val="003777EE"/>
    <w:rsid w:val="00377831"/>
    <w:rsid w:val="0037786E"/>
    <w:rsid w:val="003778C5"/>
    <w:rsid w:val="0037794D"/>
    <w:rsid w:val="003779BB"/>
    <w:rsid w:val="00377A76"/>
    <w:rsid w:val="00377AAC"/>
    <w:rsid w:val="00377B00"/>
    <w:rsid w:val="00377E08"/>
    <w:rsid w:val="00377E0E"/>
    <w:rsid w:val="00377F08"/>
    <w:rsid w:val="00377F39"/>
    <w:rsid w:val="00380047"/>
    <w:rsid w:val="00380090"/>
    <w:rsid w:val="00380099"/>
    <w:rsid w:val="003802DF"/>
    <w:rsid w:val="003805B0"/>
    <w:rsid w:val="00380676"/>
    <w:rsid w:val="00380688"/>
    <w:rsid w:val="00380876"/>
    <w:rsid w:val="0038089F"/>
    <w:rsid w:val="00380A22"/>
    <w:rsid w:val="00380BE9"/>
    <w:rsid w:val="00380CA3"/>
    <w:rsid w:val="00380E4B"/>
    <w:rsid w:val="00380ECD"/>
    <w:rsid w:val="00380F10"/>
    <w:rsid w:val="00381550"/>
    <w:rsid w:val="003816B5"/>
    <w:rsid w:val="003819A0"/>
    <w:rsid w:val="003819FA"/>
    <w:rsid w:val="0038213F"/>
    <w:rsid w:val="003821F4"/>
    <w:rsid w:val="0038221F"/>
    <w:rsid w:val="0038241B"/>
    <w:rsid w:val="00382573"/>
    <w:rsid w:val="003826E5"/>
    <w:rsid w:val="003827CF"/>
    <w:rsid w:val="003828CB"/>
    <w:rsid w:val="00382916"/>
    <w:rsid w:val="00382DC2"/>
    <w:rsid w:val="00382DCF"/>
    <w:rsid w:val="00382E65"/>
    <w:rsid w:val="00382FB3"/>
    <w:rsid w:val="00382FEB"/>
    <w:rsid w:val="00383043"/>
    <w:rsid w:val="00383141"/>
    <w:rsid w:val="003831B3"/>
    <w:rsid w:val="00383288"/>
    <w:rsid w:val="003833C6"/>
    <w:rsid w:val="003833E2"/>
    <w:rsid w:val="00383438"/>
    <w:rsid w:val="0038344C"/>
    <w:rsid w:val="0038349A"/>
    <w:rsid w:val="0038350F"/>
    <w:rsid w:val="003835FC"/>
    <w:rsid w:val="003837C2"/>
    <w:rsid w:val="003838C6"/>
    <w:rsid w:val="00383BDF"/>
    <w:rsid w:val="00383C6A"/>
    <w:rsid w:val="00384089"/>
    <w:rsid w:val="00384289"/>
    <w:rsid w:val="00384414"/>
    <w:rsid w:val="003844B1"/>
    <w:rsid w:val="003844BF"/>
    <w:rsid w:val="003844F8"/>
    <w:rsid w:val="00384704"/>
    <w:rsid w:val="0038478C"/>
    <w:rsid w:val="00384802"/>
    <w:rsid w:val="003848AA"/>
    <w:rsid w:val="003849F0"/>
    <w:rsid w:val="00384AF7"/>
    <w:rsid w:val="00384B29"/>
    <w:rsid w:val="00384D33"/>
    <w:rsid w:val="00384F75"/>
    <w:rsid w:val="0038503A"/>
    <w:rsid w:val="00385050"/>
    <w:rsid w:val="0038505F"/>
    <w:rsid w:val="003851A4"/>
    <w:rsid w:val="003851D8"/>
    <w:rsid w:val="003851E2"/>
    <w:rsid w:val="00385231"/>
    <w:rsid w:val="003853BC"/>
    <w:rsid w:val="00385483"/>
    <w:rsid w:val="00385536"/>
    <w:rsid w:val="003859D1"/>
    <w:rsid w:val="00385A91"/>
    <w:rsid w:val="00385C9B"/>
    <w:rsid w:val="00385D5E"/>
    <w:rsid w:val="00385E59"/>
    <w:rsid w:val="00385EEF"/>
    <w:rsid w:val="0038604C"/>
    <w:rsid w:val="003860CC"/>
    <w:rsid w:val="003862A8"/>
    <w:rsid w:val="00386470"/>
    <w:rsid w:val="003864AD"/>
    <w:rsid w:val="00386556"/>
    <w:rsid w:val="0038655B"/>
    <w:rsid w:val="0038659B"/>
    <w:rsid w:val="003865A0"/>
    <w:rsid w:val="00386651"/>
    <w:rsid w:val="003866D5"/>
    <w:rsid w:val="00386711"/>
    <w:rsid w:val="0038686B"/>
    <w:rsid w:val="00386987"/>
    <w:rsid w:val="003869B0"/>
    <w:rsid w:val="003869C9"/>
    <w:rsid w:val="00386AE7"/>
    <w:rsid w:val="00386C0B"/>
    <w:rsid w:val="00386CBC"/>
    <w:rsid w:val="00386D6D"/>
    <w:rsid w:val="00386E14"/>
    <w:rsid w:val="00386F0D"/>
    <w:rsid w:val="0038703A"/>
    <w:rsid w:val="003870FB"/>
    <w:rsid w:val="0038710F"/>
    <w:rsid w:val="0038715E"/>
    <w:rsid w:val="003872AD"/>
    <w:rsid w:val="0038732E"/>
    <w:rsid w:val="0038742A"/>
    <w:rsid w:val="0038754F"/>
    <w:rsid w:val="00387644"/>
    <w:rsid w:val="00387673"/>
    <w:rsid w:val="003876B8"/>
    <w:rsid w:val="00387760"/>
    <w:rsid w:val="003877FD"/>
    <w:rsid w:val="003878D1"/>
    <w:rsid w:val="00387C88"/>
    <w:rsid w:val="00387E96"/>
    <w:rsid w:val="00387F4B"/>
    <w:rsid w:val="00390066"/>
    <w:rsid w:val="0039006C"/>
    <w:rsid w:val="003900AB"/>
    <w:rsid w:val="0039012B"/>
    <w:rsid w:val="00390221"/>
    <w:rsid w:val="0039025A"/>
    <w:rsid w:val="00390323"/>
    <w:rsid w:val="00390371"/>
    <w:rsid w:val="0039038B"/>
    <w:rsid w:val="003903B8"/>
    <w:rsid w:val="00390447"/>
    <w:rsid w:val="00390448"/>
    <w:rsid w:val="003904C9"/>
    <w:rsid w:val="003904D9"/>
    <w:rsid w:val="003905B6"/>
    <w:rsid w:val="003906EC"/>
    <w:rsid w:val="00390797"/>
    <w:rsid w:val="00390A92"/>
    <w:rsid w:val="00390BE6"/>
    <w:rsid w:val="00390C15"/>
    <w:rsid w:val="00390CCD"/>
    <w:rsid w:val="00390F67"/>
    <w:rsid w:val="00390FFB"/>
    <w:rsid w:val="00391036"/>
    <w:rsid w:val="003912F2"/>
    <w:rsid w:val="00391328"/>
    <w:rsid w:val="00391369"/>
    <w:rsid w:val="00391526"/>
    <w:rsid w:val="0039160F"/>
    <w:rsid w:val="003916D3"/>
    <w:rsid w:val="00391D19"/>
    <w:rsid w:val="00391FCF"/>
    <w:rsid w:val="00391FD1"/>
    <w:rsid w:val="00392375"/>
    <w:rsid w:val="003923E1"/>
    <w:rsid w:val="0039240F"/>
    <w:rsid w:val="003926F7"/>
    <w:rsid w:val="00392730"/>
    <w:rsid w:val="00392798"/>
    <w:rsid w:val="0039293B"/>
    <w:rsid w:val="003929B8"/>
    <w:rsid w:val="00392AA0"/>
    <w:rsid w:val="00392B3B"/>
    <w:rsid w:val="00392B4D"/>
    <w:rsid w:val="00392BCB"/>
    <w:rsid w:val="00392DFC"/>
    <w:rsid w:val="00392E06"/>
    <w:rsid w:val="00392EA9"/>
    <w:rsid w:val="00392EBC"/>
    <w:rsid w:val="00392EEF"/>
    <w:rsid w:val="00392F8A"/>
    <w:rsid w:val="00393143"/>
    <w:rsid w:val="00393302"/>
    <w:rsid w:val="00393308"/>
    <w:rsid w:val="00393509"/>
    <w:rsid w:val="0039362C"/>
    <w:rsid w:val="00393714"/>
    <w:rsid w:val="003937AF"/>
    <w:rsid w:val="003938AB"/>
    <w:rsid w:val="00393998"/>
    <w:rsid w:val="00393BEA"/>
    <w:rsid w:val="00393CD0"/>
    <w:rsid w:val="00393CFE"/>
    <w:rsid w:val="00393FAF"/>
    <w:rsid w:val="0039405B"/>
    <w:rsid w:val="00394132"/>
    <w:rsid w:val="003941DA"/>
    <w:rsid w:val="00394256"/>
    <w:rsid w:val="003942FF"/>
    <w:rsid w:val="0039436E"/>
    <w:rsid w:val="00394416"/>
    <w:rsid w:val="00394691"/>
    <w:rsid w:val="003946BE"/>
    <w:rsid w:val="00394741"/>
    <w:rsid w:val="00394882"/>
    <w:rsid w:val="00394A3B"/>
    <w:rsid w:val="00394A52"/>
    <w:rsid w:val="00394C5E"/>
    <w:rsid w:val="00394CA5"/>
    <w:rsid w:val="00394E8A"/>
    <w:rsid w:val="00394ED6"/>
    <w:rsid w:val="00395041"/>
    <w:rsid w:val="00395065"/>
    <w:rsid w:val="00395419"/>
    <w:rsid w:val="00395477"/>
    <w:rsid w:val="00395573"/>
    <w:rsid w:val="003955AB"/>
    <w:rsid w:val="003955C0"/>
    <w:rsid w:val="0039571C"/>
    <w:rsid w:val="003957F0"/>
    <w:rsid w:val="003957F8"/>
    <w:rsid w:val="00395993"/>
    <w:rsid w:val="00395C7D"/>
    <w:rsid w:val="00395DC4"/>
    <w:rsid w:val="00395DDB"/>
    <w:rsid w:val="00395F12"/>
    <w:rsid w:val="00395F98"/>
    <w:rsid w:val="00396288"/>
    <w:rsid w:val="0039628C"/>
    <w:rsid w:val="003962AB"/>
    <w:rsid w:val="00396387"/>
    <w:rsid w:val="003965A8"/>
    <w:rsid w:val="0039676E"/>
    <w:rsid w:val="00396841"/>
    <w:rsid w:val="00396954"/>
    <w:rsid w:val="003969D7"/>
    <w:rsid w:val="003969DC"/>
    <w:rsid w:val="00396BA6"/>
    <w:rsid w:val="00396CAA"/>
    <w:rsid w:val="00396D7E"/>
    <w:rsid w:val="00397010"/>
    <w:rsid w:val="00397085"/>
    <w:rsid w:val="0039708C"/>
    <w:rsid w:val="003970F8"/>
    <w:rsid w:val="00397196"/>
    <w:rsid w:val="003974B8"/>
    <w:rsid w:val="0039755F"/>
    <w:rsid w:val="00397623"/>
    <w:rsid w:val="003976B0"/>
    <w:rsid w:val="003977AE"/>
    <w:rsid w:val="0039782F"/>
    <w:rsid w:val="00397856"/>
    <w:rsid w:val="00397B21"/>
    <w:rsid w:val="00397B2E"/>
    <w:rsid w:val="00397C94"/>
    <w:rsid w:val="00397CA8"/>
    <w:rsid w:val="00397D26"/>
    <w:rsid w:val="00397D9C"/>
    <w:rsid w:val="00397E0C"/>
    <w:rsid w:val="00397E89"/>
    <w:rsid w:val="00397ECA"/>
    <w:rsid w:val="00397ED4"/>
    <w:rsid w:val="00397F6A"/>
    <w:rsid w:val="003A0017"/>
    <w:rsid w:val="003A006A"/>
    <w:rsid w:val="003A00A6"/>
    <w:rsid w:val="003A012E"/>
    <w:rsid w:val="003A01A2"/>
    <w:rsid w:val="003A037D"/>
    <w:rsid w:val="003A0416"/>
    <w:rsid w:val="003A0418"/>
    <w:rsid w:val="003A0447"/>
    <w:rsid w:val="003A0578"/>
    <w:rsid w:val="003A07AA"/>
    <w:rsid w:val="003A083E"/>
    <w:rsid w:val="003A0925"/>
    <w:rsid w:val="003A094E"/>
    <w:rsid w:val="003A0957"/>
    <w:rsid w:val="003A0A5F"/>
    <w:rsid w:val="003A0C3A"/>
    <w:rsid w:val="003A0CD2"/>
    <w:rsid w:val="003A0DB7"/>
    <w:rsid w:val="003A1025"/>
    <w:rsid w:val="003A128F"/>
    <w:rsid w:val="003A13CD"/>
    <w:rsid w:val="003A143C"/>
    <w:rsid w:val="003A1472"/>
    <w:rsid w:val="003A1497"/>
    <w:rsid w:val="003A14EE"/>
    <w:rsid w:val="003A1567"/>
    <w:rsid w:val="003A15DC"/>
    <w:rsid w:val="003A1650"/>
    <w:rsid w:val="003A1659"/>
    <w:rsid w:val="003A172E"/>
    <w:rsid w:val="003A182C"/>
    <w:rsid w:val="003A19C7"/>
    <w:rsid w:val="003A19F7"/>
    <w:rsid w:val="003A1A53"/>
    <w:rsid w:val="003A1B70"/>
    <w:rsid w:val="003A1C5F"/>
    <w:rsid w:val="003A1FAD"/>
    <w:rsid w:val="003A1FD2"/>
    <w:rsid w:val="003A202A"/>
    <w:rsid w:val="003A2043"/>
    <w:rsid w:val="003A206A"/>
    <w:rsid w:val="003A20B3"/>
    <w:rsid w:val="003A218E"/>
    <w:rsid w:val="003A2211"/>
    <w:rsid w:val="003A2246"/>
    <w:rsid w:val="003A244E"/>
    <w:rsid w:val="003A25F7"/>
    <w:rsid w:val="003A2A81"/>
    <w:rsid w:val="003A2B06"/>
    <w:rsid w:val="003A2B5B"/>
    <w:rsid w:val="003A2C56"/>
    <w:rsid w:val="003A2DFB"/>
    <w:rsid w:val="003A2E25"/>
    <w:rsid w:val="003A2F5F"/>
    <w:rsid w:val="003A3079"/>
    <w:rsid w:val="003A3151"/>
    <w:rsid w:val="003A3158"/>
    <w:rsid w:val="003A3348"/>
    <w:rsid w:val="003A341D"/>
    <w:rsid w:val="003A3466"/>
    <w:rsid w:val="003A371E"/>
    <w:rsid w:val="003A375D"/>
    <w:rsid w:val="003A385F"/>
    <w:rsid w:val="003A3B01"/>
    <w:rsid w:val="003A3B12"/>
    <w:rsid w:val="003A3B50"/>
    <w:rsid w:val="003A3C3C"/>
    <w:rsid w:val="003A3E78"/>
    <w:rsid w:val="003A3EC4"/>
    <w:rsid w:val="003A3F9F"/>
    <w:rsid w:val="003A427E"/>
    <w:rsid w:val="003A42B7"/>
    <w:rsid w:val="003A434E"/>
    <w:rsid w:val="003A4463"/>
    <w:rsid w:val="003A44AD"/>
    <w:rsid w:val="003A4612"/>
    <w:rsid w:val="003A4757"/>
    <w:rsid w:val="003A47DB"/>
    <w:rsid w:val="003A4859"/>
    <w:rsid w:val="003A4AB7"/>
    <w:rsid w:val="003A4B09"/>
    <w:rsid w:val="003A4BE6"/>
    <w:rsid w:val="003A4C60"/>
    <w:rsid w:val="003A4E42"/>
    <w:rsid w:val="003A4F3E"/>
    <w:rsid w:val="003A5077"/>
    <w:rsid w:val="003A50F9"/>
    <w:rsid w:val="003A519A"/>
    <w:rsid w:val="003A51BE"/>
    <w:rsid w:val="003A5225"/>
    <w:rsid w:val="003A5253"/>
    <w:rsid w:val="003A564C"/>
    <w:rsid w:val="003A564F"/>
    <w:rsid w:val="003A56D6"/>
    <w:rsid w:val="003A574E"/>
    <w:rsid w:val="003A586C"/>
    <w:rsid w:val="003A5986"/>
    <w:rsid w:val="003A5A2D"/>
    <w:rsid w:val="003A5A66"/>
    <w:rsid w:val="003A5AF5"/>
    <w:rsid w:val="003A5B9F"/>
    <w:rsid w:val="003A5D2C"/>
    <w:rsid w:val="003A5D59"/>
    <w:rsid w:val="003A5DA1"/>
    <w:rsid w:val="003A5ED6"/>
    <w:rsid w:val="003A6319"/>
    <w:rsid w:val="003A642E"/>
    <w:rsid w:val="003A6457"/>
    <w:rsid w:val="003A6480"/>
    <w:rsid w:val="003A6526"/>
    <w:rsid w:val="003A6587"/>
    <w:rsid w:val="003A666B"/>
    <w:rsid w:val="003A66B6"/>
    <w:rsid w:val="003A66F3"/>
    <w:rsid w:val="003A693F"/>
    <w:rsid w:val="003A6A18"/>
    <w:rsid w:val="003A6AB4"/>
    <w:rsid w:val="003A6C4B"/>
    <w:rsid w:val="003A6C4F"/>
    <w:rsid w:val="003A6D69"/>
    <w:rsid w:val="003A6E37"/>
    <w:rsid w:val="003A6F59"/>
    <w:rsid w:val="003A7120"/>
    <w:rsid w:val="003A71DF"/>
    <w:rsid w:val="003A729C"/>
    <w:rsid w:val="003A72CE"/>
    <w:rsid w:val="003A72D1"/>
    <w:rsid w:val="003A7428"/>
    <w:rsid w:val="003A74DD"/>
    <w:rsid w:val="003A752A"/>
    <w:rsid w:val="003A7AE6"/>
    <w:rsid w:val="003A7B13"/>
    <w:rsid w:val="003A7B3B"/>
    <w:rsid w:val="003A7B45"/>
    <w:rsid w:val="003A7B95"/>
    <w:rsid w:val="003A7D22"/>
    <w:rsid w:val="003A7E69"/>
    <w:rsid w:val="003B011C"/>
    <w:rsid w:val="003B0296"/>
    <w:rsid w:val="003B04C6"/>
    <w:rsid w:val="003B04F1"/>
    <w:rsid w:val="003B064C"/>
    <w:rsid w:val="003B0680"/>
    <w:rsid w:val="003B086F"/>
    <w:rsid w:val="003B0997"/>
    <w:rsid w:val="003B0A9B"/>
    <w:rsid w:val="003B0B53"/>
    <w:rsid w:val="003B0EE0"/>
    <w:rsid w:val="003B0F8D"/>
    <w:rsid w:val="003B121B"/>
    <w:rsid w:val="003B14C2"/>
    <w:rsid w:val="003B15F8"/>
    <w:rsid w:val="003B167C"/>
    <w:rsid w:val="003B1709"/>
    <w:rsid w:val="003B1710"/>
    <w:rsid w:val="003B1781"/>
    <w:rsid w:val="003B186B"/>
    <w:rsid w:val="003B1919"/>
    <w:rsid w:val="003B193F"/>
    <w:rsid w:val="003B1BBA"/>
    <w:rsid w:val="003B1C0F"/>
    <w:rsid w:val="003B1CEB"/>
    <w:rsid w:val="003B1CF7"/>
    <w:rsid w:val="003B1D6E"/>
    <w:rsid w:val="003B1DAF"/>
    <w:rsid w:val="003B1E39"/>
    <w:rsid w:val="003B1F76"/>
    <w:rsid w:val="003B201B"/>
    <w:rsid w:val="003B20DA"/>
    <w:rsid w:val="003B2139"/>
    <w:rsid w:val="003B21FD"/>
    <w:rsid w:val="003B22EE"/>
    <w:rsid w:val="003B25BA"/>
    <w:rsid w:val="003B267B"/>
    <w:rsid w:val="003B27EB"/>
    <w:rsid w:val="003B2837"/>
    <w:rsid w:val="003B2964"/>
    <w:rsid w:val="003B2A0A"/>
    <w:rsid w:val="003B2B36"/>
    <w:rsid w:val="003B308C"/>
    <w:rsid w:val="003B30E2"/>
    <w:rsid w:val="003B3299"/>
    <w:rsid w:val="003B335F"/>
    <w:rsid w:val="003B33EA"/>
    <w:rsid w:val="003B34A3"/>
    <w:rsid w:val="003B34A6"/>
    <w:rsid w:val="003B372C"/>
    <w:rsid w:val="003B37B1"/>
    <w:rsid w:val="003B37B7"/>
    <w:rsid w:val="003B38D4"/>
    <w:rsid w:val="003B38D5"/>
    <w:rsid w:val="003B38D9"/>
    <w:rsid w:val="003B38EF"/>
    <w:rsid w:val="003B39E4"/>
    <w:rsid w:val="003B3A38"/>
    <w:rsid w:val="003B3AF1"/>
    <w:rsid w:val="003B3BA9"/>
    <w:rsid w:val="003B3C00"/>
    <w:rsid w:val="003B3D09"/>
    <w:rsid w:val="003B3D42"/>
    <w:rsid w:val="003B3DBB"/>
    <w:rsid w:val="003B3E66"/>
    <w:rsid w:val="003B408D"/>
    <w:rsid w:val="003B4231"/>
    <w:rsid w:val="003B43E6"/>
    <w:rsid w:val="003B43ED"/>
    <w:rsid w:val="003B442F"/>
    <w:rsid w:val="003B4587"/>
    <w:rsid w:val="003B47C0"/>
    <w:rsid w:val="003B49A0"/>
    <w:rsid w:val="003B4A12"/>
    <w:rsid w:val="003B4D1E"/>
    <w:rsid w:val="003B4D22"/>
    <w:rsid w:val="003B4DDF"/>
    <w:rsid w:val="003B4DEF"/>
    <w:rsid w:val="003B4E59"/>
    <w:rsid w:val="003B4EC5"/>
    <w:rsid w:val="003B4F60"/>
    <w:rsid w:val="003B5020"/>
    <w:rsid w:val="003B50B0"/>
    <w:rsid w:val="003B50DF"/>
    <w:rsid w:val="003B5173"/>
    <w:rsid w:val="003B51D0"/>
    <w:rsid w:val="003B5316"/>
    <w:rsid w:val="003B532A"/>
    <w:rsid w:val="003B53E5"/>
    <w:rsid w:val="003B5520"/>
    <w:rsid w:val="003B59F9"/>
    <w:rsid w:val="003B5A74"/>
    <w:rsid w:val="003B5B51"/>
    <w:rsid w:val="003B5C9F"/>
    <w:rsid w:val="003B5CA9"/>
    <w:rsid w:val="003B5CEF"/>
    <w:rsid w:val="003B5D2C"/>
    <w:rsid w:val="003B5D5D"/>
    <w:rsid w:val="003B5E91"/>
    <w:rsid w:val="003B5EBA"/>
    <w:rsid w:val="003B5EE5"/>
    <w:rsid w:val="003B5FB8"/>
    <w:rsid w:val="003B6076"/>
    <w:rsid w:val="003B6149"/>
    <w:rsid w:val="003B6183"/>
    <w:rsid w:val="003B6249"/>
    <w:rsid w:val="003B63F6"/>
    <w:rsid w:val="003B6414"/>
    <w:rsid w:val="003B65F5"/>
    <w:rsid w:val="003B66CD"/>
    <w:rsid w:val="003B66E7"/>
    <w:rsid w:val="003B6834"/>
    <w:rsid w:val="003B68A8"/>
    <w:rsid w:val="003B69B3"/>
    <w:rsid w:val="003B6C5C"/>
    <w:rsid w:val="003B6E67"/>
    <w:rsid w:val="003B6EC9"/>
    <w:rsid w:val="003B6ECD"/>
    <w:rsid w:val="003B6F81"/>
    <w:rsid w:val="003B724D"/>
    <w:rsid w:val="003B7261"/>
    <w:rsid w:val="003B7340"/>
    <w:rsid w:val="003B74B7"/>
    <w:rsid w:val="003B75A6"/>
    <w:rsid w:val="003B761D"/>
    <w:rsid w:val="003B78A9"/>
    <w:rsid w:val="003B78C8"/>
    <w:rsid w:val="003B79FE"/>
    <w:rsid w:val="003B7A37"/>
    <w:rsid w:val="003B7A53"/>
    <w:rsid w:val="003B7ABC"/>
    <w:rsid w:val="003B7C22"/>
    <w:rsid w:val="003B7CEB"/>
    <w:rsid w:val="003B7CED"/>
    <w:rsid w:val="003B7D7B"/>
    <w:rsid w:val="003B7DC1"/>
    <w:rsid w:val="003B7EFD"/>
    <w:rsid w:val="003C00C9"/>
    <w:rsid w:val="003C00E6"/>
    <w:rsid w:val="003C0160"/>
    <w:rsid w:val="003C018E"/>
    <w:rsid w:val="003C01EC"/>
    <w:rsid w:val="003C0243"/>
    <w:rsid w:val="003C02F9"/>
    <w:rsid w:val="003C0464"/>
    <w:rsid w:val="003C05E2"/>
    <w:rsid w:val="003C069E"/>
    <w:rsid w:val="003C08ED"/>
    <w:rsid w:val="003C0AEA"/>
    <w:rsid w:val="003C0DEA"/>
    <w:rsid w:val="003C0E9E"/>
    <w:rsid w:val="003C0FD4"/>
    <w:rsid w:val="003C1019"/>
    <w:rsid w:val="003C1071"/>
    <w:rsid w:val="003C12DB"/>
    <w:rsid w:val="003C14B0"/>
    <w:rsid w:val="003C14D4"/>
    <w:rsid w:val="003C14E1"/>
    <w:rsid w:val="003C1534"/>
    <w:rsid w:val="003C1615"/>
    <w:rsid w:val="003C1755"/>
    <w:rsid w:val="003C19A0"/>
    <w:rsid w:val="003C19E2"/>
    <w:rsid w:val="003C1B05"/>
    <w:rsid w:val="003C1CAB"/>
    <w:rsid w:val="003C1D62"/>
    <w:rsid w:val="003C1F0C"/>
    <w:rsid w:val="003C21A2"/>
    <w:rsid w:val="003C22F7"/>
    <w:rsid w:val="003C236D"/>
    <w:rsid w:val="003C24FE"/>
    <w:rsid w:val="003C2502"/>
    <w:rsid w:val="003C2514"/>
    <w:rsid w:val="003C25B6"/>
    <w:rsid w:val="003C2678"/>
    <w:rsid w:val="003C267B"/>
    <w:rsid w:val="003C28E8"/>
    <w:rsid w:val="003C29BF"/>
    <w:rsid w:val="003C29D0"/>
    <w:rsid w:val="003C29F9"/>
    <w:rsid w:val="003C2A38"/>
    <w:rsid w:val="003C2ADC"/>
    <w:rsid w:val="003C2B9A"/>
    <w:rsid w:val="003C2D06"/>
    <w:rsid w:val="003C2D86"/>
    <w:rsid w:val="003C301F"/>
    <w:rsid w:val="003C3121"/>
    <w:rsid w:val="003C3387"/>
    <w:rsid w:val="003C36E6"/>
    <w:rsid w:val="003C378F"/>
    <w:rsid w:val="003C384E"/>
    <w:rsid w:val="003C3886"/>
    <w:rsid w:val="003C3B59"/>
    <w:rsid w:val="003C3CCB"/>
    <w:rsid w:val="003C3CE5"/>
    <w:rsid w:val="003C3E22"/>
    <w:rsid w:val="003C3E24"/>
    <w:rsid w:val="003C3E55"/>
    <w:rsid w:val="003C3E76"/>
    <w:rsid w:val="003C40DA"/>
    <w:rsid w:val="003C41DD"/>
    <w:rsid w:val="003C4235"/>
    <w:rsid w:val="003C4275"/>
    <w:rsid w:val="003C45CE"/>
    <w:rsid w:val="003C4745"/>
    <w:rsid w:val="003C4829"/>
    <w:rsid w:val="003C48CA"/>
    <w:rsid w:val="003C4906"/>
    <w:rsid w:val="003C491B"/>
    <w:rsid w:val="003C49FA"/>
    <w:rsid w:val="003C4AC7"/>
    <w:rsid w:val="003C4C0F"/>
    <w:rsid w:val="003C4CDC"/>
    <w:rsid w:val="003C4E02"/>
    <w:rsid w:val="003C4FA5"/>
    <w:rsid w:val="003C501A"/>
    <w:rsid w:val="003C5029"/>
    <w:rsid w:val="003C5087"/>
    <w:rsid w:val="003C5096"/>
    <w:rsid w:val="003C50F4"/>
    <w:rsid w:val="003C5156"/>
    <w:rsid w:val="003C516B"/>
    <w:rsid w:val="003C54B3"/>
    <w:rsid w:val="003C5642"/>
    <w:rsid w:val="003C57C6"/>
    <w:rsid w:val="003C5895"/>
    <w:rsid w:val="003C58A0"/>
    <w:rsid w:val="003C58AA"/>
    <w:rsid w:val="003C58E1"/>
    <w:rsid w:val="003C5B9C"/>
    <w:rsid w:val="003C5BB3"/>
    <w:rsid w:val="003C5C75"/>
    <w:rsid w:val="003C5E3D"/>
    <w:rsid w:val="003C5EC0"/>
    <w:rsid w:val="003C5F1C"/>
    <w:rsid w:val="003C5F5C"/>
    <w:rsid w:val="003C6008"/>
    <w:rsid w:val="003C60CA"/>
    <w:rsid w:val="003C61DC"/>
    <w:rsid w:val="003C6391"/>
    <w:rsid w:val="003C63A4"/>
    <w:rsid w:val="003C63FE"/>
    <w:rsid w:val="003C656A"/>
    <w:rsid w:val="003C65B0"/>
    <w:rsid w:val="003C67F0"/>
    <w:rsid w:val="003C6809"/>
    <w:rsid w:val="003C699B"/>
    <w:rsid w:val="003C6B34"/>
    <w:rsid w:val="003C6C2A"/>
    <w:rsid w:val="003C6F76"/>
    <w:rsid w:val="003C7016"/>
    <w:rsid w:val="003C702B"/>
    <w:rsid w:val="003C7204"/>
    <w:rsid w:val="003C7562"/>
    <w:rsid w:val="003C75F5"/>
    <w:rsid w:val="003C761E"/>
    <w:rsid w:val="003C7624"/>
    <w:rsid w:val="003C771C"/>
    <w:rsid w:val="003C77EF"/>
    <w:rsid w:val="003C77FB"/>
    <w:rsid w:val="003C7822"/>
    <w:rsid w:val="003C78E8"/>
    <w:rsid w:val="003C79EC"/>
    <w:rsid w:val="003C7A17"/>
    <w:rsid w:val="003C7B46"/>
    <w:rsid w:val="003C7BEE"/>
    <w:rsid w:val="003C7CFA"/>
    <w:rsid w:val="003C7F3A"/>
    <w:rsid w:val="003D0092"/>
    <w:rsid w:val="003D01FB"/>
    <w:rsid w:val="003D0261"/>
    <w:rsid w:val="003D02B2"/>
    <w:rsid w:val="003D039D"/>
    <w:rsid w:val="003D0422"/>
    <w:rsid w:val="003D0525"/>
    <w:rsid w:val="003D0664"/>
    <w:rsid w:val="003D06C1"/>
    <w:rsid w:val="003D0921"/>
    <w:rsid w:val="003D0983"/>
    <w:rsid w:val="003D09A9"/>
    <w:rsid w:val="003D0B55"/>
    <w:rsid w:val="003D0C3A"/>
    <w:rsid w:val="003D0D9E"/>
    <w:rsid w:val="003D0E86"/>
    <w:rsid w:val="003D0E91"/>
    <w:rsid w:val="003D0F9A"/>
    <w:rsid w:val="003D1164"/>
    <w:rsid w:val="003D11F7"/>
    <w:rsid w:val="003D129A"/>
    <w:rsid w:val="003D1306"/>
    <w:rsid w:val="003D1382"/>
    <w:rsid w:val="003D13FB"/>
    <w:rsid w:val="003D1409"/>
    <w:rsid w:val="003D14AB"/>
    <w:rsid w:val="003D14E0"/>
    <w:rsid w:val="003D1536"/>
    <w:rsid w:val="003D1664"/>
    <w:rsid w:val="003D16DC"/>
    <w:rsid w:val="003D17A2"/>
    <w:rsid w:val="003D190C"/>
    <w:rsid w:val="003D19DD"/>
    <w:rsid w:val="003D19EB"/>
    <w:rsid w:val="003D1A03"/>
    <w:rsid w:val="003D1CAA"/>
    <w:rsid w:val="003D1D5B"/>
    <w:rsid w:val="003D1D98"/>
    <w:rsid w:val="003D1DA5"/>
    <w:rsid w:val="003D1E20"/>
    <w:rsid w:val="003D1ED9"/>
    <w:rsid w:val="003D1F8A"/>
    <w:rsid w:val="003D2009"/>
    <w:rsid w:val="003D20A0"/>
    <w:rsid w:val="003D22FA"/>
    <w:rsid w:val="003D231D"/>
    <w:rsid w:val="003D23EB"/>
    <w:rsid w:val="003D2562"/>
    <w:rsid w:val="003D269A"/>
    <w:rsid w:val="003D27C7"/>
    <w:rsid w:val="003D2B0B"/>
    <w:rsid w:val="003D2B2B"/>
    <w:rsid w:val="003D2E74"/>
    <w:rsid w:val="003D2FD2"/>
    <w:rsid w:val="003D3050"/>
    <w:rsid w:val="003D343D"/>
    <w:rsid w:val="003D36A3"/>
    <w:rsid w:val="003D3821"/>
    <w:rsid w:val="003D3935"/>
    <w:rsid w:val="003D3969"/>
    <w:rsid w:val="003D3B04"/>
    <w:rsid w:val="003D3DC7"/>
    <w:rsid w:val="003D3F57"/>
    <w:rsid w:val="003D4057"/>
    <w:rsid w:val="003D406B"/>
    <w:rsid w:val="003D4084"/>
    <w:rsid w:val="003D4175"/>
    <w:rsid w:val="003D4213"/>
    <w:rsid w:val="003D4668"/>
    <w:rsid w:val="003D4812"/>
    <w:rsid w:val="003D483D"/>
    <w:rsid w:val="003D487C"/>
    <w:rsid w:val="003D4A88"/>
    <w:rsid w:val="003D4C54"/>
    <w:rsid w:val="003D4E3F"/>
    <w:rsid w:val="003D4F26"/>
    <w:rsid w:val="003D51CA"/>
    <w:rsid w:val="003D52D7"/>
    <w:rsid w:val="003D5326"/>
    <w:rsid w:val="003D5363"/>
    <w:rsid w:val="003D5480"/>
    <w:rsid w:val="003D56BA"/>
    <w:rsid w:val="003D5938"/>
    <w:rsid w:val="003D598C"/>
    <w:rsid w:val="003D59CD"/>
    <w:rsid w:val="003D5A6D"/>
    <w:rsid w:val="003D5BCD"/>
    <w:rsid w:val="003D5C21"/>
    <w:rsid w:val="003D5D29"/>
    <w:rsid w:val="003D5D30"/>
    <w:rsid w:val="003D5D7A"/>
    <w:rsid w:val="003D6163"/>
    <w:rsid w:val="003D6223"/>
    <w:rsid w:val="003D6230"/>
    <w:rsid w:val="003D624B"/>
    <w:rsid w:val="003D655B"/>
    <w:rsid w:val="003D65E0"/>
    <w:rsid w:val="003D6636"/>
    <w:rsid w:val="003D6666"/>
    <w:rsid w:val="003D69AE"/>
    <w:rsid w:val="003D69B9"/>
    <w:rsid w:val="003D6A97"/>
    <w:rsid w:val="003D6D29"/>
    <w:rsid w:val="003D6D32"/>
    <w:rsid w:val="003D6E3B"/>
    <w:rsid w:val="003D6E5F"/>
    <w:rsid w:val="003D6EB7"/>
    <w:rsid w:val="003D6EEC"/>
    <w:rsid w:val="003D70F6"/>
    <w:rsid w:val="003D738B"/>
    <w:rsid w:val="003D7475"/>
    <w:rsid w:val="003D749B"/>
    <w:rsid w:val="003D752E"/>
    <w:rsid w:val="003D7732"/>
    <w:rsid w:val="003D799A"/>
    <w:rsid w:val="003D7AAE"/>
    <w:rsid w:val="003D7B48"/>
    <w:rsid w:val="003D7C54"/>
    <w:rsid w:val="003D7E5B"/>
    <w:rsid w:val="003D7E8A"/>
    <w:rsid w:val="003E0002"/>
    <w:rsid w:val="003E0189"/>
    <w:rsid w:val="003E01F7"/>
    <w:rsid w:val="003E05F6"/>
    <w:rsid w:val="003E0638"/>
    <w:rsid w:val="003E064E"/>
    <w:rsid w:val="003E069F"/>
    <w:rsid w:val="003E0854"/>
    <w:rsid w:val="003E08B3"/>
    <w:rsid w:val="003E0911"/>
    <w:rsid w:val="003E093E"/>
    <w:rsid w:val="003E0A99"/>
    <w:rsid w:val="003E0BFA"/>
    <w:rsid w:val="003E0D85"/>
    <w:rsid w:val="003E0EEB"/>
    <w:rsid w:val="003E0F17"/>
    <w:rsid w:val="003E1000"/>
    <w:rsid w:val="003E1078"/>
    <w:rsid w:val="003E12D5"/>
    <w:rsid w:val="003E1371"/>
    <w:rsid w:val="003E1492"/>
    <w:rsid w:val="003E169D"/>
    <w:rsid w:val="003E1779"/>
    <w:rsid w:val="003E191D"/>
    <w:rsid w:val="003E19BC"/>
    <w:rsid w:val="003E19C9"/>
    <w:rsid w:val="003E1AF2"/>
    <w:rsid w:val="003E1D3F"/>
    <w:rsid w:val="003E1D66"/>
    <w:rsid w:val="003E2051"/>
    <w:rsid w:val="003E20EF"/>
    <w:rsid w:val="003E2283"/>
    <w:rsid w:val="003E22B6"/>
    <w:rsid w:val="003E251A"/>
    <w:rsid w:val="003E251B"/>
    <w:rsid w:val="003E2593"/>
    <w:rsid w:val="003E2723"/>
    <w:rsid w:val="003E27B2"/>
    <w:rsid w:val="003E29D3"/>
    <w:rsid w:val="003E2A75"/>
    <w:rsid w:val="003E2AC8"/>
    <w:rsid w:val="003E2C34"/>
    <w:rsid w:val="003E2D0F"/>
    <w:rsid w:val="003E2E2E"/>
    <w:rsid w:val="003E2E34"/>
    <w:rsid w:val="003E2F2F"/>
    <w:rsid w:val="003E304B"/>
    <w:rsid w:val="003E3065"/>
    <w:rsid w:val="003E30AF"/>
    <w:rsid w:val="003E3130"/>
    <w:rsid w:val="003E3133"/>
    <w:rsid w:val="003E3202"/>
    <w:rsid w:val="003E3328"/>
    <w:rsid w:val="003E338E"/>
    <w:rsid w:val="003E3392"/>
    <w:rsid w:val="003E347F"/>
    <w:rsid w:val="003E3538"/>
    <w:rsid w:val="003E35C1"/>
    <w:rsid w:val="003E35C4"/>
    <w:rsid w:val="003E3665"/>
    <w:rsid w:val="003E3691"/>
    <w:rsid w:val="003E3736"/>
    <w:rsid w:val="003E39E4"/>
    <w:rsid w:val="003E3A60"/>
    <w:rsid w:val="003E3A77"/>
    <w:rsid w:val="003E3B45"/>
    <w:rsid w:val="003E3BF6"/>
    <w:rsid w:val="003E400D"/>
    <w:rsid w:val="003E4023"/>
    <w:rsid w:val="003E4039"/>
    <w:rsid w:val="003E41C0"/>
    <w:rsid w:val="003E41F0"/>
    <w:rsid w:val="003E4223"/>
    <w:rsid w:val="003E4312"/>
    <w:rsid w:val="003E438D"/>
    <w:rsid w:val="003E4491"/>
    <w:rsid w:val="003E4647"/>
    <w:rsid w:val="003E4697"/>
    <w:rsid w:val="003E47B6"/>
    <w:rsid w:val="003E4BF6"/>
    <w:rsid w:val="003E4CF8"/>
    <w:rsid w:val="003E4DB5"/>
    <w:rsid w:val="003E4E6E"/>
    <w:rsid w:val="003E4F05"/>
    <w:rsid w:val="003E50C8"/>
    <w:rsid w:val="003E52B2"/>
    <w:rsid w:val="003E5302"/>
    <w:rsid w:val="003E550F"/>
    <w:rsid w:val="003E560C"/>
    <w:rsid w:val="003E566D"/>
    <w:rsid w:val="003E56E0"/>
    <w:rsid w:val="003E588B"/>
    <w:rsid w:val="003E58FC"/>
    <w:rsid w:val="003E594A"/>
    <w:rsid w:val="003E5DB5"/>
    <w:rsid w:val="003E6082"/>
    <w:rsid w:val="003E61B8"/>
    <w:rsid w:val="003E6263"/>
    <w:rsid w:val="003E63C3"/>
    <w:rsid w:val="003E6432"/>
    <w:rsid w:val="003E65F7"/>
    <w:rsid w:val="003E6635"/>
    <w:rsid w:val="003E6855"/>
    <w:rsid w:val="003E696D"/>
    <w:rsid w:val="003E6AF2"/>
    <w:rsid w:val="003E6B4A"/>
    <w:rsid w:val="003E6B97"/>
    <w:rsid w:val="003E6C0D"/>
    <w:rsid w:val="003E6C79"/>
    <w:rsid w:val="003E6D67"/>
    <w:rsid w:val="003E6DC3"/>
    <w:rsid w:val="003E6E09"/>
    <w:rsid w:val="003E6F54"/>
    <w:rsid w:val="003E703D"/>
    <w:rsid w:val="003E70B5"/>
    <w:rsid w:val="003E72F9"/>
    <w:rsid w:val="003E7342"/>
    <w:rsid w:val="003E76B3"/>
    <w:rsid w:val="003E7712"/>
    <w:rsid w:val="003E773B"/>
    <w:rsid w:val="003E7849"/>
    <w:rsid w:val="003E790B"/>
    <w:rsid w:val="003E7AC2"/>
    <w:rsid w:val="003E7F28"/>
    <w:rsid w:val="003E7FA3"/>
    <w:rsid w:val="003F008D"/>
    <w:rsid w:val="003F0141"/>
    <w:rsid w:val="003F02FE"/>
    <w:rsid w:val="003F03DD"/>
    <w:rsid w:val="003F045A"/>
    <w:rsid w:val="003F04CE"/>
    <w:rsid w:val="003F050B"/>
    <w:rsid w:val="003F05E1"/>
    <w:rsid w:val="003F0638"/>
    <w:rsid w:val="003F0676"/>
    <w:rsid w:val="003F0876"/>
    <w:rsid w:val="003F0898"/>
    <w:rsid w:val="003F08D6"/>
    <w:rsid w:val="003F08F9"/>
    <w:rsid w:val="003F09C1"/>
    <w:rsid w:val="003F09CE"/>
    <w:rsid w:val="003F0A7D"/>
    <w:rsid w:val="003F0C6D"/>
    <w:rsid w:val="003F0C84"/>
    <w:rsid w:val="003F0D1C"/>
    <w:rsid w:val="003F0DF5"/>
    <w:rsid w:val="003F0E24"/>
    <w:rsid w:val="003F0E69"/>
    <w:rsid w:val="003F0F29"/>
    <w:rsid w:val="003F0F94"/>
    <w:rsid w:val="003F112C"/>
    <w:rsid w:val="003F11A7"/>
    <w:rsid w:val="003F11B8"/>
    <w:rsid w:val="003F1238"/>
    <w:rsid w:val="003F1371"/>
    <w:rsid w:val="003F1386"/>
    <w:rsid w:val="003F14C6"/>
    <w:rsid w:val="003F1652"/>
    <w:rsid w:val="003F1667"/>
    <w:rsid w:val="003F17B9"/>
    <w:rsid w:val="003F17C9"/>
    <w:rsid w:val="003F17F0"/>
    <w:rsid w:val="003F18E3"/>
    <w:rsid w:val="003F1AC0"/>
    <w:rsid w:val="003F1B01"/>
    <w:rsid w:val="003F1B97"/>
    <w:rsid w:val="003F1BA3"/>
    <w:rsid w:val="003F1BBC"/>
    <w:rsid w:val="003F1D5B"/>
    <w:rsid w:val="003F1D7A"/>
    <w:rsid w:val="003F1E01"/>
    <w:rsid w:val="003F20BC"/>
    <w:rsid w:val="003F20DD"/>
    <w:rsid w:val="003F2114"/>
    <w:rsid w:val="003F2252"/>
    <w:rsid w:val="003F2280"/>
    <w:rsid w:val="003F232A"/>
    <w:rsid w:val="003F2482"/>
    <w:rsid w:val="003F24BA"/>
    <w:rsid w:val="003F2669"/>
    <w:rsid w:val="003F27CD"/>
    <w:rsid w:val="003F286C"/>
    <w:rsid w:val="003F2958"/>
    <w:rsid w:val="003F29DC"/>
    <w:rsid w:val="003F2A10"/>
    <w:rsid w:val="003F2A3B"/>
    <w:rsid w:val="003F2A57"/>
    <w:rsid w:val="003F2A68"/>
    <w:rsid w:val="003F2B40"/>
    <w:rsid w:val="003F2B53"/>
    <w:rsid w:val="003F2BC6"/>
    <w:rsid w:val="003F2D88"/>
    <w:rsid w:val="003F2DE7"/>
    <w:rsid w:val="003F2E12"/>
    <w:rsid w:val="003F2E4A"/>
    <w:rsid w:val="003F307A"/>
    <w:rsid w:val="003F311C"/>
    <w:rsid w:val="003F31CD"/>
    <w:rsid w:val="003F31FE"/>
    <w:rsid w:val="003F335F"/>
    <w:rsid w:val="003F3706"/>
    <w:rsid w:val="003F396A"/>
    <w:rsid w:val="003F3A79"/>
    <w:rsid w:val="003F3C0A"/>
    <w:rsid w:val="003F3D70"/>
    <w:rsid w:val="003F3F6B"/>
    <w:rsid w:val="003F3FCA"/>
    <w:rsid w:val="003F4235"/>
    <w:rsid w:val="003F4363"/>
    <w:rsid w:val="003F4506"/>
    <w:rsid w:val="003F457A"/>
    <w:rsid w:val="003F4628"/>
    <w:rsid w:val="003F46B2"/>
    <w:rsid w:val="003F46EC"/>
    <w:rsid w:val="003F4722"/>
    <w:rsid w:val="003F481C"/>
    <w:rsid w:val="003F490F"/>
    <w:rsid w:val="003F4B18"/>
    <w:rsid w:val="003F4B3F"/>
    <w:rsid w:val="003F4DCE"/>
    <w:rsid w:val="003F4E6B"/>
    <w:rsid w:val="003F4FE3"/>
    <w:rsid w:val="003F5078"/>
    <w:rsid w:val="003F50A1"/>
    <w:rsid w:val="003F5405"/>
    <w:rsid w:val="003F5408"/>
    <w:rsid w:val="003F56CE"/>
    <w:rsid w:val="003F57CC"/>
    <w:rsid w:val="003F5878"/>
    <w:rsid w:val="003F5A5F"/>
    <w:rsid w:val="003F5AF8"/>
    <w:rsid w:val="003F5BA7"/>
    <w:rsid w:val="003F5CE0"/>
    <w:rsid w:val="003F605F"/>
    <w:rsid w:val="003F6259"/>
    <w:rsid w:val="003F63B9"/>
    <w:rsid w:val="003F6460"/>
    <w:rsid w:val="003F64B8"/>
    <w:rsid w:val="003F64C6"/>
    <w:rsid w:val="003F65D0"/>
    <w:rsid w:val="003F6704"/>
    <w:rsid w:val="003F670E"/>
    <w:rsid w:val="003F693F"/>
    <w:rsid w:val="003F696C"/>
    <w:rsid w:val="003F69A0"/>
    <w:rsid w:val="003F69B0"/>
    <w:rsid w:val="003F69BC"/>
    <w:rsid w:val="003F6A01"/>
    <w:rsid w:val="003F6B3E"/>
    <w:rsid w:val="003F6BC4"/>
    <w:rsid w:val="003F6C13"/>
    <w:rsid w:val="003F6E3B"/>
    <w:rsid w:val="003F6E98"/>
    <w:rsid w:val="003F6E9D"/>
    <w:rsid w:val="003F6F56"/>
    <w:rsid w:val="003F71FF"/>
    <w:rsid w:val="003F7317"/>
    <w:rsid w:val="003F73D5"/>
    <w:rsid w:val="003F74FF"/>
    <w:rsid w:val="003F76FD"/>
    <w:rsid w:val="003F772D"/>
    <w:rsid w:val="003F775E"/>
    <w:rsid w:val="003F7808"/>
    <w:rsid w:val="003F7856"/>
    <w:rsid w:val="003F7875"/>
    <w:rsid w:val="003F7993"/>
    <w:rsid w:val="003F7C2A"/>
    <w:rsid w:val="003F7D10"/>
    <w:rsid w:val="00400047"/>
    <w:rsid w:val="004001B7"/>
    <w:rsid w:val="0040021B"/>
    <w:rsid w:val="0040034B"/>
    <w:rsid w:val="00400457"/>
    <w:rsid w:val="0040045B"/>
    <w:rsid w:val="00400545"/>
    <w:rsid w:val="00400570"/>
    <w:rsid w:val="00400715"/>
    <w:rsid w:val="004007E4"/>
    <w:rsid w:val="004007FB"/>
    <w:rsid w:val="00400B50"/>
    <w:rsid w:val="00400C50"/>
    <w:rsid w:val="00400F64"/>
    <w:rsid w:val="00401047"/>
    <w:rsid w:val="004011A5"/>
    <w:rsid w:val="004013D9"/>
    <w:rsid w:val="004015E5"/>
    <w:rsid w:val="00401723"/>
    <w:rsid w:val="004019FF"/>
    <w:rsid w:val="00401AF2"/>
    <w:rsid w:val="00401B91"/>
    <w:rsid w:val="00401CA5"/>
    <w:rsid w:val="00401D43"/>
    <w:rsid w:val="00401DCB"/>
    <w:rsid w:val="00401DED"/>
    <w:rsid w:val="00401E4C"/>
    <w:rsid w:val="00401EA5"/>
    <w:rsid w:val="00401F1D"/>
    <w:rsid w:val="00401FB0"/>
    <w:rsid w:val="004021FA"/>
    <w:rsid w:val="004022AF"/>
    <w:rsid w:val="0040233F"/>
    <w:rsid w:val="004023E0"/>
    <w:rsid w:val="00402405"/>
    <w:rsid w:val="0040241A"/>
    <w:rsid w:val="0040258B"/>
    <w:rsid w:val="0040269C"/>
    <w:rsid w:val="00402A55"/>
    <w:rsid w:val="00402B9B"/>
    <w:rsid w:val="00402BDE"/>
    <w:rsid w:val="00402C3D"/>
    <w:rsid w:val="00402C9A"/>
    <w:rsid w:val="00402E6E"/>
    <w:rsid w:val="00402F30"/>
    <w:rsid w:val="00402FE2"/>
    <w:rsid w:val="00403198"/>
    <w:rsid w:val="0040320B"/>
    <w:rsid w:val="0040332D"/>
    <w:rsid w:val="004033CA"/>
    <w:rsid w:val="00403440"/>
    <w:rsid w:val="00403488"/>
    <w:rsid w:val="00403591"/>
    <w:rsid w:val="00403717"/>
    <w:rsid w:val="004038A2"/>
    <w:rsid w:val="00403A70"/>
    <w:rsid w:val="00403C7A"/>
    <w:rsid w:val="00403CFE"/>
    <w:rsid w:val="00403D22"/>
    <w:rsid w:val="00403DB4"/>
    <w:rsid w:val="00404060"/>
    <w:rsid w:val="004040C2"/>
    <w:rsid w:val="00404285"/>
    <w:rsid w:val="004042D3"/>
    <w:rsid w:val="0040437B"/>
    <w:rsid w:val="0040454B"/>
    <w:rsid w:val="00404623"/>
    <w:rsid w:val="00404679"/>
    <w:rsid w:val="004046C3"/>
    <w:rsid w:val="004049D0"/>
    <w:rsid w:val="00404A16"/>
    <w:rsid w:val="00404A22"/>
    <w:rsid w:val="00404C6A"/>
    <w:rsid w:val="00404E3B"/>
    <w:rsid w:val="0040505B"/>
    <w:rsid w:val="00405082"/>
    <w:rsid w:val="004050EC"/>
    <w:rsid w:val="00405183"/>
    <w:rsid w:val="004052AB"/>
    <w:rsid w:val="0040537B"/>
    <w:rsid w:val="004053E4"/>
    <w:rsid w:val="00405747"/>
    <w:rsid w:val="0040581A"/>
    <w:rsid w:val="0040588A"/>
    <w:rsid w:val="004059B8"/>
    <w:rsid w:val="00405AAF"/>
    <w:rsid w:val="00405B37"/>
    <w:rsid w:val="00405E83"/>
    <w:rsid w:val="0040611D"/>
    <w:rsid w:val="0040615E"/>
    <w:rsid w:val="004063D9"/>
    <w:rsid w:val="004064EB"/>
    <w:rsid w:val="004065C6"/>
    <w:rsid w:val="004065F1"/>
    <w:rsid w:val="00406613"/>
    <w:rsid w:val="00406675"/>
    <w:rsid w:val="004066D5"/>
    <w:rsid w:val="0040675D"/>
    <w:rsid w:val="00406803"/>
    <w:rsid w:val="004069D5"/>
    <w:rsid w:val="00406A67"/>
    <w:rsid w:val="00406A97"/>
    <w:rsid w:val="00406D94"/>
    <w:rsid w:val="00406EE0"/>
    <w:rsid w:val="00406F1D"/>
    <w:rsid w:val="00406F65"/>
    <w:rsid w:val="0040703E"/>
    <w:rsid w:val="004070BC"/>
    <w:rsid w:val="00407144"/>
    <w:rsid w:val="004071B7"/>
    <w:rsid w:val="0040728F"/>
    <w:rsid w:val="004072B7"/>
    <w:rsid w:val="0040730C"/>
    <w:rsid w:val="00407357"/>
    <w:rsid w:val="004073AF"/>
    <w:rsid w:val="0040741E"/>
    <w:rsid w:val="00407551"/>
    <w:rsid w:val="004075EB"/>
    <w:rsid w:val="004079AC"/>
    <w:rsid w:val="004079FA"/>
    <w:rsid w:val="00407B99"/>
    <w:rsid w:val="00407BCF"/>
    <w:rsid w:val="00407CFA"/>
    <w:rsid w:val="00407E2F"/>
    <w:rsid w:val="00407E60"/>
    <w:rsid w:val="00407FA6"/>
    <w:rsid w:val="004105F5"/>
    <w:rsid w:val="004106BB"/>
    <w:rsid w:val="0041076F"/>
    <w:rsid w:val="00410914"/>
    <w:rsid w:val="00410B1E"/>
    <w:rsid w:val="00410BE5"/>
    <w:rsid w:val="00410C15"/>
    <w:rsid w:val="00410F00"/>
    <w:rsid w:val="00410F07"/>
    <w:rsid w:val="00410FBD"/>
    <w:rsid w:val="004110BC"/>
    <w:rsid w:val="004110F1"/>
    <w:rsid w:val="00411116"/>
    <w:rsid w:val="00411261"/>
    <w:rsid w:val="00411276"/>
    <w:rsid w:val="0041130A"/>
    <w:rsid w:val="004113FC"/>
    <w:rsid w:val="00411450"/>
    <w:rsid w:val="0041149D"/>
    <w:rsid w:val="00411580"/>
    <w:rsid w:val="00411682"/>
    <w:rsid w:val="0041195B"/>
    <w:rsid w:val="00411E55"/>
    <w:rsid w:val="00411EA7"/>
    <w:rsid w:val="00411EF8"/>
    <w:rsid w:val="00411FBA"/>
    <w:rsid w:val="00411FE1"/>
    <w:rsid w:val="004121FD"/>
    <w:rsid w:val="00412436"/>
    <w:rsid w:val="004124F5"/>
    <w:rsid w:val="00412582"/>
    <w:rsid w:val="0041267C"/>
    <w:rsid w:val="004127D2"/>
    <w:rsid w:val="004128E0"/>
    <w:rsid w:val="00412948"/>
    <w:rsid w:val="00412ACB"/>
    <w:rsid w:val="00412C60"/>
    <w:rsid w:val="00412CDD"/>
    <w:rsid w:val="00412D97"/>
    <w:rsid w:val="00412ECF"/>
    <w:rsid w:val="00413044"/>
    <w:rsid w:val="004130B6"/>
    <w:rsid w:val="004130F9"/>
    <w:rsid w:val="0041310F"/>
    <w:rsid w:val="004131B8"/>
    <w:rsid w:val="00413234"/>
    <w:rsid w:val="004132A1"/>
    <w:rsid w:val="00413393"/>
    <w:rsid w:val="00413692"/>
    <w:rsid w:val="0041380D"/>
    <w:rsid w:val="00413855"/>
    <w:rsid w:val="00413889"/>
    <w:rsid w:val="004138FC"/>
    <w:rsid w:val="0041390C"/>
    <w:rsid w:val="004139E0"/>
    <w:rsid w:val="00413AAE"/>
    <w:rsid w:val="00413BE1"/>
    <w:rsid w:val="00413C19"/>
    <w:rsid w:val="00413C9C"/>
    <w:rsid w:val="00413DB3"/>
    <w:rsid w:val="00413EEF"/>
    <w:rsid w:val="00413F62"/>
    <w:rsid w:val="00414131"/>
    <w:rsid w:val="0041431D"/>
    <w:rsid w:val="00414408"/>
    <w:rsid w:val="00414472"/>
    <w:rsid w:val="004144DE"/>
    <w:rsid w:val="00414515"/>
    <w:rsid w:val="004145DD"/>
    <w:rsid w:val="004148C6"/>
    <w:rsid w:val="00414A41"/>
    <w:rsid w:val="00414B78"/>
    <w:rsid w:val="00414C41"/>
    <w:rsid w:val="00414E14"/>
    <w:rsid w:val="00414E87"/>
    <w:rsid w:val="00414F5F"/>
    <w:rsid w:val="00414F7E"/>
    <w:rsid w:val="00414F96"/>
    <w:rsid w:val="0041507D"/>
    <w:rsid w:val="00415087"/>
    <w:rsid w:val="0041526C"/>
    <w:rsid w:val="00415353"/>
    <w:rsid w:val="004154B5"/>
    <w:rsid w:val="00415643"/>
    <w:rsid w:val="004156C7"/>
    <w:rsid w:val="00415716"/>
    <w:rsid w:val="00415856"/>
    <w:rsid w:val="004158CB"/>
    <w:rsid w:val="00415B0E"/>
    <w:rsid w:val="00415B3F"/>
    <w:rsid w:val="00415BA3"/>
    <w:rsid w:val="00415D01"/>
    <w:rsid w:val="004160CB"/>
    <w:rsid w:val="004161B8"/>
    <w:rsid w:val="00416450"/>
    <w:rsid w:val="00416548"/>
    <w:rsid w:val="004165EC"/>
    <w:rsid w:val="004166E5"/>
    <w:rsid w:val="00416786"/>
    <w:rsid w:val="004167BC"/>
    <w:rsid w:val="00416B30"/>
    <w:rsid w:val="00416D87"/>
    <w:rsid w:val="0041704D"/>
    <w:rsid w:val="00417152"/>
    <w:rsid w:val="004171CE"/>
    <w:rsid w:val="004172D5"/>
    <w:rsid w:val="004173D2"/>
    <w:rsid w:val="0041754A"/>
    <w:rsid w:val="00417645"/>
    <w:rsid w:val="004176F1"/>
    <w:rsid w:val="0041773D"/>
    <w:rsid w:val="0041777B"/>
    <w:rsid w:val="004177CF"/>
    <w:rsid w:val="00417840"/>
    <w:rsid w:val="00417913"/>
    <w:rsid w:val="0041791F"/>
    <w:rsid w:val="004179C5"/>
    <w:rsid w:val="00417A9A"/>
    <w:rsid w:val="00417B51"/>
    <w:rsid w:val="00417C71"/>
    <w:rsid w:val="00417C99"/>
    <w:rsid w:val="00417D1F"/>
    <w:rsid w:val="00417D79"/>
    <w:rsid w:val="00420058"/>
    <w:rsid w:val="0042041F"/>
    <w:rsid w:val="00420493"/>
    <w:rsid w:val="004205D8"/>
    <w:rsid w:val="00420999"/>
    <w:rsid w:val="00420B22"/>
    <w:rsid w:val="00420B71"/>
    <w:rsid w:val="00420C4F"/>
    <w:rsid w:val="00420C72"/>
    <w:rsid w:val="00420CA1"/>
    <w:rsid w:val="00420D41"/>
    <w:rsid w:val="00420E73"/>
    <w:rsid w:val="00420EFA"/>
    <w:rsid w:val="00420F49"/>
    <w:rsid w:val="004210A0"/>
    <w:rsid w:val="00421172"/>
    <w:rsid w:val="004212E5"/>
    <w:rsid w:val="004213EC"/>
    <w:rsid w:val="0042143A"/>
    <w:rsid w:val="00421441"/>
    <w:rsid w:val="00421753"/>
    <w:rsid w:val="004219F1"/>
    <w:rsid w:val="00421B40"/>
    <w:rsid w:val="00421B82"/>
    <w:rsid w:val="00421C13"/>
    <w:rsid w:val="00421CCB"/>
    <w:rsid w:val="00421CD0"/>
    <w:rsid w:val="00421E1E"/>
    <w:rsid w:val="00421E20"/>
    <w:rsid w:val="00422125"/>
    <w:rsid w:val="00422187"/>
    <w:rsid w:val="0042221B"/>
    <w:rsid w:val="0042256B"/>
    <w:rsid w:val="00422692"/>
    <w:rsid w:val="00422698"/>
    <w:rsid w:val="0042275B"/>
    <w:rsid w:val="00422799"/>
    <w:rsid w:val="0042287E"/>
    <w:rsid w:val="0042296C"/>
    <w:rsid w:val="00422AC3"/>
    <w:rsid w:val="00422BED"/>
    <w:rsid w:val="00422C87"/>
    <w:rsid w:val="00422DC1"/>
    <w:rsid w:val="00422F8B"/>
    <w:rsid w:val="00422FEF"/>
    <w:rsid w:val="0042301F"/>
    <w:rsid w:val="004230AE"/>
    <w:rsid w:val="004232B4"/>
    <w:rsid w:val="00423699"/>
    <w:rsid w:val="0042375C"/>
    <w:rsid w:val="00423895"/>
    <w:rsid w:val="004239FF"/>
    <w:rsid w:val="00423AF7"/>
    <w:rsid w:val="00423B2B"/>
    <w:rsid w:val="00423C2B"/>
    <w:rsid w:val="00423C51"/>
    <w:rsid w:val="00423C95"/>
    <w:rsid w:val="00423D89"/>
    <w:rsid w:val="0042419C"/>
    <w:rsid w:val="00424277"/>
    <w:rsid w:val="00424288"/>
    <w:rsid w:val="004242BD"/>
    <w:rsid w:val="00424381"/>
    <w:rsid w:val="004244A9"/>
    <w:rsid w:val="004244C5"/>
    <w:rsid w:val="0042450D"/>
    <w:rsid w:val="0042462F"/>
    <w:rsid w:val="00424652"/>
    <w:rsid w:val="004248E6"/>
    <w:rsid w:val="00424904"/>
    <w:rsid w:val="00424985"/>
    <w:rsid w:val="00424BD7"/>
    <w:rsid w:val="00424EC5"/>
    <w:rsid w:val="00424F18"/>
    <w:rsid w:val="00424F20"/>
    <w:rsid w:val="00425129"/>
    <w:rsid w:val="00425182"/>
    <w:rsid w:val="00425190"/>
    <w:rsid w:val="004251CF"/>
    <w:rsid w:val="00425266"/>
    <w:rsid w:val="004252A5"/>
    <w:rsid w:val="00425423"/>
    <w:rsid w:val="004254C3"/>
    <w:rsid w:val="004254DB"/>
    <w:rsid w:val="0042564D"/>
    <w:rsid w:val="004258CA"/>
    <w:rsid w:val="004258D0"/>
    <w:rsid w:val="00425CBE"/>
    <w:rsid w:val="00425D1C"/>
    <w:rsid w:val="00425E20"/>
    <w:rsid w:val="00426002"/>
    <w:rsid w:val="004260D5"/>
    <w:rsid w:val="004260DB"/>
    <w:rsid w:val="00426193"/>
    <w:rsid w:val="004263DC"/>
    <w:rsid w:val="004264DE"/>
    <w:rsid w:val="004265E2"/>
    <w:rsid w:val="00426869"/>
    <w:rsid w:val="00426A73"/>
    <w:rsid w:val="00426DA6"/>
    <w:rsid w:val="00427067"/>
    <w:rsid w:val="0042725D"/>
    <w:rsid w:val="0042732B"/>
    <w:rsid w:val="004273FA"/>
    <w:rsid w:val="00427646"/>
    <w:rsid w:val="0042769C"/>
    <w:rsid w:val="004277A6"/>
    <w:rsid w:val="004278A0"/>
    <w:rsid w:val="0042790B"/>
    <w:rsid w:val="00427979"/>
    <w:rsid w:val="004279EC"/>
    <w:rsid w:val="00427A5B"/>
    <w:rsid w:val="00427B2F"/>
    <w:rsid w:val="00427BBC"/>
    <w:rsid w:val="00427C20"/>
    <w:rsid w:val="00427C22"/>
    <w:rsid w:val="00427C57"/>
    <w:rsid w:val="00427C5A"/>
    <w:rsid w:val="00427C83"/>
    <w:rsid w:val="00427C95"/>
    <w:rsid w:val="00427C9C"/>
    <w:rsid w:val="00427D60"/>
    <w:rsid w:val="00427F61"/>
    <w:rsid w:val="00427F9B"/>
    <w:rsid w:val="00427FE0"/>
    <w:rsid w:val="00430024"/>
    <w:rsid w:val="00430336"/>
    <w:rsid w:val="00430484"/>
    <w:rsid w:val="00430538"/>
    <w:rsid w:val="0043060D"/>
    <w:rsid w:val="00430806"/>
    <w:rsid w:val="004308AF"/>
    <w:rsid w:val="00430983"/>
    <w:rsid w:val="00430ACC"/>
    <w:rsid w:val="00430CAC"/>
    <w:rsid w:val="00430CC1"/>
    <w:rsid w:val="00430E1A"/>
    <w:rsid w:val="00430E28"/>
    <w:rsid w:val="00431125"/>
    <w:rsid w:val="00431249"/>
    <w:rsid w:val="004312AB"/>
    <w:rsid w:val="0043130C"/>
    <w:rsid w:val="004313C7"/>
    <w:rsid w:val="00431485"/>
    <w:rsid w:val="0043149C"/>
    <w:rsid w:val="004314F4"/>
    <w:rsid w:val="0043156F"/>
    <w:rsid w:val="004317D8"/>
    <w:rsid w:val="00431860"/>
    <w:rsid w:val="004318AB"/>
    <w:rsid w:val="0043193D"/>
    <w:rsid w:val="00431A4C"/>
    <w:rsid w:val="00431A8C"/>
    <w:rsid w:val="00431C31"/>
    <w:rsid w:val="00431C85"/>
    <w:rsid w:val="00431DD2"/>
    <w:rsid w:val="00431F81"/>
    <w:rsid w:val="00431FB4"/>
    <w:rsid w:val="004320E3"/>
    <w:rsid w:val="004320F6"/>
    <w:rsid w:val="00432194"/>
    <w:rsid w:val="004322CC"/>
    <w:rsid w:val="004322F6"/>
    <w:rsid w:val="004324B3"/>
    <w:rsid w:val="004325E8"/>
    <w:rsid w:val="00432A08"/>
    <w:rsid w:val="00432C35"/>
    <w:rsid w:val="00432F07"/>
    <w:rsid w:val="004330C8"/>
    <w:rsid w:val="004330CC"/>
    <w:rsid w:val="004330DD"/>
    <w:rsid w:val="0043320A"/>
    <w:rsid w:val="004332B4"/>
    <w:rsid w:val="004334FD"/>
    <w:rsid w:val="004335D8"/>
    <w:rsid w:val="0043360E"/>
    <w:rsid w:val="00433665"/>
    <w:rsid w:val="004337D0"/>
    <w:rsid w:val="00433887"/>
    <w:rsid w:val="0043394F"/>
    <w:rsid w:val="00433C37"/>
    <w:rsid w:val="00433C72"/>
    <w:rsid w:val="00433D13"/>
    <w:rsid w:val="00433DB6"/>
    <w:rsid w:val="00433E1B"/>
    <w:rsid w:val="0043402B"/>
    <w:rsid w:val="004340BA"/>
    <w:rsid w:val="0043434D"/>
    <w:rsid w:val="0043445F"/>
    <w:rsid w:val="0043472F"/>
    <w:rsid w:val="004347EA"/>
    <w:rsid w:val="00434832"/>
    <w:rsid w:val="004349A8"/>
    <w:rsid w:val="00434A8A"/>
    <w:rsid w:val="00434AC2"/>
    <w:rsid w:val="00434AD5"/>
    <w:rsid w:val="00434CE3"/>
    <w:rsid w:val="00434DF6"/>
    <w:rsid w:val="004350A3"/>
    <w:rsid w:val="004351C2"/>
    <w:rsid w:val="0043520E"/>
    <w:rsid w:val="00435232"/>
    <w:rsid w:val="004356B4"/>
    <w:rsid w:val="004356E4"/>
    <w:rsid w:val="004356FB"/>
    <w:rsid w:val="00435847"/>
    <w:rsid w:val="0043590A"/>
    <w:rsid w:val="00435AE1"/>
    <w:rsid w:val="00435B43"/>
    <w:rsid w:val="00435B54"/>
    <w:rsid w:val="00435C20"/>
    <w:rsid w:val="00435CF0"/>
    <w:rsid w:val="00435D2B"/>
    <w:rsid w:val="00435FE4"/>
    <w:rsid w:val="0043601A"/>
    <w:rsid w:val="004360B1"/>
    <w:rsid w:val="00436299"/>
    <w:rsid w:val="004362DA"/>
    <w:rsid w:val="0043640B"/>
    <w:rsid w:val="0043644A"/>
    <w:rsid w:val="00436506"/>
    <w:rsid w:val="00436510"/>
    <w:rsid w:val="0043657D"/>
    <w:rsid w:val="004365CE"/>
    <w:rsid w:val="004365E1"/>
    <w:rsid w:val="0043684F"/>
    <w:rsid w:val="00436B56"/>
    <w:rsid w:val="00436C45"/>
    <w:rsid w:val="00436E90"/>
    <w:rsid w:val="0043705A"/>
    <w:rsid w:val="0043707B"/>
    <w:rsid w:val="00437130"/>
    <w:rsid w:val="004373BD"/>
    <w:rsid w:val="0043742B"/>
    <w:rsid w:val="00437622"/>
    <w:rsid w:val="004376D0"/>
    <w:rsid w:val="00437774"/>
    <w:rsid w:val="0043779C"/>
    <w:rsid w:val="004377F7"/>
    <w:rsid w:val="0043799A"/>
    <w:rsid w:val="004379E8"/>
    <w:rsid w:val="00437DBB"/>
    <w:rsid w:val="00437DC6"/>
    <w:rsid w:val="00437EB2"/>
    <w:rsid w:val="00437FF0"/>
    <w:rsid w:val="0044008B"/>
    <w:rsid w:val="004400D1"/>
    <w:rsid w:val="00440200"/>
    <w:rsid w:val="00440369"/>
    <w:rsid w:val="00440427"/>
    <w:rsid w:val="0044050B"/>
    <w:rsid w:val="00440530"/>
    <w:rsid w:val="00440679"/>
    <w:rsid w:val="004408C6"/>
    <w:rsid w:val="0044090D"/>
    <w:rsid w:val="0044097C"/>
    <w:rsid w:val="00440C9C"/>
    <w:rsid w:val="00440FE1"/>
    <w:rsid w:val="00441423"/>
    <w:rsid w:val="004414B7"/>
    <w:rsid w:val="00441546"/>
    <w:rsid w:val="004415C4"/>
    <w:rsid w:val="00441648"/>
    <w:rsid w:val="004417CE"/>
    <w:rsid w:val="004418E8"/>
    <w:rsid w:val="0044199C"/>
    <w:rsid w:val="00441A06"/>
    <w:rsid w:val="00441A7A"/>
    <w:rsid w:val="00441C10"/>
    <w:rsid w:val="00441D72"/>
    <w:rsid w:val="00442129"/>
    <w:rsid w:val="004422D9"/>
    <w:rsid w:val="004422DA"/>
    <w:rsid w:val="004425A7"/>
    <w:rsid w:val="004425E4"/>
    <w:rsid w:val="00442694"/>
    <w:rsid w:val="004427A0"/>
    <w:rsid w:val="004427DA"/>
    <w:rsid w:val="004427F5"/>
    <w:rsid w:val="0044281A"/>
    <w:rsid w:val="004428B6"/>
    <w:rsid w:val="00442918"/>
    <w:rsid w:val="00442A1C"/>
    <w:rsid w:val="00442ADB"/>
    <w:rsid w:val="00442BF6"/>
    <w:rsid w:val="00442C1E"/>
    <w:rsid w:val="00442CA7"/>
    <w:rsid w:val="00442EF9"/>
    <w:rsid w:val="00442F5F"/>
    <w:rsid w:val="00443170"/>
    <w:rsid w:val="004432FD"/>
    <w:rsid w:val="0044331C"/>
    <w:rsid w:val="00443391"/>
    <w:rsid w:val="004433B1"/>
    <w:rsid w:val="004433C0"/>
    <w:rsid w:val="004433F3"/>
    <w:rsid w:val="004433F5"/>
    <w:rsid w:val="00443441"/>
    <w:rsid w:val="00443519"/>
    <w:rsid w:val="0044389B"/>
    <w:rsid w:val="00443CD8"/>
    <w:rsid w:val="00443E1E"/>
    <w:rsid w:val="00444029"/>
    <w:rsid w:val="00444188"/>
    <w:rsid w:val="00444261"/>
    <w:rsid w:val="00444409"/>
    <w:rsid w:val="00444552"/>
    <w:rsid w:val="004446AE"/>
    <w:rsid w:val="00444710"/>
    <w:rsid w:val="0044479B"/>
    <w:rsid w:val="004448AE"/>
    <w:rsid w:val="00444B1A"/>
    <w:rsid w:val="00444B6A"/>
    <w:rsid w:val="00444FF2"/>
    <w:rsid w:val="0044512E"/>
    <w:rsid w:val="004454D6"/>
    <w:rsid w:val="004455B2"/>
    <w:rsid w:val="0044590D"/>
    <w:rsid w:val="00445A27"/>
    <w:rsid w:val="00445CF7"/>
    <w:rsid w:val="00445E53"/>
    <w:rsid w:val="00445F0B"/>
    <w:rsid w:val="00445F79"/>
    <w:rsid w:val="0044663D"/>
    <w:rsid w:val="00446706"/>
    <w:rsid w:val="0044674F"/>
    <w:rsid w:val="004467BD"/>
    <w:rsid w:val="0044694F"/>
    <w:rsid w:val="0044696E"/>
    <w:rsid w:val="004469EB"/>
    <w:rsid w:val="00446B32"/>
    <w:rsid w:val="00446D1D"/>
    <w:rsid w:val="00446D7C"/>
    <w:rsid w:val="00446DB2"/>
    <w:rsid w:val="00446F2B"/>
    <w:rsid w:val="0044706C"/>
    <w:rsid w:val="00447329"/>
    <w:rsid w:val="00447330"/>
    <w:rsid w:val="004475F1"/>
    <w:rsid w:val="00447624"/>
    <w:rsid w:val="00447689"/>
    <w:rsid w:val="004476B9"/>
    <w:rsid w:val="00447AC9"/>
    <w:rsid w:val="00447B9E"/>
    <w:rsid w:val="00447CBE"/>
    <w:rsid w:val="00447D79"/>
    <w:rsid w:val="00447EAE"/>
    <w:rsid w:val="00447ED0"/>
    <w:rsid w:val="00450150"/>
    <w:rsid w:val="0045024C"/>
    <w:rsid w:val="00450531"/>
    <w:rsid w:val="004506B3"/>
    <w:rsid w:val="00450790"/>
    <w:rsid w:val="004507B0"/>
    <w:rsid w:val="004508B2"/>
    <w:rsid w:val="004508C0"/>
    <w:rsid w:val="00450964"/>
    <w:rsid w:val="0045099E"/>
    <w:rsid w:val="00450A51"/>
    <w:rsid w:val="00450A83"/>
    <w:rsid w:val="00450B0D"/>
    <w:rsid w:val="00450B26"/>
    <w:rsid w:val="00450BBD"/>
    <w:rsid w:val="00450ED7"/>
    <w:rsid w:val="00450EDB"/>
    <w:rsid w:val="00451084"/>
    <w:rsid w:val="0045122F"/>
    <w:rsid w:val="0045135D"/>
    <w:rsid w:val="004515E0"/>
    <w:rsid w:val="004519ED"/>
    <w:rsid w:val="00451B50"/>
    <w:rsid w:val="00451C54"/>
    <w:rsid w:val="00451FB8"/>
    <w:rsid w:val="00451FEF"/>
    <w:rsid w:val="004520B1"/>
    <w:rsid w:val="0045233B"/>
    <w:rsid w:val="00452570"/>
    <w:rsid w:val="0045274A"/>
    <w:rsid w:val="004527C4"/>
    <w:rsid w:val="004527EF"/>
    <w:rsid w:val="00452AFC"/>
    <w:rsid w:val="00452C07"/>
    <w:rsid w:val="00452C1D"/>
    <w:rsid w:val="00452D80"/>
    <w:rsid w:val="00452DD3"/>
    <w:rsid w:val="00452EAC"/>
    <w:rsid w:val="0045306B"/>
    <w:rsid w:val="004530BE"/>
    <w:rsid w:val="0045329F"/>
    <w:rsid w:val="00453621"/>
    <w:rsid w:val="004536CE"/>
    <w:rsid w:val="0045379A"/>
    <w:rsid w:val="00453AB0"/>
    <w:rsid w:val="00453B63"/>
    <w:rsid w:val="00453BF0"/>
    <w:rsid w:val="00453C22"/>
    <w:rsid w:val="00453C68"/>
    <w:rsid w:val="00453D83"/>
    <w:rsid w:val="00453E15"/>
    <w:rsid w:val="00453EAE"/>
    <w:rsid w:val="00453FBE"/>
    <w:rsid w:val="004540B2"/>
    <w:rsid w:val="004542A9"/>
    <w:rsid w:val="004544E1"/>
    <w:rsid w:val="004544F7"/>
    <w:rsid w:val="004545F4"/>
    <w:rsid w:val="00454629"/>
    <w:rsid w:val="00454663"/>
    <w:rsid w:val="00454664"/>
    <w:rsid w:val="00454754"/>
    <w:rsid w:val="004547C7"/>
    <w:rsid w:val="00454A8A"/>
    <w:rsid w:val="00454CA6"/>
    <w:rsid w:val="00454D5F"/>
    <w:rsid w:val="00454DCF"/>
    <w:rsid w:val="00454E25"/>
    <w:rsid w:val="00454F8F"/>
    <w:rsid w:val="00455093"/>
    <w:rsid w:val="004555DA"/>
    <w:rsid w:val="0045575E"/>
    <w:rsid w:val="004557A4"/>
    <w:rsid w:val="004557E5"/>
    <w:rsid w:val="00455882"/>
    <w:rsid w:val="00455936"/>
    <w:rsid w:val="00455A33"/>
    <w:rsid w:val="00455A3E"/>
    <w:rsid w:val="00455A97"/>
    <w:rsid w:val="00455C5C"/>
    <w:rsid w:val="00455D6E"/>
    <w:rsid w:val="0045602F"/>
    <w:rsid w:val="004560BD"/>
    <w:rsid w:val="0045617B"/>
    <w:rsid w:val="0045620A"/>
    <w:rsid w:val="00456246"/>
    <w:rsid w:val="004562C2"/>
    <w:rsid w:val="004565E5"/>
    <w:rsid w:val="0045660F"/>
    <w:rsid w:val="00456646"/>
    <w:rsid w:val="004569D5"/>
    <w:rsid w:val="00456A1D"/>
    <w:rsid w:val="00456B2F"/>
    <w:rsid w:val="00456B4D"/>
    <w:rsid w:val="00456C93"/>
    <w:rsid w:val="00456CBC"/>
    <w:rsid w:val="00456D88"/>
    <w:rsid w:val="00456E13"/>
    <w:rsid w:val="00456E2F"/>
    <w:rsid w:val="00456F83"/>
    <w:rsid w:val="00457008"/>
    <w:rsid w:val="004571B0"/>
    <w:rsid w:val="004571BD"/>
    <w:rsid w:val="0045724D"/>
    <w:rsid w:val="00457256"/>
    <w:rsid w:val="0045738D"/>
    <w:rsid w:val="00457520"/>
    <w:rsid w:val="00457521"/>
    <w:rsid w:val="00457632"/>
    <w:rsid w:val="00457739"/>
    <w:rsid w:val="0045782E"/>
    <w:rsid w:val="004578A4"/>
    <w:rsid w:val="0045794E"/>
    <w:rsid w:val="00457AF4"/>
    <w:rsid w:val="00457BCC"/>
    <w:rsid w:val="00457C78"/>
    <w:rsid w:val="00457D96"/>
    <w:rsid w:val="00457E07"/>
    <w:rsid w:val="00457F98"/>
    <w:rsid w:val="00460111"/>
    <w:rsid w:val="0046069A"/>
    <w:rsid w:val="004606C7"/>
    <w:rsid w:val="0046071C"/>
    <w:rsid w:val="0046094D"/>
    <w:rsid w:val="00460CCC"/>
    <w:rsid w:val="00460DA2"/>
    <w:rsid w:val="00460EE2"/>
    <w:rsid w:val="00460F11"/>
    <w:rsid w:val="00461276"/>
    <w:rsid w:val="00461341"/>
    <w:rsid w:val="00461752"/>
    <w:rsid w:val="00461B92"/>
    <w:rsid w:val="00461E78"/>
    <w:rsid w:val="00461F06"/>
    <w:rsid w:val="00461F1F"/>
    <w:rsid w:val="00461F79"/>
    <w:rsid w:val="004620A3"/>
    <w:rsid w:val="0046218B"/>
    <w:rsid w:val="004621C9"/>
    <w:rsid w:val="00462262"/>
    <w:rsid w:val="00462350"/>
    <w:rsid w:val="00462355"/>
    <w:rsid w:val="0046246A"/>
    <w:rsid w:val="00462796"/>
    <w:rsid w:val="0046284C"/>
    <w:rsid w:val="00462889"/>
    <w:rsid w:val="00462A08"/>
    <w:rsid w:val="00462A5E"/>
    <w:rsid w:val="00462A7E"/>
    <w:rsid w:val="00462B4E"/>
    <w:rsid w:val="00462C63"/>
    <w:rsid w:val="00462E1A"/>
    <w:rsid w:val="00462EA2"/>
    <w:rsid w:val="00462FBD"/>
    <w:rsid w:val="00463066"/>
    <w:rsid w:val="004631C4"/>
    <w:rsid w:val="00463244"/>
    <w:rsid w:val="00463484"/>
    <w:rsid w:val="004634A1"/>
    <w:rsid w:val="0046350A"/>
    <w:rsid w:val="0046362B"/>
    <w:rsid w:val="0046375E"/>
    <w:rsid w:val="00463821"/>
    <w:rsid w:val="0046388F"/>
    <w:rsid w:val="00463A17"/>
    <w:rsid w:val="00463C94"/>
    <w:rsid w:val="00463F3C"/>
    <w:rsid w:val="0046408D"/>
    <w:rsid w:val="0046415E"/>
    <w:rsid w:val="0046420C"/>
    <w:rsid w:val="00464262"/>
    <w:rsid w:val="004643D1"/>
    <w:rsid w:val="004648F7"/>
    <w:rsid w:val="0046493F"/>
    <w:rsid w:val="004649A7"/>
    <w:rsid w:val="00464AC0"/>
    <w:rsid w:val="00464B30"/>
    <w:rsid w:val="00464BAD"/>
    <w:rsid w:val="00464FF2"/>
    <w:rsid w:val="004652C3"/>
    <w:rsid w:val="0046553D"/>
    <w:rsid w:val="00465635"/>
    <w:rsid w:val="00465788"/>
    <w:rsid w:val="0046588A"/>
    <w:rsid w:val="004659B3"/>
    <w:rsid w:val="00465B02"/>
    <w:rsid w:val="00465DBC"/>
    <w:rsid w:val="00465E49"/>
    <w:rsid w:val="0046616A"/>
    <w:rsid w:val="004662E6"/>
    <w:rsid w:val="00466327"/>
    <w:rsid w:val="004663FE"/>
    <w:rsid w:val="0046658C"/>
    <w:rsid w:val="004666DB"/>
    <w:rsid w:val="00466712"/>
    <w:rsid w:val="00466814"/>
    <w:rsid w:val="0046681C"/>
    <w:rsid w:val="00466A1F"/>
    <w:rsid w:val="00466C95"/>
    <w:rsid w:val="00466C9E"/>
    <w:rsid w:val="00466FCE"/>
    <w:rsid w:val="00466FF2"/>
    <w:rsid w:val="004670BD"/>
    <w:rsid w:val="00467227"/>
    <w:rsid w:val="00467311"/>
    <w:rsid w:val="0046738B"/>
    <w:rsid w:val="004674DC"/>
    <w:rsid w:val="00467569"/>
    <w:rsid w:val="0046759B"/>
    <w:rsid w:val="004676D5"/>
    <w:rsid w:val="004676F6"/>
    <w:rsid w:val="004677E8"/>
    <w:rsid w:val="0046783A"/>
    <w:rsid w:val="00467881"/>
    <w:rsid w:val="004678FC"/>
    <w:rsid w:val="00467930"/>
    <w:rsid w:val="00467A59"/>
    <w:rsid w:val="00467AC5"/>
    <w:rsid w:val="00467AE3"/>
    <w:rsid w:val="00467AE5"/>
    <w:rsid w:val="00467CAE"/>
    <w:rsid w:val="00467F6F"/>
    <w:rsid w:val="00467F93"/>
    <w:rsid w:val="0047006A"/>
    <w:rsid w:val="004700C7"/>
    <w:rsid w:val="00470143"/>
    <w:rsid w:val="004701B3"/>
    <w:rsid w:val="0047027F"/>
    <w:rsid w:val="004703BF"/>
    <w:rsid w:val="00470436"/>
    <w:rsid w:val="004705AE"/>
    <w:rsid w:val="0047063E"/>
    <w:rsid w:val="00470804"/>
    <w:rsid w:val="00470958"/>
    <w:rsid w:val="00470BFC"/>
    <w:rsid w:val="00470CFA"/>
    <w:rsid w:val="00470D63"/>
    <w:rsid w:val="00470FAF"/>
    <w:rsid w:val="00471044"/>
    <w:rsid w:val="00471173"/>
    <w:rsid w:val="0047119A"/>
    <w:rsid w:val="00471206"/>
    <w:rsid w:val="004712E7"/>
    <w:rsid w:val="00471613"/>
    <w:rsid w:val="0047161A"/>
    <w:rsid w:val="00471694"/>
    <w:rsid w:val="004717B6"/>
    <w:rsid w:val="00471A23"/>
    <w:rsid w:val="00471A42"/>
    <w:rsid w:val="00471ADC"/>
    <w:rsid w:val="00471AE3"/>
    <w:rsid w:val="00471C03"/>
    <w:rsid w:val="00471D7C"/>
    <w:rsid w:val="00471FAE"/>
    <w:rsid w:val="0047215B"/>
    <w:rsid w:val="004721C1"/>
    <w:rsid w:val="004723D9"/>
    <w:rsid w:val="004723F5"/>
    <w:rsid w:val="00472497"/>
    <w:rsid w:val="004725B8"/>
    <w:rsid w:val="0047265D"/>
    <w:rsid w:val="004727B4"/>
    <w:rsid w:val="00472B25"/>
    <w:rsid w:val="00472C89"/>
    <w:rsid w:val="00472CFB"/>
    <w:rsid w:val="00472DA4"/>
    <w:rsid w:val="00472DAD"/>
    <w:rsid w:val="00472DBF"/>
    <w:rsid w:val="004732B2"/>
    <w:rsid w:val="0047332A"/>
    <w:rsid w:val="0047333C"/>
    <w:rsid w:val="0047336F"/>
    <w:rsid w:val="00473467"/>
    <w:rsid w:val="004734E9"/>
    <w:rsid w:val="00473986"/>
    <w:rsid w:val="00473AE8"/>
    <w:rsid w:val="00473BAE"/>
    <w:rsid w:val="00473C0C"/>
    <w:rsid w:val="00473C1F"/>
    <w:rsid w:val="00473C2C"/>
    <w:rsid w:val="00473CBA"/>
    <w:rsid w:val="00473D1F"/>
    <w:rsid w:val="00473D49"/>
    <w:rsid w:val="00473E45"/>
    <w:rsid w:val="00474210"/>
    <w:rsid w:val="004743B5"/>
    <w:rsid w:val="0047456A"/>
    <w:rsid w:val="004745A0"/>
    <w:rsid w:val="00474680"/>
    <w:rsid w:val="004747DD"/>
    <w:rsid w:val="0047487E"/>
    <w:rsid w:val="0047498E"/>
    <w:rsid w:val="00474A82"/>
    <w:rsid w:val="00474A8D"/>
    <w:rsid w:val="00474C58"/>
    <w:rsid w:val="00474D1A"/>
    <w:rsid w:val="00474E42"/>
    <w:rsid w:val="00474EA7"/>
    <w:rsid w:val="00474ED1"/>
    <w:rsid w:val="0047547D"/>
    <w:rsid w:val="00475595"/>
    <w:rsid w:val="004755CB"/>
    <w:rsid w:val="004755FA"/>
    <w:rsid w:val="00475811"/>
    <w:rsid w:val="00475842"/>
    <w:rsid w:val="00475860"/>
    <w:rsid w:val="004758E6"/>
    <w:rsid w:val="00475A13"/>
    <w:rsid w:val="00475B13"/>
    <w:rsid w:val="00475B53"/>
    <w:rsid w:val="00475C9E"/>
    <w:rsid w:val="00475DBE"/>
    <w:rsid w:val="00476088"/>
    <w:rsid w:val="004760BE"/>
    <w:rsid w:val="00476117"/>
    <w:rsid w:val="00476315"/>
    <w:rsid w:val="004766C6"/>
    <w:rsid w:val="004767C6"/>
    <w:rsid w:val="004767EF"/>
    <w:rsid w:val="0047688F"/>
    <w:rsid w:val="004768D4"/>
    <w:rsid w:val="00476F1B"/>
    <w:rsid w:val="00476F9A"/>
    <w:rsid w:val="0047725B"/>
    <w:rsid w:val="004772BC"/>
    <w:rsid w:val="0047735D"/>
    <w:rsid w:val="0047740D"/>
    <w:rsid w:val="004774B0"/>
    <w:rsid w:val="004774D7"/>
    <w:rsid w:val="00477526"/>
    <w:rsid w:val="004775D6"/>
    <w:rsid w:val="004776BF"/>
    <w:rsid w:val="00477701"/>
    <w:rsid w:val="00477739"/>
    <w:rsid w:val="004777B9"/>
    <w:rsid w:val="00477948"/>
    <w:rsid w:val="00477983"/>
    <w:rsid w:val="00477A12"/>
    <w:rsid w:val="00477A3F"/>
    <w:rsid w:val="00477A52"/>
    <w:rsid w:val="00477B15"/>
    <w:rsid w:val="00477B82"/>
    <w:rsid w:val="00477D4C"/>
    <w:rsid w:val="00477DB5"/>
    <w:rsid w:val="00477FA2"/>
    <w:rsid w:val="00480002"/>
    <w:rsid w:val="004800B0"/>
    <w:rsid w:val="004802E1"/>
    <w:rsid w:val="004803BA"/>
    <w:rsid w:val="00480451"/>
    <w:rsid w:val="00480493"/>
    <w:rsid w:val="004804BA"/>
    <w:rsid w:val="004804EF"/>
    <w:rsid w:val="0048058F"/>
    <w:rsid w:val="0048084E"/>
    <w:rsid w:val="00480908"/>
    <w:rsid w:val="004809DE"/>
    <w:rsid w:val="00480A03"/>
    <w:rsid w:val="00480C7B"/>
    <w:rsid w:val="00480E7C"/>
    <w:rsid w:val="00481126"/>
    <w:rsid w:val="00481468"/>
    <w:rsid w:val="004814B6"/>
    <w:rsid w:val="00481586"/>
    <w:rsid w:val="0048163E"/>
    <w:rsid w:val="004816C6"/>
    <w:rsid w:val="00481C80"/>
    <w:rsid w:val="00481F92"/>
    <w:rsid w:val="00482028"/>
    <w:rsid w:val="004821EB"/>
    <w:rsid w:val="004822E8"/>
    <w:rsid w:val="00482373"/>
    <w:rsid w:val="00482399"/>
    <w:rsid w:val="0048268E"/>
    <w:rsid w:val="004826D9"/>
    <w:rsid w:val="00482725"/>
    <w:rsid w:val="0048279C"/>
    <w:rsid w:val="00482805"/>
    <w:rsid w:val="00482A44"/>
    <w:rsid w:val="00482A59"/>
    <w:rsid w:val="00482A5A"/>
    <w:rsid w:val="00482DED"/>
    <w:rsid w:val="00482E8C"/>
    <w:rsid w:val="00482F82"/>
    <w:rsid w:val="00482F92"/>
    <w:rsid w:val="00483164"/>
    <w:rsid w:val="004832DD"/>
    <w:rsid w:val="00483339"/>
    <w:rsid w:val="004835C2"/>
    <w:rsid w:val="00483703"/>
    <w:rsid w:val="0048370A"/>
    <w:rsid w:val="004837A3"/>
    <w:rsid w:val="004837F3"/>
    <w:rsid w:val="00483908"/>
    <w:rsid w:val="00483A30"/>
    <w:rsid w:val="00483A94"/>
    <w:rsid w:val="00483B20"/>
    <w:rsid w:val="00483B5D"/>
    <w:rsid w:val="00483EB8"/>
    <w:rsid w:val="00483EBF"/>
    <w:rsid w:val="00483F27"/>
    <w:rsid w:val="00483FB2"/>
    <w:rsid w:val="00483FF3"/>
    <w:rsid w:val="004841C5"/>
    <w:rsid w:val="004842BF"/>
    <w:rsid w:val="004844DA"/>
    <w:rsid w:val="004845C2"/>
    <w:rsid w:val="0048461D"/>
    <w:rsid w:val="00484629"/>
    <w:rsid w:val="0048470F"/>
    <w:rsid w:val="0048471F"/>
    <w:rsid w:val="004849A0"/>
    <w:rsid w:val="00484C86"/>
    <w:rsid w:val="00484F9D"/>
    <w:rsid w:val="00485052"/>
    <w:rsid w:val="00485101"/>
    <w:rsid w:val="004851CE"/>
    <w:rsid w:val="004853B5"/>
    <w:rsid w:val="00485491"/>
    <w:rsid w:val="00485586"/>
    <w:rsid w:val="004856DB"/>
    <w:rsid w:val="00485732"/>
    <w:rsid w:val="004858CF"/>
    <w:rsid w:val="00485C98"/>
    <w:rsid w:val="00485F1D"/>
    <w:rsid w:val="00486250"/>
    <w:rsid w:val="004862B4"/>
    <w:rsid w:val="00486379"/>
    <w:rsid w:val="004863DC"/>
    <w:rsid w:val="004865CF"/>
    <w:rsid w:val="00486CDF"/>
    <w:rsid w:val="00486CFA"/>
    <w:rsid w:val="00486E3A"/>
    <w:rsid w:val="00486F8B"/>
    <w:rsid w:val="004870F1"/>
    <w:rsid w:val="00487146"/>
    <w:rsid w:val="0048722D"/>
    <w:rsid w:val="00487461"/>
    <w:rsid w:val="004874A5"/>
    <w:rsid w:val="00487630"/>
    <w:rsid w:val="004877B3"/>
    <w:rsid w:val="00487CE0"/>
    <w:rsid w:val="00487D2B"/>
    <w:rsid w:val="00487E20"/>
    <w:rsid w:val="00487EBC"/>
    <w:rsid w:val="00490110"/>
    <w:rsid w:val="00490175"/>
    <w:rsid w:val="00490459"/>
    <w:rsid w:val="0049067B"/>
    <w:rsid w:val="004906A5"/>
    <w:rsid w:val="004906FC"/>
    <w:rsid w:val="00490756"/>
    <w:rsid w:val="004907C9"/>
    <w:rsid w:val="004907FC"/>
    <w:rsid w:val="0049096A"/>
    <w:rsid w:val="00490B7D"/>
    <w:rsid w:val="00490BF8"/>
    <w:rsid w:val="00490CA9"/>
    <w:rsid w:val="00490EE7"/>
    <w:rsid w:val="004910CD"/>
    <w:rsid w:val="0049126D"/>
    <w:rsid w:val="004912FA"/>
    <w:rsid w:val="00491473"/>
    <w:rsid w:val="004915DB"/>
    <w:rsid w:val="004918BA"/>
    <w:rsid w:val="00491976"/>
    <w:rsid w:val="00491A2F"/>
    <w:rsid w:val="00491A59"/>
    <w:rsid w:val="00491BE1"/>
    <w:rsid w:val="00491C59"/>
    <w:rsid w:val="00491C6E"/>
    <w:rsid w:val="00491DE3"/>
    <w:rsid w:val="00491E59"/>
    <w:rsid w:val="00491ED4"/>
    <w:rsid w:val="0049209B"/>
    <w:rsid w:val="0049215A"/>
    <w:rsid w:val="004922EB"/>
    <w:rsid w:val="00492372"/>
    <w:rsid w:val="00492485"/>
    <w:rsid w:val="00492755"/>
    <w:rsid w:val="004927F9"/>
    <w:rsid w:val="00492890"/>
    <w:rsid w:val="00492993"/>
    <w:rsid w:val="00492A0E"/>
    <w:rsid w:val="00492B7B"/>
    <w:rsid w:val="00492C0C"/>
    <w:rsid w:val="00492C9F"/>
    <w:rsid w:val="00492CE1"/>
    <w:rsid w:val="00492D3C"/>
    <w:rsid w:val="00492E7C"/>
    <w:rsid w:val="004930D4"/>
    <w:rsid w:val="00493113"/>
    <w:rsid w:val="00493121"/>
    <w:rsid w:val="00493398"/>
    <w:rsid w:val="004933CF"/>
    <w:rsid w:val="0049342E"/>
    <w:rsid w:val="004936A1"/>
    <w:rsid w:val="004938B9"/>
    <w:rsid w:val="00493A0E"/>
    <w:rsid w:val="00493A92"/>
    <w:rsid w:val="00493C1B"/>
    <w:rsid w:val="00493CCE"/>
    <w:rsid w:val="00493D00"/>
    <w:rsid w:val="00493D24"/>
    <w:rsid w:val="00493E3B"/>
    <w:rsid w:val="00493E3C"/>
    <w:rsid w:val="00493E43"/>
    <w:rsid w:val="00493E55"/>
    <w:rsid w:val="004941EA"/>
    <w:rsid w:val="00494480"/>
    <w:rsid w:val="004945B7"/>
    <w:rsid w:val="004945BE"/>
    <w:rsid w:val="0049467B"/>
    <w:rsid w:val="0049471C"/>
    <w:rsid w:val="00494853"/>
    <w:rsid w:val="004949F4"/>
    <w:rsid w:val="00494A62"/>
    <w:rsid w:val="00494AB7"/>
    <w:rsid w:val="00494C6E"/>
    <w:rsid w:val="00494CCE"/>
    <w:rsid w:val="00494EFB"/>
    <w:rsid w:val="00494F20"/>
    <w:rsid w:val="00494FCB"/>
    <w:rsid w:val="0049512C"/>
    <w:rsid w:val="00495199"/>
    <w:rsid w:val="0049529C"/>
    <w:rsid w:val="004953E3"/>
    <w:rsid w:val="004953E6"/>
    <w:rsid w:val="00495508"/>
    <w:rsid w:val="0049551C"/>
    <w:rsid w:val="00495594"/>
    <w:rsid w:val="004955CD"/>
    <w:rsid w:val="0049566A"/>
    <w:rsid w:val="0049576D"/>
    <w:rsid w:val="0049590D"/>
    <w:rsid w:val="00495919"/>
    <w:rsid w:val="00495AB7"/>
    <w:rsid w:val="00495C2E"/>
    <w:rsid w:val="00495CC6"/>
    <w:rsid w:val="00495CD2"/>
    <w:rsid w:val="00495F84"/>
    <w:rsid w:val="00495FCC"/>
    <w:rsid w:val="00496066"/>
    <w:rsid w:val="00496154"/>
    <w:rsid w:val="004961E0"/>
    <w:rsid w:val="0049625B"/>
    <w:rsid w:val="00496307"/>
    <w:rsid w:val="00496452"/>
    <w:rsid w:val="00496470"/>
    <w:rsid w:val="004965B4"/>
    <w:rsid w:val="00496657"/>
    <w:rsid w:val="004968FA"/>
    <w:rsid w:val="00496B4F"/>
    <w:rsid w:val="00496B53"/>
    <w:rsid w:val="00496D43"/>
    <w:rsid w:val="00496E58"/>
    <w:rsid w:val="00496E5F"/>
    <w:rsid w:val="00496E6E"/>
    <w:rsid w:val="00496EE4"/>
    <w:rsid w:val="0049705C"/>
    <w:rsid w:val="0049708B"/>
    <w:rsid w:val="00497122"/>
    <w:rsid w:val="0049714B"/>
    <w:rsid w:val="00497215"/>
    <w:rsid w:val="00497226"/>
    <w:rsid w:val="004972C5"/>
    <w:rsid w:val="00497376"/>
    <w:rsid w:val="00497486"/>
    <w:rsid w:val="00497570"/>
    <w:rsid w:val="00497640"/>
    <w:rsid w:val="0049766A"/>
    <w:rsid w:val="00497726"/>
    <w:rsid w:val="00497759"/>
    <w:rsid w:val="00497827"/>
    <w:rsid w:val="00497A25"/>
    <w:rsid w:val="00497AF5"/>
    <w:rsid w:val="00497CE6"/>
    <w:rsid w:val="00497CF2"/>
    <w:rsid w:val="00497D04"/>
    <w:rsid w:val="00497D2C"/>
    <w:rsid w:val="00497D3E"/>
    <w:rsid w:val="00497E6C"/>
    <w:rsid w:val="00497E7A"/>
    <w:rsid w:val="004A01BA"/>
    <w:rsid w:val="004A01C0"/>
    <w:rsid w:val="004A03E5"/>
    <w:rsid w:val="004A04C4"/>
    <w:rsid w:val="004A0724"/>
    <w:rsid w:val="004A0755"/>
    <w:rsid w:val="004A0AC8"/>
    <w:rsid w:val="004A0B34"/>
    <w:rsid w:val="004A0C19"/>
    <w:rsid w:val="004A0CF8"/>
    <w:rsid w:val="004A0D49"/>
    <w:rsid w:val="004A0F18"/>
    <w:rsid w:val="004A0F6A"/>
    <w:rsid w:val="004A1187"/>
    <w:rsid w:val="004A1250"/>
    <w:rsid w:val="004A1397"/>
    <w:rsid w:val="004A170E"/>
    <w:rsid w:val="004A17A1"/>
    <w:rsid w:val="004A18B5"/>
    <w:rsid w:val="004A191B"/>
    <w:rsid w:val="004A1970"/>
    <w:rsid w:val="004A19B5"/>
    <w:rsid w:val="004A19FA"/>
    <w:rsid w:val="004A1AB0"/>
    <w:rsid w:val="004A1AB1"/>
    <w:rsid w:val="004A1B3F"/>
    <w:rsid w:val="004A1B42"/>
    <w:rsid w:val="004A1B5B"/>
    <w:rsid w:val="004A1CC8"/>
    <w:rsid w:val="004A1D5E"/>
    <w:rsid w:val="004A1D94"/>
    <w:rsid w:val="004A1E32"/>
    <w:rsid w:val="004A1EBE"/>
    <w:rsid w:val="004A20BB"/>
    <w:rsid w:val="004A2234"/>
    <w:rsid w:val="004A22BA"/>
    <w:rsid w:val="004A2367"/>
    <w:rsid w:val="004A2514"/>
    <w:rsid w:val="004A253D"/>
    <w:rsid w:val="004A269F"/>
    <w:rsid w:val="004A26FA"/>
    <w:rsid w:val="004A2872"/>
    <w:rsid w:val="004A2991"/>
    <w:rsid w:val="004A29EB"/>
    <w:rsid w:val="004A2A4A"/>
    <w:rsid w:val="004A2AA7"/>
    <w:rsid w:val="004A2B6B"/>
    <w:rsid w:val="004A2BD3"/>
    <w:rsid w:val="004A2C18"/>
    <w:rsid w:val="004A2F9E"/>
    <w:rsid w:val="004A3208"/>
    <w:rsid w:val="004A3284"/>
    <w:rsid w:val="004A32C4"/>
    <w:rsid w:val="004A34CC"/>
    <w:rsid w:val="004A3725"/>
    <w:rsid w:val="004A378D"/>
    <w:rsid w:val="004A3830"/>
    <w:rsid w:val="004A3B09"/>
    <w:rsid w:val="004A3B79"/>
    <w:rsid w:val="004A3C95"/>
    <w:rsid w:val="004A3DCC"/>
    <w:rsid w:val="004A3EE3"/>
    <w:rsid w:val="004A3F04"/>
    <w:rsid w:val="004A3F09"/>
    <w:rsid w:val="004A3F5D"/>
    <w:rsid w:val="004A4054"/>
    <w:rsid w:val="004A422E"/>
    <w:rsid w:val="004A42E3"/>
    <w:rsid w:val="004A45FA"/>
    <w:rsid w:val="004A4683"/>
    <w:rsid w:val="004A46C8"/>
    <w:rsid w:val="004A4854"/>
    <w:rsid w:val="004A48D5"/>
    <w:rsid w:val="004A4B07"/>
    <w:rsid w:val="004A4BE5"/>
    <w:rsid w:val="004A4C1D"/>
    <w:rsid w:val="004A4D05"/>
    <w:rsid w:val="004A4DDA"/>
    <w:rsid w:val="004A4E5F"/>
    <w:rsid w:val="004A4F65"/>
    <w:rsid w:val="004A4FF7"/>
    <w:rsid w:val="004A50D3"/>
    <w:rsid w:val="004A553F"/>
    <w:rsid w:val="004A56E1"/>
    <w:rsid w:val="004A5714"/>
    <w:rsid w:val="004A59EA"/>
    <w:rsid w:val="004A5AF9"/>
    <w:rsid w:val="004A5C58"/>
    <w:rsid w:val="004A5CB9"/>
    <w:rsid w:val="004A61FF"/>
    <w:rsid w:val="004A629D"/>
    <w:rsid w:val="004A6362"/>
    <w:rsid w:val="004A67CF"/>
    <w:rsid w:val="004A6988"/>
    <w:rsid w:val="004A69AD"/>
    <w:rsid w:val="004A6A5F"/>
    <w:rsid w:val="004A6D5C"/>
    <w:rsid w:val="004A6FDA"/>
    <w:rsid w:val="004A7050"/>
    <w:rsid w:val="004A708B"/>
    <w:rsid w:val="004A7318"/>
    <w:rsid w:val="004A754A"/>
    <w:rsid w:val="004A779E"/>
    <w:rsid w:val="004A7842"/>
    <w:rsid w:val="004A78F6"/>
    <w:rsid w:val="004A7923"/>
    <w:rsid w:val="004A7B61"/>
    <w:rsid w:val="004A7B66"/>
    <w:rsid w:val="004A7C63"/>
    <w:rsid w:val="004A7C6F"/>
    <w:rsid w:val="004A7D98"/>
    <w:rsid w:val="004A7F65"/>
    <w:rsid w:val="004B03FB"/>
    <w:rsid w:val="004B04CF"/>
    <w:rsid w:val="004B0550"/>
    <w:rsid w:val="004B05AB"/>
    <w:rsid w:val="004B0659"/>
    <w:rsid w:val="004B06DC"/>
    <w:rsid w:val="004B08C5"/>
    <w:rsid w:val="004B093B"/>
    <w:rsid w:val="004B0CED"/>
    <w:rsid w:val="004B0E36"/>
    <w:rsid w:val="004B1268"/>
    <w:rsid w:val="004B12A1"/>
    <w:rsid w:val="004B12D1"/>
    <w:rsid w:val="004B12D7"/>
    <w:rsid w:val="004B12E5"/>
    <w:rsid w:val="004B138C"/>
    <w:rsid w:val="004B16E5"/>
    <w:rsid w:val="004B19E8"/>
    <w:rsid w:val="004B1BCC"/>
    <w:rsid w:val="004B1BD7"/>
    <w:rsid w:val="004B1E75"/>
    <w:rsid w:val="004B1F2B"/>
    <w:rsid w:val="004B1F78"/>
    <w:rsid w:val="004B2131"/>
    <w:rsid w:val="004B2199"/>
    <w:rsid w:val="004B2229"/>
    <w:rsid w:val="004B222D"/>
    <w:rsid w:val="004B2253"/>
    <w:rsid w:val="004B2337"/>
    <w:rsid w:val="004B23CF"/>
    <w:rsid w:val="004B2446"/>
    <w:rsid w:val="004B25C3"/>
    <w:rsid w:val="004B2952"/>
    <w:rsid w:val="004B29F0"/>
    <w:rsid w:val="004B29F1"/>
    <w:rsid w:val="004B2AC6"/>
    <w:rsid w:val="004B2CEC"/>
    <w:rsid w:val="004B2D26"/>
    <w:rsid w:val="004B2EA9"/>
    <w:rsid w:val="004B2EEC"/>
    <w:rsid w:val="004B2F26"/>
    <w:rsid w:val="004B2F75"/>
    <w:rsid w:val="004B3004"/>
    <w:rsid w:val="004B31F2"/>
    <w:rsid w:val="004B320E"/>
    <w:rsid w:val="004B32E5"/>
    <w:rsid w:val="004B3324"/>
    <w:rsid w:val="004B33D0"/>
    <w:rsid w:val="004B33D6"/>
    <w:rsid w:val="004B33E7"/>
    <w:rsid w:val="004B3472"/>
    <w:rsid w:val="004B349F"/>
    <w:rsid w:val="004B352A"/>
    <w:rsid w:val="004B3639"/>
    <w:rsid w:val="004B3796"/>
    <w:rsid w:val="004B3886"/>
    <w:rsid w:val="004B3960"/>
    <w:rsid w:val="004B3A01"/>
    <w:rsid w:val="004B3B1B"/>
    <w:rsid w:val="004B3ED9"/>
    <w:rsid w:val="004B405B"/>
    <w:rsid w:val="004B40B4"/>
    <w:rsid w:val="004B41BD"/>
    <w:rsid w:val="004B4277"/>
    <w:rsid w:val="004B4287"/>
    <w:rsid w:val="004B43A0"/>
    <w:rsid w:val="004B43D4"/>
    <w:rsid w:val="004B43F0"/>
    <w:rsid w:val="004B443B"/>
    <w:rsid w:val="004B456B"/>
    <w:rsid w:val="004B45C0"/>
    <w:rsid w:val="004B482C"/>
    <w:rsid w:val="004B485B"/>
    <w:rsid w:val="004B4963"/>
    <w:rsid w:val="004B4A74"/>
    <w:rsid w:val="004B4AB6"/>
    <w:rsid w:val="004B4BA7"/>
    <w:rsid w:val="004B4BEC"/>
    <w:rsid w:val="004B4C0C"/>
    <w:rsid w:val="004B4C9F"/>
    <w:rsid w:val="004B4CB7"/>
    <w:rsid w:val="004B4E42"/>
    <w:rsid w:val="004B4F48"/>
    <w:rsid w:val="004B52E9"/>
    <w:rsid w:val="004B53C9"/>
    <w:rsid w:val="004B5423"/>
    <w:rsid w:val="004B554F"/>
    <w:rsid w:val="004B5558"/>
    <w:rsid w:val="004B5793"/>
    <w:rsid w:val="004B587F"/>
    <w:rsid w:val="004B5A69"/>
    <w:rsid w:val="004B5C17"/>
    <w:rsid w:val="004B5CC8"/>
    <w:rsid w:val="004B5D36"/>
    <w:rsid w:val="004B5DA6"/>
    <w:rsid w:val="004B5DC6"/>
    <w:rsid w:val="004B5EDD"/>
    <w:rsid w:val="004B5F99"/>
    <w:rsid w:val="004B613B"/>
    <w:rsid w:val="004B62A6"/>
    <w:rsid w:val="004B64C7"/>
    <w:rsid w:val="004B64E1"/>
    <w:rsid w:val="004B651C"/>
    <w:rsid w:val="004B666E"/>
    <w:rsid w:val="004B6739"/>
    <w:rsid w:val="004B6781"/>
    <w:rsid w:val="004B68D5"/>
    <w:rsid w:val="004B68ED"/>
    <w:rsid w:val="004B692A"/>
    <w:rsid w:val="004B69E0"/>
    <w:rsid w:val="004B6BA1"/>
    <w:rsid w:val="004B6C5C"/>
    <w:rsid w:val="004B6C82"/>
    <w:rsid w:val="004B6D12"/>
    <w:rsid w:val="004B6E65"/>
    <w:rsid w:val="004B6EE4"/>
    <w:rsid w:val="004B6EE9"/>
    <w:rsid w:val="004B6FB1"/>
    <w:rsid w:val="004B720A"/>
    <w:rsid w:val="004B7273"/>
    <w:rsid w:val="004B72E6"/>
    <w:rsid w:val="004B72F2"/>
    <w:rsid w:val="004B74C6"/>
    <w:rsid w:val="004B77F1"/>
    <w:rsid w:val="004B79AF"/>
    <w:rsid w:val="004B79E3"/>
    <w:rsid w:val="004B7C45"/>
    <w:rsid w:val="004B7C94"/>
    <w:rsid w:val="004B7CE3"/>
    <w:rsid w:val="004B7ED9"/>
    <w:rsid w:val="004B7FE6"/>
    <w:rsid w:val="004C0084"/>
    <w:rsid w:val="004C0111"/>
    <w:rsid w:val="004C01A7"/>
    <w:rsid w:val="004C02A6"/>
    <w:rsid w:val="004C02F1"/>
    <w:rsid w:val="004C060A"/>
    <w:rsid w:val="004C077B"/>
    <w:rsid w:val="004C07B2"/>
    <w:rsid w:val="004C0A41"/>
    <w:rsid w:val="004C0C06"/>
    <w:rsid w:val="004C0C47"/>
    <w:rsid w:val="004C0C93"/>
    <w:rsid w:val="004C0CE7"/>
    <w:rsid w:val="004C0CFA"/>
    <w:rsid w:val="004C0D6E"/>
    <w:rsid w:val="004C0F53"/>
    <w:rsid w:val="004C0F56"/>
    <w:rsid w:val="004C10D7"/>
    <w:rsid w:val="004C18D2"/>
    <w:rsid w:val="004C1A15"/>
    <w:rsid w:val="004C1A5D"/>
    <w:rsid w:val="004C1A75"/>
    <w:rsid w:val="004C1B92"/>
    <w:rsid w:val="004C1D8F"/>
    <w:rsid w:val="004C1E15"/>
    <w:rsid w:val="004C1E6E"/>
    <w:rsid w:val="004C1EBD"/>
    <w:rsid w:val="004C1ECC"/>
    <w:rsid w:val="004C2086"/>
    <w:rsid w:val="004C20A5"/>
    <w:rsid w:val="004C20E9"/>
    <w:rsid w:val="004C23B9"/>
    <w:rsid w:val="004C23CF"/>
    <w:rsid w:val="004C24FD"/>
    <w:rsid w:val="004C273F"/>
    <w:rsid w:val="004C285C"/>
    <w:rsid w:val="004C285D"/>
    <w:rsid w:val="004C28FD"/>
    <w:rsid w:val="004C2909"/>
    <w:rsid w:val="004C2969"/>
    <w:rsid w:val="004C29BA"/>
    <w:rsid w:val="004C2BA4"/>
    <w:rsid w:val="004C2C20"/>
    <w:rsid w:val="004C2CB7"/>
    <w:rsid w:val="004C31F5"/>
    <w:rsid w:val="004C31F8"/>
    <w:rsid w:val="004C3372"/>
    <w:rsid w:val="004C34B2"/>
    <w:rsid w:val="004C36F1"/>
    <w:rsid w:val="004C3725"/>
    <w:rsid w:val="004C3802"/>
    <w:rsid w:val="004C384D"/>
    <w:rsid w:val="004C385E"/>
    <w:rsid w:val="004C3893"/>
    <w:rsid w:val="004C38B0"/>
    <w:rsid w:val="004C3952"/>
    <w:rsid w:val="004C3BF5"/>
    <w:rsid w:val="004C3CB5"/>
    <w:rsid w:val="004C3F2E"/>
    <w:rsid w:val="004C3F67"/>
    <w:rsid w:val="004C3FC7"/>
    <w:rsid w:val="004C401D"/>
    <w:rsid w:val="004C40B9"/>
    <w:rsid w:val="004C42BE"/>
    <w:rsid w:val="004C4A59"/>
    <w:rsid w:val="004C4BEF"/>
    <w:rsid w:val="004C4C4D"/>
    <w:rsid w:val="004C4C53"/>
    <w:rsid w:val="004C4CA2"/>
    <w:rsid w:val="004C4CB2"/>
    <w:rsid w:val="004C4EC4"/>
    <w:rsid w:val="004C5008"/>
    <w:rsid w:val="004C516E"/>
    <w:rsid w:val="004C5257"/>
    <w:rsid w:val="004C52AF"/>
    <w:rsid w:val="004C5377"/>
    <w:rsid w:val="004C5380"/>
    <w:rsid w:val="004C5394"/>
    <w:rsid w:val="004C5444"/>
    <w:rsid w:val="004C5560"/>
    <w:rsid w:val="004C561D"/>
    <w:rsid w:val="004C5655"/>
    <w:rsid w:val="004C57FA"/>
    <w:rsid w:val="004C5888"/>
    <w:rsid w:val="004C5A6A"/>
    <w:rsid w:val="004C5B41"/>
    <w:rsid w:val="004C5BC3"/>
    <w:rsid w:val="004C5D8F"/>
    <w:rsid w:val="004C5DE5"/>
    <w:rsid w:val="004C5F24"/>
    <w:rsid w:val="004C6039"/>
    <w:rsid w:val="004C663A"/>
    <w:rsid w:val="004C66AA"/>
    <w:rsid w:val="004C66F5"/>
    <w:rsid w:val="004C6BB1"/>
    <w:rsid w:val="004C6BFE"/>
    <w:rsid w:val="004C6C86"/>
    <w:rsid w:val="004C6D72"/>
    <w:rsid w:val="004C6E1B"/>
    <w:rsid w:val="004C6E49"/>
    <w:rsid w:val="004C6E64"/>
    <w:rsid w:val="004C6EED"/>
    <w:rsid w:val="004C6F87"/>
    <w:rsid w:val="004C705B"/>
    <w:rsid w:val="004C7105"/>
    <w:rsid w:val="004C71D7"/>
    <w:rsid w:val="004C7370"/>
    <w:rsid w:val="004C737A"/>
    <w:rsid w:val="004C7473"/>
    <w:rsid w:val="004C749B"/>
    <w:rsid w:val="004C75B9"/>
    <w:rsid w:val="004C77FC"/>
    <w:rsid w:val="004C7A28"/>
    <w:rsid w:val="004C7A71"/>
    <w:rsid w:val="004C7AAB"/>
    <w:rsid w:val="004C7B55"/>
    <w:rsid w:val="004C7D25"/>
    <w:rsid w:val="004C7DFE"/>
    <w:rsid w:val="004C7E91"/>
    <w:rsid w:val="004D006E"/>
    <w:rsid w:val="004D0183"/>
    <w:rsid w:val="004D01A1"/>
    <w:rsid w:val="004D02D0"/>
    <w:rsid w:val="004D02E3"/>
    <w:rsid w:val="004D0300"/>
    <w:rsid w:val="004D032F"/>
    <w:rsid w:val="004D03B6"/>
    <w:rsid w:val="004D03D6"/>
    <w:rsid w:val="004D03E9"/>
    <w:rsid w:val="004D042E"/>
    <w:rsid w:val="004D04FE"/>
    <w:rsid w:val="004D053F"/>
    <w:rsid w:val="004D093B"/>
    <w:rsid w:val="004D09ED"/>
    <w:rsid w:val="004D0AC3"/>
    <w:rsid w:val="004D0B76"/>
    <w:rsid w:val="004D0C77"/>
    <w:rsid w:val="004D0D1C"/>
    <w:rsid w:val="004D0D2C"/>
    <w:rsid w:val="004D0D46"/>
    <w:rsid w:val="004D0D9D"/>
    <w:rsid w:val="004D0E65"/>
    <w:rsid w:val="004D1137"/>
    <w:rsid w:val="004D131E"/>
    <w:rsid w:val="004D171A"/>
    <w:rsid w:val="004D1725"/>
    <w:rsid w:val="004D1730"/>
    <w:rsid w:val="004D1841"/>
    <w:rsid w:val="004D18BF"/>
    <w:rsid w:val="004D19A1"/>
    <w:rsid w:val="004D19FC"/>
    <w:rsid w:val="004D1B32"/>
    <w:rsid w:val="004D1C39"/>
    <w:rsid w:val="004D1C7C"/>
    <w:rsid w:val="004D1D0E"/>
    <w:rsid w:val="004D1DA6"/>
    <w:rsid w:val="004D1E37"/>
    <w:rsid w:val="004D1E62"/>
    <w:rsid w:val="004D2018"/>
    <w:rsid w:val="004D2087"/>
    <w:rsid w:val="004D2284"/>
    <w:rsid w:val="004D2471"/>
    <w:rsid w:val="004D2472"/>
    <w:rsid w:val="004D24E4"/>
    <w:rsid w:val="004D24FC"/>
    <w:rsid w:val="004D253C"/>
    <w:rsid w:val="004D25E2"/>
    <w:rsid w:val="004D2932"/>
    <w:rsid w:val="004D2B40"/>
    <w:rsid w:val="004D2D08"/>
    <w:rsid w:val="004D3003"/>
    <w:rsid w:val="004D300A"/>
    <w:rsid w:val="004D3112"/>
    <w:rsid w:val="004D3135"/>
    <w:rsid w:val="004D328A"/>
    <w:rsid w:val="004D33B4"/>
    <w:rsid w:val="004D33DF"/>
    <w:rsid w:val="004D340D"/>
    <w:rsid w:val="004D3493"/>
    <w:rsid w:val="004D35D8"/>
    <w:rsid w:val="004D36FD"/>
    <w:rsid w:val="004D371C"/>
    <w:rsid w:val="004D388E"/>
    <w:rsid w:val="004D3890"/>
    <w:rsid w:val="004D399C"/>
    <w:rsid w:val="004D3A61"/>
    <w:rsid w:val="004D3A9C"/>
    <w:rsid w:val="004D3AD5"/>
    <w:rsid w:val="004D3D3A"/>
    <w:rsid w:val="004D3DF3"/>
    <w:rsid w:val="004D3F93"/>
    <w:rsid w:val="004D4007"/>
    <w:rsid w:val="004D40EF"/>
    <w:rsid w:val="004D4376"/>
    <w:rsid w:val="004D439E"/>
    <w:rsid w:val="004D4456"/>
    <w:rsid w:val="004D44D1"/>
    <w:rsid w:val="004D4572"/>
    <w:rsid w:val="004D467F"/>
    <w:rsid w:val="004D4758"/>
    <w:rsid w:val="004D489B"/>
    <w:rsid w:val="004D490C"/>
    <w:rsid w:val="004D4958"/>
    <w:rsid w:val="004D4B67"/>
    <w:rsid w:val="004D4DC0"/>
    <w:rsid w:val="004D4E01"/>
    <w:rsid w:val="004D4F34"/>
    <w:rsid w:val="004D4FF6"/>
    <w:rsid w:val="004D5218"/>
    <w:rsid w:val="004D5220"/>
    <w:rsid w:val="004D540F"/>
    <w:rsid w:val="004D55AC"/>
    <w:rsid w:val="004D5713"/>
    <w:rsid w:val="004D5777"/>
    <w:rsid w:val="004D5803"/>
    <w:rsid w:val="004D5C10"/>
    <w:rsid w:val="004D5D14"/>
    <w:rsid w:val="004D5E4B"/>
    <w:rsid w:val="004D5E7B"/>
    <w:rsid w:val="004D5FC0"/>
    <w:rsid w:val="004D6088"/>
    <w:rsid w:val="004D60EF"/>
    <w:rsid w:val="004D6219"/>
    <w:rsid w:val="004D627D"/>
    <w:rsid w:val="004D6384"/>
    <w:rsid w:val="004D6451"/>
    <w:rsid w:val="004D65AA"/>
    <w:rsid w:val="004D6862"/>
    <w:rsid w:val="004D695D"/>
    <w:rsid w:val="004D69F7"/>
    <w:rsid w:val="004D6A51"/>
    <w:rsid w:val="004D6A8A"/>
    <w:rsid w:val="004D6ACB"/>
    <w:rsid w:val="004D6B98"/>
    <w:rsid w:val="004D6BC6"/>
    <w:rsid w:val="004D6C7F"/>
    <w:rsid w:val="004D6DF8"/>
    <w:rsid w:val="004D6E82"/>
    <w:rsid w:val="004D6F48"/>
    <w:rsid w:val="004D6F6F"/>
    <w:rsid w:val="004D7062"/>
    <w:rsid w:val="004D709D"/>
    <w:rsid w:val="004D71E8"/>
    <w:rsid w:val="004D72FE"/>
    <w:rsid w:val="004D7495"/>
    <w:rsid w:val="004D759C"/>
    <w:rsid w:val="004D759D"/>
    <w:rsid w:val="004D7647"/>
    <w:rsid w:val="004D7841"/>
    <w:rsid w:val="004D78D1"/>
    <w:rsid w:val="004D78DC"/>
    <w:rsid w:val="004D796B"/>
    <w:rsid w:val="004D79D1"/>
    <w:rsid w:val="004D7BD7"/>
    <w:rsid w:val="004D7C49"/>
    <w:rsid w:val="004D7C5A"/>
    <w:rsid w:val="004D7C6C"/>
    <w:rsid w:val="004D7D40"/>
    <w:rsid w:val="004D7D63"/>
    <w:rsid w:val="004D7D84"/>
    <w:rsid w:val="004D7DE3"/>
    <w:rsid w:val="004E009D"/>
    <w:rsid w:val="004E00E2"/>
    <w:rsid w:val="004E02C8"/>
    <w:rsid w:val="004E03E6"/>
    <w:rsid w:val="004E0421"/>
    <w:rsid w:val="004E05AA"/>
    <w:rsid w:val="004E05FD"/>
    <w:rsid w:val="004E0781"/>
    <w:rsid w:val="004E091E"/>
    <w:rsid w:val="004E09A6"/>
    <w:rsid w:val="004E0B52"/>
    <w:rsid w:val="004E0B7B"/>
    <w:rsid w:val="004E0D88"/>
    <w:rsid w:val="004E0DC2"/>
    <w:rsid w:val="004E130D"/>
    <w:rsid w:val="004E136B"/>
    <w:rsid w:val="004E1468"/>
    <w:rsid w:val="004E1480"/>
    <w:rsid w:val="004E15FB"/>
    <w:rsid w:val="004E1662"/>
    <w:rsid w:val="004E171D"/>
    <w:rsid w:val="004E190C"/>
    <w:rsid w:val="004E1C27"/>
    <w:rsid w:val="004E1C3A"/>
    <w:rsid w:val="004E1C3D"/>
    <w:rsid w:val="004E1E72"/>
    <w:rsid w:val="004E1FE9"/>
    <w:rsid w:val="004E2022"/>
    <w:rsid w:val="004E2159"/>
    <w:rsid w:val="004E2226"/>
    <w:rsid w:val="004E247F"/>
    <w:rsid w:val="004E252B"/>
    <w:rsid w:val="004E26BB"/>
    <w:rsid w:val="004E2751"/>
    <w:rsid w:val="004E287F"/>
    <w:rsid w:val="004E2888"/>
    <w:rsid w:val="004E296D"/>
    <w:rsid w:val="004E2975"/>
    <w:rsid w:val="004E2A90"/>
    <w:rsid w:val="004E2AA1"/>
    <w:rsid w:val="004E2AC9"/>
    <w:rsid w:val="004E2BBE"/>
    <w:rsid w:val="004E2BD3"/>
    <w:rsid w:val="004E2C70"/>
    <w:rsid w:val="004E2EF4"/>
    <w:rsid w:val="004E2F19"/>
    <w:rsid w:val="004E2FC1"/>
    <w:rsid w:val="004E33D8"/>
    <w:rsid w:val="004E3726"/>
    <w:rsid w:val="004E37E7"/>
    <w:rsid w:val="004E3878"/>
    <w:rsid w:val="004E3880"/>
    <w:rsid w:val="004E3955"/>
    <w:rsid w:val="004E3AA0"/>
    <w:rsid w:val="004E3BF6"/>
    <w:rsid w:val="004E3F68"/>
    <w:rsid w:val="004E40EF"/>
    <w:rsid w:val="004E4191"/>
    <w:rsid w:val="004E41F1"/>
    <w:rsid w:val="004E4235"/>
    <w:rsid w:val="004E4499"/>
    <w:rsid w:val="004E4547"/>
    <w:rsid w:val="004E459B"/>
    <w:rsid w:val="004E45FA"/>
    <w:rsid w:val="004E4623"/>
    <w:rsid w:val="004E4718"/>
    <w:rsid w:val="004E47E9"/>
    <w:rsid w:val="004E4896"/>
    <w:rsid w:val="004E4ACA"/>
    <w:rsid w:val="004E4BE0"/>
    <w:rsid w:val="004E4C8A"/>
    <w:rsid w:val="004E4D3F"/>
    <w:rsid w:val="004E4F49"/>
    <w:rsid w:val="004E50FC"/>
    <w:rsid w:val="004E5214"/>
    <w:rsid w:val="004E52C7"/>
    <w:rsid w:val="004E52E9"/>
    <w:rsid w:val="004E53CC"/>
    <w:rsid w:val="004E5460"/>
    <w:rsid w:val="004E5517"/>
    <w:rsid w:val="004E5611"/>
    <w:rsid w:val="004E5628"/>
    <w:rsid w:val="004E57DB"/>
    <w:rsid w:val="004E5C50"/>
    <w:rsid w:val="004E5D40"/>
    <w:rsid w:val="004E606B"/>
    <w:rsid w:val="004E6179"/>
    <w:rsid w:val="004E61BD"/>
    <w:rsid w:val="004E644F"/>
    <w:rsid w:val="004E64EB"/>
    <w:rsid w:val="004E6553"/>
    <w:rsid w:val="004E66CD"/>
    <w:rsid w:val="004E6845"/>
    <w:rsid w:val="004E6849"/>
    <w:rsid w:val="004E68EA"/>
    <w:rsid w:val="004E696E"/>
    <w:rsid w:val="004E6A96"/>
    <w:rsid w:val="004E6B51"/>
    <w:rsid w:val="004E6C3A"/>
    <w:rsid w:val="004E6CF4"/>
    <w:rsid w:val="004E6F61"/>
    <w:rsid w:val="004E722A"/>
    <w:rsid w:val="004E7342"/>
    <w:rsid w:val="004E7621"/>
    <w:rsid w:val="004E7855"/>
    <w:rsid w:val="004E7873"/>
    <w:rsid w:val="004E7943"/>
    <w:rsid w:val="004E79B0"/>
    <w:rsid w:val="004E7A60"/>
    <w:rsid w:val="004E7CDB"/>
    <w:rsid w:val="004E7E14"/>
    <w:rsid w:val="004E7E65"/>
    <w:rsid w:val="004E7EFF"/>
    <w:rsid w:val="004E7F5A"/>
    <w:rsid w:val="004E7FAB"/>
    <w:rsid w:val="004E7FB3"/>
    <w:rsid w:val="004F00C0"/>
    <w:rsid w:val="004F035A"/>
    <w:rsid w:val="004F0440"/>
    <w:rsid w:val="004F04A3"/>
    <w:rsid w:val="004F0551"/>
    <w:rsid w:val="004F0631"/>
    <w:rsid w:val="004F073B"/>
    <w:rsid w:val="004F07DE"/>
    <w:rsid w:val="004F0BAF"/>
    <w:rsid w:val="004F0C2C"/>
    <w:rsid w:val="004F0C58"/>
    <w:rsid w:val="004F0DE7"/>
    <w:rsid w:val="004F0F90"/>
    <w:rsid w:val="004F1095"/>
    <w:rsid w:val="004F11C7"/>
    <w:rsid w:val="004F11FE"/>
    <w:rsid w:val="004F1253"/>
    <w:rsid w:val="004F12AC"/>
    <w:rsid w:val="004F1317"/>
    <w:rsid w:val="004F1455"/>
    <w:rsid w:val="004F1572"/>
    <w:rsid w:val="004F16E4"/>
    <w:rsid w:val="004F16F1"/>
    <w:rsid w:val="004F1762"/>
    <w:rsid w:val="004F182B"/>
    <w:rsid w:val="004F18E1"/>
    <w:rsid w:val="004F1E43"/>
    <w:rsid w:val="004F1F9F"/>
    <w:rsid w:val="004F202B"/>
    <w:rsid w:val="004F2044"/>
    <w:rsid w:val="004F221B"/>
    <w:rsid w:val="004F24FE"/>
    <w:rsid w:val="004F26AE"/>
    <w:rsid w:val="004F2739"/>
    <w:rsid w:val="004F27DB"/>
    <w:rsid w:val="004F292B"/>
    <w:rsid w:val="004F2AA1"/>
    <w:rsid w:val="004F2AB5"/>
    <w:rsid w:val="004F2B76"/>
    <w:rsid w:val="004F2CA5"/>
    <w:rsid w:val="004F2CB8"/>
    <w:rsid w:val="004F2DB4"/>
    <w:rsid w:val="004F2EC8"/>
    <w:rsid w:val="004F305A"/>
    <w:rsid w:val="004F322D"/>
    <w:rsid w:val="004F32D2"/>
    <w:rsid w:val="004F3386"/>
    <w:rsid w:val="004F344E"/>
    <w:rsid w:val="004F35B4"/>
    <w:rsid w:val="004F3672"/>
    <w:rsid w:val="004F3706"/>
    <w:rsid w:val="004F3786"/>
    <w:rsid w:val="004F3AA2"/>
    <w:rsid w:val="004F3C2E"/>
    <w:rsid w:val="004F3C55"/>
    <w:rsid w:val="004F3D46"/>
    <w:rsid w:val="004F3DA4"/>
    <w:rsid w:val="004F41D3"/>
    <w:rsid w:val="004F4203"/>
    <w:rsid w:val="004F4314"/>
    <w:rsid w:val="004F43C4"/>
    <w:rsid w:val="004F44FF"/>
    <w:rsid w:val="004F464E"/>
    <w:rsid w:val="004F4660"/>
    <w:rsid w:val="004F467B"/>
    <w:rsid w:val="004F4742"/>
    <w:rsid w:val="004F4789"/>
    <w:rsid w:val="004F47BC"/>
    <w:rsid w:val="004F4830"/>
    <w:rsid w:val="004F484D"/>
    <w:rsid w:val="004F487D"/>
    <w:rsid w:val="004F48C2"/>
    <w:rsid w:val="004F495E"/>
    <w:rsid w:val="004F4966"/>
    <w:rsid w:val="004F49D3"/>
    <w:rsid w:val="004F4A00"/>
    <w:rsid w:val="004F4A63"/>
    <w:rsid w:val="004F4BA0"/>
    <w:rsid w:val="004F4C6B"/>
    <w:rsid w:val="004F4C7E"/>
    <w:rsid w:val="004F4CAD"/>
    <w:rsid w:val="004F4D31"/>
    <w:rsid w:val="004F4F32"/>
    <w:rsid w:val="004F4FBC"/>
    <w:rsid w:val="004F4FD0"/>
    <w:rsid w:val="004F50D6"/>
    <w:rsid w:val="004F5261"/>
    <w:rsid w:val="004F52B8"/>
    <w:rsid w:val="004F52C1"/>
    <w:rsid w:val="004F554D"/>
    <w:rsid w:val="004F55A0"/>
    <w:rsid w:val="004F56FB"/>
    <w:rsid w:val="004F580E"/>
    <w:rsid w:val="004F587D"/>
    <w:rsid w:val="004F5BA6"/>
    <w:rsid w:val="004F5D2C"/>
    <w:rsid w:val="004F5E1B"/>
    <w:rsid w:val="004F5F5D"/>
    <w:rsid w:val="004F61F5"/>
    <w:rsid w:val="004F65F4"/>
    <w:rsid w:val="004F6805"/>
    <w:rsid w:val="004F6861"/>
    <w:rsid w:val="004F69D5"/>
    <w:rsid w:val="004F6B05"/>
    <w:rsid w:val="004F6E1F"/>
    <w:rsid w:val="004F6EA1"/>
    <w:rsid w:val="004F6EAC"/>
    <w:rsid w:val="004F7021"/>
    <w:rsid w:val="004F707B"/>
    <w:rsid w:val="004F7127"/>
    <w:rsid w:val="004F71F3"/>
    <w:rsid w:val="004F7373"/>
    <w:rsid w:val="004F7412"/>
    <w:rsid w:val="004F76C1"/>
    <w:rsid w:val="004F76FC"/>
    <w:rsid w:val="004F7950"/>
    <w:rsid w:val="004F7A07"/>
    <w:rsid w:val="004F7B56"/>
    <w:rsid w:val="004F7C21"/>
    <w:rsid w:val="004F7D0B"/>
    <w:rsid w:val="004F7D68"/>
    <w:rsid w:val="004F7E86"/>
    <w:rsid w:val="004F7F6F"/>
    <w:rsid w:val="005000B9"/>
    <w:rsid w:val="005000F7"/>
    <w:rsid w:val="0050019D"/>
    <w:rsid w:val="00500206"/>
    <w:rsid w:val="00500269"/>
    <w:rsid w:val="0050040B"/>
    <w:rsid w:val="005004F9"/>
    <w:rsid w:val="00500543"/>
    <w:rsid w:val="0050059B"/>
    <w:rsid w:val="00500609"/>
    <w:rsid w:val="00500659"/>
    <w:rsid w:val="0050079E"/>
    <w:rsid w:val="0050088A"/>
    <w:rsid w:val="00500992"/>
    <w:rsid w:val="00500A8A"/>
    <w:rsid w:val="00500ADA"/>
    <w:rsid w:val="00500B0C"/>
    <w:rsid w:val="00500B4E"/>
    <w:rsid w:val="00500BA4"/>
    <w:rsid w:val="00500FDB"/>
    <w:rsid w:val="00501231"/>
    <w:rsid w:val="00501309"/>
    <w:rsid w:val="005013DF"/>
    <w:rsid w:val="005013F0"/>
    <w:rsid w:val="00501438"/>
    <w:rsid w:val="005014B0"/>
    <w:rsid w:val="005016A4"/>
    <w:rsid w:val="005017A4"/>
    <w:rsid w:val="005017BB"/>
    <w:rsid w:val="005018C6"/>
    <w:rsid w:val="00501978"/>
    <w:rsid w:val="00501ADB"/>
    <w:rsid w:val="00501AF8"/>
    <w:rsid w:val="00501B16"/>
    <w:rsid w:val="00501C2B"/>
    <w:rsid w:val="00501C59"/>
    <w:rsid w:val="00501ED1"/>
    <w:rsid w:val="00501F68"/>
    <w:rsid w:val="0050200F"/>
    <w:rsid w:val="00502015"/>
    <w:rsid w:val="005020CB"/>
    <w:rsid w:val="00502110"/>
    <w:rsid w:val="0050240C"/>
    <w:rsid w:val="00502442"/>
    <w:rsid w:val="0050271D"/>
    <w:rsid w:val="005028EE"/>
    <w:rsid w:val="00502982"/>
    <w:rsid w:val="005029B3"/>
    <w:rsid w:val="00502D99"/>
    <w:rsid w:val="00502F30"/>
    <w:rsid w:val="00502F3F"/>
    <w:rsid w:val="00502F6A"/>
    <w:rsid w:val="005030AF"/>
    <w:rsid w:val="00503233"/>
    <w:rsid w:val="00503337"/>
    <w:rsid w:val="005033B6"/>
    <w:rsid w:val="005033E6"/>
    <w:rsid w:val="00503446"/>
    <w:rsid w:val="005036BA"/>
    <w:rsid w:val="005036DA"/>
    <w:rsid w:val="00503844"/>
    <w:rsid w:val="00503C7E"/>
    <w:rsid w:val="00503D40"/>
    <w:rsid w:val="00503D4D"/>
    <w:rsid w:val="00503D97"/>
    <w:rsid w:val="00503DDD"/>
    <w:rsid w:val="00503F8A"/>
    <w:rsid w:val="00504023"/>
    <w:rsid w:val="00504401"/>
    <w:rsid w:val="00504482"/>
    <w:rsid w:val="005044C5"/>
    <w:rsid w:val="00504566"/>
    <w:rsid w:val="00504772"/>
    <w:rsid w:val="00504776"/>
    <w:rsid w:val="0050479B"/>
    <w:rsid w:val="00504BDA"/>
    <w:rsid w:val="00504D8C"/>
    <w:rsid w:val="00504DC7"/>
    <w:rsid w:val="00504E03"/>
    <w:rsid w:val="00504E48"/>
    <w:rsid w:val="00504E7C"/>
    <w:rsid w:val="00504EBF"/>
    <w:rsid w:val="00505033"/>
    <w:rsid w:val="005050E2"/>
    <w:rsid w:val="005051B3"/>
    <w:rsid w:val="00505206"/>
    <w:rsid w:val="00505460"/>
    <w:rsid w:val="005054BE"/>
    <w:rsid w:val="00505709"/>
    <w:rsid w:val="00505792"/>
    <w:rsid w:val="00505835"/>
    <w:rsid w:val="00505856"/>
    <w:rsid w:val="0050599A"/>
    <w:rsid w:val="00505AA3"/>
    <w:rsid w:val="00505C92"/>
    <w:rsid w:val="00505CA3"/>
    <w:rsid w:val="00505D4E"/>
    <w:rsid w:val="00505EFE"/>
    <w:rsid w:val="00505F08"/>
    <w:rsid w:val="00505FBE"/>
    <w:rsid w:val="00506067"/>
    <w:rsid w:val="00506284"/>
    <w:rsid w:val="005062C1"/>
    <w:rsid w:val="00506351"/>
    <w:rsid w:val="005063D0"/>
    <w:rsid w:val="00506750"/>
    <w:rsid w:val="00506819"/>
    <w:rsid w:val="00506831"/>
    <w:rsid w:val="00506965"/>
    <w:rsid w:val="00506994"/>
    <w:rsid w:val="0050699E"/>
    <w:rsid w:val="005069C4"/>
    <w:rsid w:val="00506D6F"/>
    <w:rsid w:val="00506D8A"/>
    <w:rsid w:val="00506F79"/>
    <w:rsid w:val="00506FAB"/>
    <w:rsid w:val="005070DA"/>
    <w:rsid w:val="005071CD"/>
    <w:rsid w:val="005072D8"/>
    <w:rsid w:val="00507325"/>
    <w:rsid w:val="00507423"/>
    <w:rsid w:val="005074D5"/>
    <w:rsid w:val="0050756F"/>
    <w:rsid w:val="005076E0"/>
    <w:rsid w:val="00507775"/>
    <w:rsid w:val="00507807"/>
    <w:rsid w:val="005079CF"/>
    <w:rsid w:val="005079EC"/>
    <w:rsid w:val="00507C6D"/>
    <w:rsid w:val="00507CC9"/>
    <w:rsid w:val="00510201"/>
    <w:rsid w:val="00510331"/>
    <w:rsid w:val="00510520"/>
    <w:rsid w:val="00510690"/>
    <w:rsid w:val="005106B7"/>
    <w:rsid w:val="00510905"/>
    <w:rsid w:val="00510A5E"/>
    <w:rsid w:val="00510B55"/>
    <w:rsid w:val="00510B8F"/>
    <w:rsid w:val="00510BBB"/>
    <w:rsid w:val="00510C1C"/>
    <w:rsid w:val="00510C70"/>
    <w:rsid w:val="00511026"/>
    <w:rsid w:val="0051108D"/>
    <w:rsid w:val="005110AD"/>
    <w:rsid w:val="005111AF"/>
    <w:rsid w:val="00511526"/>
    <w:rsid w:val="005115DC"/>
    <w:rsid w:val="00511706"/>
    <w:rsid w:val="005117AD"/>
    <w:rsid w:val="005117D7"/>
    <w:rsid w:val="00511A49"/>
    <w:rsid w:val="00511A83"/>
    <w:rsid w:val="00511B0A"/>
    <w:rsid w:val="00511BD3"/>
    <w:rsid w:val="00511C7F"/>
    <w:rsid w:val="00511D71"/>
    <w:rsid w:val="00511D83"/>
    <w:rsid w:val="00511E7A"/>
    <w:rsid w:val="00511EE2"/>
    <w:rsid w:val="00511F1A"/>
    <w:rsid w:val="00511F32"/>
    <w:rsid w:val="00512155"/>
    <w:rsid w:val="005121E1"/>
    <w:rsid w:val="005122B0"/>
    <w:rsid w:val="005122F9"/>
    <w:rsid w:val="005123C5"/>
    <w:rsid w:val="0051240F"/>
    <w:rsid w:val="005124BE"/>
    <w:rsid w:val="005125FF"/>
    <w:rsid w:val="0051263F"/>
    <w:rsid w:val="00512683"/>
    <w:rsid w:val="0051270C"/>
    <w:rsid w:val="005127BE"/>
    <w:rsid w:val="005127C5"/>
    <w:rsid w:val="005127F5"/>
    <w:rsid w:val="00512828"/>
    <w:rsid w:val="005128A2"/>
    <w:rsid w:val="00512A4E"/>
    <w:rsid w:val="00512A5C"/>
    <w:rsid w:val="00512E84"/>
    <w:rsid w:val="00513606"/>
    <w:rsid w:val="00513715"/>
    <w:rsid w:val="00513D3C"/>
    <w:rsid w:val="00513DE7"/>
    <w:rsid w:val="00513EDC"/>
    <w:rsid w:val="00513FEF"/>
    <w:rsid w:val="005141B8"/>
    <w:rsid w:val="0051426F"/>
    <w:rsid w:val="005143BF"/>
    <w:rsid w:val="00514426"/>
    <w:rsid w:val="00514505"/>
    <w:rsid w:val="0051460E"/>
    <w:rsid w:val="005146C2"/>
    <w:rsid w:val="00514790"/>
    <w:rsid w:val="005149E8"/>
    <w:rsid w:val="00514AD7"/>
    <w:rsid w:val="00514BA9"/>
    <w:rsid w:val="00514DB4"/>
    <w:rsid w:val="00514DC3"/>
    <w:rsid w:val="00514F1D"/>
    <w:rsid w:val="00514F49"/>
    <w:rsid w:val="00514FC2"/>
    <w:rsid w:val="00514FD9"/>
    <w:rsid w:val="0051542B"/>
    <w:rsid w:val="00515472"/>
    <w:rsid w:val="005154E1"/>
    <w:rsid w:val="005155AF"/>
    <w:rsid w:val="005155B0"/>
    <w:rsid w:val="005155D9"/>
    <w:rsid w:val="0051565F"/>
    <w:rsid w:val="005157FF"/>
    <w:rsid w:val="00515845"/>
    <w:rsid w:val="005158CA"/>
    <w:rsid w:val="005158E1"/>
    <w:rsid w:val="005159D1"/>
    <w:rsid w:val="00515AE6"/>
    <w:rsid w:val="00515B26"/>
    <w:rsid w:val="00515BFB"/>
    <w:rsid w:val="00515D0C"/>
    <w:rsid w:val="00515D5F"/>
    <w:rsid w:val="00515DD9"/>
    <w:rsid w:val="00515E14"/>
    <w:rsid w:val="00515E44"/>
    <w:rsid w:val="005160D2"/>
    <w:rsid w:val="00516160"/>
    <w:rsid w:val="0051621C"/>
    <w:rsid w:val="0051627E"/>
    <w:rsid w:val="0051646D"/>
    <w:rsid w:val="00516616"/>
    <w:rsid w:val="00516618"/>
    <w:rsid w:val="00516968"/>
    <w:rsid w:val="00516B6F"/>
    <w:rsid w:val="00516FA0"/>
    <w:rsid w:val="00516FF1"/>
    <w:rsid w:val="005170D2"/>
    <w:rsid w:val="00517186"/>
    <w:rsid w:val="005171AB"/>
    <w:rsid w:val="005171BD"/>
    <w:rsid w:val="00517494"/>
    <w:rsid w:val="0051755F"/>
    <w:rsid w:val="005175B8"/>
    <w:rsid w:val="00517651"/>
    <w:rsid w:val="00517677"/>
    <w:rsid w:val="005177D7"/>
    <w:rsid w:val="0051782E"/>
    <w:rsid w:val="005178B2"/>
    <w:rsid w:val="005178CE"/>
    <w:rsid w:val="00517935"/>
    <w:rsid w:val="00517950"/>
    <w:rsid w:val="00517991"/>
    <w:rsid w:val="00517AA7"/>
    <w:rsid w:val="00517B4E"/>
    <w:rsid w:val="00517BAC"/>
    <w:rsid w:val="00517CA3"/>
    <w:rsid w:val="00517CF8"/>
    <w:rsid w:val="00517D67"/>
    <w:rsid w:val="00517DE2"/>
    <w:rsid w:val="00520007"/>
    <w:rsid w:val="005200B6"/>
    <w:rsid w:val="0052024E"/>
    <w:rsid w:val="0052028A"/>
    <w:rsid w:val="0052042F"/>
    <w:rsid w:val="00520450"/>
    <w:rsid w:val="005204B3"/>
    <w:rsid w:val="005206C9"/>
    <w:rsid w:val="005208F7"/>
    <w:rsid w:val="005209D1"/>
    <w:rsid w:val="005209E5"/>
    <w:rsid w:val="00520B12"/>
    <w:rsid w:val="00520D66"/>
    <w:rsid w:val="00520D95"/>
    <w:rsid w:val="00520EB7"/>
    <w:rsid w:val="00520ECA"/>
    <w:rsid w:val="00521194"/>
    <w:rsid w:val="005212C5"/>
    <w:rsid w:val="0052148B"/>
    <w:rsid w:val="005214F3"/>
    <w:rsid w:val="00521561"/>
    <w:rsid w:val="005215BC"/>
    <w:rsid w:val="00521603"/>
    <w:rsid w:val="00521668"/>
    <w:rsid w:val="00521709"/>
    <w:rsid w:val="005217A7"/>
    <w:rsid w:val="005217FF"/>
    <w:rsid w:val="00521963"/>
    <w:rsid w:val="00521A41"/>
    <w:rsid w:val="00521A73"/>
    <w:rsid w:val="00521AA4"/>
    <w:rsid w:val="00521CBC"/>
    <w:rsid w:val="00521E79"/>
    <w:rsid w:val="00521EB3"/>
    <w:rsid w:val="0052206F"/>
    <w:rsid w:val="005221A9"/>
    <w:rsid w:val="00522358"/>
    <w:rsid w:val="0052242D"/>
    <w:rsid w:val="005224FF"/>
    <w:rsid w:val="005225F9"/>
    <w:rsid w:val="0052263A"/>
    <w:rsid w:val="005229F5"/>
    <w:rsid w:val="00522A23"/>
    <w:rsid w:val="00522AF5"/>
    <w:rsid w:val="00522B49"/>
    <w:rsid w:val="00522B71"/>
    <w:rsid w:val="00522C42"/>
    <w:rsid w:val="00522CD0"/>
    <w:rsid w:val="00522ECA"/>
    <w:rsid w:val="00522EEB"/>
    <w:rsid w:val="00522F48"/>
    <w:rsid w:val="00523001"/>
    <w:rsid w:val="0052307A"/>
    <w:rsid w:val="005230C9"/>
    <w:rsid w:val="005230EA"/>
    <w:rsid w:val="00523126"/>
    <w:rsid w:val="005231C5"/>
    <w:rsid w:val="00523323"/>
    <w:rsid w:val="005233A6"/>
    <w:rsid w:val="00523694"/>
    <w:rsid w:val="00523695"/>
    <w:rsid w:val="005237E2"/>
    <w:rsid w:val="00523902"/>
    <w:rsid w:val="005239D7"/>
    <w:rsid w:val="00523A16"/>
    <w:rsid w:val="00523BEF"/>
    <w:rsid w:val="00523BFB"/>
    <w:rsid w:val="00523C23"/>
    <w:rsid w:val="00523D30"/>
    <w:rsid w:val="00524057"/>
    <w:rsid w:val="005241ED"/>
    <w:rsid w:val="00524330"/>
    <w:rsid w:val="005243E6"/>
    <w:rsid w:val="0052443B"/>
    <w:rsid w:val="00524561"/>
    <w:rsid w:val="00524B62"/>
    <w:rsid w:val="00524E56"/>
    <w:rsid w:val="00524F36"/>
    <w:rsid w:val="00524F5B"/>
    <w:rsid w:val="0052529B"/>
    <w:rsid w:val="0052546A"/>
    <w:rsid w:val="0052562B"/>
    <w:rsid w:val="005256AD"/>
    <w:rsid w:val="005257D0"/>
    <w:rsid w:val="0052596B"/>
    <w:rsid w:val="0052597B"/>
    <w:rsid w:val="005259A7"/>
    <w:rsid w:val="00525AEB"/>
    <w:rsid w:val="00525B31"/>
    <w:rsid w:val="00525B6C"/>
    <w:rsid w:val="00525C1F"/>
    <w:rsid w:val="00525C22"/>
    <w:rsid w:val="00525C86"/>
    <w:rsid w:val="00525C93"/>
    <w:rsid w:val="00525E92"/>
    <w:rsid w:val="00525FD0"/>
    <w:rsid w:val="0052626B"/>
    <w:rsid w:val="00526376"/>
    <w:rsid w:val="00526486"/>
    <w:rsid w:val="00526501"/>
    <w:rsid w:val="005265BC"/>
    <w:rsid w:val="00526674"/>
    <w:rsid w:val="00526703"/>
    <w:rsid w:val="005267B7"/>
    <w:rsid w:val="00526916"/>
    <w:rsid w:val="00526994"/>
    <w:rsid w:val="00526A01"/>
    <w:rsid w:val="00526A36"/>
    <w:rsid w:val="00526A52"/>
    <w:rsid w:val="00526FAF"/>
    <w:rsid w:val="00526FCE"/>
    <w:rsid w:val="005275DE"/>
    <w:rsid w:val="005277CC"/>
    <w:rsid w:val="005277DF"/>
    <w:rsid w:val="0052784B"/>
    <w:rsid w:val="00527ADE"/>
    <w:rsid w:val="00527B86"/>
    <w:rsid w:val="00527CA1"/>
    <w:rsid w:val="00527E0D"/>
    <w:rsid w:val="0053002A"/>
    <w:rsid w:val="00530065"/>
    <w:rsid w:val="0053013C"/>
    <w:rsid w:val="00530153"/>
    <w:rsid w:val="0053056C"/>
    <w:rsid w:val="0053056E"/>
    <w:rsid w:val="005305F0"/>
    <w:rsid w:val="0053075F"/>
    <w:rsid w:val="005307F7"/>
    <w:rsid w:val="005309C4"/>
    <w:rsid w:val="00530CA5"/>
    <w:rsid w:val="00530D22"/>
    <w:rsid w:val="00530D29"/>
    <w:rsid w:val="005310F2"/>
    <w:rsid w:val="00531224"/>
    <w:rsid w:val="00531317"/>
    <w:rsid w:val="00531332"/>
    <w:rsid w:val="005313C2"/>
    <w:rsid w:val="005314F7"/>
    <w:rsid w:val="0053156A"/>
    <w:rsid w:val="0053158D"/>
    <w:rsid w:val="0053167C"/>
    <w:rsid w:val="005317AE"/>
    <w:rsid w:val="005317C4"/>
    <w:rsid w:val="00531A19"/>
    <w:rsid w:val="00531AEF"/>
    <w:rsid w:val="00531E18"/>
    <w:rsid w:val="00531FBC"/>
    <w:rsid w:val="00531FC6"/>
    <w:rsid w:val="00532021"/>
    <w:rsid w:val="005321A6"/>
    <w:rsid w:val="005321F5"/>
    <w:rsid w:val="0053236F"/>
    <w:rsid w:val="00532529"/>
    <w:rsid w:val="0053252A"/>
    <w:rsid w:val="005325A3"/>
    <w:rsid w:val="00532856"/>
    <w:rsid w:val="00532AD7"/>
    <w:rsid w:val="00532B3E"/>
    <w:rsid w:val="00532B4F"/>
    <w:rsid w:val="00532DA8"/>
    <w:rsid w:val="00532E0A"/>
    <w:rsid w:val="00532FFC"/>
    <w:rsid w:val="00533056"/>
    <w:rsid w:val="00533084"/>
    <w:rsid w:val="0053319E"/>
    <w:rsid w:val="005331C7"/>
    <w:rsid w:val="00533217"/>
    <w:rsid w:val="0053323F"/>
    <w:rsid w:val="005332DE"/>
    <w:rsid w:val="00533373"/>
    <w:rsid w:val="0053341B"/>
    <w:rsid w:val="00533505"/>
    <w:rsid w:val="0053389D"/>
    <w:rsid w:val="00533DEC"/>
    <w:rsid w:val="00533EEF"/>
    <w:rsid w:val="00533F3F"/>
    <w:rsid w:val="00534057"/>
    <w:rsid w:val="00534093"/>
    <w:rsid w:val="005342E1"/>
    <w:rsid w:val="00534311"/>
    <w:rsid w:val="0053432B"/>
    <w:rsid w:val="0053460C"/>
    <w:rsid w:val="00534644"/>
    <w:rsid w:val="00534683"/>
    <w:rsid w:val="00534B34"/>
    <w:rsid w:val="00534C5B"/>
    <w:rsid w:val="00534D34"/>
    <w:rsid w:val="00534DC0"/>
    <w:rsid w:val="00534F9F"/>
    <w:rsid w:val="005350B1"/>
    <w:rsid w:val="0053514B"/>
    <w:rsid w:val="00535194"/>
    <w:rsid w:val="0053546C"/>
    <w:rsid w:val="005356D4"/>
    <w:rsid w:val="00535776"/>
    <w:rsid w:val="00535A16"/>
    <w:rsid w:val="00535AF5"/>
    <w:rsid w:val="00535B5A"/>
    <w:rsid w:val="00535D5A"/>
    <w:rsid w:val="00535EF0"/>
    <w:rsid w:val="00535FEF"/>
    <w:rsid w:val="005360C8"/>
    <w:rsid w:val="005361A7"/>
    <w:rsid w:val="005361DE"/>
    <w:rsid w:val="00536271"/>
    <w:rsid w:val="005362FD"/>
    <w:rsid w:val="00536411"/>
    <w:rsid w:val="00536605"/>
    <w:rsid w:val="00536624"/>
    <w:rsid w:val="0053667C"/>
    <w:rsid w:val="00536687"/>
    <w:rsid w:val="0053669F"/>
    <w:rsid w:val="005366F4"/>
    <w:rsid w:val="00536821"/>
    <w:rsid w:val="0053689D"/>
    <w:rsid w:val="00536939"/>
    <w:rsid w:val="0053698D"/>
    <w:rsid w:val="00536AD2"/>
    <w:rsid w:val="00536F30"/>
    <w:rsid w:val="005371A4"/>
    <w:rsid w:val="005371B0"/>
    <w:rsid w:val="0053726D"/>
    <w:rsid w:val="005373F5"/>
    <w:rsid w:val="0053743A"/>
    <w:rsid w:val="00537585"/>
    <w:rsid w:val="005377FC"/>
    <w:rsid w:val="00537948"/>
    <w:rsid w:val="005379C4"/>
    <w:rsid w:val="00537A61"/>
    <w:rsid w:val="00537AAF"/>
    <w:rsid w:val="00537B47"/>
    <w:rsid w:val="00537BC7"/>
    <w:rsid w:val="00537CA5"/>
    <w:rsid w:val="00537E89"/>
    <w:rsid w:val="00540027"/>
    <w:rsid w:val="00540051"/>
    <w:rsid w:val="005403FF"/>
    <w:rsid w:val="005404A0"/>
    <w:rsid w:val="005404DF"/>
    <w:rsid w:val="00540759"/>
    <w:rsid w:val="005407C8"/>
    <w:rsid w:val="005407FB"/>
    <w:rsid w:val="005409D5"/>
    <w:rsid w:val="00540AA0"/>
    <w:rsid w:val="00540ACB"/>
    <w:rsid w:val="00540B0A"/>
    <w:rsid w:val="00540ED8"/>
    <w:rsid w:val="00540F1D"/>
    <w:rsid w:val="00540F9C"/>
    <w:rsid w:val="00541083"/>
    <w:rsid w:val="005410C0"/>
    <w:rsid w:val="005410F9"/>
    <w:rsid w:val="005411B5"/>
    <w:rsid w:val="005414F8"/>
    <w:rsid w:val="00541506"/>
    <w:rsid w:val="00541594"/>
    <w:rsid w:val="00541713"/>
    <w:rsid w:val="005417F9"/>
    <w:rsid w:val="005418A8"/>
    <w:rsid w:val="00541C55"/>
    <w:rsid w:val="00541DB7"/>
    <w:rsid w:val="00541E86"/>
    <w:rsid w:val="00542027"/>
    <w:rsid w:val="0054242A"/>
    <w:rsid w:val="005424EF"/>
    <w:rsid w:val="005424FB"/>
    <w:rsid w:val="00542507"/>
    <w:rsid w:val="00542620"/>
    <w:rsid w:val="0054268C"/>
    <w:rsid w:val="005427E2"/>
    <w:rsid w:val="005427F3"/>
    <w:rsid w:val="00542806"/>
    <w:rsid w:val="0054283E"/>
    <w:rsid w:val="005428B8"/>
    <w:rsid w:val="0054299A"/>
    <w:rsid w:val="00542A44"/>
    <w:rsid w:val="00542AA4"/>
    <w:rsid w:val="00542CCF"/>
    <w:rsid w:val="00542D66"/>
    <w:rsid w:val="00542F0B"/>
    <w:rsid w:val="00542F86"/>
    <w:rsid w:val="0054331A"/>
    <w:rsid w:val="005433D2"/>
    <w:rsid w:val="00543536"/>
    <w:rsid w:val="0054375B"/>
    <w:rsid w:val="005438D3"/>
    <w:rsid w:val="005439BA"/>
    <w:rsid w:val="005439FA"/>
    <w:rsid w:val="00543B48"/>
    <w:rsid w:val="00543BC2"/>
    <w:rsid w:val="00543BCF"/>
    <w:rsid w:val="00543DB7"/>
    <w:rsid w:val="00543E5E"/>
    <w:rsid w:val="00543E7A"/>
    <w:rsid w:val="00543EC1"/>
    <w:rsid w:val="005440AA"/>
    <w:rsid w:val="005440D0"/>
    <w:rsid w:val="0054410E"/>
    <w:rsid w:val="0054425A"/>
    <w:rsid w:val="005444E7"/>
    <w:rsid w:val="0054464B"/>
    <w:rsid w:val="00544743"/>
    <w:rsid w:val="00544859"/>
    <w:rsid w:val="00544863"/>
    <w:rsid w:val="005448EC"/>
    <w:rsid w:val="00544C21"/>
    <w:rsid w:val="00544C8D"/>
    <w:rsid w:val="00544CAE"/>
    <w:rsid w:val="00544DCC"/>
    <w:rsid w:val="00544E4D"/>
    <w:rsid w:val="00545084"/>
    <w:rsid w:val="005450AB"/>
    <w:rsid w:val="00545131"/>
    <w:rsid w:val="00545195"/>
    <w:rsid w:val="005451F3"/>
    <w:rsid w:val="005452D2"/>
    <w:rsid w:val="00545462"/>
    <w:rsid w:val="005454AE"/>
    <w:rsid w:val="00545938"/>
    <w:rsid w:val="0054595C"/>
    <w:rsid w:val="00545993"/>
    <w:rsid w:val="00545BD5"/>
    <w:rsid w:val="00545E93"/>
    <w:rsid w:val="00545F08"/>
    <w:rsid w:val="00546122"/>
    <w:rsid w:val="0054625F"/>
    <w:rsid w:val="0054647E"/>
    <w:rsid w:val="0054675A"/>
    <w:rsid w:val="005467EF"/>
    <w:rsid w:val="005468B5"/>
    <w:rsid w:val="00546A12"/>
    <w:rsid w:val="00546AF9"/>
    <w:rsid w:val="00546E7C"/>
    <w:rsid w:val="00546F4A"/>
    <w:rsid w:val="00546FCF"/>
    <w:rsid w:val="00547086"/>
    <w:rsid w:val="005470A8"/>
    <w:rsid w:val="0054710E"/>
    <w:rsid w:val="0054718E"/>
    <w:rsid w:val="00547294"/>
    <w:rsid w:val="0054736D"/>
    <w:rsid w:val="0054744A"/>
    <w:rsid w:val="0054746E"/>
    <w:rsid w:val="0054757F"/>
    <w:rsid w:val="00547623"/>
    <w:rsid w:val="005478DD"/>
    <w:rsid w:val="00547918"/>
    <w:rsid w:val="00547A4E"/>
    <w:rsid w:val="00547B4C"/>
    <w:rsid w:val="00547B7C"/>
    <w:rsid w:val="00547BD9"/>
    <w:rsid w:val="00547C69"/>
    <w:rsid w:val="00547D61"/>
    <w:rsid w:val="00550114"/>
    <w:rsid w:val="00550182"/>
    <w:rsid w:val="005501AF"/>
    <w:rsid w:val="005501C2"/>
    <w:rsid w:val="005501F5"/>
    <w:rsid w:val="005504EB"/>
    <w:rsid w:val="0055050D"/>
    <w:rsid w:val="00550691"/>
    <w:rsid w:val="00550B92"/>
    <w:rsid w:val="00550CAB"/>
    <w:rsid w:val="00550D77"/>
    <w:rsid w:val="00550E36"/>
    <w:rsid w:val="00550EC8"/>
    <w:rsid w:val="00551166"/>
    <w:rsid w:val="005511C3"/>
    <w:rsid w:val="00551316"/>
    <w:rsid w:val="00551467"/>
    <w:rsid w:val="0055157D"/>
    <w:rsid w:val="0055162B"/>
    <w:rsid w:val="00551706"/>
    <w:rsid w:val="00551718"/>
    <w:rsid w:val="00551850"/>
    <w:rsid w:val="005518D4"/>
    <w:rsid w:val="0055191C"/>
    <w:rsid w:val="005519CB"/>
    <w:rsid w:val="005519DB"/>
    <w:rsid w:val="00551A2C"/>
    <w:rsid w:val="00551BF9"/>
    <w:rsid w:val="00551DFC"/>
    <w:rsid w:val="00551EC7"/>
    <w:rsid w:val="00551EFA"/>
    <w:rsid w:val="00552065"/>
    <w:rsid w:val="00552139"/>
    <w:rsid w:val="00552288"/>
    <w:rsid w:val="005522CB"/>
    <w:rsid w:val="005522E0"/>
    <w:rsid w:val="0055258D"/>
    <w:rsid w:val="0055259A"/>
    <w:rsid w:val="0055269D"/>
    <w:rsid w:val="005526E3"/>
    <w:rsid w:val="00552900"/>
    <w:rsid w:val="00552992"/>
    <w:rsid w:val="00552ABB"/>
    <w:rsid w:val="00552BE8"/>
    <w:rsid w:val="00552CBA"/>
    <w:rsid w:val="00552DB2"/>
    <w:rsid w:val="00552E24"/>
    <w:rsid w:val="00552E47"/>
    <w:rsid w:val="00552E5C"/>
    <w:rsid w:val="00552FCC"/>
    <w:rsid w:val="005530D4"/>
    <w:rsid w:val="0055321D"/>
    <w:rsid w:val="00553242"/>
    <w:rsid w:val="00553354"/>
    <w:rsid w:val="005534C1"/>
    <w:rsid w:val="005534DE"/>
    <w:rsid w:val="005534F0"/>
    <w:rsid w:val="005535FB"/>
    <w:rsid w:val="005538C1"/>
    <w:rsid w:val="0055390C"/>
    <w:rsid w:val="00553963"/>
    <w:rsid w:val="0055397A"/>
    <w:rsid w:val="00553A4F"/>
    <w:rsid w:val="00553AFD"/>
    <w:rsid w:val="00553B8E"/>
    <w:rsid w:val="00553CFC"/>
    <w:rsid w:val="00553D4C"/>
    <w:rsid w:val="00553D85"/>
    <w:rsid w:val="00553DA3"/>
    <w:rsid w:val="00553F9F"/>
    <w:rsid w:val="00553FFC"/>
    <w:rsid w:val="00554038"/>
    <w:rsid w:val="0055418A"/>
    <w:rsid w:val="0055418F"/>
    <w:rsid w:val="00554193"/>
    <w:rsid w:val="00554208"/>
    <w:rsid w:val="00554378"/>
    <w:rsid w:val="00554406"/>
    <w:rsid w:val="00554563"/>
    <w:rsid w:val="0055469E"/>
    <w:rsid w:val="005546FF"/>
    <w:rsid w:val="005548B0"/>
    <w:rsid w:val="00554962"/>
    <w:rsid w:val="005549E0"/>
    <w:rsid w:val="00554C10"/>
    <w:rsid w:val="00554E34"/>
    <w:rsid w:val="00554FE6"/>
    <w:rsid w:val="0055504B"/>
    <w:rsid w:val="0055512B"/>
    <w:rsid w:val="00555177"/>
    <w:rsid w:val="00555208"/>
    <w:rsid w:val="0055534B"/>
    <w:rsid w:val="00555483"/>
    <w:rsid w:val="00555571"/>
    <w:rsid w:val="00555764"/>
    <w:rsid w:val="00555887"/>
    <w:rsid w:val="00555AB1"/>
    <w:rsid w:val="00555BAC"/>
    <w:rsid w:val="00555BD5"/>
    <w:rsid w:val="00555C57"/>
    <w:rsid w:val="00555C58"/>
    <w:rsid w:val="00555C67"/>
    <w:rsid w:val="00555CE5"/>
    <w:rsid w:val="00555D46"/>
    <w:rsid w:val="00555E1E"/>
    <w:rsid w:val="00555E21"/>
    <w:rsid w:val="005560B6"/>
    <w:rsid w:val="005561A4"/>
    <w:rsid w:val="00556202"/>
    <w:rsid w:val="0055622D"/>
    <w:rsid w:val="00556397"/>
    <w:rsid w:val="00556478"/>
    <w:rsid w:val="00556533"/>
    <w:rsid w:val="005565FF"/>
    <w:rsid w:val="00556631"/>
    <w:rsid w:val="00556817"/>
    <w:rsid w:val="00556851"/>
    <w:rsid w:val="005568D3"/>
    <w:rsid w:val="005568E0"/>
    <w:rsid w:val="00556936"/>
    <w:rsid w:val="00556A88"/>
    <w:rsid w:val="00556B46"/>
    <w:rsid w:val="00556D98"/>
    <w:rsid w:val="00556F80"/>
    <w:rsid w:val="0055711B"/>
    <w:rsid w:val="005573F0"/>
    <w:rsid w:val="005574C4"/>
    <w:rsid w:val="00557625"/>
    <w:rsid w:val="005576F9"/>
    <w:rsid w:val="005577F7"/>
    <w:rsid w:val="005578B6"/>
    <w:rsid w:val="00557C10"/>
    <w:rsid w:val="00557C78"/>
    <w:rsid w:val="00557DE4"/>
    <w:rsid w:val="00557F33"/>
    <w:rsid w:val="00557F5D"/>
    <w:rsid w:val="0056021C"/>
    <w:rsid w:val="005603D5"/>
    <w:rsid w:val="00560402"/>
    <w:rsid w:val="005604AE"/>
    <w:rsid w:val="005604C6"/>
    <w:rsid w:val="0056054E"/>
    <w:rsid w:val="005606AE"/>
    <w:rsid w:val="0056075D"/>
    <w:rsid w:val="0056087A"/>
    <w:rsid w:val="005608AF"/>
    <w:rsid w:val="005609AD"/>
    <w:rsid w:val="00560A81"/>
    <w:rsid w:val="00560B47"/>
    <w:rsid w:val="00560CD5"/>
    <w:rsid w:val="00560D01"/>
    <w:rsid w:val="00560E51"/>
    <w:rsid w:val="00560E79"/>
    <w:rsid w:val="005611D5"/>
    <w:rsid w:val="00561252"/>
    <w:rsid w:val="005612F5"/>
    <w:rsid w:val="005613F1"/>
    <w:rsid w:val="0056160E"/>
    <w:rsid w:val="00561675"/>
    <w:rsid w:val="005619C9"/>
    <w:rsid w:val="005619CC"/>
    <w:rsid w:val="00561D4E"/>
    <w:rsid w:val="00561D67"/>
    <w:rsid w:val="00561D84"/>
    <w:rsid w:val="00561DC6"/>
    <w:rsid w:val="00561EE3"/>
    <w:rsid w:val="00561F0C"/>
    <w:rsid w:val="00562148"/>
    <w:rsid w:val="00562221"/>
    <w:rsid w:val="005622F6"/>
    <w:rsid w:val="005623AC"/>
    <w:rsid w:val="005623C2"/>
    <w:rsid w:val="00562420"/>
    <w:rsid w:val="005626F3"/>
    <w:rsid w:val="00562780"/>
    <w:rsid w:val="00562866"/>
    <w:rsid w:val="00562A1D"/>
    <w:rsid w:val="00562AC6"/>
    <w:rsid w:val="00562DDD"/>
    <w:rsid w:val="00562E9E"/>
    <w:rsid w:val="00562ED6"/>
    <w:rsid w:val="00562F01"/>
    <w:rsid w:val="00562F92"/>
    <w:rsid w:val="005630A8"/>
    <w:rsid w:val="00563213"/>
    <w:rsid w:val="00563386"/>
    <w:rsid w:val="00563407"/>
    <w:rsid w:val="00563479"/>
    <w:rsid w:val="00563483"/>
    <w:rsid w:val="00563724"/>
    <w:rsid w:val="00563861"/>
    <w:rsid w:val="00563B0D"/>
    <w:rsid w:val="00563B3D"/>
    <w:rsid w:val="00563C18"/>
    <w:rsid w:val="00563C3D"/>
    <w:rsid w:val="00563C80"/>
    <w:rsid w:val="00563D27"/>
    <w:rsid w:val="00563D6B"/>
    <w:rsid w:val="00563D84"/>
    <w:rsid w:val="00563DC6"/>
    <w:rsid w:val="00563FB2"/>
    <w:rsid w:val="0056404A"/>
    <w:rsid w:val="005640A8"/>
    <w:rsid w:val="005640E8"/>
    <w:rsid w:val="005641A5"/>
    <w:rsid w:val="005641B7"/>
    <w:rsid w:val="00564297"/>
    <w:rsid w:val="00564416"/>
    <w:rsid w:val="005644F2"/>
    <w:rsid w:val="005646F1"/>
    <w:rsid w:val="005648A9"/>
    <w:rsid w:val="005648DD"/>
    <w:rsid w:val="0056497D"/>
    <w:rsid w:val="00564ABD"/>
    <w:rsid w:val="00564D6B"/>
    <w:rsid w:val="0056546E"/>
    <w:rsid w:val="00565520"/>
    <w:rsid w:val="005655D4"/>
    <w:rsid w:val="005656BA"/>
    <w:rsid w:val="005656CE"/>
    <w:rsid w:val="00565788"/>
    <w:rsid w:val="005659C6"/>
    <w:rsid w:val="00565BBD"/>
    <w:rsid w:val="00565D4C"/>
    <w:rsid w:val="00565DAC"/>
    <w:rsid w:val="00565DCF"/>
    <w:rsid w:val="00565E55"/>
    <w:rsid w:val="00565E65"/>
    <w:rsid w:val="00565EB4"/>
    <w:rsid w:val="00565FB0"/>
    <w:rsid w:val="00566135"/>
    <w:rsid w:val="00566167"/>
    <w:rsid w:val="0056622F"/>
    <w:rsid w:val="00566250"/>
    <w:rsid w:val="0056627F"/>
    <w:rsid w:val="005662BD"/>
    <w:rsid w:val="00566600"/>
    <w:rsid w:val="005666A3"/>
    <w:rsid w:val="005667D3"/>
    <w:rsid w:val="00566CA2"/>
    <w:rsid w:val="00566CE0"/>
    <w:rsid w:val="00566E2A"/>
    <w:rsid w:val="00566F65"/>
    <w:rsid w:val="005671FA"/>
    <w:rsid w:val="0056745A"/>
    <w:rsid w:val="0056750A"/>
    <w:rsid w:val="00567511"/>
    <w:rsid w:val="0056756B"/>
    <w:rsid w:val="00567633"/>
    <w:rsid w:val="0056764B"/>
    <w:rsid w:val="005676A9"/>
    <w:rsid w:val="005678E0"/>
    <w:rsid w:val="005679CD"/>
    <w:rsid w:val="00567FF7"/>
    <w:rsid w:val="00570159"/>
    <w:rsid w:val="00570187"/>
    <w:rsid w:val="00570334"/>
    <w:rsid w:val="005703FA"/>
    <w:rsid w:val="00570685"/>
    <w:rsid w:val="00570B03"/>
    <w:rsid w:val="00570B18"/>
    <w:rsid w:val="00570BD7"/>
    <w:rsid w:val="00570CCB"/>
    <w:rsid w:val="00570CF0"/>
    <w:rsid w:val="00570CF5"/>
    <w:rsid w:val="00570E79"/>
    <w:rsid w:val="0057102C"/>
    <w:rsid w:val="0057106F"/>
    <w:rsid w:val="005712CE"/>
    <w:rsid w:val="005712DE"/>
    <w:rsid w:val="005713BA"/>
    <w:rsid w:val="00571423"/>
    <w:rsid w:val="0057147D"/>
    <w:rsid w:val="0057154C"/>
    <w:rsid w:val="00571598"/>
    <w:rsid w:val="00571747"/>
    <w:rsid w:val="005717AE"/>
    <w:rsid w:val="0057191D"/>
    <w:rsid w:val="00571ADB"/>
    <w:rsid w:val="00571B70"/>
    <w:rsid w:val="00571BFB"/>
    <w:rsid w:val="00571DB1"/>
    <w:rsid w:val="00571F9A"/>
    <w:rsid w:val="0057203A"/>
    <w:rsid w:val="0057226E"/>
    <w:rsid w:val="0057238C"/>
    <w:rsid w:val="0057266D"/>
    <w:rsid w:val="0057291F"/>
    <w:rsid w:val="005729D5"/>
    <w:rsid w:val="00572ACA"/>
    <w:rsid w:val="00572ACD"/>
    <w:rsid w:val="00572B00"/>
    <w:rsid w:val="00572BF5"/>
    <w:rsid w:val="00572D59"/>
    <w:rsid w:val="00572E8F"/>
    <w:rsid w:val="00572FEB"/>
    <w:rsid w:val="00573342"/>
    <w:rsid w:val="005734DF"/>
    <w:rsid w:val="00573524"/>
    <w:rsid w:val="0057358F"/>
    <w:rsid w:val="0057378F"/>
    <w:rsid w:val="00573900"/>
    <w:rsid w:val="0057395C"/>
    <w:rsid w:val="00573AFA"/>
    <w:rsid w:val="00573B2F"/>
    <w:rsid w:val="00573BA1"/>
    <w:rsid w:val="00573BF8"/>
    <w:rsid w:val="00573C3B"/>
    <w:rsid w:val="00573CA5"/>
    <w:rsid w:val="00573E66"/>
    <w:rsid w:val="00573EF4"/>
    <w:rsid w:val="00574318"/>
    <w:rsid w:val="00574396"/>
    <w:rsid w:val="00574467"/>
    <w:rsid w:val="005744AC"/>
    <w:rsid w:val="00574842"/>
    <w:rsid w:val="0057488F"/>
    <w:rsid w:val="005748B4"/>
    <w:rsid w:val="00574A70"/>
    <w:rsid w:val="00574A98"/>
    <w:rsid w:val="00574ABD"/>
    <w:rsid w:val="00574B05"/>
    <w:rsid w:val="00574B5B"/>
    <w:rsid w:val="00574C04"/>
    <w:rsid w:val="00574C07"/>
    <w:rsid w:val="00574C4F"/>
    <w:rsid w:val="00574C7E"/>
    <w:rsid w:val="00574D53"/>
    <w:rsid w:val="00574D95"/>
    <w:rsid w:val="00574E0B"/>
    <w:rsid w:val="00574EE1"/>
    <w:rsid w:val="0057506D"/>
    <w:rsid w:val="005751DF"/>
    <w:rsid w:val="00575227"/>
    <w:rsid w:val="0057522D"/>
    <w:rsid w:val="005754E0"/>
    <w:rsid w:val="0057556B"/>
    <w:rsid w:val="0057570B"/>
    <w:rsid w:val="005757C1"/>
    <w:rsid w:val="00575841"/>
    <w:rsid w:val="005758CC"/>
    <w:rsid w:val="0057593A"/>
    <w:rsid w:val="00575A6A"/>
    <w:rsid w:val="00575B8C"/>
    <w:rsid w:val="00575BC6"/>
    <w:rsid w:val="00575C1E"/>
    <w:rsid w:val="00575F5A"/>
    <w:rsid w:val="00575FE4"/>
    <w:rsid w:val="005760A9"/>
    <w:rsid w:val="00576395"/>
    <w:rsid w:val="005763EB"/>
    <w:rsid w:val="0057655E"/>
    <w:rsid w:val="005765EF"/>
    <w:rsid w:val="00576720"/>
    <w:rsid w:val="00576825"/>
    <w:rsid w:val="00576A67"/>
    <w:rsid w:val="00576ABF"/>
    <w:rsid w:val="00576B76"/>
    <w:rsid w:val="00576C8D"/>
    <w:rsid w:val="00576F56"/>
    <w:rsid w:val="0057722B"/>
    <w:rsid w:val="00577299"/>
    <w:rsid w:val="005772FF"/>
    <w:rsid w:val="005773EC"/>
    <w:rsid w:val="00577509"/>
    <w:rsid w:val="0057759C"/>
    <w:rsid w:val="005775A4"/>
    <w:rsid w:val="005775AC"/>
    <w:rsid w:val="005775C3"/>
    <w:rsid w:val="00577789"/>
    <w:rsid w:val="00577794"/>
    <w:rsid w:val="00577919"/>
    <w:rsid w:val="00577C18"/>
    <w:rsid w:val="00577C71"/>
    <w:rsid w:val="00577C81"/>
    <w:rsid w:val="00577CF4"/>
    <w:rsid w:val="00577F6C"/>
    <w:rsid w:val="00577FFA"/>
    <w:rsid w:val="00580092"/>
    <w:rsid w:val="0058010C"/>
    <w:rsid w:val="0058017E"/>
    <w:rsid w:val="005801B7"/>
    <w:rsid w:val="00580297"/>
    <w:rsid w:val="0058039A"/>
    <w:rsid w:val="00580441"/>
    <w:rsid w:val="00580484"/>
    <w:rsid w:val="00580562"/>
    <w:rsid w:val="0058058B"/>
    <w:rsid w:val="005807AA"/>
    <w:rsid w:val="005808CA"/>
    <w:rsid w:val="00580904"/>
    <w:rsid w:val="00580BCE"/>
    <w:rsid w:val="00580BE7"/>
    <w:rsid w:val="00580C98"/>
    <w:rsid w:val="00580DB6"/>
    <w:rsid w:val="00580FC5"/>
    <w:rsid w:val="00580FFE"/>
    <w:rsid w:val="0058109B"/>
    <w:rsid w:val="0058116A"/>
    <w:rsid w:val="0058117F"/>
    <w:rsid w:val="005812E1"/>
    <w:rsid w:val="00581307"/>
    <w:rsid w:val="0058134B"/>
    <w:rsid w:val="0058156F"/>
    <w:rsid w:val="0058162F"/>
    <w:rsid w:val="00581652"/>
    <w:rsid w:val="0058167A"/>
    <w:rsid w:val="005818B6"/>
    <w:rsid w:val="00581A18"/>
    <w:rsid w:val="00581ABA"/>
    <w:rsid w:val="00581D90"/>
    <w:rsid w:val="00581E7E"/>
    <w:rsid w:val="00582037"/>
    <w:rsid w:val="00582180"/>
    <w:rsid w:val="005821A8"/>
    <w:rsid w:val="0058234E"/>
    <w:rsid w:val="00582415"/>
    <w:rsid w:val="00582479"/>
    <w:rsid w:val="0058277A"/>
    <w:rsid w:val="00582837"/>
    <w:rsid w:val="0058284A"/>
    <w:rsid w:val="0058292C"/>
    <w:rsid w:val="00582A10"/>
    <w:rsid w:val="00582A6B"/>
    <w:rsid w:val="00582B73"/>
    <w:rsid w:val="00582C7B"/>
    <w:rsid w:val="00582D19"/>
    <w:rsid w:val="00582E2E"/>
    <w:rsid w:val="00582E68"/>
    <w:rsid w:val="00582E92"/>
    <w:rsid w:val="00582FA3"/>
    <w:rsid w:val="00583060"/>
    <w:rsid w:val="00583194"/>
    <w:rsid w:val="00583198"/>
    <w:rsid w:val="00583361"/>
    <w:rsid w:val="0058337F"/>
    <w:rsid w:val="005833A0"/>
    <w:rsid w:val="00583497"/>
    <w:rsid w:val="005834B1"/>
    <w:rsid w:val="0058358B"/>
    <w:rsid w:val="00583770"/>
    <w:rsid w:val="00583792"/>
    <w:rsid w:val="00583B11"/>
    <w:rsid w:val="00583C8F"/>
    <w:rsid w:val="00583D6B"/>
    <w:rsid w:val="00583D6F"/>
    <w:rsid w:val="00584018"/>
    <w:rsid w:val="0058402D"/>
    <w:rsid w:val="0058409A"/>
    <w:rsid w:val="005840AC"/>
    <w:rsid w:val="005840D4"/>
    <w:rsid w:val="0058410B"/>
    <w:rsid w:val="00584229"/>
    <w:rsid w:val="00584299"/>
    <w:rsid w:val="0058429A"/>
    <w:rsid w:val="00584513"/>
    <w:rsid w:val="0058462A"/>
    <w:rsid w:val="005847BC"/>
    <w:rsid w:val="00584814"/>
    <w:rsid w:val="0058481C"/>
    <w:rsid w:val="00584899"/>
    <w:rsid w:val="00584960"/>
    <w:rsid w:val="00584964"/>
    <w:rsid w:val="005849B8"/>
    <w:rsid w:val="00584A20"/>
    <w:rsid w:val="00584B37"/>
    <w:rsid w:val="00584BB3"/>
    <w:rsid w:val="00584C16"/>
    <w:rsid w:val="00584EA6"/>
    <w:rsid w:val="00584F25"/>
    <w:rsid w:val="00584F72"/>
    <w:rsid w:val="00584F88"/>
    <w:rsid w:val="00585017"/>
    <w:rsid w:val="00585149"/>
    <w:rsid w:val="0058517E"/>
    <w:rsid w:val="00585183"/>
    <w:rsid w:val="0058533B"/>
    <w:rsid w:val="00585408"/>
    <w:rsid w:val="005854C8"/>
    <w:rsid w:val="00585591"/>
    <w:rsid w:val="005855B5"/>
    <w:rsid w:val="00585635"/>
    <w:rsid w:val="0058568E"/>
    <w:rsid w:val="00585808"/>
    <w:rsid w:val="0058586F"/>
    <w:rsid w:val="005858E8"/>
    <w:rsid w:val="005859D3"/>
    <w:rsid w:val="00585B27"/>
    <w:rsid w:val="00585D88"/>
    <w:rsid w:val="00585DC0"/>
    <w:rsid w:val="00585FCC"/>
    <w:rsid w:val="0058603A"/>
    <w:rsid w:val="0058614D"/>
    <w:rsid w:val="00586168"/>
    <w:rsid w:val="005862C9"/>
    <w:rsid w:val="0058639A"/>
    <w:rsid w:val="0058672A"/>
    <w:rsid w:val="00586734"/>
    <w:rsid w:val="0058673B"/>
    <w:rsid w:val="005867D0"/>
    <w:rsid w:val="005869FA"/>
    <w:rsid w:val="00586AEE"/>
    <w:rsid w:val="00586C57"/>
    <w:rsid w:val="00586D2A"/>
    <w:rsid w:val="00586F91"/>
    <w:rsid w:val="00586FC3"/>
    <w:rsid w:val="00587044"/>
    <w:rsid w:val="00587277"/>
    <w:rsid w:val="005872C6"/>
    <w:rsid w:val="005872CB"/>
    <w:rsid w:val="00587515"/>
    <w:rsid w:val="005875EA"/>
    <w:rsid w:val="00587666"/>
    <w:rsid w:val="005879FC"/>
    <w:rsid w:val="00587B67"/>
    <w:rsid w:val="00587BBC"/>
    <w:rsid w:val="00587DBC"/>
    <w:rsid w:val="00587DE0"/>
    <w:rsid w:val="00587E55"/>
    <w:rsid w:val="00587EC5"/>
    <w:rsid w:val="00587F38"/>
    <w:rsid w:val="00587F63"/>
    <w:rsid w:val="00587FE7"/>
    <w:rsid w:val="0059029D"/>
    <w:rsid w:val="00590389"/>
    <w:rsid w:val="005903DF"/>
    <w:rsid w:val="00590421"/>
    <w:rsid w:val="005904AA"/>
    <w:rsid w:val="005904BE"/>
    <w:rsid w:val="00590505"/>
    <w:rsid w:val="00590732"/>
    <w:rsid w:val="00590868"/>
    <w:rsid w:val="005908EF"/>
    <w:rsid w:val="00590B2E"/>
    <w:rsid w:val="00590B9F"/>
    <w:rsid w:val="00590C6C"/>
    <w:rsid w:val="00591064"/>
    <w:rsid w:val="005910FC"/>
    <w:rsid w:val="005911CF"/>
    <w:rsid w:val="0059135F"/>
    <w:rsid w:val="0059136A"/>
    <w:rsid w:val="00591417"/>
    <w:rsid w:val="00591423"/>
    <w:rsid w:val="00591430"/>
    <w:rsid w:val="00591666"/>
    <w:rsid w:val="00591690"/>
    <w:rsid w:val="005918B7"/>
    <w:rsid w:val="00591A4D"/>
    <w:rsid w:val="00591B4B"/>
    <w:rsid w:val="00591C5A"/>
    <w:rsid w:val="00591D61"/>
    <w:rsid w:val="00591D73"/>
    <w:rsid w:val="0059227C"/>
    <w:rsid w:val="0059235B"/>
    <w:rsid w:val="005924C7"/>
    <w:rsid w:val="005924D8"/>
    <w:rsid w:val="005925C3"/>
    <w:rsid w:val="00592892"/>
    <w:rsid w:val="00592983"/>
    <w:rsid w:val="00592AD8"/>
    <w:rsid w:val="00592B25"/>
    <w:rsid w:val="00592BD1"/>
    <w:rsid w:val="00592C1E"/>
    <w:rsid w:val="00592C72"/>
    <w:rsid w:val="00592D3A"/>
    <w:rsid w:val="00593016"/>
    <w:rsid w:val="00593042"/>
    <w:rsid w:val="005930DB"/>
    <w:rsid w:val="0059312F"/>
    <w:rsid w:val="0059323E"/>
    <w:rsid w:val="00593325"/>
    <w:rsid w:val="005933BD"/>
    <w:rsid w:val="00593451"/>
    <w:rsid w:val="00593459"/>
    <w:rsid w:val="005934D7"/>
    <w:rsid w:val="00593532"/>
    <w:rsid w:val="00593647"/>
    <w:rsid w:val="0059364B"/>
    <w:rsid w:val="005936A4"/>
    <w:rsid w:val="00593728"/>
    <w:rsid w:val="005937B4"/>
    <w:rsid w:val="005937C2"/>
    <w:rsid w:val="005937F9"/>
    <w:rsid w:val="0059396B"/>
    <w:rsid w:val="00593986"/>
    <w:rsid w:val="005939C8"/>
    <w:rsid w:val="005939E4"/>
    <w:rsid w:val="00593B2A"/>
    <w:rsid w:val="00593B5D"/>
    <w:rsid w:val="00593BD0"/>
    <w:rsid w:val="00593D52"/>
    <w:rsid w:val="00593F19"/>
    <w:rsid w:val="00593FB6"/>
    <w:rsid w:val="005942DF"/>
    <w:rsid w:val="005943AA"/>
    <w:rsid w:val="0059460C"/>
    <w:rsid w:val="005947B9"/>
    <w:rsid w:val="00594984"/>
    <w:rsid w:val="00594A57"/>
    <w:rsid w:val="00594B16"/>
    <w:rsid w:val="00594B98"/>
    <w:rsid w:val="00594D74"/>
    <w:rsid w:val="00594F8E"/>
    <w:rsid w:val="005951CF"/>
    <w:rsid w:val="005952FF"/>
    <w:rsid w:val="005953FB"/>
    <w:rsid w:val="00595583"/>
    <w:rsid w:val="005955D0"/>
    <w:rsid w:val="005956C3"/>
    <w:rsid w:val="00595921"/>
    <w:rsid w:val="005959CA"/>
    <w:rsid w:val="00595A38"/>
    <w:rsid w:val="00595CA0"/>
    <w:rsid w:val="00595D5D"/>
    <w:rsid w:val="00595F6E"/>
    <w:rsid w:val="0059603F"/>
    <w:rsid w:val="0059604F"/>
    <w:rsid w:val="005960C8"/>
    <w:rsid w:val="005963A2"/>
    <w:rsid w:val="00596437"/>
    <w:rsid w:val="00596461"/>
    <w:rsid w:val="005965EE"/>
    <w:rsid w:val="0059667C"/>
    <w:rsid w:val="00596707"/>
    <w:rsid w:val="005967DD"/>
    <w:rsid w:val="005967EA"/>
    <w:rsid w:val="005967F7"/>
    <w:rsid w:val="0059681A"/>
    <w:rsid w:val="00596859"/>
    <w:rsid w:val="0059695B"/>
    <w:rsid w:val="005969A4"/>
    <w:rsid w:val="00596B2D"/>
    <w:rsid w:val="00596EE7"/>
    <w:rsid w:val="00596F6F"/>
    <w:rsid w:val="0059722F"/>
    <w:rsid w:val="0059727D"/>
    <w:rsid w:val="00597290"/>
    <w:rsid w:val="005972A7"/>
    <w:rsid w:val="005972C0"/>
    <w:rsid w:val="0059731C"/>
    <w:rsid w:val="005973D0"/>
    <w:rsid w:val="00597492"/>
    <w:rsid w:val="00597820"/>
    <w:rsid w:val="00597862"/>
    <w:rsid w:val="00597900"/>
    <w:rsid w:val="005979E5"/>
    <w:rsid w:val="00597B0F"/>
    <w:rsid w:val="00597CB8"/>
    <w:rsid w:val="00597E73"/>
    <w:rsid w:val="00597EAA"/>
    <w:rsid w:val="00597FF8"/>
    <w:rsid w:val="005A004E"/>
    <w:rsid w:val="005A02B5"/>
    <w:rsid w:val="005A02F2"/>
    <w:rsid w:val="005A0405"/>
    <w:rsid w:val="005A04FF"/>
    <w:rsid w:val="005A0565"/>
    <w:rsid w:val="005A05A7"/>
    <w:rsid w:val="005A05C8"/>
    <w:rsid w:val="005A0807"/>
    <w:rsid w:val="005A0B29"/>
    <w:rsid w:val="005A0D30"/>
    <w:rsid w:val="005A0D59"/>
    <w:rsid w:val="005A0F8C"/>
    <w:rsid w:val="005A1138"/>
    <w:rsid w:val="005A1181"/>
    <w:rsid w:val="005A11F3"/>
    <w:rsid w:val="005A143C"/>
    <w:rsid w:val="005A1713"/>
    <w:rsid w:val="005A17AE"/>
    <w:rsid w:val="005A1817"/>
    <w:rsid w:val="005A1C20"/>
    <w:rsid w:val="005A1CFB"/>
    <w:rsid w:val="005A1DE4"/>
    <w:rsid w:val="005A2037"/>
    <w:rsid w:val="005A2139"/>
    <w:rsid w:val="005A217C"/>
    <w:rsid w:val="005A22F6"/>
    <w:rsid w:val="005A2326"/>
    <w:rsid w:val="005A2550"/>
    <w:rsid w:val="005A256D"/>
    <w:rsid w:val="005A278F"/>
    <w:rsid w:val="005A2843"/>
    <w:rsid w:val="005A284F"/>
    <w:rsid w:val="005A295D"/>
    <w:rsid w:val="005A2A65"/>
    <w:rsid w:val="005A2A92"/>
    <w:rsid w:val="005A2B25"/>
    <w:rsid w:val="005A2BA1"/>
    <w:rsid w:val="005A2C3F"/>
    <w:rsid w:val="005A2CD8"/>
    <w:rsid w:val="005A2ED1"/>
    <w:rsid w:val="005A2F7D"/>
    <w:rsid w:val="005A2F95"/>
    <w:rsid w:val="005A3217"/>
    <w:rsid w:val="005A3376"/>
    <w:rsid w:val="005A3383"/>
    <w:rsid w:val="005A35AB"/>
    <w:rsid w:val="005A35C9"/>
    <w:rsid w:val="005A36C4"/>
    <w:rsid w:val="005A36E0"/>
    <w:rsid w:val="005A3728"/>
    <w:rsid w:val="005A37E8"/>
    <w:rsid w:val="005A384D"/>
    <w:rsid w:val="005A3850"/>
    <w:rsid w:val="005A385E"/>
    <w:rsid w:val="005A3880"/>
    <w:rsid w:val="005A3BD9"/>
    <w:rsid w:val="005A3C63"/>
    <w:rsid w:val="005A3D7F"/>
    <w:rsid w:val="005A3DB9"/>
    <w:rsid w:val="005A3EB8"/>
    <w:rsid w:val="005A41B2"/>
    <w:rsid w:val="005A4209"/>
    <w:rsid w:val="005A4334"/>
    <w:rsid w:val="005A4364"/>
    <w:rsid w:val="005A442D"/>
    <w:rsid w:val="005A4482"/>
    <w:rsid w:val="005A47F0"/>
    <w:rsid w:val="005A4A94"/>
    <w:rsid w:val="005A4AA1"/>
    <w:rsid w:val="005A4B0B"/>
    <w:rsid w:val="005A4CBF"/>
    <w:rsid w:val="005A4CDF"/>
    <w:rsid w:val="005A4E07"/>
    <w:rsid w:val="005A4EB6"/>
    <w:rsid w:val="005A4F37"/>
    <w:rsid w:val="005A50D5"/>
    <w:rsid w:val="005A50D7"/>
    <w:rsid w:val="005A5150"/>
    <w:rsid w:val="005A51C5"/>
    <w:rsid w:val="005A51DF"/>
    <w:rsid w:val="005A51E5"/>
    <w:rsid w:val="005A5259"/>
    <w:rsid w:val="005A5314"/>
    <w:rsid w:val="005A534E"/>
    <w:rsid w:val="005A5374"/>
    <w:rsid w:val="005A53B4"/>
    <w:rsid w:val="005A53C4"/>
    <w:rsid w:val="005A54D5"/>
    <w:rsid w:val="005A5504"/>
    <w:rsid w:val="005A5845"/>
    <w:rsid w:val="005A5921"/>
    <w:rsid w:val="005A59E9"/>
    <w:rsid w:val="005A5BFB"/>
    <w:rsid w:val="005A5BFE"/>
    <w:rsid w:val="005A5D7F"/>
    <w:rsid w:val="005A5DC9"/>
    <w:rsid w:val="005A5E0A"/>
    <w:rsid w:val="005A5E44"/>
    <w:rsid w:val="005A5E4D"/>
    <w:rsid w:val="005A5FC0"/>
    <w:rsid w:val="005A5FD8"/>
    <w:rsid w:val="005A6064"/>
    <w:rsid w:val="005A6121"/>
    <w:rsid w:val="005A6290"/>
    <w:rsid w:val="005A62A5"/>
    <w:rsid w:val="005A6534"/>
    <w:rsid w:val="005A6764"/>
    <w:rsid w:val="005A67CD"/>
    <w:rsid w:val="005A689E"/>
    <w:rsid w:val="005A69EB"/>
    <w:rsid w:val="005A69F6"/>
    <w:rsid w:val="005A6BD5"/>
    <w:rsid w:val="005A6D95"/>
    <w:rsid w:val="005A6DA8"/>
    <w:rsid w:val="005A6EA7"/>
    <w:rsid w:val="005A7028"/>
    <w:rsid w:val="005A70BE"/>
    <w:rsid w:val="005A70C8"/>
    <w:rsid w:val="005A7216"/>
    <w:rsid w:val="005A73A5"/>
    <w:rsid w:val="005A7442"/>
    <w:rsid w:val="005A744E"/>
    <w:rsid w:val="005A74D0"/>
    <w:rsid w:val="005A760D"/>
    <w:rsid w:val="005A76F3"/>
    <w:rsid w:val="005A779A"/>
    <w:rsid w:val="005A7954"/>
    <w:rsid w:val="005A7CE1"/>
    <w:rsid w:val="005A7D89"/>
    <w:rsid w:val="005B013E"/>
    <w:rsid w:val="005B0280"/>
    <w:rsid w:val="005B03EE"/>
    <w:rsid w:val="005B04CD"/>
    <w:rsid w:val="005B0545"/>
    <w:rsid w:val="005B064B"/>
    <w:rsid w:val="005B06AD"/>
    <w:rsid w:val="005B0886"/>
    <w:rsid w:val="005B08B3"/>
    <w:rsid w:val="005B0B2D"/>
    <w:rsid w:val="005B0BE2"/>
    <w:rsid w:val="005B0C28"/>
    <w:rsid w:val="005B0C7F"/>
    <w:rsid w:val="005B0DF5"/>
    <w:rsid w:val="005B0E2F"/>
    <w:rsid w:val="005B0FB0"/>
    <w:rsid w:val="005B0FD9"/>
    <w:rsid w:val="005B1217"/>
    <w:rsid w:val="005B12C1"/>
    <w:rsid w:val="005B148A"/>
    <w:rsid w:val="005B1557"/>
    <w:rsid w:val="005B17D2"/>
    <w:rsid w:val="005B17E8"/>
    <w:rsid w:val="005B18A4"/>
    <w:rsid w:val="005B1912"/>
    <w:rsid w:val="005B1A97"/>
    <w:rsid w:val="005B1D91"/>
    <w:rsid w:val="005B1DAB"/>
    <w:rsid w:val="005B1F19"/>
    <w:rsid w:val="005B1F49"/>
    <w:rsid w:val="005B2108"/>
    <w:rsid w:val="005B2135"/>
    <w:rsid w:val="005B21EF"/>
    <w:rsid w:val="005B222E"/>
    <w:rsid w:val="005B2230"/>
    <w:rsid w:val="005B2292"/>
    <w:rsid w:val="005B23B8"/>
    <w:rsid w:val="005B25E5"/>
    <w:rsid w:val="005B25FC"/>
    <w:rsid w:val="005B261E"/>
    <w:rsid w:val="005B2675"/>
    <w:rsid w:val="005B2714"/>
    <w:rsid w:val="005B2742"/>
    <w:rsid w:val="005B27DE"/>
    <w:rsid w:val="005B2815"/>
    <w:rsid w:val="005B2816"/>
    <w:rsid w:val="005B2889"/>
    <w:rsid w:val="005B2AAF"/>
    <w:rsid w:val="005B2C0C"/>
    <w:rsid w:val="005B2C46"/>
    <w:rsid w:val="005B2D6E"/>
    <w:rsid w:val="005B2EEC"/>
    <w:rsid w:val="005B3263"/>
    <w:rsid w:val="005B32A2"/>
    <w:rsid w:val="005B3316"/>
    <w:rsid w:val="005B33C7"/>
    <w:rsid w:val="005B34FF"/>
    <w:rsid w:val="005B357D"/>
    <w:rsid w:val="005B3601"/>
    <w:rsid w:val="005B3657"/>
    <w:rsid w:val="005B3818"/>
    <w:rsid w:val="005B389A"/>
    <w:rsid w:val="005B3957"/>
    <w:rsid w:val="005B3AE6"/>
    <w:rsid w:val="005B3B54"/>
    <w:rsid w:val="005B3B5F"/>
    <w:rsid w:val="005B3B86"/>
    <w:rsid w:val="005B3BA4"/>
    <w:rsid w:val="005B3C84"/>
    <w:rsid w:val="005B3D3B"/>
    <w:rsid w:val="005B3D92"/>
    <w:rsid w:val="005B3E3B"/>
    <w:rsid w:val="005B3EB8"/>
    <w:rsid w:val="005B3F25"/>
    <w:rsid w:val="005B3F8E"/>
    <w:rsid w:val="005B408C"/>
    <w:rsid w:val="005B40E7"/>
    <w:rsid w:val="005B4242"/>
    <w:rsid w:val="005B42B2"/>
    <w:rsid w:val="005B4362"/>
    <w:rsid w:val="005B437E"/>
    <w:rsid w:val="005B43BB"/>
    <w:rsid w:val="005B43CD"/>
    <w:rsid w:val="005B443F"/>
    <w:rsid w:val="005B44F1"/>
    <w:rsid w:val="005B452C"/>
    <w:rsid w:val="005B48B6"/>
    <w:rsid w:val="005B496A"/>
    <w:rsid w:val="005B4975"/>
    <w:rsid w:val="005B49F1"/>
    <w:rsid w:val="005B4B1A"/>
    <w:rsid w:val="005B4BBA"/>
    <w:rsid w:val="005B4F63"/>
    <w:rsid w:val="005B50A8"/>
    <w:rsid w:val="005B50AB"/>
    <w:rsid w:val="005B5114"/>
    <w:rsid w:val="005B53F8"/>
    <w:rsid w:val="005B5456"/>
    <w:rsid w:val="005B5573"/>
    <w:rsid w:val="005B56C2"/>
    <w:rsid w:val="005B56E6"/>
    <w:rsid w:val="005B56F7"/>
    <w:rsid w:val="005B5740"/>
    <w:rsid w:val="005B57A0"/>
    <w:rsid w:val="005B58BF"/>
    <w:rsid w:val="005B5958"/>
    <w:rsid w:val="005B5965"/>
    <w:rsid w:val="005B59F9"/>
    <w:rsid w:val="005B5A49"/>
    <w:rsid w:val="005B5A98"/>
    <w:rsid w:val="005B5B73"/>
    <w:rsid w:val="005B5B96"/>
    <w:rsid w:val="005B5C20"/>
    <w:rsid w:val="005B5C47"/>
    <w:rsid w:val="005B5C77"/>
    <w:rsid w:val="005B5C84"/>
    <w:rsid w:val="005B5CF8"/>
    <w:rsid w:val="005B5D33"/>
    <w:rsid w:val="005B5D65"/>
    <w:rsid w:val="005B5D9A"/>
    <w:rsid w:val="005B5DE9"/>
    <w:rsid w:val="005B5E42"/>
    <w:rsid w:val="005B604B"/>
    <w:rsid w:val="005B6095"/>
    <w:rsid w:val="005B6198"/>
    <w:rsid w:val="005B6297"/>
    <w:rsid w:val="005B62C4"/>
    <w:rsid w:val="005B6387"/>
    <w:rsid w:val="005B6429"/>
    <w:rsid w:val="005B6478"/>
    <w:rsid w:val="005B66E8"/>
    <w:rsid w:val="005B677B"/>
    <w:rsid w:val="005B67BD"/>
    <w:rsid w:val="005B6955"/>
    <w:rsid w:val="005B6B55"/>
    <w:rsid w:val="005B6C12"/>
    <w:rsid w:val="005B6DD4"/>
    <w:rsid w:val="005B6E38"/>
    <w:rsid w:val="005B6E83"/>
    <w:rsid w:val="005B70A6"/>
    <w:rsid w:val="005B7159"/>
    <w:rsid w:val="005B7168"/>
    <w:rsid w:val="005B718B"/>
    <w:rsid w:val="005B7243"/>
    <w:rsid w:val="005B73FE"/>
    <w:rsid w:val="005B74E1"/>
    <w:rsid w:val="005B75C3"/>
    <w:rsid w:val="005B762E"/>
    <w:rsid w:val="005B7999"/>
    <w:rsid w:val="005B7A39"/>
    <w:rsid w:val="005B7C36"/>
    <w:rsid w:val="005B7C7D"/>
    <w:rsid w:val="005B7DB3"/>
    <w:rsid w:val="005B7DD0"/>
    <w:rsid w:val="005B7EEF"/>
    <w:rsid w:val="005B7F01"/>
    <w:rsid w:val="005C005C"/>
    <w:rsid w:val="005C023E"/>
    <w:rsid w:val="005C0364"/>
    <w:rsid w:val="005C0420"/>
    <w:rsid w:val="005C04D1"/>
    <w:rsid w:val="005C04DF"/>
    <w:rsid w:val="005C0550"/>
    <w:rsid w:val="005C06D4"/>
    <w:rsid w:val="005C0846"/>
    <w:rsid w:val="005C097A"/>
    <w:rsid w:val="005C0DDF"/>
    <w:rsid w:val="005C0FF4"/>
    <w:rsid w:val="005C10E0"/>
    <w:rsid w:val="005C123F"/>
    <w:rsid w:val="005C13AE"/>
    <w:rsid w:val="005C1450"/>
    <w:rsid w:val="005C1465"/>
    <w:rsid w:val="005C150F"/>
    <w:rsid w:val="005C15A9"/>
    <w:rsid w:val="005C16A0"/>
    <w:rsid w:val="005C170E"/>
    <w:rsid w:val="005C17BD"/>
    <w:rsid w:val="005C17D3"/>
    <w:rsid w:val="005C17D5"/>
    <w:rsid w:val="005C17D8"/>
    <w:rsid w:val="005C1905"/>
    <w:rsid w:val="005C1922"/>
    <w:rsid w:val="005C19B0"/>
    <w:rsid w:val="005C1B7A"/>
    <w:rsid w:val="005C1CE6"/>
    <w:rsid w:val="005C1D54"/>
    <w:rsid w:val="005C1D5B"/>
    <w:rsid w:val="005C1E26"/>
    <w:rsid w:val="005C1F36"/>
    <w:rsid w:val="005C1F5E"/>
    <w:rsid w:val="005C1FDC"/>
    <w:rsid w:val="005C2286"/>
    <w:rsid w:val="005C2287"/>
    <w:rsid w:val="005C239C"/>
    <w:rsid w:val="005C24AB"/>
    <w:rsid w:val="005C2638"/>
    <w:rsid w:val="005C267B"/>
    <w:rsid w:val="005C268C"/>
    <w:rsid w:val="005C28F3"/>
    <w:rsid w:val="005C2901"/>
    <w:rsid w:val="005C2CB0"/>
    <w:rsid w:val="005C2E41"/>
    <w:rsid w:val="005C2E8B"/>
    <w:rsid w:val="005C2EFA"/>
    <w:rsid w:val="005C2F53"/>
    <w:rsid w:val="005C2FF6"/>
    <w:rsid w:val="005C3007"/>
    <w:rsid w:val="005C308E"/>
    <w:rsid w:val="005C30CA"/>
    <w:rsid w:val="005C33FF"/>
    <w:rsid w:val="005C3460"/>
    <w:rsid w:val="005C348B"/>
    <w:rsid w:val="005C3498"/>
    <w:rsid w:val="005C3627"/>
    <w:rsid w:val="005C364B"/>
    <w:rsid w:val="005C371A"/>
    <w:rsid w:val="005C3822"/>
    <w:rsid w:val="005C3A6C"/>
    <w:rsid w:val="005C3A8E"/>
    <w:rsid w:val="005C3C62"/>
    <w:rsid w:val="005C3C86"/>
    <w:rsid w:val="005C3C88"/>
    <w:rsid w:val="005C3C99"/>
    <w:rsid w:val="005C3CEC"/>
    <w:rsid w:val="005C3CFC"/>
    <w:rsid w:val="005C3D22"/>
    <w:rsid w:val="005C3F12"/>
    <w:rsid w:val="005C3F74"/>
    <w:rsid w:val="005C4240"/>
    <w:rsid w:val="005C4363"/>
    <w:rsid w:val="005C443F"/>
    <w:rsid w:val="005C469B"/>
    <w:rsid w:val="005C46AD"/>
    <w:rsid w:val="005C46B9"/>
    <w:rsid w:val="005C4A5D"/>
    <w:rsid w:val="005C4AFC"/>
    <w:rsid w:val="005C4B59"/>
    <w:rsid w:val="005C4BC9"/>
    <w:rsid w:val="005C4C79"/>
    <w:rsid w:val="005C4DD8"/>
    <w:rsid w:val="005C4E84"/>
    <w:rsid w:val="005C4FBA"/>
    <w:rsid w:val="005C50C1"/>
    <w:rsid w:val="005C525A"/>
    <w:rsid w:val="005C52E4"/>
    <w:rsid w:val="005C52FC"/>
    <w:rsid w:val="005C53CF"/>
    <w:rsid w:val="005C53E3"/>
    <w:rsid w:val="005C5457"/>
    <w:rsid w:val="005C5517"/>
    <w:rsid w:val="005C56B2"/>
    <w:rsid w:val="005C56FB"/>
    <w:rsid w:val="005C5764"/>
    <w:rsid w:val="005C57D9"/>
    <w:rsid w:val="005C59AC"/>
    <w:rsid w:val="005C59D0"/>
    <w:rsid w:val="005C5BC8"/>
    <w:rsid w:val="005C5C2E"/>
    <w:rsid w:val="005C5C70"/>
    <w:rsid w:val="005C5E19"/>
    <w:rsid w:val="005C5E27"/>
    <w:rsid w:val="005C5EBB"/>
    <w:rsid w:val="005C5EFE"/>
    <w:rsid w:val="005C60E6"/>
    <w:rsid w:val="005C6277"/>
    <w:rsid w:val="005C632A"/>
    <w:rsid w:val="005C6418"/>
    <w:rsid w:val="005C6579"/>
    <w:rsid w:val="005C65C3"/>
    <w:rsid w:val="005C65D7"/>
    <w:rsid w:val="005C66EF"/>
    <w:rsid w:val="005C6829"/>
    <w:rsid w:val="005C6831"/>
    <w:rsid w:val="005C68C0"/>
    <w:rsid w:val="005C6900"/>
    <w:rsid w:val="005C694F"/>
    <w:rsid w:val="005C699B"/>
    <w:rsid w:val="005C69FC"/>
    <w:rsid w:val="005C6AC2"/>
    <w:rsid w:val="005C6BD1"/>
    <w:rsid w:val="005C6DC5"/>
    <w:rsid w:val="005C6E0B"/>
    <w:rsid w:val="005C71D0"/>
    <w:rsid w:val="005C737B"/>
    <w:rsid w:val="005C73AB"/>
    <w:rsid w:val="005C7465"/>
    <w:rsid w:val="005C7544"/>
    <w:rsid w:val="005C755A"/>
    <w:rsid w:val="005C759E"/>
    <w:rsid w:val="005C7744"/>
    <w:rsid w:val="005C774B"/>
    <w:rsid w:val="005C7A03"/>
    <w:rsid w:val="005C7ABC"/>
    <w:rsid w:val="005C7BF6"/>
    <w:rsid w:val="005C7CDA"/>
    <w:rsid w:val="005C7ECC"/>
    <w:rsid w:val="005C7EF5"/>
    <w:rsid w:val="005D0059"/>
    <w:rsid w:val="005D00A3"/>
    <w:rsid w:val="005D023A"/>
    <w:rsid w:val="005D0298"/>
    <w:rsid w:val="005D02AD"/>
    <w:rsid w:val="005D02C3"/>
    <w:rsid w:val="005D034F"/>
    <w:rsid w:val="005D0498"/>
    <w:rsid w:val="005D054C"/>
    <w:rsid w:val="005D06E8"/>
    <w:rsid w:val="005D076E"/>
    <w:rsid w:val="005D09F0"/>
    <w:rsid w:val="005D0E34"/>
    <w:rsid w:val="005D0F21"/>
    <w:rsid w:val="005D1112"/>
    <w:rsid w:val="005D115C"/>
    <w:rsid w:val="005D12A1"/>
    <w:rsid w:val="005D13A0"/>
    <w:rsid w:val="005D14DF"/>
    <w:rsid w:val="005D1590"/>
    <w:rsid w:val="005D1748"/>
    <w:rsid w:val="005D179C"/>
    <w:rsid w:val="005D18AB"/>
    <w:rsid w:val="005D1951"/>
    <w:rsid w:val="005D19F1"/>
    <w:rsid w:val="005D1A55"/>
    <w:rsid w:val="005D1BF6"/>
    <w:rsid w:val="005D1C43"/>
    <w:rsid w:val="005D1CD6"/>
    <w:rsid w:val="005D1CDF"/>
    <w:rsid w:val="005D1F45"/>
    <w:rsid w:val="005D20B5"/>
    <w:rsid w:val="005D234F"/>
    <w:rsid w:val="005D24D6"/>
    <w:rsid w:val="005D254B"/>
    <w:rsid w:val="005D2634"/>
    <w:rsid w:val="005D264F"/>
    <w:rsid w:val="005D271B"/>
    <w:rsid w:val="005D2768"/>
    <w:rsid w:val="005D278C"/>
    <w:rsid w:val="005D2879"/>
    <w:rsid w:val="005D28F5"/>
    <w:rsid w:val="005D2A40"/>
    <w:rsid w:val="005D2B03"/>
    <w:rsid w:val="005D2B5D"/>
    <w:rsid w:val="005D2E70"/>
    <w:rsid w:val="005D2E77"/>
    <w:rsid w:val="005D30DA"/>
    <w:rsid w:val="005D30FD"/>
    <w:rsid w:val="005D3114"/>
    <w:rsid w:val="005D3124"/>
    <w:rsid w:val="005D312F"/>
    <w:rsid w:val="005D3164"/>
    <w:rsid w:val="005D3182"/>
    <w:rsid w:val="005D33A6"/>
    <w:rsid w:val="005D345C"/>
    <w:rsid w:val="005D34DD"/>
    <w:rsid w:val="005D34ED"/>
    <w:rsid w:val="005D3511"/>
    <w:rsid w:val="005D374E"/>
    <w:rsid w:val="005D3764"/>
    <w:rsid w:val="005D37B1"/>
    <w:rsid w:val="005D38BF"/>
    <w:rsid w:val="005D3A41"/>
    <w:rsid w:val="005D3A6F"/>
    <w:rsid w:val="005D3ABB"/>
    <w:rsid w:val="005D3E21"/>
    <w:rsid w:val="005D3FC5"/>
    <w:rsid w:val="005D43E2"/>
    <w:rsid w:val="005D43FA"/>
    <w:rsid w:val="005D45AE"/>
    <w:rsid w:val="005D4706"/>
    <w:rsid w:val="005D4717"/>
    <w:rsid w:val="005D475B"/>
    <w:rsid w:val="005D478B"/>
    <w:rsid w:val="005D4831"/>
    <w:rsid w:val="005D4865"/>
    <w:rsid w:val="005D49FA"/>
    <w:rsid w:val="005D4B87"/>
    <w:rsid w:val="005D4D77"/>
    <w:rsid w:val="005D4DEF"/>
    <w:rsid w:val="005D4E8E"/>
    <w:rsid w:val="005D4EE0"/>
    <w:rsid w:val="005D4F50"/>
    <w:rsid w:val="005D5021"/>
    <w:rsid w:val="005D5089"/>
    <w:rsid w:val="005D5099"/>
    <w:rsid w:val="005D5178"/>
    <w:rsid w:val="005D5193"/>
    <w:rsid w:val="005D52B2"/>
    <w:rsid w:val="005D5750"/>
    <w:rsid w:val="005D5881"/>
    <w:rsid w:val="005D5A21"/>
    <w:rsid w:val="005D5ADC"/>
    <w:rsid w:val="005D5CCF"/>
    <w:rsid w:val="005D5D0C"/>
    <w:rsid w:val="005D5D84"/>
    <w:rsid w:val="005D5E9E"/>
    <w:rsid w:val="005D5EC6"/>
    <w:rsid w:val="005D5F44"/>
    <w:rsid w:val="005D5FC8"/>
    <w:rsid w:val="005D6057"/>
    <w:rsid w:val="005D60B8"/>
    <w:rsid w:val="005D61E1"/>
    <w:rsid w:val="005D6234"/>
    <w:rsid w:val="005D648A"/>
    <w:rsid w:val="005D651F"/>
    <w:rsid w:val="005D65F2"/>
    <w:rsid w:val="005D667C"/>
    <w:rsid w:val="005D6684"/>
    <w:rsid w:val="005D68EE"/>
    <w:rsid w:val="005D691A"/>
    <w:rsid w:val="005D69B1"/>
    <w:rsid w:val="005D6DB4"/>
    <w:rsid w:val="005D6EA4"/>
    <w:rsid w:val="005D6EDC"/>
    <w:rsid w:val="005D7024"/>
    <w:rsid w:val="005D7039"/>
    <w:rsid w:val="005D71A0"/>
    <w:rsid w:val="005D7380"/>
    <w:rsid w:val="005D7457"/>
    <w:rsid w:val="005D75FD"/>
    <w:rsid w:val="005D7683"/>
    <w:rsid w:val="005D7698"/>
    <w:rsid w:val="005D779C"/>
    <w:rsid w:val="005D7825"/>
    <w:rsid w:val="005D7936"/>
    <w:rsid w:val="005D7ADD"/>
    <w:rsid w:val="005D7B3E"/>
    <w:rsid w:val="005D7CC0"/>
    <w:rsid w:val="005D7FB9"/>
    <w:rsid w:val="005E01DD"/>
    <w:rsid w:val="005E02FB"/>
    <w:rsid w:val="005E0331"/>
    <w:rsid w:val="005E039B"/>
    <w:rsid w:val="005E0480"/>
    <w:rsid w:val="005E064F"/>
    <w:rsid w:val="005E0699"/>
    <w:rsid w:val="005E070D"/>
    <w:rsid w:val="005E0790"/>
    <w:rsid w:val="005E085E"/>
    <w:rsid w:val="005E08AC"/>
    <w:rsid w:val="005E099C"/>
    <w:rsid w:val="005E09BC"/>
    <w:rsid w:val="005E0B24"/>
    <w:rsid w:val="005E0CC3"/>
    <w:rsid w:val="005E0EDE"/>
    <w:rsid w:val="005E0F43"/>
    <w:rsid w:val="005E0F49"/>
    <w:rsid w:val="005E0FFD"/>
    <w:rsid w:val="005E1054"/>
    <w:rsid w:val="005E10DB"/>
    <w:rsid w:val="005E1328"/>
    <w:rsid w:val="005E143E"/>
    <w:rsid w:val="005E16B4"/>
    <w:rsid w:val="005E16F3"/>
    <w:rsid w:val="005E1797"/>
    <w:rsid w:val="005E17C1"/>
    <w:rsid w:val="005E180B"/>
    <w:rsid w:val="005E193B"/>
    <w:rsid w:val="005E19C9"/>
    <w:rsid w:val="005E1A71"/>
    <w:rsid w:val="005E1AAB"/>
    <w:rsid w:val="005E1C01"/>
    <w:rsid w:val="005E1C4A"/>
    <w:rsid w:val="005E1C6A"/>
    <w:rsid w:val="005E1CBD"/>
    <w:rsid w:val="005E1CE9"/>
    <w:rsid w:val="005E1E07"/>
    <w:rsid w:val="005E1E89"/>
    <w:rsid w:val="005E1EBC"/>
    <w:rsid w:val="005E1FD0"/>
    <w:rsid w:val="005E2123"/>
    <w:rsid w:val="005E21CF"/>
    <w:rsid w:val="005E2273"/>
    <w:rsid w:val="005E2281"/>
    <w:rsid w:val="005E23F2"/>
    <w:rsid w:val="005E244F"/>
    <w:rsid w:val="005E2508"/>
    <w:rsid w:val="005E256B"/>
    <w:rsid w:val="005E2597"/>
    <w:rsid w:val="005E294D"/>
    <w:rsid w:val="005E2A7F"/>
    <w:rsid w:val="005E2BD3"/>
    <w:rsid w:val="005E2D87"/>
    <w:rsid w:val="005E2EB2"/>
    <w:rsid w:val="005E2EBF"/>
    <w:rsid w:val="005E2FFD"/>
    <w:rsid w:val="005E3072"/>
    <w:rsid w:val="005E308F"/>
    <w:rsid w:val="005E309D"/>
    <w:rsid w:val="005E30A4"/>
    <w:rsid w:val="005E3121"/>
    <w:rsid w:val="005E326C"/>
    <w:rsid w:val="005E3297"/>
    <w:rsid w:val="005E32AA"/>
    <w:rsid w:val="005E35BB"/>
    <w:rsid w:val="005E3721"/>
    <w:rsid w:val="005E3979"/>
    <w:rsid w:val="005E39D0"/>
    <w:rsid w:val="005E3A1D"/>
    <w:rsid w:val="005E3DEA"/>
    <w:rsid w:val="005E3EA1"/>
    <w:rsid w:val="005E3EE3"/>
    <w:rsid w:val="005E3F0C"/>
    <w:rsid w:val="005E417F"/>
    <w:rsid w:val="005E435F"/>
    <w:rsid w:val="005E4521"/>
    <w:rsid w:val="005E46CE"/>
    <w:rsid w:val="005E470D"/>
    <w:rsid w:val="005E49A4"/>
    <w:rsid w:val="005E4BE6"/>
    <w:rsid w:val="005E4DA9"/>
    <w:rsid w:val="005E4DF3"/>
    <w:rsid w:val="005E4E45"/>
    <w:rsid w:val="005E4E61"/>
    <w:rsid w:val="005E4E6F"/>
    <w:rsid w:val="005E4F00"/>
    <w:rsid w:val="005E4FAC"/>
    <w:rsid w:val="005E50F0"/>
    <w:rsid w:val="005E5208"/>
    <w:rsid w:val="005E52B5"/>
    <w:rsid w:val="005E52B6"/>
    <w:rsid w:val="005E532F"/>
    <w:rsid w:val="005E5345"/>
    <w:rsid w:val="005E54A0"/>
    <w:rsid w:val="005E54BA"/>
    <w:rsid w:val="005E5571"/>
    <w:rsid w:val="005E561F"/>
    <w:rsid w:val="005E5672"/>
    <w:rsid w:val="005E5881"/>
    <w:rsid w:val="005E5882"/>
    <w:rsid w:val="005E58CD"/>
    <w:rsid w:val="005E604A"/>
    <w:rsid w:val="005E60D0"/>
    <w:rsid w:val="005E629C"/>
    <w:rsid w:val="005E630E"/>
    <w:rsid w:val="005E638E"/>
    <w:rsid w:val="005E63D4"/>
    <w:rsid w:val="005E643E"/>
    <w:rsid w:val="005E66B4"/>
    <w:rsid w:val="005E6BF8"/>
    <w:rsid w:val="005E6C32"/>
    <w:rsid w:val="005E6C5B"/>
    <w:rsid w:val="005E6C7A"/>
    <w:rsid w:val="005E6D51"/>
    <w:rsid w:val="005E6DD8"/>
    <w:rsid w:val="005E6FC1"/>
    <w:rsid w:val="005E71AA"/>
    <w:rsid w:val="005E7299"/>
    <w:rsid w:val="005E7513"/>
    <w:rsid w:val="005E767C"/>
    <w:rsid w:val="005E786A"/>
    <w:rsid w:val="005E78BA"/>
    <w:rsid w:val="005E79B3"/>
    <w:rsid w:val="005E7B13"/>
    <w:rsid w:val="005E7C93"/>
    <w:rsid w:val="005E7D8F"/>
    <w:rsid w:val="005E7F8B"/>
    <w:rsid w:val="005F0361"/>
    <w:rsid w:val="005F0444"/>
    <w:rsid w:val="005F0462"/>
    <w:rsid w:val="005F0683"/>
    <w:rsid w:val="005F0698"/>
    <w:rsid w:val="005F06B0"/>
    <w:rsid w:val="005F06BB"/>
    <w:rsid w:val="005F06D4"/>
    <w:rsid w:val="005F07CF"/>
    <w:rsid w:val="005F090D"/>
    <w:rsid w:val="005F09E0"/>
    <w:rsid w:val="005F0A95"/>
    <w:rsid w:val="005F0ACD"/>
    <w:rsid w:val="005F0C36"/>
    <w:rsid w:val="005F0C51"/>
    <w:rsid w:val="005F0DA1"/>
    <w:rsid w:val="005F0EE1"/>
    <w:rsid w:val="005F0FC5"/>
    <w:rsid w:val="005F10B4"/>
    <w:rsid w:val="005F17AF"/>
    <w:rsid w:val="005F1802"/>
    <w:rsid w:val="005F19A1"/>
    <w:rsid w:val="005F1ACD"/>
    <w:rsid w:val="005F1AD7"/>
    <w:rsid w:val="005F1B76"/>
    <w:rsid w:val="005F1C8D"/>
    <w:rsid w:val="005F1DD3"/>
    <w:rsid w:val="005F2412"/>
    <w:rsid w:val="005F24A4"/>
    <w:rsid w:val="005F2521"/>
    <w:rsid w:val="005F267F"/>
    <w:rsid w:val="005F275B"/>
    <w:rsid w:val="005F2864"/>
    <w:rsid w:val="005F29B4"/>
    <w:rsid w:val="005F2AFB"/>
    <w:rsid w:val="005F2B17"/>
    <w:rsid w:val="005F2BB1"/>
    <w:rsid w:val="005F2BBD"/>
    <w:rsid w:val="005F2DA1"/>
    <w:rsid w:val="005F2F12"/>
    <w:rsid w:val="005F2FDF"/>
    <w:rsid w:val="005F30D5"/>
    <w:rsid w:val="005F347A"/>
    <w:rsid w:val="005F35A0"/>
    <w:rsid w:val="005F3914"/>
    <w:rsid w:val="005F3D0E"/>
    <w:rsid w:val="005F3EFC"/>
    <w:rsid w:val="005F40CB"/>
    <w:rsid w:val="005F420B"/>
    <w:rsid w:val="005F4245"/>
    <w:rsid w:val="005F42F8"/>
    <w:rsid w:val="005F44C4"/>
    <w:rsid w:val="005F44EE"/>
    <w:rsid w:val="005F476E"/>
    <w:rsid w:val="005F4793"/>
    <w:rsid w:val="005F4A68"/>
    <w:rsid w:val="005F4BAF"/>
    <w:rsid w:val="005F4BFB"/>
    <w:rsid w:val="005F4D02"/>
    <w:rsid w:val="005F4E71"/>
    <w:rsid w:val="005F509E"/>
    <w:rsid w:val="005F50BC"/>
    <w:rsid w:val="005F5108"/>
    <w:rsid w:val="005F5264"/>
    <w:rsid w:val="005F5281"/>
    <w:rsid w:val="005F53BA"/>
    <w:rsid w:val="005F554E"/>
    <w:rsid w:val="005F5734"/>
    <w:rsid w:val="005F5756"/>
    <w:rsid w:val="005F579B"/>
    <w:rsid w:val="005F5856"/>
    <w:rsid w:val="005F58B0"/>
    <w:rsid w:val="005F590F"/>
    <w:rsid w:val="005F598D"/>
    <w:rsid w:val="005F5B87"/>
    <w:rsid w:val="005F5CA9"/>
    <w:rsid w:val="005F5D84"/>
    <w:rsid w:val="005F5F82"/>
    <w:rsid w:val="005F6062"/>
    <w:rsid w:val="005F60A4"/>
    <w:rsid w:val="005F6236"/>
    <w:rsid w:val="005F640A"/>
    <w:rsid w:val="005F655F"/>
    <w:rsid w:val="005F65DC"/>
    <w:rsid w:val="005F6710"/>
    <w:rsid w:val="005F6721"/>
    <w:rsid w:val="005F6735"/>
    <w:rsid w:val="005F67BC"/>
    <w:rsid w:val="005F6AD7"/>
    <w:rsid w:val="005F6B9F"/>
    <w:rsid w:val="005F6C84"/>
    <w:rsid w:val="005F6CF7"/>
    <w:rsid w:val="005F6D11"/>
    <w:rsid w:val="005F6EA9"/>
    <w:rsid w:val="005F6ED9"/>
    <w:rsid w:val="005F6EDD"/>
    <w:rsid w:val="005F70F4"/>
    <w:rsid w:val="005F71E9"/>
    <w:rsid w:val="005F7271"/>
    <w:rsid w:val="005F7290"/>
    <w:rsid w:val="005F73DB"/>
    <w:rsid w:val="005F7457"/>
    <w:rsid w:val="005F762A"/>
    <w:rsid w:val="005F7634"/>
    <w:rsid w:val="005F78F0"/>
    <w:rsid w:val="005F7935"/>
    <w:rsid w:val="005F7DBC"/>
    <w:rsid w:val="0060005B"/>
    <w:rsid w:val="006000D2"/>
    <w:rsid w:val="00600447"/>
    <w:rsid w:val="006004A3"/>
    <w:rsid w:val="00600536"/>
    <w:rsid w:val="00600675"/>
    <w:rsid w:val="00600789"/>
    <w:rsid w:val="0060087C"/>
    <w:rsid w:val="00600945"/>
    <w:rsid w:val="006009A8"/>
    <w:rsid w:val="006009B5"/>
    <w:rsid w:val="00600A2B"/>
    <w:rsid w:val="00600AB5"/>
    <w:rsid w:val="00600B55"/>
    <w:rsid w:val="00600DB5"/>
    <w:rsid w:val="00600E45"/>
    <w:rsid w:val="00600F53"/>
    <w:rsid w:val="00601143"/>
    <w:rsid w:val="00601196"/>
    <w:rsid w:val="006011F6"/>
    <w:rsid w:val="006013A5"/>
    <w:rsid w:val="006014F8"/>
    <w:rsid w:val="0060172B"/>
    <w:rsid w:val="00601973"/>
    <w:rsid w:val="006019B2"/>
    <w:rsid w:val="00601BDB"/>
    <w:rsid w:val="00601C49"/>
    <w:rsid w:val="00601E4F"/>
    <w:rsid w:val="00601E8B"/>
    <w:rsid w:val="00601F51"/>
    <w:rsid w:val="00601FD7"/>
    <w:rsid w:val="00602049"/>
    <w:rsid w:val="0060204B"/>
    <w:rsid w:val="006021F1"/>
    <w:rsid w:val="00602229"/>
    <w:rsid w:val="006022FB"/>
    <w:rsid w:val="006023BF"/>
    <w:rsid w:val="0060260A"/>
    <w:rsid w:val="00602698"/>
    <w:rsid w:val="00602746"/>
    <w:rsid w:val="00602778"/>
    <w:rsid w:val="0060280C"/>
    <w:rsid w:val="00602847"/>
    <w:rsid w:val="0060295C"/>
    <w:rsid w:val="006029B0"/>
    <w:rsid w:val="00602A02"/>
    <w:rsid w:val="00602A44"/>
    <w:rsid w:val="00602BD6"/>
    <w:rsid w:val="00602C47"/>
    <w:rsid w:val="00602DDE"/>
    <w:rsid w:val="00602E1D"/>
    <w:rsid w:val="0060312D"/>
    <w:rsid w:val="00603141"/>
    <w:rsid w:val="0060314F"/>
    <w:rsid w:val="006032E9"/>
    <w:rsid w:val="006033AD"/>
    <w:rsid w:val="006035E8"/>
    <w:rsid w:val="00603644"/>
    <w:rsid w:val="0060397B"/>
    <w:rsid w:val="006039F0"/>
    <w:rsid w:val="00603A75"/>
    <w:rsid w:val="00603CAD"/>
    <w:rsid w:val="00603CBB"/>
    <w:rsid w:val="00603D7F"/>
    <w:rsid w:val="00603E0B"/>
    <w:rsid w:val="00603EE7"/>
    <w:rsid w:val="00603FA7"/>
    <w:rsid w:val="0060400B"/>
    <w:rsid w:val="00604039"/>
    <w:rsid w:val="006040A4"/>
    <w:rsid w:val="006040A7"/>
    <w:rsid w:val="00604126"/>
    <w:rsid w:val="00604332"/>
    <w:rsid w:val="00604405"/>
    <w:rsid w:val="006045D6"/>
    <w:rsid w:val="006046B4"/>
    <w:rsid w:val="00604887"/>
    <w:rsid w:val="0060489C"/>
    <w:rsid w:val="0060497C"/>
    <w:rsid w:val="00604A3B"/>
    <w:rsid w:val="00604A57"/>
    <w:rsid w:val="00604A9C"/>
    <w:rsid w:val="00604BC6"/>
    <w:rsid w:val="00604BF7"/>
    <w:rsid w:val="00604D5C"/>
    <w:rsid w:val="00604FEE"/>
    <w:rsid w:val="00605019"/>
    <w:rsid w:val="00605294"/>
    <w:rsid w:val="006052A1"/>
    <w:rsid w:val="00605374"/>
    <w:rsid w:val="006055EC"/>
    <w:rsid w:val="006056F7"/>
    <w:rsid w:val="00605946"/>
    <w:rsid w:val="00605B2C"/>
    <w:rsid w:val="00605BF8"/>
    <w:rsid w:val="00605C33"/>
    <w:rsid w:val="00605C7C"/>
    <w:rsid w:val="00605D0F"/>
    <w:rsid w:val="00605DC4"/>
    <w:rsid w:val="00605EF5"/>
    <w:rsid w:val="00605FBE"/>
    <w:rsid w:val="006061EF"/>
    <w:rsid w:val="0060623F"/>
    <w:rsid w:val="00606267"/>
    <w:rsid w:val="00606280"/>
    <w:rsid w:val="00606557"/>
    <w:rsid w:val="00606670"/>
    <w:rsid w:val="006066F5"/>
    <w:rsid w:val="0060679D"/>
    <w:rsid w:val="00606922"/>
    <w:rsid w:val="00606B54"/>
    <w:rsid w:val="00606BBC"/>
    <w:rsid w:val="00606CCA"/>
    <w:rsid w:val="00606CEE"/>
    <w:rsid w:val="00606D1B"/>
    <w:rsid w:val="00606E29"/>
    <w:rsid w:val="00606FAB"/>
    <w:rsid w:val="00606FE5"/>
    <w:rsid w:val="0060706E"/>
    <w:rsid w:val="006072E4"/>
    <w:rsid w:val="00607310"/>
    <w:rsid w:val="00607323"/>
    <w:rsid w:val="00607415"/>
    <w:rsid w:val="00607477"/>
    <w:rsid w:val="00607479"/>
    <w:rsid w:val="006077CC"/>
    <w:rsid w:val="0060784A"/>
    <w:rsid w:val="00607A36"/>
    <w:rsid w:val="006100A5"/>
    <w:rsid w:val="0061024B"/>
    <w:rsid w:val="0061031F"/>
    <w:rsid w:val="00610388"/>
    <w:rsid w:val="00610558"/>
    <w:rsid w:val="0061069C"/>
    <w:rsid w:val="006108C4"/>
    <w:rsid w:val="00610993"/>
    <w:rsid w:val="00610B29"/>
    <w:rsid w:val="00610BE8"/>
    <w:rsid w:val="00610C5A"/>
    <w:rsid w:val="00610C7E"/>
    <w:rsid w:val="00610EAE"/>
    <w:rsid w:val="00611051"/>
    <w:rsid w:val="00611071"/>
    <w:rsid w:val="00611241"/>
    <w:rsid w:val="006112F5"/>
    <w:rsid w:val="00611753"/>
    <w:rsid w:val="006117E8"/>
    <w:rsid w:val="0061183C"/>
    <w:rsid w:val="00611869"/>
    <w:rsid w:val="0061188E"/>
    <w:rsid w:val="00611A8A"/>
    <w:rsid w:val="00611B45"/>
    <w:rsid w:val="00611B5E"/>
    <w:rsid w:val="00611C35"/>
    <w:rsid w:val="00611D0A"/>
    <w:rsid w:val="00611DA8"/>
    <w:rsid w:val="00611DE1"/>
    <w:rsid w:val="00611FCD"/>
    <w:rsid w:val="00612077"/>
    <w:rsid w:val="006120E0"/>
    <w:rsid w:val="006121D4"/>
    <w:rsid w:val="006122B4"/>
    <w:rsid w:val="006122E4"/>
    <w:rsid w:val="006123E7"/>
    <w:rsid w:val="00612410"/>
    <w:rsid w:val="00612465"/>
    <w:rsid w:val="006125BB"/>
    <w:rsid w:val="006126BB"/>
    <w:rsid w:val="006126E3"/>
    <w:rsid w:val="00612862"/>
    <w:rsid w:val="006128DD"/>
    <w:rsid w:val="006128E3"/>
    <w:rsid w:val="00612AA4"/>
    <w:rsid w:val="00612D9A"/>
    <w:rsid w:val="00612E18"/>
    <w:rsid w:val="00612F3F"/>
    <w:rsid w:val="00613203"/>
    <w:rsid w:val="00613240"/>
    <w:rsid w:val="006132D9"/>
    <w:rsid w:val="00613399"/>
    <w:rsid w:val="006134D4"/>
    <w:rsid w:val="006135D0"/>
    <w:rsid w:val="006135ED"/>
    <w:rsid w:val="0061375C"/>
    <w:rsid w:val="00613767"/>
    <w:rsid w:val="00613773"/>
    <w:rsid w:val="00613967"/>
    <w:rsid w:val="00613C1C"/>
    <w:rsid w:val="00613C9C"/>
    <w:rsid w:val="00613DDD"/>
    <w:rsid w:val="00613E04"/>
    <w:rsid w:val="00613E05"/>
    <w:rsid w:val="00614011"/>
    <w:rsid w:val="00614095"/>
    <w:rsid w:val="006141DC"/>
    <w:rsid w:val="0061431E"/>
    <w:rsid w:val="00614397"/>
    <w:rsid w:val="006143D2"/>
    <w:rsid w:val="00614605"/>
    <w:rsid w:val="00614878"/>
    <w:rsid w:val="0061489F"/>
    <w:rsid w:val="00614972"/>
    <w:rsid w:val="0061499F"/>
    <w:rsid w:val="006149F8"/>
    <w:rsid w:val="00614AF8"/>
    <w:rsid w:val="00614CEC"/>
    <w:rsid w:val="00614EBD"/>
    <w:rsid w:val="00614F32"/>
    <w:rsid w:val="00615015"/>
    <w:rsid w:val="0061536D"/>
    <w:rsid w:val="006155F2"/>
    <w:rsid w:val="00615620"/>
    <w:rsid w:val="00615635"/>
    <w:rsid w:val="00615937"/>
    <w:rsid w:val="00615BC2"/>
    <w:rsid w:val="00615C92"/>
    <w:rsid w:val="00615E27"/>
    <w:rsid w:val="00616006"/>
    <w:rsid w:val="006160CB"/>
    <w:rsid w:val="00616108"/>
    <w:rsid w:val="0061610B"/>
    <w:rsid w:val="006162B9"/>
    <w:rsid w:val="006162FE"/>
    <w:rsid w:val="006163A0"/>
    <w:rsid w:val="00616447"/>
    <w:rsid w:val="006167B4"/>
    <w:rsid w:val="0061683E"/>
    <w:rsid w:val="0061695A"/>
    <w:rsid w:val="00616CA2"/>
    <w:rsid w:val="00616E0B"/>
    <w:rsid w:val="00616E2B"/>
    <w:rsid w:val="00616E5C"/>
    <w:rsid w:val="00616ECA"/>
    <w:rsid w:val="0061748A"/>
    <w:rsid w:val="006174D8"/>
    <w:rsid w:val="00617554"/>
    <w:rsid w:val="006176B7"/>
    <w:rsid w:val="00617756"/>
    <w:rsid w:val="006177A0"/>
    <w:rsid w:val="006177B6"/>
    <w:rsid w:val="006177EF"/>
    <w:rsid w:val="0061784C"/>
    <w:rsid w:val="006178E8"/>
    <w:rsid w:val="00617945"/>
    <w:rsid w:val="006179AF"/>
    <w:rsid w:val="006179E4"/>
    <w:rsid w:val="00617ADE"/>
    <w:rsid w:val="00617AFA"/>
    <w:rsid w:val="00617B7D"/>
    <w:rsid w:val="00617D03"/>
    <w:rsid w:val="00617D9B"/>
    <w:rsid w:val="00617E8E"/>
    <w:rsid w:val="00620323"/>
    <w:rsid w:val="00620554"/>
    <w:rsid w:val="0062056D"/>
    <w:rsid w:val="006205E2"/>
    <w:rsid w:val="0062061F"/>
    <w:rsid w:val="00620633"/>
    <w:rsid w:val="0062068A"/>
    <w:rsid w:val="006206F0"/>
    <w:rsid w:val="00620B9D"/>
    <w:rsid w:val="00621186"/>
    <w:rsid w:val="0062127F"/>
    <w:rsid w:val="0062132D"/>
    <w:rsid w:val="00621467"/>
    <w:rsid w:val="00621725"/>
    <w:rsid w:val="00621728"/>
    <w:rsid w:val="00621794"/>
    <w:rsid w:val="006217E9"/>
    <w:rsid w:val="00621841"/>
    <w:rsid w:val="00621BC3"/>
    <w:rsid w:val="00621BE5"/>
    <w:rsid w:val="00621E7D"/>
    <w:rsid w:val="00621EE9"/>
    <w:rsid w:val="006220A9"/>
    <w:rsid w:val="00622153"/>
    <w:rsid w:val="006221EC"/>
    <w:rsid w:val="006221F0"/>
    <w:rsid w:val="00622220"/>
    <w:rsid w:val="0062237F"/>
    <w:rsid w:val="006224A6"/>
    <w:rsid w:val="006227AE"/>
    <w:rsid w:val="006227D3"/>
    <w:rsid w:val="0062283A"/>
    <w:rsid w:val="0062299B"/>
    <w:rsid w:val="00622C82"/>
    <w:rsid w:val="00622D8D"/>
    <w:rsid w:val="00622FEB"/>
    <w:rsid w:val="0062313C"/>
    <w:rsid w:val="00623361"/>
    <w:rsid w:val="006233B4"/>
    <w:rsid w:val="00623544"/>
    <w:rsid w:val="00623568"/>
    <w:rsid w:val="00623961"/>
    <w:rsid w:val="00623AB8"/>
    <w:rsid w:val="00623AF0"/>
    <w:rsid w:val="00623D04"/>
    <w:rsid w:val="00623E9C"/>
    <w:rsid w:val="00623EE9"/>
    <w:rsid w:val="00623F73"/>
    <w:rsid w:val="006240B5"/>
    <w:rsid w:val="00624182"/>
    <w:rsid w:val="006242CD"/>
    <w:rsid w:val="006243B5"/>
    <w:rsid w:val="006244E4"/>
    <w:rsid w:val="00624556"/>
    <w:rsid w:val="0062466C"/>
    <w:rsid w:val="00624838"/>
    <w:rsid w:val="00624A35"/>
    <w:rsid w:val="00624C2C"/>
    <w:rsid w:val="00624C45"/>
    <w:rsid w:val="00624CBD"/>
    <w:rsid w:val="00624DD1"/>
    <w:rsid w:val="00624E14"/>
    <w:rsid w:val="00624E52"/>
    <w:rsid w:val="00624EB8"/>
    <w:rsid w:val="00624F91"/>
    <w:rsid w:val="00625087"/>
    <w:rsid w:val="0062537B"/>
    <w:rsid w:val="0062576C"/>
    <w:rsid w:val="00625819"/>
    <w:rsid w:val="00625855"/>
    <w:rsid w:val="0062593C"/>
    <w:rsid w:val="00625A8B"/>
    <w:rsid w:val="00625AD4"/>
    <w:rsid w:val="00625BE8"/>
    <w:rsid w:val="00625CA1"/>
    <w:rsid w:val="00625DC4"/>
    <w:rsid w:val="00625E96"/>
    <w:rsid w:val="00625F95"/>
    <w:rsid w:val="00625FCF"/>
    <w:rsid w:val="006261A9"/>
    <w:rsid w:val="00626839"/>
    <w:rsid w:val="0062683B"/>
    <w:rsid w:val="006268F1"/>
    <w:rsid w:val="00626A37"/>
    <w:rsid w:val="00626AC9"/>
    <w:rsid w:val="00626B4A"/>
    <w:rsid w:val="00626F07"/>
    <w:rsid w:val="0062716C"/>
    <w:rsid w:val="00627185"/>
    <w:rsid w:val="00627451"/>
    <w:rsid w:val="0062749B"/>
    <w:rsid w:val="006275C4"/>
    <w:rsid w:val="0062765A"/>
    <w:rsid w:val="00627671"/>
    <w:rsid w:val="0062771E"/>
    <w:rsid w:val="0062776D"/>
    <w:rsid w:val="006277A7"/>
    <w:rsid w:val="006277DF"/>
    <w:rsid w:val="00627986"/>
    <w:rsid w:val="00627A0F"/>
    <w:rsid w:val="00627C79"/>
    <w:rsid w:val="00627E40"/>
    <w:rsid w:val="00627EEB"/>
    <w:rsid w:val="00627F4D"/>
    <w:rsid w:val="006302C3"/>
    <w:rsid w:val="00630328"/>
    <w:rsid w:val="0063043A"/>
    <w:rsid w:val="00630552"/>
    <w:rsid w:val="006305B8"/>
    <w:rsid w:val="006307A9"/>
    <w:rsid w:val="00630886"/>
    <w:rsid w:val="00630896"/>
    <w:rsid w:val="006308F0"/>
    <w:rsid w:val="006309E8"/>
    <w:rsid w:val="00630B06"/>
    <w:rsid w:val="00630B61"/>
    <w:rsid w:val="00630B73"/>
    <w:rsid w:val="00630B83"/>
    <w:rsid w:val="00630DCA"/>
    <w:rsid w:val="00630DF3"/>
    <w:rsid w:val="00630E1F"/>
    <w:rsid w:val="00630E8F"/>
    <w:rsid w:val="0063105C"/>
    <w:rsid w:val="006311C9"/>
    <w:rsid w:val="00631296"/>
    <w:rsid w:val="00631310"/>
    <w:rsid w:val="006313EA"/>
    <w:rsid w:val="0063146E"/>
    <w:rsid w:val="00631503"/>
    <w:rsid w:val="00631551"/>
    <w:rsid w:val="00631780"/>
    <w:rsid w:val="006317F9"/>
    <w:rsid w:val="0063181C"/>
    <w:rsid w:val="00631B86"/>
    <w:rsid w:val="00631BA2"/>
    <w:rsid w:val="00631BB5"/>
    <w:rsid w:val="00631C36"/>
    <w:rsid w:val="00631C52"/>
    <w:rsid w:val="00631D53"/>
    <w:rsid w:val="00631D80"/>
    <w:rsid w:val="00631F1F"/>
    <w:rsid w:val="00631FDA"/>
    <w:rsid w:val="00632287"/>
    <w:rsid w:val="00632308"/>
    <w:rsid w:val="0063233B"/>
    <w:rsid w:val="006323B0"/>
    <w:rsid w:val="006325C7"/>
    <w:rsid w:val="006327A2"/>
    <w:rsid w:val="00632979"/>
    <w:rsid w:val="00632AB8"/>
    <w:rsid w:val="00632C24"/>
    <w:rsid w:val="00632D32"/>
    <w:rsid w:val="00632ECF"/>
    <w:rsid w:val="00633102"/>
    <w:rsid w:val="0063310D"/>
    <w:rsid w:val="00633235"/>
    <w:rsid w:val="0063334A"/>
    <w:rsid w:val="0063335D"/>
    <w:rsid w:val="00633542"/>
    <w:rsid w:val="00633670"/>
    <w:rsid w:val="006336AA"/>
    <w:rsid w:val="006336D3"/>
    <w:rsid w:val="006337BB"/>
    <w:rsid w:val="006338BE"/>
    <w:rsid w:val="00633A3B"/>
    <w:rsid w:val="00633A64"/>
    <w:rsid w:val="00633B4A"/>
    <w:rsid w:val="00633B51"/>
    <w:rsid w:val="00633B98"/>
    <w:rsid w:val="00633CA5"/>
    <w:rsid w:val="00633EC9"/>
    <w:rsid w:val="00633EEA"/>
    <w:rsid w:val="00633F22"/>
    <w:rsid w:val="00633F27"/>
    <w:rsid w:val="00634061"/>
    <w:rsid w:val="00634127"/>
    <w:rsid w:val="0063426A"/>
    <w:rsid w:val="006342EC"/>
    <w:rsid w:val="006343E6"/>
    <w:rsid w:val="006344FB"/>
    <w:rsid w:val="00634987"/>
    <w:rsid w:val="00634996"/>
    <w:rsid w:val="006349E4"/>
    <w:rsid w:val="00634A5A"/>
    <w:rsid w:val="00634AFF"/>
    <w:rsid w:val="00634B08"/>
    <w:rsid w:val="00634B8C"/>
    <w:rsid w:val="00634C3C"/>
    <w:rsid w:val="00634E1B"/>
    <w:rsid w:val="00634E5A"/>
    <w:rsid w:val="00635008"/>
    <w:rsid w:val="0063500A"/>
    <w:rsid w:val="00635091"/>
    <w:rsid w:val="006350DF"/>
    <w:rsid w:val="00635176"/>
    <w:rsid w:val="006352E4"/>
    <w:rsid w:val="00635308"/>
    <w:rsid w:val="006354AB"/>
    <w:rsid w:val="0063553A"/>
    <w:rsid w:val="006355E7"/>
    <w:rsid w:val="0063560C"/>
    <w:rsid w:val="00635850"/>
    <w:rsid w:val="0063589C"/>
    <w:rsid w:val="00635952"/>
    <w:rsid w:val="006359D6"/>
    <w:rsid w:val="00635BB7"/>
    <w:rsid w:val="00635C53"/>
    <w:rsid w:val="00635E0A"/>
    <w:rsid w:val="00635F55"/>
    <w:rsid w:val="006360A4"/>
    <w:rsid w:val="006361B3"/>
    <w:rsid w:val="006362D6"/>
    <w:rsid w:val="006362F7"/>
    <w:rsid w:val="0063647D"/>
    <w:rsid w:val="0063654B"/>
    <w:rsid w:val="00636566"/>
    <w:rsid w:val="006365A8"/>
    <w:rsid w:val="00636675"/>
    <w:rsid w:val="0063679A"/>
    <w:rsid w:val="006367B0"/>
    <w:rsid w:val="006368E1"/>
    <w:rsid w:val="00636967"/>
    <w:rsid w:val="00636A21"/>
    <w:rsid w:val="00636B08"/>
    <w:rsid w:val="00636B2B"/>
    <w:rsid w:val="00636BCA"/>
    <w:rsid w:val="00636C1A"/>
    <w:rsid w:val="00636C23"/>
    <w:rsid w:val="00636C61"/>
    <w:rsid w:val="00636DEC"/>
    <w:rsid w:val="00636E96"/>
    <w:rsid w:val="00636F4A"/>
    <w:rsid w:val="00636FA5"/>
    <w:rsid w:val="00636FB6"/>
    <w:rsid w:val="00637247"/>
    <w:rsid w:val="00637287"/>
    <w:rsid w:val="006372EF"/>
    <w:rsid w:val="00637585"/>
    <w:rsid w:val="0063761A"/>
    <w:rsid w:val="006376F8"/>
    <w:rsid w:val="00637808"/>
    <w:rsid w:val="0063780E"/>
    <w:rsid w:val="00637960"/>
    <w:rsid w:val="00637A37"/>
    <w:rsid w:val="00637B7A"/>
    <w:rsid w:val="00637BFF"/>
    <w:rsid w:val="00637D76"/>
    <w:rsid w:val="00637DC7"/>
    <w:rsid w:val="00637F9F"/>
    <w:rsid w:val="00637FD0"/>
    <w:rsid w:val="00637FD7"/>
    <w:rsid w:val="00640018"/>
    <w:rsid w:val="00640028"/>
    <w:rsid w:val="00640131"/>
    <w:rsid w:val="006404B8"/>
    <w:rsid w:val="00640603"/>
    <w:rsid w:val="00640731"/>
    <w:rsid w:val="00640BFD"/>
    <w:rsid w:val="00640CD5"/>
    <w:rsid w:val="00640CEF"/>
    <w:rsid w:val="00640F50"/>
    <w:rsid w:val="00641001"/>
    <w:rsid w:val="006412A8"/>
    <w:rsid w:val="0064131A"/>
    <w:rsid w:val="00641348"/>
    <w:rsid w:val="006415F5"/>
    <w:rsid w:val="00641B5C"/>
    <w:rsid w:val="00641B6D"/>
    <w:rsid w:val="00641C1F"/>
    <w:rsid w:val="00641C34"/>
    <w:rsid w:val="00641CD1"/>
    <w:rsid w:val="00641D48"/>
    <w:rsid w:val="00641EF8"/>
    <w:rsid w:val="00641EF9"/>
    <w:rsid w:val="00641EFE"/>
    <w:rsid w:val="006422E9"/>
    <w:rsid w:val="0064275F"/>
    <w:rsid w:val="00642978"/>
    <w:rsid w:val="006429E8"/>
    <w:rsid w:val="00642A08"/>
    <w:rsid w:val="00642A0A"/>
    <w:rsid w:val="00642BE4"/>
    <w:rsid w:val="00643219"/>
    <w:rsid w:val="006432E1"/>
    <w:rsid w:val="00643364"/>
    <w:rsid w:val="0064359F"/>
    <w:rsid w:val="0064363F"/>
    <w:rsid w:val="006437C5"/>
    <w:rsid w:val="00643889"/>
    <w:rsid w:val="0064390D"/>
    <w:rsid w:val="00643BB1"/>
    <w:rsid w:val="00643C69"/>
    <w:rsid w:val="00643DA3"/>
    <w:rsid w:val="00643E3C"/>
    <w:rsid w:val="00643F4D"/>
    <w:rsid w:val="00643F7F"/>
    <w:rsid w:val="00644068"/>
    <w:rsid w:val="00644171"/>
    <w:rsid w:val="006442FC"/>
    <w:rsid w:val="00644458"/>
    <w:rsid w:val="0064457D"/>
    <w:rsid w:val="0064460C"/>
    <w:rsid w:val="006448EA"/>
    <w:rsid w:val="00644AE7"/>
    <w:rsid w:val="00644B1F"/>
    <w:rsid w:val="00644B21"/>
    <w:rsid w:val="00644B74"/>
    <w:rsid w:val="00644E36"/>
    <w:rsid w:val="00644E6D"/>
    <w:rsid w:val="00644E7E"/>
    <w:rsid w:val="0064510D"/>
    <w:rsid w:val="0064513E"/>
    <w:rsid w:val="0064524E"/>
    <w:rsid w:val="006452A9"/>
    <w:rsid w:val="00645381"/>
    <w:rsid w:val="00645563"/>
    <w:rsid w:val="00645582"/>
    <w:rsid w:val="006456D9"/>
    <w:rsid w:val="0064572C"/>
    <w:rsid w:val="00645777"/>
    <w:rsid w:val="006457A3"/>
    <w:rsid w:val="00645864"/>
    <w:rsid w:val="00645C1D"/>
    <w:rsid w:val="00645D4E"/>
    <w:rsid w:val="006460CA"/>
    <w:rsid w:val="0064610F"/>
    <w:rsid w:val="00646111"/>
    <w:rsid w:val="0064617E"/>
    <w:rsid w:val="0064646A"/>
    <w:rsid w:val="006465C2"/>
    <w:rsid w:val="006465D7"/>
    <w:rsid w:val="006468C3"/>
    <w:rsid w:val="006468D8"/>
    <w:rsid w:val="006468DA"/>
    <w:rsid w:val="006468F8"/>
    <w:rsid w:val="0064694B"/>
    <w:rsid w:val="00646963"/>
    <w:rsid w:val="00646980"/>
    <w:rsid w:val="006469AD"/>
    <w:rsid w:val="00646A4C"/>
    <w:rsid w:val="00646BD2"/>
    <w:rsid w:val="00646EC1"/>
    <w:rsid w:val="00646ED4"/>
    <w:rsid w:val="00646ED9"/>
    <w:rsid w:val="00646F1B"/>
    <w:rsid w:val="00646F99"/>
    <w:rsid w:val="00646FB8"/>
    <w:rsid w:val="00647059"/>
    <w:rsid w:val="006470F8"/>
    <w:rsid w:val="0064731C"/>
    <w:rsid w:val="006473EA"/>
    <w:rsid w:val="0064743E"/>
    <w:rsid w:val="0064756B"/>
    <w:rsid w:val="006475DC"/>
    <w:rsid w:val="0064761B"/>
    <w:rsid w:val="0064789E"/>
    <w:rsid w:val="00647A7B"/>
    <w:rsid w:val="00647AF1"/>
    <w:rsid w:val="00647B7C"/>
    <w:rsid w:val="00647D93"/>
    <w:rsid w:val="00647E37"/>
    <w:rsid w:val="00647E73"/>
    <w:rsid w:val="00647F66"/>
    <w:rsid w:val="00647FEF"/>
    <w:rsid w:val="006502C3"/>
    <w:rsid w:val="006503FD"/>
    <w:rsid w:val="006504FD"/>
    <w:rsid w:val="006507E0"/>
    <w:rsid w:val="006508D2"/>
    <w:rsid w:val="00650A70"/>
    <w:rsid w:val="00650D86"/>
    <w:rsid w:val="00650DCC"/>
    <w:rsid w:val="00650F53"/>
    <w:rsid w:val="006511B1"/>
    <w:rsid w:val="006512DE"/>
    <w:rsid w:val="0065130B"/>
    <w:rsid w:val="0065133E"/>
    <w:rsid w:val="00651370"/>
    <w:rsid w:val="00651472"/>
    <w:rsid w:val="00651965"/>
    <w:rsid w:val="006519BB"/>
    <w:rsid w:val="00651B8B"/>
    <w:rsid w:val="00651D13"/>
    <w:rsid w:val="00651E75"/>
    <w:rsid w:val="00651EC6"/>
    <w:rsid w:val="00651EFC"/>
    <w:rsid w:val="00652020"/>
    <w:rsid w:val="00652058"/>
    <w:rsid w:val="0065210A"/>
    <w:rsid w:val="00652344"/>
    <w:rsid w:val="0065237C"/>
    <w:rsid w:val="006523C0"/>
    <w:rsid w:val="0065246D"/>
    <w:rsid w:val="00652728"/>
    <w:rsid w:val="00652835"/>
    <w:rsid w:val="006529A4"/>
    <w:rsid w:val="006529E1"/>
    <w:rsid w:val="00652A9F"/>
    <w:rsid w:val="00652E4F"/>
    <w:rsid w:val="00652F95"/>
    <w:rsid w:val="00652FCA"/>
    <w:rsid w:val="00653090"/>
    <w:rsid w:val="006530A0"/>
    <w:rsid w:val="00653176"/>
    <w:rsid w:val="006532E8"/>
    <w:rsid w:val="006533C9"/>
    <w:rsid w:val="00653489"/>
    <w:rsid w:val="0065352C"/>
    <w:rsid w:val="00653560"/>
    <w:rsid w:val="006536C4"/>
    <w:rsid w:val="006536F7"/>
    <w:rsid w:val="00653709"/>
    <w:rsid w:val="00653813"/>
    <w:rsid w:val="00653911"/>
    <w:rsid w:val="0065394D"/>
    <w:rsid w:val="0065396E"/>
    <w:rsid w:val="00653D39"/>
    <w:rsid w:val="00653D59"/>
    <w:rsid w:val="00653DA2"/>
    <w:rsid w:val="00653EA8"/>
    <w:rsid w:val="00653F71"/>
    <w:rsid w:val="00653F7C"/>
    <w:rsid w:val="00653FC6"/>
    <w:rsid w:val="006540DC"/>
    <w:rsid w:val="006540F0"/>
    <w:rsid w:val="0065429F"/>
    <w:rsid w:val="0065435A"/>
    <w:rsid w:val="0065436B"/>
    <w:rsid w:val="0065436C"/>
    <w:rsid w:val="0065443A"/>
    <w:rsid w:val="00654455"/>
    <w:rsid w:val="006544F4"/>
    <w:rsid w:val="006545F7"/>
    <w:rsid w:val="00654667"/>
    <w:rsid w:val="00654727"/>
    <w:rsid w:val="006548F5"/>
    <w:rsid w:val="00654918"/>
    <w:rsid w:val="00654A13"/>
    <w:rsid w:val="00654ACB"/>
    <w:rsid w:val="00654E35"/>
    <w:rsid w:val="00654E69"/>
    <w:rsid w:val="00654F7E"/>
    <w:rsid w:val="00654FE1"/>
    <w:rsid w:val="006550DE"/>
    <w:rsid w:val="0065528A"/>
    <w:rsid w:val="00655312"/>
    <w:rsid w:val="00655340"/>
    <w:rsid w:val="00655498"/>
    <w:rsid w:val="006554EA"/>
    <w:rsid w:val="0065553A"/>
    <w:rsid w:val="0065553F"/>
    <w:rsid w:val="00655610"/>
    <w:rsid w:val="0065571E"/>
    <w:rsid w:val="0065573B"/>
    <w:rsid w:val="00655832"/>
    <w:rsid w:val="006558DB"/>
    <w:rsid w:val="00655A2E"/>
    <w:rsid w:val="00655B23"/>
    <w:rsid w:val="00655BAA"/>
    <w:rsid w:val="00655E19"/>
    <w:rsid w:val="00655E7C"/>
    <w:rsid w:val="00655F74"/>
    <w:rsid w:val="006560B1"/>
    <w:rsid w:val="006562EF"/>
    <w:rsid w:val="0065639F"/>
    <w:rsid w:val="006564D5"/>
    <w:rsid w:val="006564D7"/>
    <w:rsid w:val="00656780"/>
    <w:rsid w:val="0065679B"/>
    <w:rsid w:val="00656850"/>
    <w:rsid w:val="00656918"/>
    <w:rsid w:val="0065697C"/>
    <w:rsid w:val="00656ADD"/>
    <w:rsid w:val="00656DC8"/>
    <w:rsid w:val="00656F2B"/>
    <w:rsid w:val="00657017"/>
    <w:rsid w:val="00657019"/>
    <w:rsid w:val="0065713A"/>
    <w:rsid w:val="0065720F"/>
    <w:rsid w:val="0065727C"/>
    <w:rsid w:val="00657350"/>
    <w:rsid w:val="00657516"/>
    <w:rsid w:val="00657857"/>
    <w:rsid w:val="006578D5"/>
    <w:rsid w:val="00657BD2"/>
    <w:rsid w:val="00657BD9"/>
    <w:rsid w:val="00657C35"/>
    <w:rsid w:val="00657CC3"/>
    <w:rsid w:val="006604B9"/>
    <w:rsid w:val="00660799"/>
    <w:rsid w:val="00660D77"/>
    <w:rsid w:val="00660ED8"/>
    <w:rsid w:val="00660F35"/>
    <w:rsid w:val="00660FB7"/>
    <w:rsid w:val="0066101F"/>
    <w:rsid w:val="006610D7"/>
    <w:rsid w:val="006610D8"/>
    <w:rsid w:val="00661145"/>
    <w:rsid w:val="00661167"/>
    <w:rsid w:val="00661396"/>
    <w:rsid w:val="006613A6"/>
    <w:rsid w:val="0066155E"/>
    <w:rsid w:val="006616AD"/>
    <w:rsid w:val="00661A13"/>
    <w:rsid w:val="00661A63"/>
    <w:rsid w:val="00661A6C"/>
    <w:rsid w:val="00661B8C"/>
    <w:rsid w:val="00661CA8"/>
    <w:rsid w:val="00661D15"/>
    <w:rsid w:val="00661D8C"/>
    <w:rsid w:val="00661D9F"/>
    <w:rsid w:val="00661DA0"/>
    <w:rsid w:val="00661EB8"/>
    <w:rsid w:val="00661ED1"/>
    <w:rsid w:val="00661EE3"/>
    <w:rsid w:val="00661FB3"/>
    <w:rsid w:val="0066200A"/>
    <w:rsid w:val="00662059"/>
    <w:rsid w:val="00662077"/>
    <w:rsid w:val="00662151"/>
    <w:rsid w:val="00662159"/>
    <w:rsid w:val="006622A4"/>
    <w:rsid w:val="0066244B"/>
    <w:rsid w:val="00662733"/>
    <w:rsid w:val="006627E0"/>
    <w:rsid w:val="006628C9"/>
    <w:rsid w:val="00662903"/>
    <w:rsid w:val="00662936"/>
    <w:rsid w:val="0066297B"/>
    <w:rsid w:val="00662C03"/>
    <w:rsid w:val="00662D29"/>
    <w:rsid w:val="00662D5E"/>
    <w:rsid w:val="00662EF3"/>
    <w:rsid w:val="0066319E"/>
    <w:rsid w:val="00663208"/>
    <w:rsid w:val="0066344F"/>
    <w:rsid w:val="0066346B"/>
    <w:rsid w:val="00663474"/>
    <w:rsid w:val="006635D9"/>
    <w:rsid w:val="00663811"/>
    <w:rsid w:val="00663820"/>
    <w:rsid w:val="00663B8C"/>
    <w:rsid w:val="00663C4C"/>
    <w:rsid w:val="00663DD1"/>
    <w:rsid w:val="00663EF7"/>
    <w:rsid w:val="00663F1E"/>
    <w:rsid w:val="00663FDB"/>
    <w:rsid w:val="00664202"/>
    <w:rsid w:val="00664252"/>
    <w:rsid w:val="0066441B"/>
    <w:rsid w:val="006645B2"/>
    <w:rsid w:val="00664686"/>
    <w:rsid w:val="0066469E"/>
    <w:rsid w:val="0066472D"/>
    <w:rsid w:val="00664730"/>
    <w:rsid w:val="0066483D"/>
    <w:rsid w:val="00664986"/>
    <w:rsid w:val="00664C70"/>
    <w:rsid w:val="00664D3F"/>
    <w:rsid w:val="00664D76"/>
    <w:rsid w:val="00664E56"/>
    <w:rsid w:val="0066519F"/>
    <w:rsid w:val="006652B9"/>
    <w:rsid w:val="00665558"/>
    <w:rsid w:val="006656DA"/>
    <w:rsid w:val="0066588E"/>
    <w:rsid w:val="00665AF2"/>
    <w:rsid w:val="00665B7A"/>
    <w:rsid w:val="00665C4A"/>
    <w:rsid w:val="00665E17"/>
    <w:rsid w:val="00666052"/>
    <w:rsid w:val="006660DA"/>
    <w:rsid w:val="006660E0"/>
    <w:rsid w:val="00666142"/>
    <w:rsid w:val="00666155"/>
    <w:rsid w:val="0066630F"/>
    <w:rsid w:val="006664CF"/>
    <w:rsid w:val="006664DE"/>
    <w:rsid w:val="006666E6"/>
    <w:rsid w:val="006668B3"/>
    <w:rsid w:val="0066690B"/>
    <w:rsid w:val="0066691A"/>
    <w:rsid w:val="006669D3"/>
    <w:rsid w:val="00666A07"/>
    <w:rsid w:val="00666D6D"/>
    <w:rsid w:val="00666FD5"/>
    <w:rsid w:val="00666FFC"/>
    <w:rsid w:val="00667004"/>
    <w:rsid w:val="0066706F"/>
    <w:rsid w:val="00667091"/>
    <w:rsid w:val="006670A2"/>
    <w:rsid w:val="006670CC"/>
    <w:rsid w:val="0066712F"/>
    <w:rsid w:val="006672BA"/>
    <w:rsid w:val="006672BF"/>
    <w:rsid w:val="00667304"/>
    <w:rsid w:val="00667317"/>
    <w:rsid w:val="0066752C"/>
    <w:rsid w:val="00667541"/>
    <w:rsid w:val="00667624"/>
    <w:rsid w:val="006677C4"/>
    <w:rsid w:val="00667803"/>
    <w:rsid w:val="00667A24"/>
    <w:rsid w:val="00667B27"/>
    <w:rsid w:val="00667BBA"/>
    <w:rsid w:val="00667BE4"/>
    <w:rsid w:val="00667D09"/>
    <w:rsid w:val="00667E89"/>
    <w:rsid w:val="00667E8F"/>
    <w:rsid w:val="0067007B"/>
    <w:rsid w:val="006701B4"/>
    <w:rsid w:val="00670290"/>
    <w:rsid w:val="006703C9"/>
    <w:rsid w:val="0067069B"/>
    <w:rsid w:val="0067071B"/>
    <w:rsid w:val="00670863"/>
    <w:rsid w:val="006708FC"/>
    <w:rsid w:val="006709AD"/>
    <w:rsid w:val="00670A20"/>
    <w:rsid w:val="00670A8A"/>
    <w:rsid w:val="00670C25"/>
    <w:rsid w:val="00670CE5"/>
    <w:rsid w:val="006711F8"/>
    <w:rsid w:val="00671438"/>
    <w:rsid w:val="006714A9"/>
    <w:rsid w:val="0067155F"/>
    <w:rsid w:val="00671661"/>
    <w:rsid w:val="00671A69"/>
    <w:rsid w:val="00671AE2"/>
    <w:rsid w:val="00671D55"/>
    <w:rsid w:val="00671DAF"/>
    <w:rsid w:val="006720A1"/>
    <w:rsid w:val="006721BB"/>
    <w:rsid w:val="00672236"/>
    <w:rsid w:val="0067240B"/>
    <w:rsid w:val="0067249A"/>
    <w:rsid w:val="006727F9"/>
    <w:rsid w:val="00672B17"/>
    <w:rsid w:val="00672B1D"/>
    <w:rsid w:val="00672BFA"/>
    <w:rsid w:val="00672C0E"/>
    <w:rsid w:val="00672D82"/>
    <w:rsid w:val="00672FF3"/>
    <w:rsid w:val="006731EF"/>
    <w:rsid w:val="0067339B"/>
    <w:rsid w:val="006734C3"/>
    <w:rsid w:val="006734CC"/>
    <w:rsid w:val="006735AE"/>
    <w:rsid w:val="00673717"/>
    <w:rsid w:val="00673856"/>
    <w:rsid w:val="00673897"/>
    <w:rsid w:val="00673A2E"/>
    <w:rsid w:val="00673BA7"/>
    <w:rsid w:val="00673C24"/>
    <w:rsid w:val="00673D4A"/>
    <w:rsid w:val="00673F46"/>
    <w:rsid w:val="0067415F"/>
    <w:rsid w:val="00674372"/>
    <w:rsid w:val="0067459A"/>
    <w:rsid w:val="006746B5"/>
    <w:rsid w:val="00674737"/>
    <w:rsid w:val="00674866"/>
    <w:rsid w:val="006748F7"/>
    <w:rsid w:val="0067495D"/>
    <w:rsid w:val="00674B48"/>
    <w:rsid w:val="00674C5B"/>
    <w:rsid w:val="00674FFF"/>
    <w:rsid w:val="0067518C"/>
    <w:rsid w:val="00675290"/>
    <w:rsid w:val="0067533F"/>
    <w:rsid w:val="00675445"/>
    <w:rsid w:val="006754D5"/>
    <w:rsid w:val="00675607"/>
    <w:rsid w:val="006757D9"/>
    <w:rsid w:val="0067594D"/>
    <w:rsid w:val="00675AC0"/>
    <w:rsid w:val="00675D6A"/>
    <w:rsid w:val="00675F61"/>
    <w:rsid w:val="00675FEF"/>
    <w:rsid w:val="00676111"/>
    <w:rsid w:val="006761D8"/>
    <w:rsid w:val="006761DF"/>
    <w:rsid w:val="00676435"/>
    <w:rsid w:val="0067651C"/>
    <w:rsid w:val="0067675F"/>
    <w:rsid w:val="006767B3"/>
    <w:rsid w:val="00676B35"/>
    <w:rsid w:val="00676BB4"/>
    <w:rsid w:val="00676CBC"/>
    <w:rsid w:val="00676D60"/>
    <w:rsid w:val="00676ECF"/>
    <w:rsid w:val="00676EEC"/>
    <w:rsid w:val="00676F3E"/>
    <w:rsid w:val="00676F69"/>
    <w:rsid w:val="00676F8E"/>
    <w:rsid w:val="00677069"/>
    <w:rsid w:val="006771EC"/>
    <w:rsid w:val="0067725D"/>
    <w:rsid w:val="00677377"/>
    <w:rsid w:val="0067737E"/>
    <w:rsid w:val="00677437"/>
    <w:rsid w:val="0067748B"/>
    <w:rsid w:val="0067792B"/>
    <w:rsid w:val="00677A80"/>
    <w:rsid w:val="00677B01"/>
    <w:rsid w:val="00677F4C"/>
    <w:rsid w:val="00677FAB"/>
    <w:rsid w:val="00680062"/>
    <w:rsid w:val="00680078"/>
    <w:rsid w:val="00680191"/>
    <w:rsid w:val="0068020B"/>
    <w:rsid w:val="006804C0"/>
    <w:rsid w:val="00680620"/>
    <w:rsid w:val="00680744"/>
    <w:rsid w:val="006807AC"/>
    <w:rsid w:val="00680858"/>
    <w:rsid w:val="0068088E"/>
    <w:rsid w:val="006808C0"/>
    <w:rsid w:val="006808C3"/>
    <w:rsid w:val="00680AD3"/>
    <w:rsid w:val="00680C2F"/>
    <w:rsid w:val="00680C47"/>
    <w:rsid w:val="00680CDC"/>
    <w:rsid w:val="00680F2E"/>
    <w:rsid w:val="00680F3A"/>
    <w:rsid w:val="00680F98"/>
    <w:rsid w:val="00680FB7"/>
    <w:rsid w:val="00681018"/>
    <w:rsid w:val="006811B1"/>
    <w:rsid w:val="006814E7"/>
    <w:rsid w:val="006815EE"/>
    <w:rsid w:val="00681646"/>
    <w:rsid w:val="0068186E"/>
    <w:rsid w:val="006819DC"/>
    <w:rsid w:val="00681D2E"/>
    <w:rsid w:val="00681E51"/>
    <w:rsid w:val="00681F24"/>
    <w:rsid w:val="00682063"/>
    <w:rsid w:val="0068206E"/>
    <w:rsid w:val="006821B4"/>
    <w:rsid w:val="0068230E"/>
    <w:rsid w:val="0068246B"/>
    <w:rsid w:val="0068254E"/>
    <w:rsid w:val="006826EE"/>
    <w:rsid w:val="0068290A"/>
    <w:rsid w:val="00682A50"/>
    <w:rsid w:val="00682AF5"/>
    <w:rsid w:val="00682DA7"/>
    <w:rsid w:val="00682E08"/>
    <w:rsid w:val="00682EAE"/>
    <w:rsid w:val="00682EF4"/>
    <w:rsid w:val="00682F3E"/>
    <w:rsid w:val="0068312D"/>
    <w:rsid w:val="006831DD"/>
    <w:rsid w:val="006832FD"/>
    <w:rsid w:val="00683340"/>
    <w:rsid w:val="006833C0"/>
    <w:rsid w:val="006833DF"/>
    <w:rsid w:val="00683412"/>
    <w:rsid w:val="00683448"/>
    <w:rsid w:val="00683554"/>
    <w:rsid w:val="00683782"/>
    <w:rsid w:val="0068379E"/>
    <w:rsid w:val="00683854"/>
    <w:rsid w:val="00683978"/>
    <w:rsid w:val="006839FC"/>
    <w:rsid w:val="00683B9F"/>
    <w:rsid w:val="00683CCE"/>
    <w:rsid w:val="00683CF2"/>
    <w:rsid w:val="00683FD1"/>
    <w:rsid w:val="00684008"/>
    <w:rsid w:val="006841A4"/>
    <w:rsid w:val="00684266"/>
    <w:rsid w:val="0068428E"/>
    <w:rsid w:val="0068434D"/>
    <w:rsid w:val="006843A9"/>
    <w:rsid w:val="006843FD"/>
    <w:rsid w:val="0068453F"/>
    <w:rsid w:val="00684564"/>
    <w:rsid w:val="00684576"/>
    <w:rsid w:val="006845D5"/>
    <w:rsid w:val="00684606"/>
    <w:rsid w:val="006846B8"/>
    <w:rsid w:val="00684720"/>
    <w:rsid w:val="006847B6"/>
    <w:rsid w:val="006849AD"/>
    <w:rsid w:val="00684B19"/>
    <w:rsid w:val="00684B2A"/>
    <w:rsid w:val="00684C88"/>
    <w:rsid w:val="00684D2D"/>
    <w:rsid w:val="00684D46"/>
    <w:rsid w:val="00684D60"/>
    <w:rsid w:val="00684D6E"/>
    <w:rsid w:val="00684D9C"/>
    <w:rsid w:val="00684E41"/>
    <w:rsid w:val="00684E49"/>
    <w:rsid w:val="00684F5A"/>
    <w:rsid w:val="00684FB3"/>
    <w:rsid w:val="0068528A"/>
    <w:rsid w:val="006852EB"/>
    <w:rsid w:val="006853A0"/>
    <w:rsid w:val="00685440"/>
    <w:rsid w:val="0068545F"/>
    <w:rsid w:val="006856AF"/>
    <w:rsid w:val="00685806"/>
    <w:rsid w:val="00685910"/>
    <w:rsid w:val="006859FF"/>
    <w:rsid w:val="00685A77"/>
    <w:rsid w:val="00685BF6"/>
    <w:rsid w:val="00685C3B"/>
    <w:rsid w:val="00685C5E"/>
    <w:rsid w:val="00685CCC"/>
    <w:rsid w:val="00685D7D"/>
    <w:rsid w:val="00685E52"/>
    <w:rsid w:val="0068645F"/>
    <w:rsid w:val="00686656"/>
    <w:rsid w:val="006869AE"/>
    <w:rsid w:val="00686B20"/>
    <w:rsid w:val="00686C01"/>
    <w:rsid w:val="00686CD4"/>
    <w:rsid w:val="00686D30"/>
    <w:rsid w:val="00686DA1"/>
    <w:rsid w:val="00686FA9"/>
    <w:rsid w:val="00687109"/>
    <w:rsid w:val="006871AA"/>
    <w:rsid w:val="00687217"/>
    <w:rsid w:val="00687449"/>
    <w:rsid w:val="006876C7"/>
    <w:rsid w:val="006878A6"/>
    <w:rsid w:val="00687953"/>
    <w:rsid w:val="00687B55"/>
    <w:rsid w:val="00687B65"/>
    <w:rsid w:val="00687BEA"/>
    <w:rsid w:val="00687EF6"/>
    <w:rsid w:val="00687F81"/>
    <w:rsid w:val="006901FC"/>
    <w:rsid w:val="0069047B"/>
    <w:rsid w:val="00690501"/>
    <w:rsid w:val="006908B6"/>
    <w:rsid w:val="006908EE"/>
    <w:rsid w:val="0069099C"/>
    <w:rsid w:val="00690C53"/>
    <w:rsid w:val="00690D4F"/>
    <w:rsid w:val="00690D7D"/>
    <w:rsid w:val="00690E07"/>
    <w:rsid w:val="00690E96"/>
    <w:rsid w:val="00690E9C"/>
    <w:rsid w:val="006910F0"/>
    <w:rsid w:val="0069123F"/>
    <w:rsid w:val="00691407"/>
    <w:rsid w:val="00691690"/>
    <w:rsid w:val="006918B2"/>
    <w:rsid w:val="00691A3C"/>
    <w:rsid w:val="00691A41"/>
    <w:rsid w:val="00691A61"/>
    <w:rsid w:val="00691B7B"/>
    <w:rsid w:val="00691BC9"/>
    <w:rsid w:val="00691DBE"/>
    <w:rsid w:val="00691E9F"/>
    <w:rsid w:val="00691F90"/>
    <w:rsid w:val="00692028"/>
    <w:rsid w:val="006920C4"/>
    <w:rsid w:val="00692146"/>
    <w:rsid w:val="00692232"/>
    <w:rsid w:val="006923D6"/>
    <w:rsid w:val="00692429"/>
    <w:rsid w:val="00692466"/>
    <w:rsid w:val="006925B7"/>
    <w:rsid w:val="006925CD"/>
    <w:rsid w:val="006927CF"/>
    <w:rsid w:val="0069298A"/>
    <w:rsid w:val="006929A0"/>
    <w:rsid w:val="006929CF"/>
    <w:rsid w:val="00692A91"/>
    <w:rsid w:val="00692B05"/>
    <w:rsid w:val="00692C19"/>
    <w:rsid w:val="00692C69"/>
    <w:rsid w:val="00692D88"/>
    <w:rsid w:val="00692E08"/>
    <w:rsid w:val="00692E3F"/>
    <w:rsid w:val="00692F20"/>
    <w:rsid w:val="00693168"/>
    <w:rsid w:val="006931A5"/>
    <w:rsid w:val="0069325E"/>
    <w:rsid w:val="0069328E"/>
    <w:rsid w:val="00693568"/>
    <w:rsid w:val="006936FF"/>
    <w:rsid w:val="00693895"/>
    <w:rsid w:val="00693BE3"/>
    <w:rsid w:val="00693BF9"/>
    <w:rsid w:val="00693C12"/>
    <w:rsid w:val="00693D82"/>
    <w:rsid w:val="00693DB5"/>
    <w:rsid w:val="00693E84"/>
    <w:rsid w:val="00693FF0"/>
    <w:rsid w:val="00694096"/>
    <w:rsid w:val="00694098"/>
    <w:rsid w:val="0069418F"/>
    <w:rsid w:val="006941EE"/>
    <w:rsid w:val="00694204"/>
    <w:rsid w:val="00694263"/>
    <w:rsid w:val="00694378"/>
    <w:rsid w:val="0069460E"/>
    <w:rsid w:val="00694738"/>
    <w:rsid w:val="00694881"/>
    <w:rsid w:val="00694882"/>
    <w:rsid w:val="00694897"/>
    <w:rsid w:val="006948C9"/>
    <w:rsid w:val="006948E8"/>
    <w:rsid w:val="0069490D"/>
    <w:rsid w:val="006949C4"/>
    <w:rsid w:val="00694D59"/>
    <w:rsid w:val="00694D93"/>
    <w:rsid w:val="00694F71"/>
    <w:rsid w:val="00694F93"/>
    <w:rsid w:val="00694FAA"/>
    <w:rsid w:val="006950B0"/>
    <w:rsid w:val="006951B8"/>
    <w:rsid w:val="006951D0"/>
    <w:rsid w:val="006953D2"/>
    <w:rsid w:val="006954F3"/>
    <w:rsid w:val="00695529"/>
    <w:rsid w:val="0069577D"/>
    <w:rsid w:val="00695D94"/>
    <w:rsid w:val="00695E8B"/>
    <w:rsid w:val="00696071"/>
    <w:rsid w:val="0069607D"/>
    <w:rsid w:val="006960AE"/>
    <w:rsid w:val="0069636B"/>
    <w:rsid w:val="006967AC"/>
    <w:rsid w:val="006967D5"/>
    <w:rsid w:val="006969C9"/>
    <w:rsid w:val="00696A74"/>
    <w:rsid w:val="00696B8D"/>
    <w:rsid w:val="00696D0A"/>
    <w:rsid w:val="00696D60"/>
    <w:rsid w:val="00696DF2"/>
    <w:rsid w:val="00696E1A"/>
    <w:rsid w:val="006971AF"/>
    <w:rsid w:val="00697273"/>
    <w:rsid w:val="00697308"/>
    <w:rsid w:val="00697949"/>
    <w:rsid w:val="00697AC5"/>
    <w:rsid w:val="00697B22"/>
    <w:rsid w:val="00697B62"/>
    <w:rsid w:val="00697B8B"/>
    <w:rsid w:val="00697CAF"/>
    <w:rsid w:val="00697E12"/>
    <w:rsid w:val="00697F92"/>
    <w:rsid w:val="006A0025"/>
    <w:rsid w:val="006A0033"/>
    <w:rsid w:val="006A0313"/>
    <w:rsid w:val="006A038F"/>
    <w:rsid w:val="006A03DD"/>
    <w:rsid w:val="006A0402"/>
    <w:rsid w:val="006A051E"/>
    <w:rsid w:val="006A06D4"/>
    <w:rsid w:val="006A07E0"/>
    <w:rsid w:val="006A0897"/>
    <w:rsid w:val="006A09A2"/>
    <w:rsid w:val="006A09BA"/>
    <w:rsid w:val="006A0A17"/>
    <w:rsid w:val="006A0A1F"/>
    <w:rsid w:val="006A0A76"/>
    <w:rsid w:val="006A0C15"/>
    <w:rsid w:val="006A0C46"/>
    <w:rsid w:val="006A1286"/>
    <w:rsid w:val="006A1481"/>
    <w:rsid w:val="006A14B6"/>
    <w:rsid w:val="006A14CC"/>
    <w:rsid w:val="006A1568"/>
    <w:rsid w:val="006A186C"/>
    <w:rsid w:val="006A193B"/>
    <w:rsid w:val="006A1ACF"/>
    <w:rsid w:val="006A1B23"/>
    <w:rsid w:val="006A1C42"/>
    <w:rsid w:val="006A1C52"/>
    <w:rsid w:val="006A1C89"/>
    <w:rsid w:val="006A1E3B"/>
    <w:rsid w:val="006A1EA6"/>
    <w:rsid w:val="006A2009"/>
    <w:rsid w:val="006A21C8"/>
    <w:rsid w:val="006A21FC"/>
    <w:rsid w:val="006A226D"/>
    <w:rsid w:val="006A27DA"/>
    <w:rsid w:val="006A296A"/>
    <w:rsid w:val="006A2A0A"/>
    <w:rsid w:val="006A2A40"/>
    <w:rsid w:val="006A2B0A"/>
    <w:rsid w:val="006A2B72"/>
    <w:rsid w:val="006A2B7D"/>
    <w:rsid w:val="006A2D4E"/>
    <w:rsid w:val="006A2D59"/>
    <w:rsid w:val="006A2DAA"/>
    <w:rsid w:val="006A2E69"/>
    <w:rsid w:val="006A2EBD"/>
    <w:rsid w:val="006A2F66"/>
    <w:rsid w:val="006A2FD1"/>
    <w:rsid w:val="006A310E"/>
    <w:rsid w:val="006A33E6"/>
    <w:rsid w:val="006A360E"/>
    <w:rsid w:val="006A3616"/>
    <w:rsid w:val="006A3660"/>
    <w:rsid w:val="006A38E5"/>
    <w:rsid w:val="006A3A64"/>
    <w:rsid w:val="006A3AD2"/>
    <w:rsid w:val="006A3BA2"/>
    <w:rsid w:val="006A3C02"/>
    <w:rsid w:val="006A3C05"/>
    <w:rsid w:val="006A3C1F"/>
    <w:rsid w:val="006A3CDA"/>
    <w:rsid w:val="006A3CF4"/>
    <w:rsid w:val="006A3FA5"/>
    <w:rsid w:val="006A3FBF"/>
    <w:rsid w:val="006A4478"/>
    <w:rsid w:val="006A4541"/>
    <w:rsid w:val="006A45D2"/>
    <w:rsid w:val="006A465F"/>
    <w:rsid w:val="006A4834"/>
    <w:rsid w:val="006A4926"/>
    <w:rsid w:val="006A4A11"/>
    <w:rsid w:val="006A4A97"/>
    <w:rsid w:val="006A4B66"/>
    <w:rsid w:val="006A4B69"/>
    <w:rsid w:val="006A4D80"/>
    <w:rsid w:val="006A4E1D"/>
    <w:rsid w:val="006A4E52"/>
    <w:rsid w:val="006A4EF6"/>
    <w:rsid w:val="006A4F3D"/>
    <w:rsid w:val="006A4F7A"/>
    <w:rsid w:val="006A4FA2"/>
    <w:rsid w:val="006A546D"/>
    <w:rsid w:val="006A54C6"/>
    <w:rsid w:val="006A55C2"/>
    <w:rsid w:val="006A56F4"/>
    <w:rsid w:val="006A57F2"/>
    <w:rsid w:val="006A585B"/>
    <w:rsid w:val="006A5A0A"/>
    <w:rsid w:val="006A5D4D"/>
    <w:rsid w:val="006A5D90"/>
    <w:rsid w:val="006A5EC5"/>
    <w:rsid w:val="006A5F3E"/>
    <w:rsid w:val="006A6162"/>
    <w:rsid w:val="006A61BE"/>
    <w:rsid w:val="006A61FB"/>
    <w:rsid w:val="006A624C"/>
    <w:rsid w:val="006A6268"/>
    <w:rsid w:val="006A628C"/>
    <w:rsid w:val="006A63BB"/>
    <w:rsid w:val="006A63ED"/>
    <w:rsid w:val="006A64CC"/>
    <w:rsid w:val="006A67DA"/>
    <w:rsid w:val="006A6807"/>
    <w:rsid w:val="006A6A44"/>
    <w:rsid w:val="006A6AE2"/>
    <w:rsid w:val="006A6B75"/>
    <w:rsid w:val="006A6C5C"/>
    <w:rsid w:val="006A6C82"/>
    <w:rsid w:val="006A6CCF"/>
    <w:rsid w:val="006A6CD0"/>
    <w:rsid w:val="006A6EE7"/>
    <w:rsid w:val="006A6F6B"/>
    <w:rsid w:val="006A6F88"/>
    <w:rsid w:val="006A71CA"/>
    <w:rsid w:val="006A73BF"/>
    <w:rsid w:val="006A73F7"/>
    <w:rsid w:val="006A765A"/>
    <w:rsid w:val="006A7743"/>
    <w:rsid w:val="006A780C"/>
    <w:rsid w:val="006A790B"/>
    <w:rsid w:val="006A7B6E"/>
    <w:rsid w:val="006A7DEB"/>
    <w:rsid w:val="006A7E41"/>
    <w:rsid w:val="006A7EFE"/>
    <w:rsid w:val="006A7FDC"/>
    <w:rsid w:val="006A7FF7"/>
    <w:rsid w:val="006B0065"/>
    <w:rsid w:val="006B00CE"/>
    <w:rsid w:val="006B026B"/>
    <w:rsid w:val="006B027D"/>
    <w:rsid w:val="006B0280"/>
    <w:rsid w:val="006B0375"/>
    <w:rsid w:val="006B037B"/>
    <w:rsid w:val="006B0422"/>
    <w:rsid w:val="006B056F"/>
    <w:rsid w:val="006B07EB"/>
    <w:rsid w:val="006B0A78"/>
    <w:rsid w:val="006B0AD5"/>
    <w:rsid w:val="006B0C29"/>
    <w:rsid w:val="006B0E24"/>
    <w:rsid w:val="006B1042"/>
    <w:rsid w:val="006B117D"/>
    <w:rsid w:val="006B128C"/>
    <w:rsid w:val="006B144E"/>
    <w:rsid w:val="006B16B7"/>
    <w:rsid w:val="006B17CA"/>
    <w:rsid w:val="006B17DC"/>
    <w:rsid w:val="006B1825"/>
    <w:rsid w:val="006B1868"/>
    <w:rsid w:val="006B1869"/>
    <w:rsid w:val="006B1A72"/>
    <w:rsid w:val="006B1BDE"/>
    <w:rsid w:val="006B1F2D"/>
    <w:rsid w:val="006B2053"/>
    <w:rsid w:val="006B208B"/>
    <w:rsid w:val="006B21E8"/>
    <w:rsid w:val="006B21ED"/>
    <w:rsid w:val="006B220E"/>
    <w:rsid w:val="006B2419"/>
    <w:rsid w:val="006B2671"/>
    <w:rsid w:val="006B2870"/>
    <w:rsid w:val="006B2CE1"/>
    <w:rsid w:val="006B2D5F"/>
    <w:rsid w:val="006B2E2C"/>
    <w:rsid w:val="006B2E65"/>
    <w:rsid w:val="006B2EB5"/>
    <w:rsid w:val="006B3083"/>
    <w:rsid w:val="006B31B3"/>
    <w:rsid w:val="006B31DC"/>
    <w:rsid w:val="006B31E9"/>
    <w:rsid w:val="006B339A"/>
    <w:rsid w:val="006B33AC"/>
    <w:rsid w:val="006B33F6"/>
    <w:rsid w:val="006B34CB"/>
    <w:rsid w:val="006B35B0"/>
    <w:rsid w:val="006B35D1"/>
    <w:rsid w:val="006B35E8"/>
    <w:rsid w:val="006B37A8"/>
    <w:rsid w:val="006B3978"/>
    <w:rsid w:val="006B397D"/>
    <w:rsid w:val="006B3A5A"/>
    <w:rsid w:val="006B3A7A"/>
    <w:rsid w:val="006B3BFF"/>
    <w:rsid w:val="006B3C7D"/>
    <w:rsid w:val="006B3CAA"/>
    <w:rsid w:val="006B3ED5"/>
    <w:rsid w:val="006B40B4"/>
    <w:rsid w:val="006B414B"/>
    <w:rsid w:val="006B422E"/>
    <w:rsid w:val="006B42B0"/>
    <w:rsid w:val="006B4309"/>
    <w:rsid w:val="006B47D8"/>
    <w:rsid w:val="006B48BC"/>
    <w:rsid w:val="006B4940"/>
    <w:rsid w:val="006B49B5"/>
    <w:rsid w:val="006B4AE3"/>
    <w:rsid w:val="006B4D8B"/>
    <w:rsid w:val="006B4F68"/>
    <w:rsid w:val="006B4F76"/>
    <w:rsid w:val="006B4FDD"/>
    <w:rsid w:val="006B50E3"/>
    <w:rsid w:val="006B50EE"/>
    <w:rsid w:val="006B515B"/>
    <w:rsid w:val="006B52FD"/>
    <w:rsid w:val="006B54F0"/>
    <w:rsid w:val="006B5532"/>
    <w:rsid w:val="006B55AB"/>
    <w:rsid w:val="006B560C"/>
    <w:rsid w:val="006B5655"/>
    <w:rsid w:val="006B5693"/>
    <w:rsid w:val="006B56D1"/>
    <w:rsid w:val="006B5884"/>
    <w:rsid w:val="006B589A"/>
    <w:rsid w:val="006B5AB2"/>
    <w:rsid w:val="006B5AF7"/>
    <w:rsid w:val="006B5C6E"/>
    <w:rsid w:val="006B5CDF"/>
    <w:rsid w:val="006B5CFF"/>
    <w:rsid w:val="006B5D48"/>
    <w:rsid w:val="006B5DF2"/>
    <w:rsid w:val="006B5EA1"/>
    <w:rsid w:val="006B5F60"/>
    <w:rsid w:val="006B5F7E"/>
    <w:rsid w:val="006B5FC4"/>
    <w:rsid w:val="006B6089"/>
    <w:rsid w:val="006B6165"/>
    <w:rsid w:val="006B6231"/>
    <w:rsid w:val="006B6313"/>
    <w:rsid w:val="006B64C1"/>
    <w:rsid w:val="006B6824"/>
    <w:rsid w:val="006B699E"/>
    <w:rsid w:val="006B6BC7"/>
    <w:rsid w:val="006B6BD0"/>
    <w:rsid w:val="006B6BDE"/>
    <w:rsid w:val="006B6BFD"/>
    <w:rsid w:val="006B6F4F"/>
    <w:rsid w:val="006B6FC6"/>
    <w:rsid w:val="006B7170"/>
    <w:rsid w:val="006B7218"/>
    <w:rsid w:val="006B74B9"/>
    <w:rsid w:val="006B74F0"/>
    <w:rsid w:val="006B7671"/>
    <w:rsid w:val="006B7777"/>
    <w:rsid w:val="006B78BF"/>
    <w:rsid w:val="006B79AA"/>
    <w:rsid w:val="006B79EB"/>
    <w:rsid w:val="006B7A50"/>
    <w:rsid w:val="006B7C61"/>
    <w:rsid w:val="006B7F42"/>
    <w:rsid w:val="006B7F84"/>
    <w:rsid w:val="006C0034"/>
    <w:rsid w:val="006C0070"/>
    <w:rsid w:val="006C00C0"/>
    <w:rsid w:val="006C012E"/>
    <w:rsid w:val="006C019B"/>
    <w:rsid w:val="006C040B"/>
    <w:rsid w:val="006C0459"/>
    <w:rsid w:val="006C060C"/>
    <w:rsid w:val="006C06EC"/>
    <w:rsid w:val="006C08F5"/>
    <w:rsid w:val="006C0A2D"/>
    <w:rsid w:val="006C0BBD"/>
    <w:rsid w:val="006C0D5D"/>
    <w:rsid w:val="006C0D73"/>
    <w:rsid w:val="006C0DEC"/>
    <w:rsid w:val="006C122A"/>
    <w:rsid w:val="006C127D"/>
    <w:rsid w:val="006C1446"/>
    <w:rsid w:val="006C164C"/>
    <w:rsid w:val="006C179E"/>
    <w:rsid w:val="006C19D3"/>
    <w:rsid w:val="006C1B61"/>
    <w:rsid w:val="006C1B96"/>
    <w:rsid w:val="006C1C4B"/>
    <w:rsid w:val="006C1C64"/>
    <w:rsid w:val="006C1D19"/>
    <w:rsid w:val="006C1E06"/>
    <w:rsid w:val="006C1E4C"/>
    <w:rsid w:val="006C204B"/>
    <w:rsid w:val="006C20DB"/>
    <w:rsid w:val="006C2272"/>
    <w:rsid w:val="006C2395"/>
    <w:rsid w:val="006C2608"/>
    <w:rsid w:val="006C26C5"/>
    <w:rsid w:val="006C273F"/>
    <w:rsid w:val="006C28F3"/>
    <w:rsid w:val="006C2942"/>
    <w:rsid w:val="006C29C9"/>
    <w:rsid w:val="006C2A72"/>
    <w:rsid w:val="006C2B4E"/>
    <w:rsid w:val="006C2BF8"/>
    <w:rsid w:val="006C2ED6"/>
    <w:rsid w:val="006C300F"/>
    <w:rsid w:val="006C30FF"/>
    <w:rsid w:val="006C3160"/>
    <w:rsid w:val="006C337F"/>
    <w:rsid w:val="006C33F2"/>
    <w:rsid w:val="006C34DA"/>
    <w:rsid w:val="006C350B"/>
    <w:rsid w:val="006C35F6"/>
    <w:rsid w:val="006C3669"/>
    <w:rsid w:val="006C3731"/>
    <w:rsid w:val="006C38F0"/>
    <w:rsid w:val="006C3A99"/>
    <w:rsid w:val="006C3B36"/>
    <w:rsid w:val="006C3C79"/>
    <w:rsid w:val="006C3D3A"/>
    <w:rsid w:val="006C3E70"/>
    <w:rsid w:val="006C3E8E"/>
    <w:rsid w:val="006C3ECA"/>
    <w:rsid w:val="006C3F39"/>
    <w:rsid w:val="006C3F98"/>
    <w:rsid w:val="006C40A9"/>
    <w:rsid w:val="006C4262"/>
    <w:rsid w:val="006C42B8"/>
    <w:rsid w:val="006C42C9"/>
    <w:rsid w:val="006C42E7"/>
    <w:rsid w:val="006C43D0"/>
    <w:rsid w:val="006C460B"/>
    <w:rsid w:val="006C46CB"/>
    <w:rsid w:val="006C4753"/>
    <w:rsid w:val="006C4772"/>
    <w:rsid w:val="006C4803"/>
    <w:rsid w:val="006C4866"/>
    <w:rsid w:val="006C4888"/>
    <w:rsid w:val="006C4BDE"/>
    <w:rsid w:val="006C4D58"/>
    <w:rsid w:val="006C4D5A"/>
    <w:rsid w:val="006C4DD8"/>
    <w:rsid w:val="006C4E5E"/>
    <w:rsid w:val="006C4E9E"/>
    <w:rsid w:val="006C4F52"/>
    <w:rsid w:val="006C4F60"/>
    <w:rsid w:val="006C4F84"/>
    <w:rsid w:val="006C5073"/>
    <w:rsid w:val="006C50CD"/>
    <w:rsid w:val="006C52CB"/>
    <w:rsid w:val="006C52F7"/>
    <w:rsid w:val="006C5374"/>
    <w:rsid w:val="006C54F8"/>
    <w:rsid w:val="006C55B4"/>
    <w:rsid w:val="006C5A4B"/>
    <w:rsid w:val="006C5B7D"/>
    <w:rsid w:val="006C5EC3"/>
    <w:rsid w:val="006C62FF"/>
    <w:rsid w:val="006C637D"/>
    <w:rsid w:val="006C6468"/>
    <w:rsid w:val="006C6667"/>
    <w:rsid w:val="006C6829"/>
    <w:rsid w:val="006C6849"/>
    <w:rsid w:val="006C684E"/>
    <w:rsid w:val="006C6A26"/>
    <w:rsid w:val="006C6B6C"/>
    <w:rsid w:val="006C6D09"/>
    <w:rsid w:val="006C6F74"/>
    <w:rsid w:val="006C6FD0"/>
    <w:rsid w:val="006C6FF6"/>
    <w:rsid w:val="006C747F"/>
    <w:rsid w:val="006C74F2"/>
    <w:rsid w:val="006C7562"/>
    <w:rsid w:val="006C756A"/>
    <w:rsid w:val="006C75A8"/>
    <w:rsid w:val="006C76AA"/>
    <w:rsid w:val="006C76D9"/>
    <w:rsid w:val="006C776F"/>
    <w:rsid w:val="006C7861"/>
    <w:rsid w:val="006C78BC"/>
    <w:rsid w:val="006C7A04"/>
    <w:rsid w:val="006C7C2C"/>
    <w:rsid w:val="006C7CCE"/>
    <w:rsid w:val="006C7F6E"/>
    <w:rsid w:val="006D0018"/>
    <w:rsid w:val="006D004F"/>
    <w:rsid w:val="006D006C"/>
    <w:rsid w:val="006D0270"/>
    <w:rsid w:val="006D027C"/>
    <w:rsid w:val="006D030C"/>
    <w:rsid w:val="006D060A"/>
    <w:rsid w:val="006D07BF"/>
    <w:rsid w:val="006D084D"/>
    <w:rsid w:val="006D086A"/>
    <w:rsid w:val="006D0927"/>
    <w:rsid w:val="006D0999"/>
    <w:rsid w:val="006D09FD"/>
    <w:rsid w:val="006D0A09"/>
    <w:rsid w:val="006D0A2E"/>
    <w:rsid w:val="006D0A6B"/>
    <w:rsid w:val="006D0CC7"/>
    <w:rsid w:val="006D0D58"/>
    <w:rsid w:val="006D0DEE"/>
    <w:rsid w:val="006D0E65"/>
    <w:rsid w:val="006D0ECD"/>
    <w:rsid w:val="006D0FEA"/>
    <w:rsid w:val="006D10EC"/>
    <w:rsid w:val="006D11D2"/>
    <w:rsid w:val="006D14D3"/>
    <w:rsid w:val="006D1539"/>
    <w:rsid w:val="006D157B"/>
    <w:rsid w:val="006D15F8"/>
    <w:rsid w:val="006D16AF"/>
    <w:rsid w:val="006D171C"/>
    <w:rsid w:val="006D17C8"/>
    <w:rsid w:val="006D195C"/>
    <w:rsid w:val="006D1973"/>
    <w:rsid w:val="006D19F4"/>
    <w:rsid w:val="006D1A61"/>
    <w:rsid w:val="006D1AF0"/>
    <w:rsid w:val="006D1B32"/>
    <w:rsid w:val="006D1D35"/>
    <w:rsid w:val="006D1EF2"/>
    <w:rsid w:val="006D1F3C"/>
    <w:rsid w:val="006D204F"/>
    <w:rsid w:val="006D2209"/>
    <w:rsid w:val="006D22BF"/>
    <w:rsid w:val="006D2492"/>
    <w:rsid w:val="006D24B2"/>
    <w:rsid w:val="006D2923"/>
    <w:rsid w:val="006D2960"/>
    <w:rsid w:val="006D2B2B"/>
    <w:rsid w:val="006D2CA6"/>
    <w:rsid w:val="006D2F35"/>
    <w:rsid w:val="006D2F9C"/>
    <w:rsid w:val="006D2FCC"/>
    <w:rsid w:val="006D3011"/>
    <w:rsid w:val="006D3159"/>
    <w:rsid w:val="006D31B0"/>
    <w:rsid w:val="006D3291"/>
    <w:rsid w:val="006D3509"/>
    <w:rsid w:val="006D3772"/>
    <w:rsid w:val="006D3821"/>
    <w:rsid w:val="006D3822"/>
    <w:rsid w:val="006D399E"/>
    <w:rsid w:val="006D3A2F"/>
    <w:rsid w:val="006D3A92"/>
    <w:rsid w:val="006D3B82"/>
    <w:rsid w:val="006D3CFE"/>
    <w:rsid w:val="006D3D44"/>
    <w:rsid w:val="006D404A"/>
    <w:rsid w:val="006D406C"/>
    <w:rsid w:val="006D41E8"/>
    <w:rsid w:val="006D46E2"/>
    <w:rsid w:val="006D4904"/>
    <w:rsid w:val="006D49CE"/>
    <w:rsid w:val="006D4A64"/>
    <w:rsid w:val="006D4B4D"/>
    <w:rsid w:val="006D4B51"/>
    <w:rsid w:val="006D4FE3"/>
    <w:rsid w:val="006D535A"/>
    <w:rsid w:val="006D539B"/>
    <w:rsid w:val="006D54D5"/>
    <w:rsid w:val="006D558B"/>
    <w:rsid w:val="006D5628"/>
    <w:rsid w:val="006D5706"/>
    <w:rsid w:val="006D580D"/>
    <w:rsid w:val="006D5A5B"/>
    <w:rsid w:val="006D5AC2"/>
    <w:rsid w:val="006D5B86"/>
    <w:rsid w:val="006D5B87"/>
    <w:rsid w:val="006D5D0F"/>
    <w:rsid w:val="006D5EAB"/>
    <w:rsid w:val="006D5ED4"/>
    <w:rsid w:val="006D5F1F"/>
    <w:rsid w:val="006D6183"/>
    <w:rsid w:val="006D61D5"/>
    <w:rsid w:val="006D6231"/>
    <w:rsid w:val="006D628E"/>
    <w:rsid w:val="006D63A0"/>
    <w:rsid w:val="006D64A3"/>
    <w:rsid w:val="006D656A"/>
    <w:rsid w:val="006D65EA"/>
    <w:rsid w:val="006D669C"/>
    <w:rsid w:val="006D6900"/>
    <w:rsid w:val="006D69E9"/>
    <w:rsid w:val="006D6AA9"/>
    <w:rsid w:val="006D6B4F"/>
    <w:rsid w:val="006D6C06"/>
    <w:rsid w:val="006D6C25"/>
    <w:rsid w:val="006D6E86"/>
    <w:rsid w:val="006D6F55"/>
    <w:rsid w:val="006D6F99"/>
    <w:rsid w:val="006D7260"/>
    <w:rsid w:val="006D7429"/>
    <w:rsid w:val="006D7555"/>
    <w:rsid w:val="006D759E"/>
    <w:rsid w:val="006D7729"/>
    <w:rsid w:val="006D7735"/>
    <w:rsid w:val="006D7750"/>
    <w:rsid w:val="006D77B0"/>
    <w:rsid w:val="006D7A3B"/>
    <w:rsid w:val="006D7B86"/>
    <w:rsid w:val="006D7C2C"/>
    <w:rsid w:val="006D7C33"/>
    <w:rsid w:val="006D7CDA"/>
    <w:rsid w:val="006D7DC1"/>
    <w:rsid w:val="006D7DF8"/>
    <w:rsid w:val="006D7F9F"/>
    <w:rsid w:val="006E003D"/>
    <w:rsid w:val="006E024B"/>
    <w:rsid w:val="006E043F"/>
    <w:rsid w:val="006E0476"/>
    <w:rsid w:val="006E04A8"/>
    <w:rsid w:val="006E04BD"/>
    <w:rsid w:val="006E04EF"/>
    <w:rsid w:val="006E061B"/>
    <w:rsid w:val="006E066A"/>
    <w:rsid w:val="006E0742"/>
    <w:rsid w:val="006E0933"/>
    <w:rsid w:val="006E0AAC"/>
    <w:rsid w:val="006E0D62"/>
    <w:rsid w:val="006E0D95"/>
    <w:rsid w:val="006E0E99"/>
    <w:rsid w:val="006E1321"/>
    <w:rsid w:val="006E1557"/>
    <w:rsid w:val="006E15A0"/>
    <w:rsid w:val="006E171E"/>
    <w:rsid w:val="006E18EC"/>
    <w:rsid w:val="006E19E4"/>
    <w:rsid w:val="006E1C74"/>
    <w:rsid w:val="006E1DD0"/>
    <w:rsid w:val="006E1E9C"/>
    <w:rsid w:val="006E1ED1"/>
    <w:rsid w:val="006E1F56"/>
    <w:rsid w:val="006E1F95"/>
    <w:rsid w:val="006E2071"/>
    <w:rsid w:val="006E2260"/>
    <w:rsid w:val="006E22CC"/>
    <w:rsid w:val="006E233E"/>
    <w:rsid w:val="006E2350"/>
    <w:rsid w:val="006E2372"/>
    <w:rsid w:val="006E23D9"/>
    <w:rsid w:val="006E23ED"/>
    <w:rsid w:val="006E242E"/>
    <w:rsid w:val="006E2471"/>
    <w:rsid w:val="006E2750"/>
    <w:rsid w:val="006E2807"/>
    <w:rsid w:val="006E2945"/>
    <w:rsid w:val="006E2A36"/>
    <w:rsid w:val="006E2A57"/>
    <w:rsid w:val="006E2ADA"/>
    <w:rsid w:val="006E2B56"/>
    <w:rsid w:val="006E2D2E"/>
    <w:rsid w:val="006E2D64"/>
    <w:rsid w:val="006E2E0D"/>
    <w:rsid w:val="006E3094"/>
    <w:rsid w:val="006E32E0"/>
    <w:rsid w:val="006E32FE"/>
    <w:rsid w:val="006E3353"/>
    <w:rsid w:val="006E3391"/>
    <w:rsid w:val="006E346B"/>
    <w:rsid w:val="006E3537"/>
    <w:rsid w:val="006E35F4"/>
    <w:rsid w:val="006E37DA"/>
    <w:rsid w:val="006E3898"/>
    <w:rsid w:val="006E3C94"/>
    <w:rsid w:val="006E3D73"/>
    <w:rsid w:val="006E3DC8"/>
    <w:rsid w:val="006E3EB3"/>
    <w:rsid w:val="006E3F93"/>
    <w:rsid w:val="006E40A1"/>
    <w:rsid w:val="006E40C4"/>
    <w:rsid w:val="006E439E"/>
    <w:rsid w:val="006E4487"/>
    <w:rsid w:val="006E4507"/>
    <w:rsid w:val="006E454B"/>
    <w:rsid w:val="006E4598"/>
    <w:rsid w:val="006E461E"/>
    <w:rsid w:val="006E4623"/>
    <w:rsid w:val="006E4647"/>
    <w:rsid w:val="006E4697"/>
    <w:rsid w:val="006E47FE"/>
    <w:rsid w:val="006E4829"/>
    <w:rsid w:val="006E4A84"/>
    <w:rsid w:val="006E4D88"/>
    <w:rsid w:val="006E4E21"/>
    <w:rsid w:val="006E500B"/>
    <w:rsid w:val="006E50FF"/>
    <w:rsid w:val="006E520E"/>
    <w:rsid w:val="006E52A1"/>
    <w:rsid w:val="006E550B"/>
    <w:rsid w:val="006E5581"/>
    <w:rsid w:val="006E580B"/>
    <w:rsid w:val="006E5995"/>
    <w:rsid w:val="006E59F3"/>
    <w:rsid w:val="006E5C18"/>
    <w:rsid w:val="006E5E48"/>
    <w:rsid w:val="006E5E74"/>
    <w:rsid w:val="006E60AB"/>
    <w:rsid w:val="006E6112"/>
    <w:rsid w:val="006E617C"/>
    <w:rsid w:val="006E61DE"/>
    <w:rsid w:val="006E63A4"/>
    <w:rsid w:val="006E63CE"/>
    <w:rsid w:val="006E648C"/>
    <w:rsid w:val="006E650D"/>
    <w:rsid w:val="006E65CB"/>
    <w:rsid w:val="006E6788"/>
    <w:rsid w:val="006E6A15"/>
    <w:rsid w:val="006E6A6E"/>
    <w:rsid w:val="006E6B44"/>
    <w:rsid w:val="006E6BCB"/>
    <w:rsid w:val="006E6CCF"/>
    <w:rsid w:val="006E6DFE"/>
    <w:rsid w:val="006E6E5D"/>
    <w:rsid w:val="006E6F03"/>
    <w:rsid w:val="006E7092"/>
    <w:rsid w:val="006E70C4"/>
    <w:rsid w:val="006E70FF"/>
    <w:rsid w:val="006E7136"/>
    <w:rsid w:val="006E7185"/>
    <w:rsid w:val="006E73CF"/>
    <w:rsid w:val="006E747A"/>
    <w:rsid w:val="006E7567"/>
    <w:rsid w:val="006E7585"/>
    <w:rsid w:val="006E75BE"/>
    <w:rsid w:val="006E7611"/>
    <w:rsid w:val="006E76C6"/>
    <w:rsid w:val="006E76F0"/>
    <w:rsid w:val="006E7824"/>
    <w:rsid w:val="006E7A84"/>
    <w:rsid w:val="006E7BCA"/>
    <w:rsid w:val="006E7C12"/>
    <w:rsid w:val="006E7CCC"/>
    <w:rsid w:val="006E7DAB"/>
    <w:rsid w:val="006E7DC0"/>
    <w:rsid w:val="006E7F67"/>
    <w:rsid w:val="006E7F80"/>
    <w:rsid w:val="006F0115"/>
    <w:rsid w:val="006F0289"/>
    <w:rsid w:val="006F02B5"/>
    <w:rsid w:val="006F02D3"/>
    <w:rsid w:val="006F0312"/>
    <w:rsid w:val="006F0349"/>
    <w:rsid w:val="006F0383"/>
    <w:rsid w:val="006F0648"/>
    <w:rsid w:val="006F06BB"/>
    <w:rsid w:val="006F0797"/>
    <w:rsid w:val="006F08E5"/>
    <w:rsid w:val="006F0A0D"/>
    <w:rsid w:val="006F0B62"/>
    <w:rsid w:val="006F0B8C"/>
    <w:rsid w:val="006F0C5F"/>
    <w:rsid w:val="006F0D3D"/>
    <w:rsid w:val="006F0EEA"/>
    <w:rsid w:val="006F0F55"/>
    <w:rsid w:val="006F101F"/>
    <w:rsid w:val="006F105C"/>
    <w:rsid w:val="006F1126"/>
    <w:rsid w:val="006F1177"/>
    <w:rsid w:val="006F11E9"/>
    <w:rsid w:val="006F12B2"/>
    <w:rsid w:val="006F12F1"/>
    <w:rsid w:val="006F136F"/>
    <w:rsid w:val="006F13F4"/>
    <w:rsid w:val="006F142E"/>
    <w:rsid w:val="006F17BE"/>
    <w:rsid w:val="006F1977"/>
    <w:rsid w:val="006F1AED"/>
    <w:rsid w:val="006F1B09"/>
    <w:rsid w:val="006F1BE7"/>
    <w:rsid w:val="006F1C2C"/>
    <w:rsid w:val="006F1CE7"/>
    <w:rsid w:val="006F1DDF"/>
    <w:rsid w:val="006F1EE7"/>
    <w:rsid w:val="006F1F51"/>
    <w:rsid w:val="006F2159"/>
    <w:rsid w:val="006F21CA"/>
    <w:rsid w:val="006F228E"/>
    <w:rsid w:val="006F2291"/>
    <w:rsid w:val="006F2370"/>
    <w:rsid w:val="006F25E9"/>
    <w:rsid w:val="006F275B"/>
    <w:rsid w:val="006F289E"/>
    <w:rsid w:val="006F2967"/>
    <w:rsid w:val="006F2AAC"/>
    <w:rsid w:val="006F2BBF"/>
    <w:rsid w:val="006F2D1D"/>
    <w:rsid w:val="006F2ECB"/>
    <w:rsid w:val="006F305F"/>
    <w:rsid w:val="006F39D9"/>
    <w:rsid w:val="006F3A7D"/>
    <w:rsid w:val="006F3C0A"/>
    <w:rsid w:val="006F3CFA"/>
    <w:rsid w:val="006F3D70"/>
    <w:rsid w:val="006F3EE5"/>
    <w:rsid w:val="006F3F47"/>
    <w:rsid w:val="006F42B1"/>
    <w:rsid w:val="006F4561"/>
    <w:rsid w:val="006F4786"/>
    <w:rsid w:val="006F49D3"/>
    <w:rsid w:val="006F4ACC"/>
    <w:rsid w:val="006F4C34"/>
    <w:rsid w:val="006F4C7A"/>
    <w:rsid w:val="006F4CF0"/>
    <w:rsid w:val="006F4E3F"/>
    <w:rsid w:val="006F5286"/>
    <w:rsid w:val="006F5322"/>
    <w:rsid w:val="006F54DA"/>
    <w:rsid w:val="006F5583"/>
    <w:rsid w:val="006F55B3"/>
    <w:rsid w:val="006F55B4"/>
    <w:rsid w:val="006F55B8"/>
    <w:rsid w:val="006F5671"/>
    <w:rsid w:val="006F5768"/>
    <w:rsid w:val="006F580A"/>
    <w:rsid w:val="006F5825"/>
    <w:rsid w:val="006F5939"/>
    <w:rsid w:val="006F5D60"/>
    <w:rsid w:val="006F5D76"/>
    <w:rsid w:val="006F5E06"/>
    <w:rsid w:val="006F5E33"/>
    <w:rsid w:val="006F5F11"/>
    <w:rsid w:val="006F5F1B"/>
    <w:rsid w:val="006F60E9"/>
    <w:rsid w:val="006F643A"/>
    <w:rsid w:val="006F6444"/>
    <w:rsid w:val="006F6451"/>
    <w:rsid w:val="006F6873"/>
    <w:rsid w:val="006F6C41"/>
    <w:rsid w:val="006F6CA5"/>
    <w:rsid w:val="006F6EB2"/>
    <w:rsid w:val="006F6EF7"/>
    <w:rsid w:val="006F6F42"/>
    <w:rsid w:val="006F7049"/>
    <w:rsid w:val="006F7198"/>
    <w:rsid w:val="006F72FC"/>
    <w:rsid w:val="006F7300"/>
    <w:rsid w:val="006F738A"/>
    <w:rsid w:val="006F7507"/>
    <w:rsid w:val="006F7537"/>
    <w:rsid w:val="006F76A6"/>
    <w:rsid w:val="006F78E0"/>
    <w:rsid w:val="006F78E7"/>
    <w:rsid w:val="006F78FE"/>
    <w:rsid w:val="006F7931"/>
    <w:rsid w:val="006F7944"/>
    <w:rsid w:val="006F796B"/>
    <w:rsid w:val="006F79F7"/>
    <w:rsid w:val="006F7A8C"/>
    <w:rsid w:val="006F7AAD"/>
    <w:rsid w:val="006F7D25"/>
    <w:rsid w:val="006F7E4F"/>
    <w:rsid w:val="006F7EC1"/>
    <w:rsid w:val="00700041"/>
    <w:rsid w:val="007000AD"/>
    <w:rsid w:val="007000E2"/>
    <w:rsid w:val="00700138"/>
    <w:rsid w:val="0070020F"/>
    <w:rsid w:val="00700258"/>
    <w:rsid w:val="007002BE"/>
    <w:rsid w:val="0070030A"/>
    <w:rsid w:val="0070044A"/>
    <w:rsid w:val="007005A1"/>
    <w:rsid w:val="0070080D"/>
    <w:rsid w:val="007009B2"/>
    <w:rsid w:val="00700AFA"/>
    <w:rsid w:val="00700B62"/>
    <w:rsid w:val="00700B70"/>
    <w:rsid w:val="00700B96"/>
    <w:rsid w:val="00700CD9"/>
    <w:rsid w:val="00700E13"/>
    <w:rsid w:val="00700F0A"/>
    <w:rsid w:val="00700F15"/>
    <w:rsid w:val="00700F69"/>
    <w:rsid w:val="00701046"/>
    <w:rsid w:val="007010FA"/>
    <w:rsid w:val="0070116B"/>
    <w:rsid w:val="0070118C"/>
    <w:rsid w:val="007013EC"/>
    <w:rsid w:val="007014C6"/>
    <w:rsid w:val="007015B0"/>
    <w:rsid w:val="007017A6"/>
    <w:rsid w:val="0070184A"/>
    <w:rsid w:val="00701960"/>
    <w:rsid w:val="007019CF"/>
    <w:rsid w:val="00701AD6"/>
    <w:rsid w:val="00701AED"/>
    <w:rsid w:val="00701B26"/>
    <w:rsid w:val="00701B2F"/>
    <w:rsid w:val="00701CFB"/>
    <w:rsid w:val="00701E1E"/>
    <w:rsid w:val="00701F95"/>
    <w:rsid w:val="00702177"/>
    <w:rsid w:val="00702652"/>
    <w:rsid w:val="00702670"/>
    <w:rsid w:val="00702740"/>
    <w:rsid w:val="00702B11"/>
    <w:rsid w:val="00702BE1"/>
    <w:rsid w:val="00702CEA"/>
    <w:rsid w:val="00702D6A"/>
    <w:rsid w:val="00702E1A"/>
    <w:rsid w:val="007031B6"/>
    <w:rsid w:val="00703452"/>
    <w:rsid w:val="00703964"/>
    <w:rsid w:val="00703A2B"/>
    <w:rsid w:val="00703C05"/>
    <w:rsid w:val="00703D80"/>
    <w:rsid w:val="00703DD2"/>
    <w:rsid w:val="007043C7"/>
    <w:rsid w:val="0070485E"/>
    <w:rsid w:val="007048F3"/>
    <w:rsid w:val="0070493C"/>
    <w:rsid w:val="00704A18"/>
    <w:rsid w:val="00704A41"/>
    <w:rsid w:val="00704A57"/>
    <w:rsid w:val="00704AAA"/>
    <w:rsid w:val="00704CBB"/>
    <w:rsid w:val="00704D7D"/>
    <w:rsid w:val="00704E2E"/>
    <w:rsid w:val="00704FEA"/>
    <w:rsid w:val="007050C2"/>
    <w:rsid w:val="0070513A"/>
    <w:rsid w:val="00705142"/>
    <w:rsid w:val="0070519D"/>
    <w:rsid w:val="00705221"/>
    <w:rsid w:val="0070528D"/>
    <w:rsid w:val="007052CB"/>
    <w:rsid w:val="00705435"/>
    <w:rsid w:val="007054B5"/>
    <w:rsid w:val="007055BE"/>
    <w:rsid w:val="007055EE"/>
    <w:rsid w:val="0070590A"/>
    <w:rsid w:val="00705B94"/>
    <w:rsid w:val="00705C4D"/>
    <w:rsid w:val="00705C8B"/>
    <w:rsid w:val="00705D23"/>
    <w:rsid w:val="00705DD5"/>
    <w:rsid w:val="00705E1E"/>
    <w:rsid w:val="00705E37"/>
    <w:rsid w:val="00705F26"/>
    <w:rsid w:val="00706101"/>
    <w:rsid w:val="00706311"/>
    <w:rsid w:val="0070654D"/>
    <w:rsid w:val="00706A1E"/>
    <w:rsid w:val="00706BCE"/>
    <w:rsid w:val="00706CA7"/>
    <w:rsid w:val="00706D78"/>
    <w:rsid w:val="00706E3E"/>
    <w:rsid w:val="00706ED7"/>
    <w:rsid w:val="00706F87"/>
    <w:rsid w:val="007070DA"/>
    <w:rsid w:val="00707184"/>
    <w:rsid w:val="007072CB"/>
    <w:rsid w:val="0070777D"/>
    <w:rsid w:val="00707BC5"/>
    <w:rsid w:val="00707C8A"/>
    <w:rsid w:val="00707F3B"/>
    <w:rsid w:val="00707FCB"/>
    <w:rsid w:val="007100A4"/>
    <w:rsid w:val="007101AB"/>
    <w:rsid w:val="00710282"/>
    <w:rsid w:val="00710379"/>
    <w:rsid w:val="00710425"/>
    <w:rsid w:val="007104B8"/>
    <w:rsid w:val="00710538"/>
    <w:rsid w:val="0071062E"/>
    <w:rsid w:val="00710654"/>
    <w:rsid w:val="00710686"/>
    <w:rsid w:val="00710762"/>
    <w:rsid w:val="00710A76"/>
    <w:rsid w:val="00710AC5"/>
    <w:rsid w:val="00710ADF"/>
    <w:rsid w:val="00710B2C"/>
    <w:rsid w:val="00710CA9"/>
    <w:rsid w:val="00710CAA"/>
    <w:rsid w:val="00710D12"/>
    <w:rsid w:val="00710EA2"/>
    <w:rsid w:val="00710F93"/>
    <w:rsid w:val="00710F94"/>
    <w:rsid w:val="00710FA8"/>
    <w:rsid w:val="0071102A"/>
    <w:rsid w:val="007110AC"/>
    <w:rsid w:val="007112D5"/>
    <w:rsid w:val="007114B5"/>
    <w:rsid w:val="0071152E"/>
    <w:rsid w:val="007115BD"/>
    <w:rsid w:val="00711745"/>
    <w:rsid w:val="007117A9"/>
    <w:rsid w:val="007118FF"/>
    <w:rsid w:val="007119A4"/>
    <w:rsid w:val="007119F4"/>
    <w:rsid w:val="00711A40"/>
    <w:rsid w:val="00711B28"/>
    <w:rsid w:val="00711BDB"/>
    <w:rsid w:val="00711FAE"/>
    <w:rsid w:val="00712041"/>
    <w:rsid w:val="00712096"/>
    <w:rsid w:val="00712108"/>
    <w:rsid w:val="00712142"/>
    <w:rsid w:val="00712387"/>
    <w:rsid w:val="007123AC"/>
    <w:rsid w:val="0071245E"/>
    <w:rsid w:val="007126D6"/>
    <w:rsid w:val="00712741"/>
    <w:rsid w:val="00712909"/>
    <w:rsid w:val="00712AB7"/>
    <w:rsid w:val="00712C4F"/>
    <w:rsid w:val="00712CF0"/>
    <w:rsid w:val="00712E86"/>
    <w:rsid w:val="00712FE3"/>
    <w:rsid w:val="00712FE4"/>
    <w:rsid w:val="0071324D"/>
    <w:rsid w:val="0071331F"/>
    <w:rsid w:val="007134C1"/>
    <w:rsid w:val="00713542"/>
    <w:rsid w:val="0071375F"/>
    <w:rsid w:val="0071386D"/>
    <w:rsid w:val="00713884"/>
    <w:rsid w:val="0071388D"/>
    <w:rsid w:val="007138A6"/>
    <w:rsid w:val="00713963"/>
    <w:rsid w:val="007139FA"/>
    <w:rsid w:val="00713ADC"/>
    <w:rsid w:val="00713BA7"/>
    <w:rsid w:val="00713C29"/>
    <w:rsid w:val="007141C3"/>
    <w:rsid w:val="0071426C"/>
    <w:rsid w:val="007143EA"/>
    <w:rsid w:val="00714481"/>
    <w:rsid w:val="0071451C"/>
    <w:rsid w:val="00714598"/>
    <w:rsid w:val="00714789"/>
    <w:rsid w:val="00714860"/>
    <w:rsid w:val="00714ACE"/>
    <w:rsid w:val="00714C86"/>
    <w:rsid w:val="00714D19"/>
    <w:rsid w:val="00714F88"/>
    <w:rsid w:val="00714F9B"/>
    <w:rsid w:val="0071505A"/>
    <w:rsid w:val="00715124"/>
    <w:rsid w:val="0071534D"/>
    <w:rsid w:val="007153EA"/>
    <w:rsid w:val="0071546E"/>
    <w:rsid w:val="00715486"/>
    <w:rsid w:val="00715636"/>
    <w:rsid w:val="00715640"/>
    <w:rsid w:val="00715642"/>
    <w:rsid w:val="007157D0"/>
    <w:rsid w:val="007157F7"/>
    <w:rsid w:val="0071581D"/>
    <w:rsid w:val="007158BB"/>
    <w:rsid w:val="007158E7"/>
    <w:rsid w:val="00715A09"/>
    <w:rsid w:val="00715A5B"/>
    <w:rsid w:val="00715F5D"/>
    <w:rsid w:val="00716129"/>
    <w:rsid w:val="00716638"/>
    <w:rsid w:val="00716807"/>
    <w:rsid w:val="00716A7D"/>
    <w:rsid w:val="00716AB8"/>
    <w:rsid w:val="00716C1F"/>
    <w:rsid w:val="00716C53"/>
    <w:rsid w:val="00716CCE"/>
    <w:rsid w:val="00716CD6"/>
    <w:rsid w:val="00716DA4"/>
    <w:rsid w:val="00716E7B"/>
    <w:rsid w:val="00716ECA"/>
    <w:rsid w:val="00716F39"/>
    <w:rsid w:val="00717102"/>
    <w:rsid w:val="00717164"/>
    <w:rsid w:val="00717205"/>
    <w:rsid w:val="00717245"/>
    <w:rsid w:val="00717262"/>
    <w:rsid w:val="0071757A"/>
    <w:rsid w:val="00717609"/>
    <w:rsid w:val="007176A6"/>
    <w:rsid w:val="007178CE"/>
    <w:rsid w:val="00717B9F"/>
    <w:rsid w:val="00717C4F"/>
    <w:rsid w:val="00717C71"/>
    <w:rsid w:val="00717D4A"/>
    <w:rsid w:val="00717DA3"/>
    <w:rsid w:val="00720101"/>
    <w:rsid w:val="0072028F"/>
    <w:rsid w:val="007203B5"/>
    <w:rsid w:val="00720430"/>
    <w:rsid w:val="007205E6"/>
    <w:rsid w:val="007206A1"/>
    <w:rsid w:val="007206F6"/>
    <w:rsid w:val="0072081C"/>
    <w:rsid w:val="00720A0C"/>
    <w:rsid w:val="00720B90"/>
    <w:rsid w:val="0072116D"/>
    <w:rsid w:val="0072116F"/>
    <w:rsid w:val="007211DD"/>
    <w:rsid w:val="00721332"/>
    <w:rsid w:val="007213A6"/>
    <w:rsid w:val="007213E4"/>
    <w:rsid w:val="00721433"/>
    <w:rsid w:val="00721496"/>
    <w:rsid w:val="0072167B"/>
    <w:rsid w:val="00721784"/>
    <w:rsid w:val="00721846"/>
    <w:rsid w:val="00721857"/>
    <w:rsid w:val="007219D7"/>
    <w:rsid w:val="00721AC1"/>
    <w:rsid w:val="00721AE7"/>
    <w:rsid w:val="00721C9F"/>
    <w:rsid w:val="007220B4"/>
    <w:rsid w:val="00722241"/>
    <w:rsid w:val="00722342"/>
    <w:rsid w:val="007223D8"/>
    <w:rsid w:val="0072247D"/>
    <w:rsid w:val="007226E2"/>
    <w:rsid w:val="007227FC"/>
    <w:rsid w:val="0072293F"/>
    <w:rsid w:val="007229EE"/>
    <w:rsid w:val="00722A96"/>
    <w:rsid w:val="00722CB9"/>
    <w:rsid w:val="00722D4D"/>
    <w:rsid w:val="00722DD2"/>
    <w:rsid w:val="00722F90"/>
    <w:rsid w:val="00722FA9"/>
    <w:rsid w:val="00723098"/>
    <w:rsid w:val="00723390"/>
    <w:rsid w:val="007233AD"/>
    <w:rsid w:val="0072342B"/>
    <w:rsid w:val="007234AA"/>
    <w:rsid w:val="00723546"/>
    <w:rsid w:val="00723586"/>
    <w:rsid w:val="00723663"/>
    <w:rsid w:val="007237CC"/>
    <w:rsid w:val="00723906"/>
    <w:rsid w:val="007239BC"/>
    <w:rsid w:val="00723CB0"/>
    <w:rsid w:val="00723D27"/>
    <w:rsid w:val="00723E00"/>
    <w:rsid w:val="00723E25"/>
    <w:rsid w:val="00723E28"/>
    <w:rsid w:val="00723F29"/>
    <w:rsid w:val="00724025"/>
    <w:rsid w:val="00724028"/>
    <w:rsid w:val="007240DC"/>
    <w:rsid w:val="007244C0"/>
    <w:rsid w:val="00724553"/>
    <w:rsid w:val="007245CE"/>
    <w:rsid w:val="00724616"/>
    <w:rsid w:val="00724681"/>
    <w:rsid w:val="0072484C"/>
    <w:rsid w:val="00724867"/>
    <w:rsid w:val="00724B0E"/>
    <w:rsid w:val="00724C38"/>
    <w:rsid w:val="00724FD5"/>
    <w:rsid w:val="007254AE"/>
    <w:rsid w:val="0072551C"/>
    <w:rsid w:val="00725606"/>
    <w:rsid w:val="00725630"/>
    <w:rsid w:val="00725A82"/>
    <w:rsid w:val="00725AD5"/>
    <w:rsid w:val="00725B42"/>
    <w:rsid w:val="00725B9F"/>
    <w:rsid w:val="00725C69"/>
    <w:rsid w:val="00725E60"/>
    <w:rsid w:val="00725F3C"/>
    <w:rsid w:val="00725FC1"/>
    <w:rsid w:val="00726094"/>
    <w:rsid w:val="007261A8"/>
    <w:rsid w:val="007265B7"/>
    <w:rsid w:val="007267BE"/>
    <w:rsid w:val="00726856"/>
    <w:rsid w:val="00726A6F"/>
    <w:rsid w:val="00726AFA"/>
    <w:rsid w:val="00726D00"/>
    <w:rsid w:val="00726D38"/>
    <w:rsid w:val="00726D89"/>
    <w:rsid w:val="00726FAC"/>
    <w:rsid w:val="00727281"/>
    <w:rsid w:val="0072732D"/>
    <w:rsid w:val="00727438"/>
    <w:rsid w:val="00727445"/>
    <w:rsid w:val="00727525"/>
    <w:rsid w:val="007276F5"/>
    <w:rsid w:val="0072777D"/>
    <w:rsid w:val="00727882"/>
    <w:rsid w:val="00727958"/>
    <w:rsid w:val="00727AD0"/>
    <w:rsid w:val="00727B33"/>
    <w:rsid w:val="00727D69"/>
    <w:rsid w:val="00727D84"/>
    <w:rsid w:val="00727EBD"/>
    <w:rsid w:val="00727EDA"/>
    <w:rsid w:val="00727EFD"/>
    <w:rsid w:val="00727F4A"/>
    <w:rsid w:val="00727FDF"/>
    <w:rsid w:val="00730250"/>
    <w:rsid w:val="00730276"/>
    <w:rsid w:val="0073030F"/>
    <w:rsid w:val="0073035F"/>
    <w:rsid w:val="007304F4"/>
    <w:rsid w:val="00730544"/>
    <w:rsid w:val="007305AD"/>
    <w:rsid w:val="00730630"/>
    <w:rsid w:val="0073071E"/>
    <w:rsid w:val="00730734"/>
    <w:rsid w:val="007307D9"/>
    <w:rsid w:val="00730811"/>
    <w:rsid w:val="00730877"/>
    <w:rsid w:val="00730A03"/>
    <w:rsid w:val="00730B1B"/>
    <w:rsid w:val="00730BDF"/>
    <w:rsid w:val="00730D61"/>
    <w:rsid w:val="00730DAA"/>
    <w:rsid w:val="00730FEF"/>
    <w:rsid w:val="00731242"/>
    <w:rsid w:val="007316B3"/>
    <w:rsid w:val="0073187A"/>
    <w:rsid w:val="007318B3"/>
    <w:rsid w:val="007318F1"/>
    <w:rsid w:val="007319E6"/>
    <w:rsid w:val="00731A01"/>
    <w:rsid w:val="00731C82"/>
    <w:rsid w:val="00731D81"/>
    <w:rsid w:val="00731DB8"/>
    <w:rsid w:val="00731DEF"/>
    <w:rsid w:val="00731E47"/>
    <w:rsid w:val="00731F58"/>
    <w:rsid w:val="007320F2"/>
    <w:rsid w:val="007322EC"/>
    <w:rsid w:val="007323DB"/>
    <w:rsid w:val="00732797"/>
    <w:rsid w:val="00732932"/>
    <w:rsid w:val="007329A4"/>
    <w:rsid w:val="00732A13"/>
    <w:rsid w:val="00732B24"/>
    <w:rsid w:val="00732B9C"/>
    <w:rsid w:val="00732C75"/>
    <w:rsid w:val="00732DB1"/>
    <w:rsid w:val="00732E53"/>
    <w:rsid w:val="00732EA1"/>
    <w:rsid w:val="00732EE9"/>
    <w:rsid w:val="00732F4B"/>
    <w:rsid w:val="00732F93"/>
    <w:rsid w:val="00732FDF"/>
    <w:rsid w:val="00733105"/>
    <w:rsid w:val="007332B3"/>
    <w:rsid w:val="007332F7"/>
    <w:rsid w:val="007334A7"/>
    <w:rsid w:val="0073365D"/>
    <w:rsid w:val="0073376C"/>
    <w:rsid w:val="00733939"/>
    <w:rsid w:val="00733957"/>
    <w:rsid w:val="0073399C"/>
    <w:rsid w:val="00733A61"/>
    <w:rsid w:val="00733BE9"/>
    <w:rsid w:val="00733C1E"/>
    <w:rsid w:val="00733C91"/>
    <w:rsid w:val="00733E6D"/>
    <w:rsid w:val="00733FC9"/>
    <w:rsid w:val="0073409B"/>
    <w:rsid w:val="0073411A"/>
    <w:rsid w:val="007342BE"/>
    <w:rsid w:val="0073437D"/>
    <w:rsid w:val="00734381"/>
    <w:rsid w:val="00734539"/>
    <w:rsid w:val="0073480C"/>
    <w:rsid w:val="007348AC"/>
    <w:rsid w:val="00734AEB"/>
    <w:rsid w:val="00734BE4"/>
    <w:rsid w:val="00734C82"/>
    <w:rsid w:val="00734D05"/>
    <w:rsid w:val="00734DFD"/>
    <w:rsid w:val="00734E3E"/>
    <w:rsid w:val="00734EF4"/>
    <w:rsid w:val="00734F22"/>
    <w:rsid w:val="00734F27"/>
    <w:rsid w:val="0073515E"/>
    <w:rsid w:val="00735422"/>
    <w:rsid w:val="007354BE"/>
    <w:rsid w:val="00735533"/>
    <w:rsid w:val="007356A4"/>
    <w:rsid w:val="007357C6"/>
    <w:rsid w:val="007357DF"/>
    <w:rsid w:val="0073594D"/>
    <w:rsid w:val="00735954"/>
    <w:rsid w:val="007359BF"/>
    <w:rsid w:val="00735A24"/>
    <w:rsid w:val="00735A6C"/>
    <w:rsid w:val="00735A73"/>
    <w:rsid w:val="00735ABE"/>
    <w:rsid w:val="00735DCA"/>
    <w:rsid w:val="00735EF7"/>
    <w:rsid w:val="00735FA2"/>
    <w:rsid w:val="0073601C"/>
    <w:rsid w:val="00736171"/>
    <w:rsid w:val="00736246"/>
    <w:rsid w:val="00736448"/>
    <w:rsid w:val="00736606"/>
    <w:rsid w:val="007366AB"/>
    <w:rsid w:val="007366D4"/>
    <w:rsid w:val="007366DE"/>
    <w:rsid w:val="00736742"/>
    <w:rsid w:val="00736760"/>
    <w:rsid w:val="0073681C"/>
    <w:rsid w:val="007369A1"/>
    <w:rsid w:val="00736A06"/>
    <w:rsid w:val="00736A7D"/>
    <w:rsid w:val="00736C28"/>
    <w:rsid w:val="00736C8D"/>
    <w:rsid w:val="00736E05"/>
    <w:rsid w:val="00736F1E"/>
    <w:rsid w:val="00737086"/>
    <w:rsid w:val="0073726C"/>
    <w:rsid w:val="007376B6"/>
    <w:rsid w:val="007376CE"/>
    <w:rsid w:val="007376CF"/>
    <w:rsid w:val="007378C6"/>
    <w:rsid w:val="007379A5"/>
    <w:rsid w:val="00737AAB"/>
    <w:rsid w:val="00737BBD"/>
    <w:rsid w:val="00737CC5"/>
    <w:rsid w:val="00737CC7"/>
    <w:rsid w:val="00737DB0"/>
    <w:rsid w:val="00737DC5"/>
    <w:rsid w:val="00737EA9"/>
    <w:rsid w:val="00737F3A"/>
    <w:rsid w:val="00737F84"/>
    <w:rsid w:val="00737FF1"/>
    <w:rsid w:val="007401F3"/>
    <w:rsid w:val="0074023F"/>
    <w:rsid w:val="0074027A"/>
    <w:rsid w:val="00740310"/>
    <w:rsid w:val="00740392"/>
    <w:rsid w:val="007403B5"/>
    <w:rsid w:val="00740540"/>
    <w:rsid w:val="00740670"/>
    <w:rsid w:val="00740828"/>
    <w:rsid w:val="007408D7"/>
    <w:rsid w:val="00740A7F"/>
    <w:rsid w:val="00740B4B"/>
    <w:rsid w:val="00740C89"/>
    <w:rsid w:val="00740CC8"/>
    <w:rsid w:val="00740F97"/>
    <w:rsid w:val="0074114C"/>
    <w:rsid w:val="00741163"/>
    <w:rsid w:val="00741270"/>
    <w:rsid w:val="007412DC"/>
    <w:rsid w:val="0074130A"/>
    <w:rsid w:val="0074155C"/>
    <w:rsid w:val="00741761"/>
    <w:rsid w:val="007417C0"/>
    <w:rsid w:val="00741881"/>
    <w:rsid w:val="00741B1B"/>
    <w:rsid w:val="00741B59"/>
    <w:rsid w:val="00741B7D"/>
    <w:rsid w:val="00741BEA"/>
    <w:rsid w:val="00741FFB"/>
    <w:rsid w:val="00742069"/>
    <w:rsid w:val="0074208B"/>
    <w:rsid w:val="0074210B"/>
    <w:rsid w:val="0074212C"/>
    <w:rsid w:val="00742178"/>
    <w:rsid w:val="007421D4"/>
    <w:rsid w:val="0074241C"/>
    <w:rsid w:val="007424B4"/>
    <w:rsid w:val="00742532"/>
    <w:rsid w:val="007425C8"/>
    <w:rsid w:val="007425C9"/>
    <w:rsid w:val="00742844"/>
    <w:rsid w:val="00742879"/>
    <w:rsid w:val="00742885"/>
    <w:rsid w:val="007428AF"/>
    <w:rsid w:val="0074290A"/>
    <w:rsid w:val="00742A96"/>
    <w:rsid w:val="00742B6F"/>
    <w:rsid w:val="00742C4F"/>
    <w:rsid w:val="00742D86"/>
    <w:rsid w:val="00742DEC"/>
    <w:rsid w:val="00743056"/>
    <w:rsid w:val="007431E2"/>
    <w:rsid w:val="0074346A"/>
    <w:rsid w:val="007434A8"/>
    <w:rsid w:val="00743552"/>
    <w:rsid w:val="00743586"/>
    <w:rsid w:val="007435ED"/>
    <w:rsid w:val="00743645"/>
    <w:rsid w:val="007436BB"/>
    <w:rsid w:val="007436C4"/>
    <w:rsid w:val="007436CD"/>
    <w:rsid w:val="007437EC"/>
    <w:rsid w:val="00743866"/>
    <w:rsid w:val="00743928"/>
    <w:rsid w:val="007439BB"/>
    <w:rsid w:val="007439F6"/>
    <w:rsid w:val="00743B67"/>
    <w:rsid w:val="00743C1E"/>
    <w:rsid w:val="00743D33"/>
    <w:rsid w:val="00743D6C"/>
    <w:rsid w:val="00743DA7"/>
    <w:rsid w:val="00743DF1"/>
    <w:rsid w:val="00744187"/>
    <w:rsid w:val="00744280"/>
    <w:rsid w:val="007442AF"/>
    <w:rsid w:val="007443CE"/>
    <w:rsid w:val="00744520"/>
    <w:rsid w:val="007445B0"/>
    <w:rsid w:val="00744606"/>
    <w:rsid w:val="0074471F"/>
    <w:rsid w:val="0074476A"/>
    <w:rsid w:val="00744A87"/>
    <w:rsid w:val="00744B30"/>
    <w:rsid w:val="00744B53"/>
    <w:rsid w:val="00744C35"/>
    <w:rsid w:val="00744CE3"/>
    <w:rsid w:val="00744CFB"/>
    <w:rsid w:val="00744D55"/>
    <w:rsid w:val="00744D72"/>
    <w:rsid w:val="00744F14"/>
    <w:rsid w:val="007450AD"/>
    <w:rsid w:val="007452F1"/>
    <w:rsid w:val="00745780"/>
    <w:rsid w:val="007457B1"/>
    <w:rsid w:val="007457E3"/>
    <w:rsid w:val="00745A22"/>
    <w:rsid w:val="00745B85"/>
    <w:rsid w:val="00745CFB"/>
    <w:rsid w:val="00745D05"/>
    <w:rsid w:val="00745F2E"/>
    <w:rsid w:val="00745F3E"/>
    <w:rsid w:val="00746076"/>
    <w:rsid w:val="007463F4"/>
    <w:rsid w:val="00746401"/>
    <w:rsid w:val="00746439"/>
    <w:rsid w:val="00746661"/>
    <w:rsid w:val="0074672D"/>
    <w:rsid w:val="0074679A"/>
    <w:rsid w:val="00746815"/>
    <w:rsid w:val="0074693A"/>
    <w:rsid w:val="00746A2E"/>
    <w:rsid w:val="00746A3E"/>
    <w:rsid w:val="00746AA8"/>
    <w:rsid w:val="00746BE8"/>
    <w:rsid w:val="00746CA2"/>
    <w:rsid w:val="00746E6A"/>
    <w:rsid w:val="00746F40"/>
    <w:rsid w:val="00747190"/>
    <w:rsid w:val="00747195"/>
    <w:rsid w:val="0074744F"/>
    <w:rsid w:val="0074748E"/>
    <w:rsid w:val="0074750B"/>
    <w:rsid w:val="0074766F"/>
    <w:rsid w:val="007476FF"/>
    <w:rsid w:val="00747D3C"/>
    <w:rsid w:val="00747EAF"/>
    <w:rsid w:val="00747F5F"/>
    <w:rsid w:val="007500EA"/>
    <w:rsid w:val="007502B6"/>
    <w:rsid w:val="00750599"/>
    <w:rsid w:val="007505FB"/>
    <w:rsid w:val="007506A6"/>
    <w:rsid w:val="007507CA"/>
    <w:rsid w:val="00750AAB"/>
    <w:rsid w:val="00750C0F"/>
    <w:rsid w:val="00750C15"/>
    <w:rsid w:val="00750C6C"/>
    <w:rsid w:val="00750DB5"/>
    <w:rsid w:val="00750E56"/>
    <w:rsid w:val="00750F4D"/>
    <w:rsid w:val="00750FE0"/>
    <w:rsid w:val="007511FF"/>
    <w:rsid w:val="00751200"/>
    <w:rsid w:val="00751240"/>
    <w:rsid w:val="00751458"/>
    <w:rsid w:val="007514A0"/>
    <w:rsid w:val="007514A6"/>
    <w:rsid w:val="007514B7"/>
    <w:rsid w:val="00751631"/>
    <w:rsid w:val="007516B7"/>
    <w:rsid w:val="00751755"/>
    <w:rsid w:val="007518D1"/>
    <w:rsid w:val="00751917"/>
    <w:rsid w:val="00751924"/>
    <w:rsid w:val="00751BBC"/>
    <w:rsid w:val="00751DC1"/>
    <w:rsid w:val="00751E03"/>
    <w:rsid w:val="00751E58"/>
    <w:rsid w:val="00751EC7"/>
    <w:rsid w:val="007521CE"/>
    <w:rsid w:val="00752334"/>
    <w:rsid w:val="007523B4"/>
    <w:rsid w:val="00752494"/>
    <w:rsid w:val="007524D0"/>
    <w:rsid w:val="00752542"/>
    <w:rsid w:val="007527AD"/>
    <w:rsid w:val="007529F6"/>
    <w:rsid w:val="00752AC6"/>
    <w:rsid w:val="00752D3A"/>
    <w:rsid w:val="00752DB9"/>
    <w:rsid w:val="0075304A"/>
    <w:rsid w:val="00753065"/>
    <w:rsid w:val="0075317A"/>
    <w:rsid w:val="007532FB"/>
    <w:rsid w:val="0075346C"/>
    <w:rsid w:val="007534EF"/>
    <w:rsid w:val="007536F9"/>
    <w:rsid w:val="007539E2"/>
    <w:rsid w:val="00753A16"/>
    <w:rsid w:val="00753A6D"/>
    <w:rsid w:val="00753B2B"/>
    <w:rsid w:val="00753BF9"/>
    <w:rsid w:val="00753C25"/>
    <w:rsid w:val="00753C4F"/>
    <w:rsid w:val="00753D26"/>
    <w:rsid w:val="00753DC8"/>
    <w:rsid w:val="00753E66"/>
    <w:rsid w:val="00754183"/>
    <w:rsid w:val="0075433D"/>
    <w:rsid w:val="00754438"/>
    <w:rsid w:val="007544C8"/>
    <w:rsid w:val="00754597"/>
    <w:rsid w:val="00754633"/>
    <w:rsid w:val="00754A05"/>
    <w:rsid w:val="00754A87"/>
    <w:rsid w:val="00754AA8"/>
    <w:rsid w:val="00754AB7"/>
    <w:rsid w:val="00754B7E"/>
    <w:rsid w:val="00754D32"/>
    <w:rsid w:val="00754D63"/>
    <w:rsid w:val="00754D6B"/>
    <w:rsid w:val="00754F54"/>
    <w:rsid w:val="00754F6C"/>
    <w:rsid w:val="007552D9"/>
    <w:rsid w:val="007553CB"/>
    <w:rsid w:val="007553FA"/>
    <w:rsid w:val="00755429"/>
    <w:rsid w:val="0075545C"/>
    <w:rsid w:val="007555D8"/>
    <w:rsid w:val="00755719"/>
    <w:rsid w:val="00755740"/>
    <w:rsid w:val="0075574D"/>
    <w:rsid w:val="0075575B"/>
    <w:rsid w:val="007558F6"/>
    <w:rsid w:val="00755959"/>
    <w:rsid w:val="00755A45"/>
    <w:rsid w:val="00755CB2"/>
    <w:rsid w:val="0075601D"/>
    <w:rsid w:val="007560E9"/>
    <w:rsid w:val="00756282"/>
    <w:rsid w:val="00756816"/>
    <w:rsid w:val="007568F4"/>
    <w:rsid w:val="00756A63"/>
    <w:rsid w:val="00756AA2"/>
    <w:rsid w:val="00756ABA"/>
    <w:rsid w:val="00756C5D"/>
    <w:rsid w:val="00756C90"/>
    <w:rsid w:val="00756CD1"/>
    <w:rsid w:val="00756E91"/>
    <w:rsid w:val="00756EE4"/>
    <w:rsid w:val="00756F68"/>
    <w:rsid w:val="00756F73"/>
    <w:rsid w:val="0075702A"/>
    <w:rsid w:val="00757033"/>
    <w:rsid w:val="00757048"/>
    <w:rsid w:val="007570B5"/>
    <w:rsid w:val="0075712B"/>
    <w:rsid w:val="00757182"/>
    <w:rsid w:val="007573B2"/>
    <w:rsid w:val="00757451"/>
    <w:rsid w:val="00757544"/>
    <w:rsid w:val="007576C7"/>
    <w:rsid w:val="0075783D"/>
    <w:rsid w:val="00757863"/>
    <w:rsid w:val="007579B1"/>
    <w:rsid w:val="00757A22"/>
    <w:rsid w:val="00757B16"/>
    <w:rsid w:val="00757BC1"/>
    <w:rsid w:val="00757CC6"/>
    <w:rsid w:val="00757CEC"/>
    <w:rsid w:val="00757D5C"/>
    <w:rsid w:val="00757EC8"/>
    <w:rsid w:val="00757F29"/>
    <w:rsid w:val="00757F3B"/>
    <w:rsid w:val="00757F85"/>
    <w:rsid w:val="007602BC"/>
    <w:rsid w:val="0076030B"/>
    <w:rsid w:val="0076038B"/>
    <w:rsid w:val="00760435"/>
    <w:rsid w:val="0076043D"/>
    <w:rsid w:val="0076050C"/>
    <w:rsid w:val="007606A1"/>
    <w:rsid w:val="007606EC"/>
    <w:rsid w:val="00760A40"/>
    <w:rsid w:val="00760A6A"/>
    <w:rsid w:val="00760AA0"/>
    <w:rsid w:val="00760AEF"/>
    <w:rsid w:val="00760D5B"/>
    <w:rsid w:val="00760F34"/>
    <w:rsid w:val="00760F35"/>
    <w:rsid w:val="00760F7B"/>
    <w:rsid w:val="00761182"/>
    <w:rsid w:val="00761330"/>
    <w:rsid w:val="00761379"/>
    <w:rsid w:val="007614F2"/>
    <w:rsid w:val="00761599"/>
    <w:rsid w:val="00761662"/>
    <w:rsid w:val="007616B0"/>
    <w:rsid w:val="007616D4"/>
    <w:rsid w:val="00761B7B"/>
    <w:rsid w:val="00761C7A"/>
    <w:rsid w:val="00761D9A"/>
    <w:rsid w:val="00761DF0"/>
    <w:rsid w:val="00761E39"/>
    <w:rsid w:val="00761EC2"/>
    <w:rsid w:val="0076217B"/>
    <w:rsid w:val="00762250"/>
    <w:rsid w:val="00762283"/>
    <w:rsid w:val="0076231A"/>
    <w:rsid w:val="007623AF"/>
    <w:rsid w:val="00762581"/>
    <w:rsid w:val="007626BE"/>
    <w:rsid w:val="0076295A"/>
    <w:rsid w:val="007629A5"/>
    <w:rsid w:val="007629F0"/>
    <w:rsid w:val="00762B7D"/>
    <w:rsid w:val="00762BB8"/>
    <w:rsid w:val="00762E20"/>
    <w:rsid w:val="00762E5C"/>
    <w:rsid w:val="007630AF"/>
    <w:rsid w:val="00763156"/>
    <w:rsid w:val="0076319F"/>
    <w:rsid w:val="00763236"/>
    <w:rsid w:val="007632DF"/>
    <w:rsid w:val="007633B1"/>
    <w:rsid w:val="007634F3"/>
    <w:rsid w:val="0076362D"/>
    <w:rsid w:val="00763676"/>
    <w:rsid w:val="0076386B"/>
    <w:rsid w:val="007639D7"/>
    <w:rsid w:val="00763A6C"/>
    <w:rsid w:val="00763A74"/>
    <w:rsid w:val="00763CDE"/>
    <w:rsid w:val="00763E4B"/>
    <w:rsid w:val="00763FE5"/>
    <w:rsid w:val="00764024"/>
    <w:rsid w:val="0076424B"/>
    <w:rsid w:val="00764266"/>
    <w:rsid w:val="0076436C"/>
    <w:rsid w:val="007643C5"/>
    <w:rsid w:val="00764582"/>
    <w:rsid w:val="00764600"/>
    <w:rsid w:val="007646E1"/>
    <w:rsid w:val="007647C7"/>
    <w:rsid w:val="007648FB"/>
    <w:rsid w:val="0076492C"/>
    <w:rsid w:val="007649F7"/>
    <w:rsid w:val="00764C99"/>
    <w:rsid w:val="00764D8E"/>
    <w:rsid w:val="00764DAC"/>
    <w:rsid w:val="00764DB5"/>
    <w:rsid w:val="00764EA5"/>
    <w:rsid w:val="00764EBA"/>
    <w:rsid w:val="00764F5F"/>
    <w:rsid w:val="00765583"/>
    <w:rsid w:val="007655C9"/>
    <w:rsid w:val="00765702"/>
    <w:rsid w:val="00765A5E"/>
    <w:rsid w:val="00765B1E"/>
    <w:rsid w:val="00765BF0"/>
    <w:rsid w:val="00765F1F"/>
    <w:rsid w:val="00765F65"/>
    <w:rsid w:val="007661B0"/>
    <w:rsid w:val="00766242"/>
    <w:rsid w:val="007664D7"/>
    <w:rsid w:val="007665D1"/>
    <w:rsid w:val="00766602"/>
    <w:rsid w:val="0076660D"/>
    <w:rsid w:val="007666B4"/>
    <w:rsid w:val="00766794"/>
    <w:rsid w:val="007667F2"/>
    <w:rsid w:val="00766A78"/>
    <w:rsid w:val="00766B32"/>
    <w:rsid w:val="00766C9C"/>
    <w:rsid w:val="00766CE5"/>
    <w:rsid w:val="00766CF1"/>
    <w:rsid w:val="00766E57"/>
    <w:rsid w:val="00766F00"/>
    <w:rsid w:val="00766F4E"/>
    <w:rsid w:val="007670AD"/>
    <w:rsid w:val="0076715F"/>
    <w:rsid w:val="0076718C"/>
    <w:rsid w:val="007673F9"/>
    <w:rsid w:val="007673FA"/>
    <w:rsid w:val="00767564"/>
    <w:rsid w:val="007675A2"/>
    <w:rsid w:val="007675AD"/>
    <w:rsid w:val="00767695"/>
    <w:rsid w:val="00767909"/>
    <w:rsid w:val="00767A14"/>
    <w:rsid w:val="00767BA2"/>
    <w:rsid w:val="00767C37"/>
    <w:rsid w:val="00767D19"/>
    <w:rsid w:val="00767DD8"/>
    <w:rsid w:val="00767E89"/>
    <w:rsid w:val="00767F3B"/>
    <w:rsid w:val="00767FD9"/>
    <w:rsid w:val="007701DE"/>
    <w:rsid w:val="0077020E"/>
    <w:rsid w:val="00770277"/>
    <w:rsid w:val="00770330"/>
    <w:rsid w:val="007703AB"/>
    <w:rsid w:val="00770602"/>
    <w:rsid w:val="00770650"/>
    <w:rsid w:val="007706E4"/>
    <w:rsid w:val="00770726"/>
    <w:rsid w:val="0077081D"/>
    <w:rsid w:val="00770A68"/>
    <w:rsid w:val="00770AA3"/>
    <w:rsid w:val="00770ADD"/>
    <w:rsid w:val="00770B8A"/>
    <w:rsid w:val="00770BC7"/>
    <w:rsid w:val="00770C7F"/>
    <w:rsid w:val="00770D66"/>
    <w:rsid w:val="00770ECE"/>
    <w:rsid w:val="007711D7"/>
    <w:rsid w:val="00771255"/>
    <w:rsid w:val="00771416"/>
    <w:rsid w:val="0077143A"/>
    <w:rsid w:val="007714CA"/>
    <w:rsid w:val="007715A0"/>
    <w:rsid w:val="00771749"/>
    <w:rsid w:val="00771842"/>
    <w:rsid w:val="0077184A"/>
    <w:rsid w:val="0077188B"/>
    <w:rsid w:val="00771ABB"/>
    <w:rsid w:val="00771ADA"/>
    <w:rsid w:val="00771AF2"/>
    <w:rsid w:val="00771AF3"/>
    <w:rsid w:val="00771B5B"/>
    <w:rsid w:val="00771BC5"/>
    <w:rsid w:val="00771DF8"/>
    <w:rsid w:val="007720E0"/>
    <w:rsid w:val="0077220C"/>
    <w:rsid w:val="00772213"/>
    <w:rsid w:val="0077221D"/>
    <w:rsid w:val="0077223B"/>
    <w:rsid w:val="0077239D"/>
    <w:rsid w:val="007724CC"/>
    <w:rsid w:val="00772699"/>
    <w:rsid w:val="007726B1"/>
    <w:rsid w:val="0077280D"/>
    <w:rsid w:val="00772957"/>
    <w:rsid w:val="00772B9C"/>
    <w:rsid w:val="00772CD5"/>
    <w:rsid w:val="00772CF9"/>
    <w:rsid w:val="00772D18"/>
    <w:rsid w:val="00772E10"/>
    <w:rsid w:val="00772E1A"/>
    <w:rsid w:val="00772E54"/>
    <w:rsid w:val="00772FC7"/>
    <w:rsid w:val="007731A8"/>
    <w:rsid w:val="0077320A"/>
    <w:rsid w:val="007732CA"/>
    <w:rsid w:val="00773311"/>
    <w:rsid w:val="007733A0"/>
    <w:rsid w:val="007733CD"/>
    <w:rsid w:val="00773432"/>
    <w:rsid w:val="00773443"/>
    <w:rsid w:val="00773700"/>
    <w:rsid w:val="0077382B"/>
    <w:rsid w:val="00773A1D"/>
    <w:rsid w:val="00773AC3"/>
    <w:rsid w:val="00773AE4"/>
    <w:rsid w:val="00773D88"/>
    <w:rsid w:val="00773E85"/>
    <w:rsid w:val="00773EED"/>
    <w:rsid w:val="00774090"/>
    <w:rsid w:val="0077419C"/>
    <w:rsid w:val="00774249"/>
    <w:rsid w:val="007742C4"/>
    <w:rsid w:val="007742CB"/>
    <w:rsid w:val="007742DC"/>
    <w:rsid w:val="0077439D"/>
    <w:rsid w:val="00774464"/>
    <w:rsid w:val="0077458A"/>
    <w:rsid w:val="007746B5"/>
    <w:rsid w:val="007747B4"/>
    <w:rsid w:val="00774820"/>
    <w:rsid w:val="0077490D"/>
    <w:rsid w:val="00774A29"/>
    <w:rsid w:val="00774A6C"/>
    <w:rsid w:val="00774A9E"/>
    <w:rsid w:val="00774BA4"/>
    <w:rsid w:val="00774EE2"/>
    <w:rsid w:val="00774F15"/>
    <w:rsid w:val="00774FA2"/>
    <w:rsid w:val="0077505F"/>
    <w:rsid w:val="007750B1"/>
    <w:rsid w:val="00775152"/>
    <w:rsid w:val="00775200"/>
    <w:rsid w:val="00775210"/>
    <w:rsid w:val="0077527B"/>
    <w:rsid w:val="0077543F"/>
    <w:rsid w:val="00775445"/>
    <w:rsid w:val="0077546C"/>
    <w:rsid w:val="00775A79"/>
    <w:rsid w:val="00775B84"/>
    <w:rsid w:val="00775BE2"/>
    <w:rsid w:val="00775F34"/>
    <w:rsid w:val="00775F45"/>
    <w:rsid w:val="00776019"/>
    <w:rsid w:val="007760AB"/>
    <w:rsid w:val="007761F0"/>
    <w:rsid w:val="007761FE"/>
    <w:rsid w:val="007762BE"/>
    <w:rsid w:val="00776386"/>
    <w:rsid w:val="00776504"/>
    <w:rsid w:val="00776628"/>
    <w:rsid w:val="00776707"/>
    <w:rsid w:val="00776755"/>
    <w:rsid w:val="00776853"/>
    <w:rsid w:val="007769EE"/>
    <w:rsid w:val="00776A53"/>
    <w:rsid w:val="00776B1C"/>
    <w:rsid w:val="00776B22"/>
    <w:rsid w:val="00776B48"/>
    <w:rsid w:val="00776BA3"/>
    <w:rsid w:val="00776BA7"/>
    <w:rsid w:val="00776E15"/>
    <w:rsid w:val="00777198"/>
    <w:rsid w:val="00777233"/>
    <w:rsid w:val="0077725B"/>
    <w:rsid w:val="00777547"/>
    <w:rsid w:val="0077761E"/>
    <w:rsid w:val="0077765F"/>
    <w:rsid w:val="007776B2"/>
    <w:rsid w:val="00777904"/>
    <w:rsid w:val="0077797F"/>
    <w:rsid w:val="00777A0C"/>
    <w:rsid w:val="00777C72"/>
    <w:rsid w:val="00777E49"/>
    <w:rsid w:val="00777F92"/>
    <w:rsid w:val="00777FB2"/>
    <w:rsid w:val="00780018"/>
    <w:rsid w:val="00780019"/>
    <w:rsid w:val="00780036"/>
    <w:rsid w:val="0078005C"/>
    <w:rsid w:val="00780218"/>
    <w:rsid w:val="007802D0"/>
    <w:rsid w:val="007802D7"/>
    <w:rsid w:val="0078032E"/>
    <w:rsid w:val="0078046E"/>
    <w:rsid w:val="00780531"/>
    <w:rsid w:val="0078059D"/>
    <w:rsid w:val="00780729"/>
    <w:rsid w:val="00780788"/>
    <w:rsid w:val="00780904"/>
    <w:rsid w:val="00780A07"/>
    <w:rsid w:val="00780B57"/>
    <w:rsid w:val="00780B75"/>
    <w:rsid w:val="00780D38"/>
    <w:rsid w:val="00780E09"/>
    <w:rsid w:val="00780EBB"/>
    <w:rsid w:val="00780F54"/>
    <w:rsid w:val="00781140"/>
    <w:rsid w:val="0078118A"/>
    <w:rsid w:val="0078122A"/>
    <w:rsid w:val="00781322"/>
    <w:rsid w:val="00781365"/>
    <w:rsid w:val="007813F6"/>
    <w:rsid w:val="00781507"/>
    <w:rsid w:val="007818D6"/>
    <w:rsid w:val="00781910"/>
    <w:rsid w:val="00781BEB"/>
    <w:rsid w:val="00781E5D"/>
    <w:rsid w:val="00781F47"/>
    <w:rsid w:val="007822BF"/>
    <w:rsid w:val="00782308"/>
    <w:rsid w:val="007824CC"/>
    <w:rsid w:val="00782512"/>
    <w:rsid w:val="0078258E"/>
    <w:rsid w:val="007825BD"/>
    <w:rsid w:val="007826FC"/>
    <w:rsid w:val="007827CC"/>
    <w:rsid w:val="00782924"/>
    <w:rsid w:val="007829BE"/>
    <w:rsid w:val="00782B2E"/>
    <w:rsid w:val="00782C2C"/>
    <w:rsid w:val="00782D77"/>
    <w:rsid w:val="00782D78"/>
    <w:rsid w:val="00782E5F"/>
    <w:rsid w:val="00783111"/>
    <w:rsid w:val="007831BF"/>
    <w:rsid w:val="007831DE"/>
    <w:rsid w:val="007831FD"/>
    <w:rsid w:val="0078327D"/>
    <w:rsid w:val="00783361"/>
    <w:rsid w:val="00783371"/>
    <w:rsid w:val="007834CD"/>
    <w:rsid w:val="007835CF"/>
    <w:rsid w:val="0078365E"/>
    <w:rsid w:val="007837DB"/>
    <w:rsid w:val="0078387D"/>
    <w:rsid w:val="00783895"/>
    <w:rsid w:val="007838B8"/>
    <w:rsid w:val="007838D6"/>
    <w:rsid w:val="007839B7"/>
    <w:rsid w:val="007839F0"/>
    <w:rsid w:val="00783A90"/>
    <w:rsid w:val="00783B93"/>
    <w:rsid w:val="00783BD6"/>
    <w:rsid w:val="00783C9F"/>
    <w:rsid w:val="00783CB2"/>
    <w:rsid w:val="00783F8B"/>
    <w:rsid w:val="00784121"/>
    <w:rsid w:val="007842FD"/>
    <w:rsid w:val="0078430A"/>
    <w:rsid w:val="0078434E"/>
    <w:rsid w:val="00784491"/>
    <w:rsid w:val="00784714"/>
    <w:rsid w:val="007847F5"/>
    <w:rsid w:val="0078488B"/>
    <w:rsid w:val="00784934"/>
    <w:rsid w:val="00784988"/>
    <w:rsid w:val="007849B2"/>
    <w:rsid w:val="00784B31"/>
    <w:rsid w:val="00784B65"/>
    <w:rsid w:val="00784CC5"/>
    <w:rsid w:val="00784D38"/>
    <w:rsid w:val="00784DA7"/>
    <w:rsid w:val="00784E75"/>
    <w:rsid w:val="00784E8A"/>
    <w:rsid w:val="00784EBE"/>
    <w:rsid w:val="00784F1D"/>
    <w:rsid w:val="007852EF"/>
    <w:rsid w:val="00785408"/>
    <w:rsid w:val="00785421"/>
    <w:rsid w:val="0078556A"/>
    <w:rsid w:val="00785749"/>
    <w:rsid w:val="007857A4"/>
    <w:rsid w:val="00785A1D"/>
    <w:rsid w:val="00785AA2"/>
    <w:rsid w:val="00785B4E"/>
    <w:rsid w:val="00785D05"/>
    <w:rsid w:val="00785D59"/>
    <w:rsid w:val="00785E20"/>
    <w:rsid w:val="00785E40"/>
    <w:rsid w:val="00785E88"/>
    <w:rsid w:val="00785F6D"/>
    <w:rsid w:val="00785FB8"/>
    <w:rsid w:val="00786125"/>
    <w:rsid w:val="007865BF"/>
    <w:rsid w:val="007866AF"/>
    <w:rsid w:val="007868E5"/>
    <w:rsid w:val="00786967"/>
    <w:rsid w:val="007869AF"/>
    <w:rsid w:val="00786B86"/>
    <w:rsid w:val="00786C17"/>
    <w:rsid w:val="00786CFA"/>
    <w:rsid w:val="00786D27"/>
    <w:rsid w:val="00786DE4"/>
    <w:rsid w:val="00786E83"/>
    <w:rsid w:val="00786EE3"/>
    <w:rsid w:val="00786FA5"/>
    <w:rsid w:val="00787189"/>
    <w:rsid w:val="0078728C"/>
    <w:rsid w:val="00787397"/>
    <w:rsid w:val="007873ED"/>
    <w:rsid w:val="00787400"/>
    <w:rsid w:val="00787403"/>
    <w:rsid w:val="00787487"/>
    <w:rsid w:val="00787558"/>
    <w:rsid w:val="00787629"/>
    <w:rsid w:val="00787765"/>
    <w:rsid w:val="0078785E"/>
    <w:rsid w:val="007878E7"/>
    <w:rsid w:val="00787986"/>
    <w:rsid w:val="007879A1"/>
    <w:rsid w:val="007879DE"/>
    <w:rsid w:val="00787BF6"/>
    <w:rsid w:val="00787D0D"/>
    <w:rsid w:val="00787D94"/>
    <w:rsid w:val="00787DF2"/>
    <w:rsid w:val="00787E3C"/>
    <w:rsid w:val="00787E50"/>
    <w:rsid w:val="00787EA3"/>
    <w:rsid w:val="00787ECC"/>
    <w:rsid w:val="00787EDA"/>
    <w:rsid w:val="00790180"/>
    <w:rsid w:val="007901ED"/>
    <w:rsid w:val="00790304"/>
    <w:rsid w:val="00790378"/>
    <w:rsid w:val="007903B9"/>
    <w:rsid w:val="00790608"/>
    <w:rsid w:val="0079060B"/>
    <w:rsid w:val="007908FB"/>
    <w:rsid w:val="0079090F"/>
    <w:rsid w:val="00790A45"/>
    <w:rsid w:val="00790AA1"/>
    <w:rsid w:val="00790B4D"/>
    <w:rsid w:val="00790C22"/>
    <w:rsid w:val="0079135D"/>
    <w:rsid w:val="00791393"/>
    <w:rsid w:val="00791478"/>
    <w:rsid w:val="007914CD"/>
    <w:rsid w:val="007914DD"/>
    <w:rsid w:val="007915CA"/>
    <w:rsid w:val="00791822"/>
    <w:rsid w:val="0079182B"/>
    <w:rsid w:val="00791887"/>
    <w:rsid w:val="00791D09"/>
    <w:rsid w:val="00791EDE"/>
    <w:rsid w:val="00791EF8"/>
    <w:rsid w:val="0079202E"/>
    <w:rsid w:val="007920C1"/>
    <w:rsid w:val="007920F1"/>
    <w:rsid w:val="007920F3"/>
    <w:rsid w:val="007921EF"/>
    <w:rsid w:val="00792209"/>
    <w:rsid w:val="007922F9"/>
    <w:rsid w:val="00792333"/>
    <w:rsid w:val="0079263B"/>
    <w:rsid w:val="00792708"/>
    <w:rsid w:val="00792757"/>
    <w:rsid w:val="007927C1"/>
    <w:rsid w:val="007927F0"/>
    <w:rsid w:val="00792855"/>
    <w:rsid w:val="0079296D"/>
    <w:rsid w:val="007929CA"/>
    <w:rsid w:val="00792A23"/>
    <w:rsid w:val="00792BB8"/>
    <w:rsid w:val="00792C13"/>
    <w:rsid w:val="00792C7D"/>
    <w:rsid w:val="00792CC4"/>
    <w:rsid w:val="00792D17"/>
    <w:rsid w:val="00792E4C"/>
    <w:rsid w:val="00792E98"/>
    <w:rsid w:val="00792E9A"/>
    <w:rsid w:val="00792F07"/>
    <w:rsid w:val="0079302F"/>
    <w:rsid w:val="0079304D"/>
    <w:rsid w:val="0079306B"/>
    <w:rsid w:val="00793091"/>
    <w:rsid w:val="007934D6"/>
    <w:rsid w:val="007935A7"/>
    <w:rsid w:val="007935FA"/>
    <w:rsid w:val="00793762"/>
    <w:rsid w:val="007937B1"/>
    <w:rsid w:val="007937F0"/>
    <w:rsid w:val="00793AB7"/>
    <w:rsid w:val="00793B2A"/>
    <w:rsid w:val="00793B9F"/>
    <w:rsid w:val="00793C9B"/>
    <w:rsid w:val="00793CFD"/>
    <w:rsid w:val="00793D75"/>
    <w:rsid w:val="00793F5F"/>
    <w:rsid w:val="007940E6"/>
    <w:rsid w:val="0079439A"/>
    <w:rsid w:val="007944B6"/>
    <w:rsid w:val="007944E7"/>
    <w:rsid w:val="0079457C"/>
    <w:rsid w:val="00794586"/>
    <w:rsid w:val="007947C1"/>
    <w:rsid w:val="00794B13"/>
    <w:rsid w:val="00794C21"/>
    <w:rsid w:val="00794C62"/>
    <w:rsid w:val="00794C8C"/>
    <w:rsid w:val="00794C9E"/>
    <w:rsid w:val="00794D0A"/>
    <w:rsid w:val="00794D0B"/>
    <w:rsid w:val="00794D83"/>
    <w:rsid w:val="00794E25"/>
    <w:rsid w:val="00794FF9"/>
    <w:rsid w:val="007950DB"/>
    <w:rsid w:val="007950E5"/>
    <w:rsid w:val="007951E1"/>
    <w:rsid w:val="007951F1"/>
    <w:rsid w:val="00795311"/>
    <w:rsid w:val="007953E8"/>
    <w:rsid w:val="007953FE"/>
    <w:rsid w:val="00795430"/>
    <w:rsid w:val="00795498"/>
    <w:rsid w:val="007954D1"/>
    <w:rsid w:val="0079556B"/>
    <w:rsid w:val="0079561A"/>
    <w:rsid w:val="007956A7"/>
    <w:rsid w:val="007956F5"/>
    <w:rsid w:val="00795725"/>
    <w:rsid w:val="007958A7"/>
    <w:rsid w:val="007959C1"/>
    <w:rsid w:val="00795A02"/>
    <w:rsid w:val="00795A77"/>
    <w:rsid w:val="00795AA2"/>
    <w:rsid w:val="00795B6E"/>
    <w:rsid w:val="00795B98"/>
    <w:rsid w:val="00795E9E"/>
    <w:rsid w:val="00795FE6"/>
    <w:rsid w:val="0079612C"/>
    <w:rsid w:val="00796275"/>
    <w:rsid w:val="007963FE"/>
    <w:rsid w:val="00796484"/>
    <w:rsid w:val="00796712"/>
    <w:rsid w:val="007967C1"/>
    <w:rsid w:val="007969E5"/>
    <w:rsid w:val="00796A56"/>
    <w:rsid w:val="00796A9F"/>
    <w:rsid w:val="00796ABF"/>
    <w:rsid w:val="00796B53"/>
    <w:rsid w:val="00796C5E"/>
    <w:rsid w:val="00796EB5"/>
    <w:rsid w:val="00796EF8"/>
    <w:rsid w:val="007970E9"/>
    <w:rsid w:val="00797156"/>
    <w:rsid w:val="007971CC"/>
    <w:rsid w:val="007971F5"/>
    <w:rsid w:val="0079723C"/>
    <w:rsid w:val="0079735A"/>
    <w:rsid w:val="00797395"/>
    <w:rsid w:val="0079778C"/>
    <w:rsid w:val="007977B4"/>
    <w:rsid w:val="0079788B"/>
    <w:rsid w:val="00797894"/>
    <w:rsid w:val="00797898"/>
    <w:rsid w:val="007978E1"/>
    <w:rsid w:val="007979D0"/>
    <w:rsid w:val="00797D8B"/>
    <w:rsid w:val="00797E83"/>
    <w:rsid w:val="00797EC1"/>
    <w:rsid w:val="00797F7C"/>
    <w:rsid w:val="007A0254"/>
    <w:rsid w:val="007A0558"/>
    <w:rsid w:val="007A05EF"/>
    <w:rsid w:val="007A0691"/>
    <w:rsid w:val="007A073F"/>
    <w:rsid w:val="007A0886"/>
    <w:rsid w:val="007A08C4"/>
    <w:rsid w:val="007A08D6"/>
    <w:rsid w:val="007A0A3C"/>
    <w:rsid w:val="007A0B9A"/>
    <w:rsid w:val="007A0D66"/>
    <w:rsid w:val="007A0D6E"/>
    <w:rsid w:val="007A0E5E"/>
    <w:rsid w:val="007A1030"/>
    <w:rsid w:val="007A142B"/>
    <w:rsid w:val="007A1592"/>
    <w:rsid w:val="007A1634"/>
    <w:rsid w:val="007A1665"/>
    <w:rsid w:val="007A1752"/>
    <w:rsid w:val="007A175A"/>
    <w:rsid w:val="007A1962"/>
    <w:rsid w:val="007A1993"/>
    <w:rsid w:val="007A1A0C"/>
    <w:rsid w:val="007A1AB5"/>
    <w:rsid w:val="007A1B41"/>
    <w:rsid w:val="007A1BBA"/>
    <w:rsid w:val="007A1BFA"/>
    <w:rsid w:val="007A1C35"/>
    <w:rsid w:val="007A1CFD"/>
    <w:rsid w:val="007A1D0E"/>
    <w:rsid w:val="007A1D15"/>
    <w:rsid w:val="007A1E9F"/>
    <w:rsid w:val="007A1F22"/>
    <w:rsid w:val="007A1F39"/>
    <w:rsid w:val="007A220D"/>
    <w:rsid w:val="007A223B"/>
    <w:rsid w:val="007A24D3"/>
    <w:rsid w:val="007A2654"/>
    <w:rsid w:val="007A27E0"/>
    <w:rsid w:val="007A2814"/>
    <w:rsid w:val="007A28ED"/>
    <w:rsid w:val="007A2B7F"/>
    <w:rsid w:val="007A2BBD"/>
    <w:rsid w:val="007A2D9F"/>
    <w:rsid w:val="007A2F44"/>
    <w:rsid w:val="007A2FB6"/>
    <w:rsid w:val="007A3036"/>
    <w:rsid w:val="007A318E"/>
    <w:rsid w:val="007A32B8"/>
    <w:rsid w:val="007A333A"/>
    <w:rsid w:val="007A354E"/>
    <w:rsid w:val="007A3726"/>
    <w:rsid w:val="007A37FA"/>
    <w:rsid w:val="007A38B6"/>
    <w:rsid w:val="007A3922"/>
    <w:rsid w:val="007A39BF"/>
    <w:rsid w:val="007A39EE"/>
    <w:rsid w:val="007A3AEE"/>
    <w:rsid w:val="007A3C31"/>
    <w:rsid w:val="007A3CED"/>
    <w:rsid w:val="007A3DE6"/>
    <w:rsid w:val="007A4226"/>
    <w:rsid w:val="007A436A"/>
    <w:rsid w:val="007A4419"/>
    <w:rsid w:val="007A472E"/>
    <w:rsid w:val="007A481F"/>
    <w:rsid w:val="007A492E"/>
    <w:rsid w:val="007A496B"/>
    <w:rsid w:val="007A49D2"/>
    <w:rsid w:val="007A4A7C"/>
    <w:rsid w:val="007A4C67"/>
    <w:rsid w:val="007A4CA0"/>
    <w:rsid w:val="007A4D44"/>
    <w:rsid w:val="007A4DF3"/>
    <w:rsid w:val="007A4ECE"/>
    <w:rsid w:val="007A4F1E"/>
    <w:rsid w:val="007A50B6"/>
    <w:rsid w:val="007A513E"/>
    <w:rsid w:val="007A5142"/>
    <w:rsid w:val="007A5247"/>
    <w:rsid w:val="007A5294"/>
    <w:rsid w:val="007A5404"/>
    <w:rsid w:val="007A561E"/>
    <w:rsid w:val="007A5709"/>
    <w:rsid w:val="007A5998"/>
    <w:rsid w:val="007A5A9A"/>
    <w:rsid w:val="007A5B92"/>
    <w:rsid w:val="007A5C61"/>
    <w:rsid w:val="007A5CEC"/>
    <w:rsid w:val="007A5D40"/>
    <w:rsid w:val="007A5DB3"/>
    <w:rsid w:val="007A5DCC"/>
    <w:rsid w:val="007A5EE9"/>
    <w:rsid w:val="007A5F43"/>
    <w:rsid w:val="007A5F70"/>
    <w:rsid w:val="007A6000"/>
    <w:rsid w:val="007A615B"/>
    <w:rsid w:val="007A61EC"/>
    <w:rsid w:val="007A6334"/>
    <w:rsid w:val="007A6351"/>
    <w:rsid w:val="007A6367"/>
    <w:rsid w:val="007A6478"/>
    <w:rsid w:val="007A651C"/>
    <w:rsid w:val="007A660B"/>
    <w:rsid w:val="007A6659"/>
    <w:rsid w:val="007A6661"/>
    <w:rsid w:val="007A6675"/>
    <w:rsid w:val="007A66B0"/>
    <w:rsid w:val="007A67AF"/>
    <w:rsid w:val="007A67D8"/>
    <w:rsid w:val="007A6814"/>
    <w:rsid w:val="007A6C8E"/>
    <w:rsid w:val="007A7019"/>
    <w:rsid w:val="007A70DD"/>
    <w:rsid w:val="007A715C"/>
    <w:rsid w:val="007A71DE"/>
    <w:rsid w:val="007A741A"/>
    <w:rsid w:val="007A741C"/>
    <w:rsid w:val="007A7492"/>
    <w:rsid w:val="007A7499"/>
    <w:rsid w:val="007A7578"/>
    <w:rsid w:val="007A75B6"/>
    <w:rsid w:val="007A7641"/>
    <w:rsid w:val="007A787D"/>
    <w:rsid w:val="007A78CA"/>
    <w:rsid w:val="007A7934"/>
    <w:rsid w:val="007A7B8D"/>
    <w:rsid w:val="007A7C06"/>
    <w:rsid w:val="007A7CDB"/>
    <w:rsid w:val="007A7E66"/>
    <w:rsid w:val="007A7FA6"/>
    <w:rsid w:val="007B0045"/>
    <w:rsid w:val="007B004A"/>
    <w:rsid w:val="007B04F1"/>
    <w:rsid w:val="007B0755"/>
    <w:rsid w:val="007B077E"/>
    <w:rsid w:val="007B08E0"/>
    <w:rsid w:val="007B0981"/>
    <w:rsid w:val="007B09F4"/>
    <w:rsid w:val="007B0B1C"/>
    <w:rsid w:val="007B0B81"/>
    <w:rsid w:val="007B0BB5"/>
    <w:rsid w:val="007B0D88"/>
    <w:rsid w:val="007B0D9D"/>
    <w:rsid w:val="007B0E31"/>
    <w:rsid w:val="007B0E85"/>
    <w:rsid w:val="007B0EA5"/>
    <w:rsid w:val="007B0EA6"/>
    <w:rsid w:val="007B0EC8"/>
    <w:rsid w:val="007B0ED2"/>
    <w:rsid w:val="007B112A"/>
    <w:rsid w:val="007B1145"/>
    <w:rsid w:val="007B12B8"/>
    <w:rsid w:val="007B12D3"/>
    <w:rsid w:val="007B12F7"/>
    <w:rsid w:val="007B1664"/>
    <w:rsid w:val="007B179B"/>
    <w:rsid w:val="007B17F8"/>
    <w:rsid w:val="007B1812"/>
    <w:rsid w:val="007B18D4"/>
    <w:rsid w:val="007B19D0"/>
    <w:rsid w:val="007B1A44"/>
    <w:rsid w:val="007B1AFB"/>
    <w:rsid w:val="007B1B1C"/>
    <w:rsid w:val="007B1B58"/>
    <w:rsid w:val="007B1BE0"/>
    <w:rsid w:val="007B1C3A"/>
    <w:rsid w:val="007B1C59"/>
    <w:rsid w:val="007B1CAB"/>
    <w:rsid w:val="007B1DDB"/>
    <w:rsid w:val="007B1E2A"/>
    <w:rsid w:val="007B1F7F"/>
    <w:rsid w:val="007B1FF8"/>
    <w:rsid w:val="007B224E"/>
    <w:rsid w:val="007B23A9"/>
    <w:rsid w:val="007B2476"/>
    <w:rsid w:val="007B24C0"/>
    <w:rsid w:val="007B251E"/>
    <w:rsid w:val="007B25D8"/>
    <w:rsid w:val="007B27EE"/>
    <w:rsid w:val="007B2838"/>
    <w:rsid w:val="007B289A"/>
    <w:rsid w:val="007B28A4"/>
    <w:rsid w:val="007B2951"/>
    <w:rsid w:val="007B2A09"/>
    <w:rsid w:val="007B2A3E"/>
    <w:rsid w:val="007B2A76"/>
    <w:rsid w:val="007B2A77"/>
    <w:rsid w:val="007B2B20"/>
    <w:rsid w:val="007B2D45"/>
    <w:rsid w:val="007B2E9E"/>
    <w:rsid w:val="007B2FB2"/>
    <w:rsid w:val="007B3029"/>
    <w:rsid w:val="007B3074"/>
    <w:rsid w:val="007B31D1"/>
    <w:rsid w:val="007B32BB"/>
    <w:rsid w:val="007B33D9"/>
    <w:rsid w:val="007B346D"/>
    <w:rsid w:val="007B3605"/>
    <w:rsid w:val="007B360F"/>
    <w:rsid w:val="007B3633"/>
    <w:rsid w:val="007B371E"/>
    <w:rsid w:val="007B3858"/>
    <w:rsid w:val="007B3900"/>
    <w:rsid w:val="007B3977"/>
    <w:rsid w:val="007B3BE9"/>
    <w:rsid w:val="007B3CA1"/>
    <w:rsid w:val="007B3CA8"/>
    <w:rsid w:val="007B3DC6"/>
    <w:rsid w:val="007B3F80"/>
    <w:rsid w:val="007B4075"/>
    <w:rsid w:val="007B4110"/>
    <w:rsid w:val="007B41CE"/>
    <w:rsid w:val="007B4239"/>
    <w:rsid w:val="007B42FD"/>
    <w:rsid w:val="007B4328"/>
    <w:rsid w:val="007B4362"/>
    <w:rsid w:val="007B448C"/>
    <w:rsid w:val="007B4704"/>
    <w:rsid w:val="007B490F"/>
    <w:rsid w:val="007B4923"/>
    <w:rsid w:val="007B496C"/>
    <w:rsid w:val="007B49FF"/>
    <w:rsid w:val="007B4AE9"/>
    <w:rsid w:val="007B4B84"/>
    <w:rsid w:val="007B4BEA"/>
    <w:rsid w:val="007B4D59"/>
    <w:rsid w:val="007B4EF8"/>
    <w:rsid w:val="007B4F50"/>
    <w:rsid w:val="007B5034"/>
    <w:rsid w:val="007B5155"/>
    <w:rsid w:val="007B516C"/>
    <w:rsid w:val="007B51A1"/>
    <w:rsid w:val="007B52B6"/>
    <w:rsid w:val="007B55C9"/>
    <w:rsid w:val="007B5730"/>
    <w:rsid w:val="007B5A92"/>
    <w:rsid w:val="007B5B65"/>
    <w:rsid w:val="007B5C4C"/>
    <w:rsid w:val="007B5D76"/>
    <w:rsid w:val="007B5E2E"/>
    <w:rsid w:val="007B5E92"/>
    <w:rsid w:val="007B5F82"/>
    <w:rsid w:val="007B601A"/>
    <w:rsid w:val="007B6118"/>
    <w:rsid w:val="007B62DF"/>
    <w:rsid w:val="007B6342"/>
    <w:rsid w:val="007B64D4"/>
    <w:rsid w:val="007B6856"/>
    <w:rsid w:val="007B69A3"/>
    <w:rsid w:val="007B6AFC"/>
    <w:rsid w:val="007B6B00"/>
    <w:rsid w:val="007B6C79"/>
    <w:rsid w:val="007B6C8E"/>
    <w:rsid w:val="007B6D12"/>
    <w:rsid w:val="007B6F2E"/>
    <w:rsid w:val="007B703D"/>
    <w:rsid w:val="007B7092"/>
    <w:rsid w:val="007B711A"/>
    <w:rsid w:val="007B7213"/>
    <w:rsid w:val="007B73C5"/>
    <w:rsid w:val="007B74A4"/>
    <w:rsid w:val="007B7562"/>
    <w:rsid w:val="007B75F1"/>
    <w:rsid w:val="007B7640"/>
    <w:rsid w:val="007B77DA"/>
    <w:rsid w:val="007B77ED"/>
    <w:rsid w:val="007B79F9"/>
    <w:rsid w:val="007B79FB"/>
    <w:rsid w:val="007B7A39"/>
    <w:rsid w:val="007B7A54"/>
    <w:rsid w:val="007B7AA0"/>
    <w:rsid w:val="007B7B1C"/>
    <w:rsid w:val="007B7EE8"/>
    <w:rsid w:val="007B7FB3"/>
    <w:rsid w:val="007C02E2"/>
    <w:rsid w:val="007C037E"/>
    <w:rsid w:val="007C0396"/>
    <w:rsid w:val="007C04DF"/>
    <w:rsid w:val="007C05E8"/>
    <w:rsid w:val="007C075D"/>
    <w:rsid w:val="007C08F2"/>
    <w:rsid w:val="007C0CDA"/>
    <w:rsid w:val="007C0CDF"/>
    <w:rsid w:val="007C0D2B"/>
    <w:rsid w:val="007C0E09"/>
    <w:rsid w:val="007C0E13"/>
    <w:rsid w:val="007C0EA0"/>
    <w:rsid w:val="007C0F3B"/>
    <w:rsid w:val="007C11FD"/>
    <w:rsid w:val="007C1351"/>
    <w:rsid w:val="007C139C"/>
    <w:rsid w:val="007C14CB"/>
    <w:rsid w:val="007C14CE"/>
    <w:rsid w:val="007C16E2"/>
    <w:rsid w:val="007C1757"/>
    <w:rsid w:val="007C1A3C"/>
    <w:rsid w:val="007C1CA9"/>
    <w:rsid w:val="007C1D45"/>
    <w:rsid w:val="007C1D50"/>
    <w:rsid w:val="007C1E64"/>
    <w:rsid w:val="007C1F12"/>
    <w:rsid w:val="007C1F52"/>
    <w:rsid w:val="007C1F7A"/>
    <w:rsid w:val="007C2020"/>
    <w:rsid w:val="007C205A"/>
    <w:rsid w:val="007C2094"/>
    <w:rsid w:val="007C218E"/>
    <w:rsid w:val="007C253D"/>
    <w:rsid w:val="007C261F"/>
    <w:rsid w:val="007C2714"/>
    <w:rsid w:val="007C27ED"/>
    <w:rsid w:val="007C2913"/>
    <w:rsid w:val="007C2ADF"/>
    <w:rsid w:val="007C2BA7"/>
    <w:rsid w:val="007C2C10"/>
    <w:rsid w:val="007C2C25"/>
    <w:rsid w:val="007C2CF2"/>
    <w:rsid w:val="007C2D8B"/>
    <w:rsid w:val="007C2EF9"/>
    <w:rsid w:val="007C2F70"/>
    <w:rsid w:val="007C3093"/>
    <w:rsid w:val="007C3095"/>
    <w:rsid w:val="007C30D9"/>
    <w:rsid w:val="007C3108"/>
    <w:rsid w:val="007C319D"/>
    <w:rsid w:val="007C31F8"/>
    <w:rsid w:val="007C32DA"/>
    <w:rsid w:val="007C34E1"/>
    <w:rsid w:val="007C3888"/>
    <w:rsid w:val="007C38F9"/>
    <w:rsid w:val="007C38FD"/>
    <w:rsid w:val="007C396F"/>
    <w:rsid w:val="007C3A3C"/>
    <w:rsid w:val="007C3A6C"/>
    <w:rsid w:val="007C3DD3"/>
    <w:rsid w:val="007C3E53"/>
    <w:rsid w:val="007C3EDB"/>
    <w:rsid w:val="007C3F7B"/>
    <w:rsid w:val="007C42C7"/>
    <w:rsid w:val="007C436E"/>
    <w:rsid w:val="007C445B"/>
    <w:rsid w:val="007C44A6"/>
    <w:rsid w:val="007C4641"/>
    <w:rsid w:val="007C4690"/>
    <w:rsid w:val="007C46FA"/>
    <w:rsid w:val="007C47AC"/>
    <w:rsid w:val="007C49DC"/>
    <w:rsid w:val="007C4BDE"/>
    <w:rsid w:val="007C4C06"/>
    <w:rsid w:val="007C4CF6"/>
    <w:rsid w:val="007C4DD6"/>
    <w:rsid w:val="007C4FBC"/>
    <w:rsid w:val="007C50EC"/>
    <w:rsid w:val="007C5181"/>
    <w:rsid w:val="007C52CD"/>
    <w:rsid w:val="007C52DC"/>
    <w:rsid w:val="007C54C3"/>
    <w:rsid w:val="007C5671"/>
    <w:rsid w:val="007C56D5"/>
    <w:rsid w:val="007C56F2"/>
    <w:rsid w:val="007C5AA3"/>
    <w:rsid w:val="007C5D32"/>
    <w:rsid w:val="007C5E2D"/>
    <w:rsid w:val="007C5E82"/>
    <w:rsid w:val="007C6094"/>
    <w:rsid w:val="007C6312"/>
    <w:rsid w:val="007C637B"/>
    <w:rsid w:val="007C6790"/>
    <w:rsid w:val="007C680B"/>
    <w:rsid w:val="007C689D"/>
    <w:rsid w:val="007C69A5"/>
    <w:rsid w:val="007C6A71"/>
    <w:rsid w:val="007C6E51"/>
    <w:rsid w:val="007C6E5F"/>
    <w:rsid w:val="007C6EF9"/>
    <w:rsid w:val="007C6F19"/>
    <w:rsid w:val="007C6F64"/>
    <w:rsid w:val="007C6F83"/>
    <w:rsid w:val="007C6FAD"/>
    <w:rsid w:val="007C6FB8"/>
    <w:rsid w:val="007C6FE7"/>
    <w:rsid w:val="007C7193"/>
    <w:rsid w:val="007C7476"/>
    <w:rsid w:val="007C7599"/>
    <w:rsid w:val="007C7655"/>
    <w:rsid w:val="007C76FB"/>
    <w:rsid w:val="007C78EB"/>
    <w:rsid w:val="007C7AC9"/>
    <w:rsid w:val="007C7AF3"/>
    <w:rsid w:val="007C7BC2"/>
    <w:rsid w:val="007C7C84"/>
    <w:rsid w:val="007C7E41"/>
    <w:rsid w:val="007C7EF7"/>
    <w:rsid w:val="007D0003"/>
    <w:rsid w:val="007D00BD"/>
    <w:rsid w:val="007D010A"/>
    <w:rsid w:val="007D046C"/>
    <w:rsid w:val="007D0580"/>
    <w:rsid w:val="007D05CB"/>
    <w:rsid w:val="007D075B"/>
    <w:rsid w:val="007D07F6"/>
    <w:rsid w:val="007D07FE"/>
    <w:rsid w:val="007D0945"/>
    <w:rsid w:val="007D0992"/>
    <w:rsid w:val="007D09E9"/>
    <w:rsid w:val="007D0B44"/>
    <w:rsid w:val="007D0FDB"/>
    <w:rsid w:val="007D1079"/>
    <w:rsid w:val="007D1195"/>
    <w:rsid w:val="007D1371"/>
    <w:rsid w:val="007D14C1"/>
    <w:rsid w:val="007D14FE"/>
    <w:rsid w:val="007D152D"/>
    <w:rsid w:val="007D153A"/>
    <w:rsid w:val="007D17A2"/>
    <w:rsid w:val="007D184A"/>
    <w:rsid w:val="007D187D"/>
    <w:rsid w:val="007D191A"/>
    <w:rsid w:val="007D1978"/>
    <w:rsid w:val="007D1BE3"/>
    <w:rsid w:val="007D1DD6"/>
    <w:rsid w:val="007D1E8C"/>
    <w:rsid w:val="007D1F1D"/>
    <w:rsid w:val="007D1F20"/>
    <w:rsid w:val="007D20FE"/>
    <w:rsid w:val="007D23F0"/>
    <w:rsid w:val="007D2663"/>
    <w:rsid w:val="007D28BE"/>
    <w:rsid w:val="007D28F6"/>
    <w:rsid w:val="007D2949"/>
    <w:rsid w:val="007D2AC3"/>
    <w:rsid w:val="007D2B54"/>
    <w:rsid w:val="007D2C41"/>
    <w:rsid w:val="007D2D13"/>
    <w:rsid w:val="007D2D5E"/>
    <w:rsid w:val="007D2F4A"/>
    <w:rsid w:val="007D30A2"/>
    <w:rsid w:val="007D3145"/>
    <w:rsid w:val="007D3278"/>
    <w:rsid w:val="007D3296"/>
    <w:rsid w:val="007D3396"/>
    <w:rsid w:val="007D33E5"/>
    <w:rsid w:val="007D345B"/>
    <w:rsid w:val="007D34C6"/>
    <w:rsid w:val="007D34FB"/>
    <w:rsid w:val="007D359D"/>
    <w:rsid w:val="007D35D9"/>
    <w:rsid w:val="007D35F9"/>
    <w:rsid w:val="007D369E"/>
    <w:rsid w:val="007D38C8"/>
    <w:rsid w:val="007D3923"/>
    <w:rsid w:val="007D3A06"/>
    <w:rsid w:val="007D3A24"/>
    <w:rsid w:val="007D3B17"/>
    <w:rsid w:val="007D3BDF"/>
    <w:rsid w:val="007D3C84"/>
    <w:rsid w:val="007D3CAB"/>
    <w:rsid w:val="007D3D06"/>
    <w:rsid w:val="007D3DAA"/>
    <w:rsid w:val="007D3EA3"/>
    <w:rsid w:val="007D3F1A"/>
    <w:rsid w:val="007D3FC3"/>
    <w:rsid w:val="007D3FF8"/>
    <w:rsid w:val="007D42FB"/>
    <w:rsid w:val="007D436D"/>
    <w:rsid w:val="007D4395"/>
    <w:rsid w:val="007D4401"/>
    <w:rsid w:val="007D4620"/>
    <w:rsid w:val="007D477B"/>
    <w:rsid w:val="007D4BC2"/>
    <w:rsid w:val="007D4EDC"/>
    <w:rsid w:val="007D5088"/>
    <w:rsid w:val="007D5190"/>
    <w:rsid w:val="007D5267"/>
    <w:rsid w:val="007D536F"/>
    <w:rsid w:val="007D56D0"/>
    <w:rsid w:val="007D56E0"/>
    <w:rsid w:val="007D578B"/>
    <w:rsid w:val="007D5A04"/>
    <w:rsid w:val="007D5BEF"/>
    <w:rsid w:val="007D5C8E"/>
    <w:rsid w:val="007D5D34"/>
    <w:rsid w:val="007D5D61"/>
    <w:rsid w:val="007D5F04"/>
    <w:rsid w:val="007D6168"/>
    <w:rsid w:val="007D6241"/>
    <w:rsid w:val="007D6318"/>
    <w:rsid w:val="007D635B"/>
    <w:rsid w:val="007D63C8"/>
    <w:rsid w:val="007D6418"/>
    <w:rsid w:val="007D651E"/>
    <w:rsid w:val="007D6614"/>
    <w:rsid w:val="007D6670"/>
    <w:rsid w:val="007D66E7"/>
    <w:rsid w:val="007D69CC"/>
    <w:rsid w:val="007D6A20"/>
    <w:rsid w:val="007D6A2F"/>
    <w:rsid w:val="007D6AB3"/>
    <w:rsid w:val="007D6AEA"/>
    <w:rsid w:val="007D6AF4"/>
    <w:rsid w:val="007D6B41"/>
    <w:rsid w:val="007D6B4E"/>
    <w:rsid w:val="007D6CC1"/>
    <w:rsid w:val="007D6D7D"/>
    <w:rsid w:val="007D6DF8"/>
    <w:rsid w:val="007D6E35"/>
    <w:rsid w:val="007D7057"/>
    <w:rsid w:val="007D70EA"/>
    <w:rsid w:val="007D71F1"/>
    <w:rsid w:val="007D7219"/>
    <w:rsid w:val="007D7476"/>
    <w:rsid w:val="007D74B2"/>
    <w:rsid w:val="007D74CC"/>
    <w:rsid w:val="007D74CD"/>
    <w:rsid w:val="007D7615"/>
    <w:rsid w:val="007D76F7"/>
    <w:rsid w:val="007D7729"/>
    <w:rsid w:val="007D7862"/>
    <w:rsid w:val="007D7B02"/>
    <w:rsid w:val="007D7DE9"/>
    <w:rsid w:val="007D7E92"/>
    <w:rsid w:val="007D7F13"/>
    <w:rsid w:val="007D7F62"/>
    <w:rsid w:val="007E0027"/>
    <w:rsid w:val="007E0517"/>
    <w:rsid w:val="007E06EB"/>
    <w:rsid w:val="007E0824"/>
    <w:rsid w:val="007E08C8"/>
    <w:rsid w:val="007E09E7"/>
    <w:rsid w:val="007E0AE3"/>
    <w:rsid w:val="007E0AFA"/>
    <w:rsid w:val="007E0B1D"/>
    <w:rsid w:val="007E0BCB"/>
    <w:rsid w:val="007E0C3E"/>
    <w:rsid w:val="007E0D36"/>
    <w:rsid w:val="007E0DD7"/>
    <w:rsid w:val="007E0EDE"/>
    <w:rsid w:val="007E107C"/>
    <w:rsid w:val="007E122B"/>
    <w:rsid w:val="007E1389"/>
    <w:rsid w:val="007E13EB"/>
    <w:rsid w:val="007E1452"/>
    <w:rsid w:val="007E14F1"/>
    <w:rsid w:val="007E158D"/>
    <w:rsid w:val="007E161C"/>
    <w:rsid w:val="007E17AF"/>
    <w:rsid w:val="007E18CF"/>
    <w:rsid w:val="007E190A"/>
    <w:rsid w:val="007E1ADF"/>
    <w:rsid w:val="007E1AE3"/>
    <w:rsid w:val="007E1C4B"/>
    <w:rsid w:val="007E1D30"/>
    <w:rsid w:val="007E1E42"/>
    <w:rsid w:val="007E1E49"/>
    <w:rsid w:val="007E1F08"/>
    <w:rsid w:val="007E2003"/>
    <w:rsid w:val="007E2012"/>
    <w:rsid w:val="007E20A8"/>
    <w:rsid w:val="007E210E"/>
    <w:rsid w:val="007E216B"/>
    <w:rsid w:val="007E218C"/>
    <w:rsid w:val="007E22F2"/>
    <w:rsid w:val="007E2340"/>
    <w:rsid w:val="007E23A3"/>
    <w:rsid w:val="007E23D1"/>
    <w:rsid w:val="007E2475"/>
    <w:rsid w:val="007E2681"/>
    <w:rsid w:val="007E283D"/>
    <w:rsid w:val="007E28D6"/>
    <w:rsid w:val="007E28E1"/>
    <w:rsid w:val="007E29D8"/>
    <w:rsid w:val="007E2BE2"/>
    <w:rsid w:val="007E2C1C"/>
    <w:rsid w:val="007E2DD2"/>
    <w:rsid w:val="007E2E6B"/>
    <w:rsid w:val="007E2EEA"/>
    <w:rsid w:val="007E2F51"/>
    <w:rsid w:val="007E3176"/>
    <w:rsid w:val="007E31C0"/>
    <w:rsid w:val="007E3363"/>
    <w:rsid w:val="007E3365"/>
    <w:rsid w:val="007E3415"/>
    <w:rsid w:val="007E34FE"/>
    <w:rsid w:val="007E3631"/>
    <w:rsid w:val="007E3770"/>
    <w:rsid w:val="007E38A4"/>
    <w:rsid w:val="007E393B"/>
    <w:rsid w:val="007E39D0"/>
    <w:rsid w:val="007E3CA0"/>
    <w:rsid w:val="007E3D71"/>
    <w:rsid w:val="007E3D78"/>
    <w:rsid w:val="007E3D95"/>
    <w:rsid w:val="007E3DEB"/>
    <w:rsid w:val="007E3E50"/>
    <w:rsid w:val="007E3EBD"/>
    <w:rsid w:val="007E3F9D"/>
    <w:rsid w:val="007E4104"/>
    <w:rsid w:val="007E41F3"/>
    <w:rsid w:val="007E4230"/>
    <w:rsid w:val="007E43A5"/>
    <w:rsid w:val="007E43FC"/>
    <w:rsid w:val="007E484D"/>
    <w:rsid w:val="007E486C"/>
    <w:rsid w:val="007E496E"/>
    <w:rsid w:val="007E4C5E"/>
    <w:rsid w:val="007E4D7A"/>
    <w:rsid w:val="007E4D95"/>
    <w:rsid w:val="007E4DC1"/>
    <w:rsid w:val="007E4E30"/>
    <w:rsid w:val="007E4F82"/>
    <w:rsid w:val="007E5094"/>
    <w:rsid w:val="007E50BC"/>
    <w:rsid w:val="007E518B"/>
    <w:rsid w:val="007E523E"/>
    <w:rsid w:val="007E52F2"/>
    <w:rsid w:val="007E538C"/>
    <w:rsid w:val="007E53EB"/>
    <w:rsid w:val="007E5685"/>
    <w:rsid w:val="007E57AB"/>
    <w:rsid w:val="007E57D6"/>
    <w:rsid w:val="007E5832"/>
    <w:rsid w:val="007E5974"/>
    <w:rsid w:val="007E5ADF"/>
    <w:rsid w:val="007E5AFC"/>
    <w:rsid w:val="007E5C73"/>
    <w:rsid w:val="007E5CF7"/>
    <w:rsid w:val="007E5DC0"/>
    <w:rsid w:val="007E5E19"/>
    <w:rsid w:val="007E5E22"/>
    <w:rsid w:val="007E5F26"/>
    <w:rsid w:val="007E5FCE"/>
    <w:rsid w:val="007E6161"/>
    <w:rsid w:val="007E6171"/>
    <w:rsid w:val="007E61C5"/>
    <w:rsid w:val="007E61F3"/>
    <w:rsid w:val="007E62BA"/>
    <w:rsid w:val="007E6314"/>
    <w:rsid w:val="007E63F2"/>
    <w:rsid w:val="007E66A6"/>
    <w:rsid w:val="007E6885"/>
    <w:rsid w:val="007E68A2"/>
    <w:rsid w:val="007E68F3"/>
    <w:rsid w:val="007E6968"/>
    <w:rsid w:val="007E6A25"/>
    <w:rsid w:val="007E6A85"/>
    <w:rsid w:val="007E6D2F"/>
    <w:rsid w:val="007E6FC4"/>
    <w:rsid w:val="007E6FF7"/>
    <w:rsid w:val="007E715C"/>
    <w:rsid w:val="007E72C2"/>
    <w:rsid w:val="007E7343"/>
    <w:rsid w:val="007E7376"/>
    <w:rsid w:val="007E73F7"/>
    <w:rsid w:val="007E7464"/>
    <w:rsid w:val="007E7509"/>
    <w:rsid w:val="007E7680"/>
    <w:rsid w:val="007E76E7"/>
    <w:rsid w:val="007E7864"/>
    <w:rsid w:val="007E791F"/>
    <w:rsid w:val="007E79BF"/>
    <w:rsid w:val="007E7B7F"/>
    <w:rsid w:val="007E7CC8"/>
    <w:rsid w:val="007E7D3A"/>
    <w:rsid w:val="007E7D8E"/>
    <w:rsid w:val="007E7EF9"/>
    <w:rsid w:val="007F0056"/>
    <w:rsid w:val="007F0131"/>
    <w:rsid w:val="007F0187"/>
    <w:rsid w:val="007F02B2"/>
    <w:rsid w:val="007F049A"/>
    <w:rsid w:val="007F065B"/>
    <w:rsid w:val="007F06AB"/>
    <w:rsid w:val="007F06C0"/>
    <w:rsid w:val="007F0711"/>
    <w:rsid w:val="007F0782"/>
    <w:rsid w:val="007F07DD"/>
    <w:rsid w:val="007F0908"/>
    <w:rsid w:val="007F090F"/>
    <w:rsid w:val="007F096A"/>
    <w:rsid w:val="007F09CD"/>
    <w:rsid w:val="007F0A23"/>
    <w:rsid w:val="007F0CA3"/>
    <w:rsid w:val="007F0D1B"/>
    <w:rsid w:val="007F0DDC"/>
    <w:rsid w:val="007F0ED0"/>
    <w:rsid w:val="007F0ED2"/>
    <w:rsid w:val="007F0ED6"/>
    <w:rsid w:val="007F10E6"/>
    <w:rsid w:val="007F110E"/>
    <w:rsid w:val="007F1113"/>
    <w:rsid w:val="007F1115"/>
    <w:rsid w:val="007F11D5"/>
    <w:rsid w:val="007F12C4"/>
    <w:rsid w:val="007F12C6"/>
    <w:rsid w:val="007F1329"/>
    <w:rsid w:val="007F1340"/>
    <w:rsid w:val="007F1370"/>
    <w:rsid w:val="007F13B2"/>
    <w:rsid w:val="007F1463"/>
    <w:rsid w:val="007F1477"/>
    <w:rsid w:val="007F14D3"/>
    <w:rsid w:val="007F15FF"/>
    <w:rsid w:val="007F16EF"/>
    <w:rsid w:val="007F188F"/>
    <w:rsid w:val="007F18E9"/>
    <w:rsid w:val="007F1960"/>
    <w:rsid w:val="007F1AA6"/>
    <w:rsid w:val="007F1D7A"/>
    <w:rsid w:val="007F1E22"/>
    <w:rsid w:val="007F1F9D"/>
    <w:rsid w:val="007F203E"/>
    <w:rsid w:val="007F2247"/>
    <w:rsid w:val="007F2270"/>
    <w:rsid w:val="007F22FC"/>
    <w:rsid w:val="007F2320"/>
    <w:rsid w:val="007F23DA"/>
    <w:rsid w:val="007F255C"/>
    <w:rsid w:val="007F2597"/>
    <w:rsid w:val="007F2672"/>
    <w:rsid w:val="007F26A4"/>
    <w:rsid w:val="007F26F3"/>
    <w:rsid w:val="007F2783"/>
    <w:rsid w:val="007F2977"/>
    <w:rsid w:val="007F29D9"/>
    <w:rsid w:val="007F2A74"/>
    <w:rsid w:val="007F2ABA"/>
    <w:rsid w:val="007F2AD3"/>
    <w:rsid w:val="007F2B04"/>
    <w:rsid w:val="007F2B0D"/>
    <w:rsid w:val="007F2C44"/>
    <w:rsid w:val="007F2CA9"/>
    <w:rsid w:val="007F2D8F"/>
    <w:rsid w:val="007F3108"/>
    <w:rsid w:val="007F31E2"/>
    <w:rsid w:val="007F320C"/>
    <w:rsid w:val="007F3323"/>
    <w:rsid w:val="007F338C"/>
    <w:rsid w:val="007F36EE"/>
    <w:rsid w:val="007F3780"/>
    <w:rsid w:val="007F3785"/>
    <w:rsid w:val="007F37EC"/>
    <w:rsid w:val="007F385E"/>
    <w:rsid w:val="007F38B4"/>
    <w:rsid w:val="007F3987"/>
    <w:rsid w:val="007F3A03"/>
    <w:rsid w:val="007F3A7C"/>
    <w:rsid w:val="007F3AB9"/>
    <w:rsid w:val="007F3C77"/>
    <w:rsid w:val="007F3CB6"/>
    <w:rsid w:val="007F3CBC"/>
    <w:rsid w:val="007F3CEB"/>
    <w:rsid w:val="007F3D31"/>
    <w:rsid w:val="007F3F8C"/>
    <w:rsid w:val="007F44CE"/>
    <w:rsid w:val="007F464B"/>
    <w:rsid w:val="007F466B"/>
    <w:rsid w:val="007F493A"/>
    <w:rsid w:val="007F498E"/>
    <w:rsid w:val="007F4B78"/>
    <w:rsid w:val="007F4BD9"/>
    <w:rsid w:val="007F4D27"/>
    <w:rsid w:val="007F4DEB"/>
    <w:rsid w:val="007F4E8B"/>
    <w:rsid w:val="007F5219"/>
    <w:rsid w:val="007F5381"/>
    <w:rsid w:val="007F53FD"/>
    <w:rsid w:val="007F543F"/>
    <w:rsid w:val="007F55AB"/>
    <w:rsid w:val="007F578B"/>
    <w:rsid w:val="007F5885"/>
    <w:rsid w:val="007F58B6"/>
    <w:rsid w:val="007F5952"/>
    <w:rsid w:val="007F5AB3"/>
    <w:rsid w:val="007F5B0C"/>
    <w:rsid w:val="007F5B38"/>
    <w:rsid w:val="007F5C24"/>
    <w:rsid w:val="007F5E0B"/>
    <w:rsid w:val="007F5E76"/>
    <w:rsid w:val="007F6064"/>
    <w:rsid w:val="007F628A"/>
    <w:rsid w:val="007F633E"/>
    <w:rsid w:val="007F6463"/>
    <w:rsid w:val="007F6499"/>
    <w:rsid w:val="007F6521"/>
    <w:rsid w:val="007F65C1"/>
    <w:rsid w:val="007F65DF"/>
    <w:rsid w:val="007F6614"/>
    <w:rsid w:val="007F664B"/>
    <w:rsid w:val="007F66D1"/>
    <w:rsid w:val="007F66D5"/>
    <w:rsid w:val="007F6724"/>
    <w:rsid w:val="007F6735"/>
    <w:rsid w:val="007F6786"/>
    <w:rsid w:val="007F67DB"/>
    <w:rsid w:val="007F6809"/>
    <w:rsid w:val="007F68B4"/>
    <w:rsid w:val="007F6CD2"/>
    <w:rsid w:val="007F6E8E"/>
    <w:rsid w:val="007F6F40"/>
    <w:rsid w:val="007F706A"/>
    <w:rsid w:val="007F713B"/>
    <w:rsid w:val="007F726E"/>
    <w:rsid w:val="007F729E"/>
    <w:rsid w:val="007F73AF"/>
    <w:rsid w:val="007F749B"/>
    <w:rsid w:val="007F74E9"/>
    <w:rsid w:val="007F7544"/>
    <w:rsid w:val="007F769F"/>
    <w:rsid w:val="007F7752"/>
    <w:rsid w:val="007F776E"/>
    <w:rsid w:val="007F7C8C"/>
    <w:rsid w:val="007F7D7E"/>
    <w:rsid w:val="007F7E9B"/>
    <w:rsid w:val="007F7EE4"/>
    <w:rsid w:val="007F7FA1"/>
    <w:rsid w:val="008000D2"/>
    <w:rsid w:val="00800310"/>
    <w:rsid w:val="008003B5"/>
    <w:rsid w:val="008005B2"/>
    <w:rsid w:val="008006F3"/>
    <w:rsid w:val="00800A9E"/>
    <w:rsid w:val="00800EF1"/>
    <w:rsid w:val="00800F2F"/>
    <w:rsid w:val="0080103B"/>
    <w:rsid w:val="00801079"/>
    <w:rsid w:val="00801084"/>
    <w:rsid w:val="0080117C"/>
    <w:rsid w:val="008011ED"/>
    <w:rsid w:val="0080136E"/>
    <w:rsid w:val="008015B8"/>
    <w:rsid w:val="00801634"/>
    <w:rsid w:val="008016A7"/>
    <w:rsid w:val="008016F6"/>
    <w:rsid w:val="00801727"/>
    <w:rsid w:val="008017EE"/>
    <w:rsid w:val="00801857"/>
    <w:rsid w:val="00801867"/>
    <w:rsid w:val="00801930"/>
    <w:rsid w:val="00801A42"/>
    <w:rsid w:val="00801AE4"/>
    <w:rsid w:val="00801BC1"/>
    <w:rsid w:val="00801C72"/>
    <w:rsid w:val="00801CCA"/>
    <w:rsid w:val="00801D40"/>
    <w:rsid w:val="00801DAD"/>
    <w:rsid w:val="00801F8E"/>
    <w:rsid w:val="0080208C"/>
    <w:rsid w:val="008020DB"/>
    <w:rsid w:val="0080220D"/>
    <w:rsid w:val="00802299"/>
    <w:rsid w:val="008022FF"/>
    <w:rsid w:val="00802327"/>
    <w:rsid w:val="0080233E"/>
    <w:rsid w:val="008025D5"/>
    <w:rsid w:val="00802614"/>
    <w:rsid w:val="008026E3"/>
    <w:rsid w:val="0080270E"/>
    <w:rsid w:val="0080283D"/>
    <w:rsid w:val="0080292A"/>
    <w:rsid w:val="008029C8"/>
    <w:rsid w:val="00802A1A"/>
    <w:rsid w:val="00802B3C"/>
    <w:rsid w:val="00802D33"/>
    <w:rsid w:val="00802DFC"/>
    <w:rsid w:val="008030A4"/>
    <w:rsid w:val="00803155"/>
    <w:rsid w:val="0080315A"/>
    <w:rsid w:val="0080339B"/>
    <w:rsid w:val="008033D1"/>
    <w:rsid w:val="00803566"/>
    <w:rsid w:val="008035AE"/>
    <w:rsid w:val="0080362D"/>
    <w:rsid w:val="00803861"/>
    <w:rsid w:val="008038F3"/>
    <w:rsid w:val="00803A47"/>
    <w:rsid w:val="00803AAA"/>
    <w:rsid w:val="00803B83"/>
    <w:rsid w:val="00803E03"/>
    <w:rsid w:val="00803E10"/>
    <w:rsid w:val="00803E30"/>
    <w:rsid w:val="0080435E"/>
    <w:rsid w:val="008043D5"/>
    <w:rsid w:val="00804533"/>
    <w:rsid w:val="00804677"/>
    <w:rsid w:val="00804792"/>
    <w:rsid w:val="00804872"/>
    <w:rsid w:val="00804A3E"/>
    <w:rsid w:val="00804AB0"/>
    <w:rsid w:val="00804BE0"/>
    <w:rsid w:val="00804E73"/>
    <w:rsid w:val="008050F2"/>
    <w:rsid w:val="00805173"/>
    <w:rsid w:val="008053BA"/>
    <w:rsid w:val="00805518"/>
    <w:rsid w:val="0080552D"/>
    <w:rsid w:val="008055F5"/>
    <w:rsid w:val="00805628"/>
    <w:rsid w:val="00805677"/>
    <w:rsid w:val="008056FE"/>
    <w:rsid w:val="0080574B"/>
    <w:rsid w:val="00805779"/>
    <w:rsid w:val="00805825"/>
    <w:rsid w:val="00805847"/>
    <w:rsid w:val="008058D8"/>
    <w:rsid w:val="0080597E"/>
    <w:rsid w:val="008059EB"/>
    <w:rsid w:val="00805A5B"/>
    <w:rsid w:val="00805AA6"/>
    <w:rsid w:val="00805E01"/>
    <w:rsid w:val="00805E5F"/>
    <w:rsid w:val="00806021"/>
    <w:rsid w:val="008060C2"/>
    <w:rsid w:val="00806156"/>
    <w:rsid w:val="00806258"/>
    <w:rsid w:val="008062D0"/>
    <w:rsid w:val="008063C0"/>
    <w:rsid w:val="008063CC"/>
    <w:rsid w:val="008065B7"/>
    <w:rsid w:val="0080664B"/>
    <w:rsid w:val="00806772"/>
    <w:rsid w:val="00806885"/>
    <w:rsid w:val="00806948"/>
    <w:rsid w:val="00806A48"/>
    <w:rsid w:val="00806AC8"/>
    <w:rsid w:val="00806B64"/>
    <w:rsid w:val="00806C13"/>
    <w:rsid w:val="00806D23"/>
    <w:rsid w:val="0080717C"/>
    <w:rsid w:val="00807374"/>
    <w:rsid w:val="00807448"/>
    <w:rsid w:val="008074FC"/>
    <w:rsid w:val="008076A3"/>
    <w:rsid w:val="008077E6"/>
    <w:rsid w:val="00807880"/>
    <w:rsid w:val="00807911"/>
    <w:rsid w:val="008079CB"/>
    <w:rsid w:val="00807A36"/>
    <w:rsid w:val="00807A3C"/>
    <w:rsid w:val="00807AB0"/>
    <w:rsid w:val="00807EC1"/>
    <w:rsid w:val="00807ED7"/>
    <w:rsid w:val="00807FC8"/>
    <w:rsid w:val="008100AF"/>
    <w:rsid w:val="00810391"/>
    <w:rsid w:val="0081048F"/>
    <w:rsid w:val="0081056B"/>
    <w:rsid w:val="0081058C"/>
    <w:rsid w:val="008105FE"/>
    <w:rsid w:val="00810646"/>
    <w:rsid w:val="008106AC"/>
    <w:rsid w:val="008107BD"/>
    <w:rsid w:val="008107ED"/>
    <w:rsid w:val="00810A06"/>
    <w:rsid w:val="00810ADF"/>
    <w:rsid w:val="00810B0E"/>
    <w:rsid w:val="00810C2B"/>
    <w:rsid w:val="00810C56"/>
    <w:rsid w:val="00810C8A"/>
    <w:rsid w:val="00810C90"/>
    <w:rsid w:val="00810ECE"/>
    <w:rsid w:val="00810EEC"/>
    <w:rsid w:val="00810F08"/>
    <w:rsid w:val="00810F28"/>
    <w:rsid w:val="0081121E"/>
    <w:rsid w:val="0081129B"/>
    <w:rsid w:val="008112AC"/>
    <w:rsid w:val="00811347"/>
    <w:rsid w:val="00811377"/>
    <w:rsid w:val="008115F3"/>
    <w:rsid w:val="008116F9"/>
    <w:rsid w:val="00811796"/>
    <w:rsid w:val="0081179E"/>
    <w:rsid w:val="00811995"/>
    <w:rsid w:val="00811BF6"/>
    <w:rsid w:val="00811C79"/>
    <w:rsid w:val="00811D17"/>
    <w:rsid w:val="00811D69"/>
    <w:rsid w:val="00811EDF"/>
    <w:rsid w:val="008121F0"/>
    <w:rsid w:val="00812305"/>
    <w:rsid w:val="00812356"/>
    <w:rsid w:val="008123CB"/>
    <w:rsid w:val="008126D3"/>
    <w:rsid w:val="008126EE"/>
    <w:rsid w:val="00812712"/>
    <w:rsid w:val="0081286F"/>
    <w:rsid w:val="00812F72"/>
    <w:rsid w:val="008131D3"/>
    <w:rsid w:val="00813360"/>
    <w:rsid w:val="008133D3"/>
    <w:rsid w:val="00813521"/>
    <w:rsid w:val="00813532"/>
    <w:rsid w:val="00813667"/>
    <w:rsid w:val="008136EB"/>
    <w:rsid w:val="00813803"/>
    <w:rsid w:val="00813A92"/>
    <w:rsid w:val="00813AE9"/>
    <w:rsid w:val="00813C16"/>
    <w:rsid w:val="00813C1B"/>
    <w:rsid w:val="00813DA0"/>
    <w:rsid w:val="00813EF0"/>
    <w:rsid w:val="00813FA4"/>
    <w:rsid w:val="008141C6"/>
    <w:rsid w:val="0081432B"/>
    <w:rsid w:val="0081443B"/>
    <w:rsid w:val="008145C0"/>
    <w:rsid w:val="008145FA"/>
    <w:rsid w:val="008146C1"/>
    <w:rsid w:val="0081470C"/>
    <w:rsid w:val="008148CF"/>
    <w:rsid w:val="0081495F"/>
    <w:rsid w:val="00814997"/>
    <w:rsid w:val="00814A84"/>
    <w:rsid w:val="00814A98"/>
    <w:rsid w:val="00814AC5"/>
    <w:rsid w:val="00814B3E"/>
    <w:rsid w:val="00814C86"/>
    <w:rsid w:val="00814D1D"/>
    <w:rsid w:val="00814D2D"/>
    <w:rsid w:val="00814D8D"/>
    <w:rsid w:val="00814DBA"/>
    <w:rsid w:val="00814DDF"/>
    <w:rsid w:val="00814EF0"/>
    <w:rsid w:val="00814F83"/>
    <w:rsid w:val="00814F8D"/>
    <w:rsid w:val="00815256"/>
    <w:rsid w:val="00815359"/>
    <w:rsid w:val="00815513"/>
    <w:rsid w:val="0081552C"/>
    <w:rsid w:val="00815541"/>
    <w:rsid w:val="00815545"/>
    <w:rsid w:val="008156B9"/>
    <w:rsid w:val="008157CE"/>
    <w:rsid w:val="0081589D"/>
    <w:rsid w:val="0081591C"/>
    <w:rsid w:val="00815A6C"/>
    <w:rsid w:val="00815C18"/>
    <w:rsid w:val="00815DE5"/>
    <w:rsid w:val="00815E06"/>
    <w:rsid w:val="00815EC7"/>
    <w:rsid w:val="00816058"/>
    <w:rsid w:val="00816202"/>
    <w:rsid w:val="008162B3"/>
    <w:rsid w:val="008162FD"/>
    <w:rsid w:val="008163EB"/>
    <w:rsid w:val="008166C9"/>
    <w:rsid w:val="008167D8"/>
    <w:rsid w:val="0081685F"/>
    <w:rsid w:val="008168D4"/>
    <w:rsid w:val="00816A18"/>
    <w:rsid w:val="00816B6B"/>
    <w:rsid w:val="00816BE5"/>
    <w:rsid w:val="00816DAE"/>
    <w:rsid w:val="00816F99"/>
    <w:rsid w:val="008170D9"/>
    <w:rsid w:val="0081719E"/>
    <w:rsid w:val="00817435"/>
    <w:rsid w:val="008174A6"/>
    <w:rsid w:val="0081767E"/>
    <w:rsid w:val="00817786"/>
    <w:rsid w:val="00817827"/>
    <w:rsid w:val="00817934"/>
    <w:rsid w:val="00817A97"/>
    <w:rsid w:val="00817CC1"/>
    <w:rsid w:val="00817FAA"/>
    <w:rsid w:val="008200E1"/>
    <w:rsid w:val="00820117"/>
    <w:rsid w:val="00820260"/>
    <w:rsid w:val="008207C5"/>
    <w:rsid w:val="0082093D"/>
    <w:rsid w:val="00820940"/>
    <w:rsid w:val="008209C0"/>
    <w:rsid w:val="00820A44"/>
    <w:rsid w:val="00820BC0"/>
    <w:rsid w:val="00820E27"/>
    <w:rsid w:val="008210A9"/>
    <w:rsid w:val="00821293"/>
    <w:rsid w:val="00821376"/>
    <w:rsid w:val="008214E5"/>
    <w:rsid w:val="0082152A"/>
    <w:rsid w:val="008215A6"/>
    <w:rsid w:val="008216BC"/>
    <w:rsid w:val="008216D8"/>
    <w:rsid w:val="008217A5"/>
    <w:rsid w:val="008217BC"/>
    <w:rsid w:val="008219CE"/>
    <w:rsid w:val="00821B52"/>
    <w:rsid w:val="00821D67"/>
    <w:rsid w:val="00821F25"/>
    <w:rsid w:val="00821FC2"/>
    <w:rsid w:val="00822244"/>
    <w:rsid w:val="00822267"/>
    <w:rsid w:val="00822272"/>
    <w:rsid w:val="00822308"/>
    <w:rsid w:val="0082231C"/>
    <w:rsid w:val="0082231F"/>
    <w:rsid w:val="00822355"/>
    <w:rsid w:val="008223C5"/>
    <w:rsid w:val="008224E2"/>
    <w:rsid w:val="008227D9"/>
    <w:rsid w:val="00822B55"/>
    <w:rsid w:val="00822BDE"/>
    <w:rsid w:val="00822C4B"/>
    <w:rsid w:val="00822D89"/>
    <w:rsid w:val="00822F4B"/>
    <w:rsid w:val="008233AF"/>
    <w:rsid w:val="00823413"/>
    <w:rsid w:val="0082343B"/>
    <w:rsid w:val="008235F3"/>
    <w:rsid w:val="008237BE"/>
    <w:rsid w:val="008239A0"/>
    <w:rsid w:val="00823A5E"/>
    <w:rsid w:val="00823B47"/>
    <w:rsid w:val="00823BDA"/>
    <w:rsid w:val="00823C40"/>
    <w:rsid w:val="00823CA1"/>
    <w:rsid w:val="00823D64"/>
    <w:rsid w:val="00823DEC"/>
    <w:rsid w:val="00824161"/>
    <w:rsid w:val="0082435B"/>
    <w:rsid w:val="008243AF"/>
    <w:rsid w:val="00824482"/>
    <w:rsid w:val="0082456F"/>
    <w:rsid w:val="00824624"/>
    <w:rsid w:val="00824833"/>
    <w:rsid w:val="008249B0"/>
    <w:rsid w:val="00824A22"/>
    <w:rsid w:val="00824B25"/>
    <w:rsid w:val="00824B6B"/>
    <w:rsid w:val="00824F0B"/>
    <w:rsid w:val="008252CF"/>
    <w:rsid w:val="008254C0"/>
    <w:rsid w:val="008255BF"/>
    <w:rsid w:val="0082567C"/>
    <w:rsid w:val="008257A2"/>
    <w:rsid w:val="00825E79"/>
    <w:rsid w:val="00825EC9"/>
    <w:rsid w:val="00825F31"/>
    <w:rsid w:val="00826093"/>
    <w:rsid w:val="008260A1"/>
    <w:rsid w:val="0082610C"/>
    <w:rsid w:val="0082616D"/>
    <w:rsid w:val="00826400"/>
    <w:rsid w:val="008264AA"/>
    <w:rsid w:val="008264C4"/>
    <w:rsid w:val="00826504"/>
    <w:rsid w:val="00826513"/>
    <w:rsid w:val="00826704"/>
    <w:rsid w:val="00826759"/>
    <w:rsid w:val="0082698A"/>
    <w:rsid w:val="00826B61"/>
    <w:rsid w:val="00826C43"/>
    <w:rsid w:val="00826D7F"/>
    <w:rsid w:val="00826E1F"/>
    <w:rsid w:val="00826F36"/>
    <w:rsid w:val="0082703C"/>
    <w:rsid w:val="0082704B"/>
    <w:rsid w:val="008272D2"/>
    <w:rsid w:val="008272D7"/>
    <w:rsid w:val="008273BC"/>
    <w:rsid w:val="008273BF"/>
    <w:rsid w:val="00827404"/>
    <w:rsid w:val="00827551"/>
    <w:rsid w:val="008276F7"/>
    <w:rsid w:val="00827723"/>
    <w:rsid w:val="00827929"/>
    <w:rsid w:val="008279C0"/>
    <w:rsid w:val="00827D21"/>
    <w:rsid w:val="00827DEE"/>
    <w:rsid w:val="0083003B"/>
    <w:rsid w:val="00830193"/>
    <w:rsid w:val="008301A8"/>
    <w:rsid w:val="00830213"/>
    <w:rsid w:val="00830337"/>
    <w:rsid w:val="00830421"/>
    <w:rsid w:val="0083045D"/>
    <w:rsid w:val="00830463"/>
    <w:rsid w:val="00830752"/>
    <w:rsid w:val="00830763"/>
    <w:rsid w:val="00830769"/>
    <w:rsid w:val="00830A6B"/>
    <w:rsid w:val="00830B6D"/>
    <w:rsid w:val="00830C05"/>
    <w:rsid w:val="00830D21"/>
    <w:rsid w:val="00830E01"/>
    <w:rsid w:val="00830E33"/>
    <w:rsid w:val="00830E40"/>
    <w:rsid w:val="00830EDB"/>
    <w:rsid w:val="00830F16"/>
    <w:rsid w:val="0083101D"/>
    <w:rsid w:val="0083129B"/>
    <w:rsid w:val="008312E9"/>
    <w:rsid w:val="008315D6"/>
    <w:rsid w:val="00831670"/>
    <w:rsid w:val="008318C7"/>
    <w:rsid w:val="00831907"/>
    <w:rsid w:val="00831948"/>
    <w:rsid w:val="00831A05"/>
    <w:rsid w:val="00831BC0"/>
    <w:rsid w:val="00831C0A"/>
    <w:rsid w:val="00831C26"/>
    <w:rsid w:val="00831DE5"/>
    <w:rsid w:val="0083201E"/>
    <w:rsid w:val="00832033"/>
    <w:rsid w:val="00832041"/>
    <w:rsid w:val="008320AB"/>
    <w:rsid w:val="008320D3"/>
    <w:rsid w:val="00832185"/>
    <w:rsid w:val="0083219D"/>
    <w:rsid w:val="008321BF"/>
    <w:rsid w:val="0083221A"/>
    <w:rsid w:val="008323F5"/>
    <w:rsid w:val="00832475"/>
    <w:rsid w:val="00832533"/>
    <w:rsid w:val="0083256C"/>
    <w:rsid w:val="008326C9"/>
    <w:rsid w:val="008327E0"/>
    <w:rsid w:val="00832ADE"/>
    <w:rsid w:val="00832BF5"/>
    <w:rsid w:val="00832C7E"/>
    <w:rsid w:val="00832FCE"/>
    <w:rsid w:val="00833000"/>
    <w:rsid w:val="00833249"/>
    <w:rsid w:val="0083328D"/>
    <w:rsid w:val="00833403"/>
    <w:rsid w:val="0083345C"/>
    <w:rsid w:val="0083377A"/>
    <w:rsid w:val="008338CC"/>
    <w:rsid w:val="008338ED"/>
    <w:rsid w:val="008339BA"/>
    <w:rsid w:val="00833D09"/>
    <w:rsid w:val="00833D53"/>
    <w:rsid w:val="00833DE0"/>
    <w:rsid w:val="00833E01"/>
    <w:rsid w:val="00833F1B"/>
    <w:rsid w:val="00834058"/>
    <w:rsid w:val="0083413E"/>
    <w:rsid w:val="00834209"/>
    <w:rsid w:val="0083431A"/>
    <w:rsid w:val="00834477"/>
    <w:rsid w:val="0083447D"/>
    <w:rsid w:val="008344F9"/>
    <w:rsid w:val="00834557"/>
    <w:rsid w:val="00834950"/>
    <w:rsid w:val="00834995"/>
    <w:rsid w:val="00834A2C"/>
    <w:rsid w:val="00834BB6"/>
    <w:rsid w:val="00834D92"/>
    <w:rsid w:val="00834F12"/>
    <w:rsid w:val="00835157"/>
    <w:rsid w:val="008352FA"/>
    <w:rsid w:val="00835309"/>
    <w:rsid w:val="00835322"/>
    <w:rsid w:val="008353D8"/>
    <w:rsid w:val="0083541D"/>
    <w:rsid w:val="00835436"/>
    <w:rsid w:val="008355BB"/>
    <w:rsid w:val="008357CE"/>
    <w:rsid w:val="008357F9"/>
    <w:rsid w:val="0083585A"/>
    <w:rsid w:val="00835A48"/>
    <w:rsid w:val="00835AC0"/>
    <w:rsid w:val="00835BF4"/>
    <w:rsid w:val="00835E34"/>
    <w:rsid w:val="00835EDE"/>
    <w:rsid w:val="00835F4C"/>
    <w:rsid w:val="0083604C"/>
    <w:rsid w:val="00836143"/>
    <w:rsid w:val="0083614F"/>
    <w:rsid w:val="008361A7"/>
    <w:rsid w:val="008361E7"/>
    <w:rsid w:val="0083622F"/>
    <w:rsid w:val="0083638C"/>
    <w:rsid w:val="0083643A"/>
    <w:rsid w:val="0083643F"/>
    <w:rsid w:val="0083649B"/>
    <w:rsid w:val="00836595"/>
    <w:rsid w:val="008366A6"/>
    <w:rsid w:val="008366E0"/>
    <w:rsid w:val="008366ED"/>
    <w:rsid w:val="00836708"/>
    <w:rsid w:val="0083671F"/>
    <w:rsid w:val="0083672C"/>
    <w:rsid w:val="00836AA9"/>
    <w:rsid w:val="00836B99"/>
    <w:rsid w:val="00836C14"/>
    <w:rsid w:val="00836CA4"/>
    <w:rsid w:val="00836CE0"/>
    <w:rsid w:val="00836F9B"/>
    <w:rsid w:val="00836F9F"/>
    <w:rsid w:val="00837096"/>
    <w:rsid w:val="00837101"/>
    <w:rsid w:val="00837264"/>
    <w:rsid w:val="008374D1"/>
    <w:rsid w:val="0083756A"/>
    <w:rsid w:val="0083764A"/>
    <w:rsid w:val="008376AB"/>
    <w:rsid w:val="00837709"/>
    <w:rsid w:val="008377D5"/>
    <w:rsid w:val="00837818"/>
    <w:rsid w:val="00837848"/>
    <w:rsid w:val="0083789D"/>
    <w:rsid w:val="00837BAA"/>
    <w:rsid w:val="00837D80"/>
    <w:rsid w:val="00837DBC"/>
    <w:rsid w:val="00837DC7"/>
    <w:rsid w:val="00837EC0"/>
    <w:rsid w:val="00840015"/>
    <w:rsid w:val="008400A3"/>
    <w:rsid w:val="008400A6"/>
    <w:rsid w:val="008400BC"/>
    <w:rsid w:val="008400C3"/>
    <w:rsid w:val="00840141"/>
    <w:rsid w:val="008401C9"/>
    <w:rsid w:val="00840361"/>
    <w:rsid w:val="00840727"/>
    <w:rsid w:val="00840834"/>
    <w:rsid w:val="008409EA"/>
    <w:rsid w:val="00840B4A"/>
    <w:rsid w:val="00840B4B"/>
    <w:rsid w:val="00840B77"/>
    <w:rsid w:val="00840E1A"/>
    <w:rsid w:val="00840E1C"/>
    <w:rsid w:val="00841081"/>
    <w:rsid w:val="00841258"/>
    <w:rsid w:val="00841827"/>
    <w:rsid w:val="00841A22"/>
    <w:rsid w:val="00841BAB"/>
    <w:rsid w:val="00841C13"/>
    <w:rsid w:val="00841D9A"/>
    <w:rsid w:val="00841E3A"/>
    <w:rsid w:val="00842193"/>
    <w:rsid w:val="008421B5"/>
    <w:rsid w:val="00842393"/>
    <w:rsid w:val="008424EE"/>
    <w:rsid w:val="0084251F"/>
    <w:rsid w:val="008426CA"/>
    <w:rsid w:val="00842786"/>
    <w:rsid w:val="0084280B"/>
    <w:rsid w:val="008428F1"/>
    <w:rsid w:val="008429C6"/>
    <w:rsid w:val="00842BC2"/>
    <w:rsid w:val="00842DBF"/>
    <w:rsid w:val="00842F17"/>
    <w:rsid w:val="008430E8"/>
    <w:rsid w:val="00843168"/>
    <w:rsid w:val="00843299"/>
    <w:rsid w:val="0084335F"/>
    <w:rsid w:val="0084364C"/>
    <w:rsid w:val="008438B8"/>
    <w:rsid w:val="008438FD"/>
    <w:rsid w:val="00843998"/>
    <w:rsid w:val="00843A36"/>
    <w:rsid w:val="00843C5A"/>
    <w:rsid w:val="00843DF3"/>
    <w:rsid w:val="00843EAC"/>
    <w:rsid w:val="00843F61"/>
    <w:rsid w:val="008440D5"/>
    <w:rsid w:val="00844163"/>
    <w:rsid w:val="00844244"/>
    <w:rsid w:val="008442C7"/>
    <w:rsid w:val="008442F7"/>
    <w:rsid w:val="008443E5"/>
    <w:rsid w:val="008446C4"/>
    <w:rsid w:val="008447CA"/>
    <w:rsid w:val="00844829"/>
    <w:rsid w:val="00844927"/>
    <w:rsid w:val="00844963"/>
    <w:rsid w:val="00844A7D"/>
    <w:rsid w:val="00844B42"/>
    <w:rsid w:val="00844B9A"/>
    <w:rsid w:val="00844D19"/>
    <w:rsid w:val="00844E04"/>
    <w:rsid w:val="00844E56"/>
    <w:rsid w:val="0084506A"/>
    <w:rsid w:val="00845111"/>
    <w:rsid w:val="00845152"/>
    <w:rsid w:val="00845354"/>
    <w:rsid w:val="008453F9"/>
    <w:rsid w:val="0084550B"/>
    <w:rsid w:val="00845590"/>
    <w:rsid w:val="0084561C"/>
    <w:rsid w:val="00845A0C"/>
    <w:rsid w:val="00845BAB"/>
    <w:rsid w:val="00845BBA"/>
    <w:rsid w:val="00845C00"/>
    <w:rsid w:val="00845DE6"/>
    <w:rsid w:val="00845EC1"/>
    <w:rsid w:val="00845F02"/>
    <w:rsid w:val="00845FBE"/>
    <w:rsid w:val="00846119"/>
    <w:rsid w:val="0084637E"/>
    <w:rsid w:val="008463C7"/>
    <w:rsid w:val="0084648C"/>
    <w:rsid w:val="008469DF"/>
    <w:rsid w:val="00846A17"/>
    <w:rsid w:val="00846A65"/>
    <w:rsid w:val="00846AB6"/>
    <w:rsid w:val="00846DEA"/>
    <w:rsid w:val="00846E47"/>
    <w:rsid w:val="00846E51"/>
    <w:rsid w:val="00846F13"/>
    <w:rsid w:val="00847085"/>
    <w:rsid w:val="008470C6"/>
    <w:rsid w:val="0084721D"/>
    <w:rsid w:val="008472DC"/>
    <w:rsid w:val="00847393"/>
    <w:rsid w:val="008473AE"/>
    <w:rsid w:val="008474D4"/>
    <w:rsid w:val="0084755B"/>
    <w:rsid w:val="00847616"/>
    <w:rsid w:val="008476C7"/>
    <w:rsid w:val="008476D4"/>
    <w:rsid w:val="008476DC"/>
    <w:rsid w:val="00847752"/>
    <w:rsid w:val="008478CD"/>
    <w:rsid w:val="00847980"/>
    <w:rsid w:val="00847A4D"/>
    <w:rsid w:val="00847B22"/>
    <w:rsid w:val="00847B9D"/>
    <w:rsid w:val="00847CEA"/>
    <w:rsid w:val="00847E6C"/>
    <w:rsid w:val="00847E9B"/>
    <w:rsid w:val="0085000D"/>
    <w:rsid w:val="00850095"/>
    <w:rsid w:val="008501A4"/>
    <w:rsid w:val="0085028F"/>
    <w:rsid w:val="00850303"/>
    <w:rsid w:val="008503B7"/>
    <w:rsid w:val="008503E5"/>
    <w:rsid w:val="00850419"/>
    <w:rsid w:val="00850567"/>
    <w:rsid w:val="00850734"/>
    <w:rsid w:val="008508AC"/>
    <w:rsid w:val="008508C5"/>
    <w:rsid w:val="00850949"/>
    <w:rsid w:val="008509B5"/>
    <w:rsid w:val="00850AB1"/>
    <w:rsid w:val="00850C52"/>
    <w:rsid w:val="00850D19"/>
    <w:rsid w:val="00850D69"/>
    <w:rsid w:val="00850F28"/>
    <w:rsid w:val="00851051"/>
    <w:rsid w:val="008510BC"/>
    <w:rsid w:val="008510EE"/>
    <w:rsid w:val="00851295"/>
    <w:rsid w:val="0085138C"/>
    <w:rsid w:val="0085161F"/>
    <w:rsid w:val="00851675"/>
    <w:rsid w:val="008516E7"/>
    <w:rsid w:val="00851804"/>
    <w:rsid w:val="00851844"/>
    <w:rsid w:val="00851902"/>
    <w:rsid w:val="00851B4D"/>
    <w:rsid w:val="00851B59"/>
    <w:rsid w:val="00851C52"/>
    <w:rsid w:val="00851D60"/>
    <w:rsid w:val="00851DD6"/>
    <w:rsid w:val="00851DE8"/>
    <w:rsid w:val="00851F09"/>
    <w:rsid w:val="00852029"/>
    <w:rsid w:val="00852132"/>
    <w:rsid w:val="008521C3"/>
    <w:rsid w:val="008521F9"/>
    <w:rsid w:val="00852201"/>
    <w:rsid w:val="00852493"/>
    <w:rsid w:val="008525BF"/>
    <w:rsid w:val="008526A8"/>
    <w:rsid w:val="008526E6"/>
    <w:rsid w:val="00852763"/>
    <w:rsid w:val="0085283D"/>
    <w:rsid w:val="00852882"/>
    <w:rsid w:val="008528C7"/>
    <w:rsid w:val="00852901"/>
    <w:rsid w:val="00852A36"/>
    <w:rsid w:val="00852B59"/>
    <w:rsid w:val="00852EA1"/>
    <w:rsid w:val="00852EE8"/>
    <w:rsid w:val="00852EF4"/>
    <w:rsid w:val="00853152"/>
    <w:rsid w:val="00853245"/>
    <w:rsid w:val="0085326A"/>
    <w:rsid w:val="0085330E"/>
    <w:rsid w:val="008537FA"/>
    <w:rsid w:val="008538DA"/>
    <w:rsid w:val="00853971"/>
    <w:rsid w:val="00853AAD"/>
    <w:rsid w:val="00853C9F"/>
    <w:rsid w:val="00853CB8"/>
    <w:rsid w:val="00853D00"/>
    <w:rsid w:val="00853D25"/>
    <w:rsid w:val="00853D61"/>
    <w:rsid w:val="00853D80"/>
    <w:rsid w:val="00853E1D"/>
    <w:rsid w:val="00853F16"/>
    <w:rsid w:val="00853F28"/>
    <w:rsid w:val="00854177"/>
    <w:rsid w:val="008542F9"/>
    <w:rsid w:val="008542FA"/>
    <w:rsid w:val="00854300"/>
    <w:rsid w:val="00854303"/>
    <w:rsid w:val="00854305"/>
    <w:rsid w:val="00854407"/>
    <w:rsid w:val="00854545"/>
    <w:rsid w:val="008545B2"/>
    <w:rsid w:val="0085485B"/>
    <w:rsid w:val="00854B27"/>
    <w:rsid w:val="00854B44"/>
    <w:rsid w:val="00854BA4"/>
    <w:rsid w:val="00854BAC"/>
    <w:rsid w:val="00854BE9"/>
    <w:rsid w:val="00854D98"/>
    <w:rsid w:val="00854EF9"/>
    <w:rsid w:val="00854EFD"/>
    <w:rsid w:val="00854F08"/>
    <w:rsid w:val="0085514E"/>
    <w:rsid w:val="00855230"/>
    <w:rsid w:val="008552BC"/>
    <w:rsid w:val="00855677"/>
    <w:rsid w:val="008558E9"/>
    <w:rsid w:val="00855C14"/>
    <w:rsid w:val="00855CC4"/>
    <w:rsid w:val="00855D79"/>
    <w:rsid w:val="00855DF0"/>
    <w:rsid w:val="00855FB9"/>
    <w:rsid w:val="0085622D"/>
    <w:rsid w:val="00856279"/>
    <w:rsid w:val="008564A2"/>
    <w:rsid w:val="008565D7"/>
    <w:rsid w:val="008565F0"/>
    <w:rsid w:val="008565F5"/>
    <w:rsid w:val="00856671"/>
    <w:rsid w:val="008569A9"/>
    <w:rsid w:val="00856ADC"/>
    <w:rsid w:val="00856BBB"/>
    <w:rsid w:val="00856C22"/>
    <w:rsid w:val="00856C3A"/>
    <w:rsid w:val="00856DC9"/>
    <w:rsid w:val="00856E57"/>
    <w:rsid w:val="00856E74"/>
    <w:rsid w:val="00856FAA"/>
    <w:rsid w:val="00857224"/>
    <w:rsid w:val="0085725F"/>
    <w:rsid w:val="00857283"/>
    <w:rsid w:val="00857285"/>
    <w:rsid w:val="008576D3"/>
    <w:rsid w:val="008577D6"/>
    <w:rsid w:val="008577F9"/>
    <w:rsid w:val="00857820"/>
    <w:rsid w:val="008578FB"/>
    <w:rsid w:val="00857909"/>
    <w:rsid w:val="00857B3B"/>
    <w:rsid w:val="00857C6B"/>
    <w:rsid w:val="0086004C"/>
    <w:rsid w:val="0086012D"/>
    <w:rsid w:val="008601FB"/>
    <w:rsid w:val="00860295"/>
    <w:rsid w:val="008602FB"/>
    <w:rsid w:val="00860396"/>
    <w:rsid w:val="00860485"/>
    <w:rsid w:val="0086055D"/>
    <w:rsid w:val="008605B7"/>
    <w:rsid w:val="00860917"/>
    <w:rsid w:val="00860991"/>
    <w:rsid w:val="00860B3F"/>
    <w:rsid w:val="00860B53"/>
    <w:rsid w:val="00860C93"/>
    <w:rsid w:val="00860F91"/>
    <w:rsid w:val="00860F96"/>
    <w:rsid w:val="00861068"/>
    <w:rsid w:val="00861100"/>
    <w:rsid w:val="00861112"/>
    <w:rsid w:val="00861120"/>
    <w:rsid w:val="00861197"/>
    <w:rsid w:val="008611C6"/>
    <w:rsid w:val="00861273"/>
    <w:rsid w:val="008612D1"/>
    <w:rsid w:val="008614B0"/>
    <w:rsid w:val="008614B2"/>
    <w:rsid w:val="008617AF"/>
    <w:rsid w:val="0086193E"/>
    <w:rsid w:val="0086197E"/>
    <w:rsid w:val="00861A0E"/>
    <w:rsid w:val="00861C40"/>
    <w:rsid w:val="00861CCA"/>
    <w:rsid w:val="00861D1A"/>
    <w:rsid w:val="00861E0D"/>
    <w:rsid w:val="00861E45"/>
    <w:rsid w:val="00862022"/>
    <w:rsid w:val="008623CB"/>
    <w:rsid w:val="008623FB"/>
    <w:rsid w:val="008625A1"/>
    <w:rsid w:val="0086287B"/>
    <w:rsid w:val="008628F0"/>
    <w:rsid w:val="0086293E"/>
    <w:rsid w:val="00862942"/>
    <w:rsid w:val="008629F8"/>
    <w:rsid w:val="00862A5F"/>
    <w:rsid w:val="00862B2C"/>
    <w:rsid w:val="00862C2E"/>
    <w:rsid w:val="00862C7A"/>
    <w:rsid w:val="00862F23"/>
    <w:rsid w:val="00862F66"/>
    <w:rsid w:val="00862FC2"/>
    <w:rsid w:val="008630AB"/>
    <w:rsid w:val="008630B9"/>
    <w:rsid w:val="008630C8"/>
    <w:rsid w:val="008630E6"/>
    <w:rsid w:val="00863148"/>
    <w:rsid w:val="00863167"/>
    <w:rsid w:val="008631FB"/>
    <w:rsid w:val="008631FE"/>
    <w:rsid w:val="0086322A"/>
    <w:rsid w:val="00863235"/>
    <w:rsid w:val="00863259"/>
    <w:rsid w:val="00863399"/>
    <w:rsid w:val="0086345E"/>
    <w:rsid w:val="00863523"/>
    <w:rsid w:val="00863570"/>
    <w:rsid w:val="008635BD"/>
    <w:rsid w:val="008636C0"/>
    <w:rsid w:val="008637BC"/>
    <w:rsid w:val="008638B2"/>
    <w:rsid w:val="00863A3A"/>
    <w:rsid w:val="00863C68"/>
    <w:rsid w:val="00863C8E"/>
    <w:rsid w:val="00863DC3"/>
    <w:rsid w:val="00864024"/>
    <w:rsid w:val="00864038"/>
    <w:rsid w:val="0086412F"/>
    <w:rsid w:val="00864169"/>
    <w:rsid w:val="00864225"/>
    <w:rsid w:val="00864290"/>
    <w:rsid w:val="00864373"/>
    <w:rsid w:val="00864382"/>
    <w:rsid w:val="00864403"/>
    <w:rsid w:val="0086449F"/>
    <w:rsid w:val="00864656"/>
    <w:rsid w:val="0086466E"/>
    <w:rsid w:val="00864867"/>
    <w:rsid w:val="00864906"/>
    <w:rsid w:val="00864CFD"/>
    <w:rsid w:val="00864E6A"/>
    <w:rsid w:val="00864E83"/>
    <w:rsid w:val="00864EEE"/>
    <w:rsid w:val="00864FB8"/>
    <w:rsid w:val="00864FC2"/>
    <w:rsid w:val="0086519A"/>
    <w:rsid w:val="008651DD"/>
    <w:rsid w:val="00865218"/>
    <w:rsid w:val="008652FD"/>
    <w:rsid w:val="0086535B"/>
    <w:rsid w:val="008653F3"/>
    <w:rsid w:val="00865492"/>
    <w:rsid w:val="008654DD"/>
    <w:rsid w:val="00865530"/>
    <w:rsid w:val="00865540"/>
    <w:rsid w:val="0086572B"/>
    <w:rsid w:val="0086577A"/>
    <w:rsid w:val="0086588D"/>
    <w:rsid w:val="00865985"/>
    <w:rsid w:val="0086599C"/>
    <w:rsid w:val="008659B1"/>
    <w:rsid w:val="008659C5"/>
    <w:rsid w:val="00865A69"/>
    <w:rsid w:val="00865ADC"/>
    <w:rsid w:val="00865B4C"/>
    <w:rsid w:val="00865B97"/>
    <w:rsid w:val="00865B9B"/>
    <w:rsid w:val="00865BE3"/>
    <w:rsid w:val="00865CC0"/>
    <w:rsid w:val="00865CE5"/>
    <w:rsid w:val="00865D30"/>
    <w:rsid w:val="00865DB6"/>
    <w:rsid w:val="00865F8F"/>
    <w:rsid w:val="0086614E"/>
    <w:rsid w:val="0086621C"/>
    <w:rsid w:val="008663B6"/>
    <w:rsid w:val="0086649C"/>
    <w:rsid w:val="008667E1"/>
    <w:rsid w:val="0086695B"/>
    <w:rsid w:val="008669AB"/>
    <w:rsid w:val="00866D65"/>
    <w:rsid w:val="00866FAB"/>
    <w:rsid w:val="00866FB3"/>
    <w:rsid w:val="00867043"/>
    <w:rsid w:val="00867169"/>
    <w:rsid w:val="008671A3"/>
    <w:rsid w:val="00867343"/>
    <w:rsid w:val="00867404"/>
    <w:rsid w:val="008675C5"/>
    <w:rsid w:val="0086779E"/>
    <w:rsid w:val="00867916"/>
    <w:rsid w:val="0086792B"/>
    <w:rsid w:val="00867ABE"/>
    <w:rsid w:val="00867ADE"/>
    <w:rsid w:val="00867BB0"/>
    <w:rsid w:val="00867D89"/>
    <w:rsid w:val="00867D94"/>
    <w:rsid w:val="00867DE5"/>
    <w:rsid w:val="00867FD6"/>
    <w:rsid w:val="008700CA"/>
    <w:rsid w:val="00870216"/>
    <w:rsid w:val="00870219"/>
    <w:rsid w:val="0087025B"/>
    <w:rsid w:val="00870291"/>
    <w:rsid w:val="008702FD"/>
    <w:rsid w:val="0087051E"/>
    <w:rsid w:val="0087057E"/>
    <w:rsid w:val="008705B7"/>
    <w:rsid w:val="0087095B"/>
    <w:rsid w:val="00870960"/>
    <w:rsid w:val="0087098A"/>
    <w:rsid w:val="00870DB6"/>
    <w:rsid w:val="00870DE3"/>
    <w:rsid w:val="00870F67"/>
    <w:rsid w:val="008711DA"/>
    <w:rsid w:val="0087129B"/>
    <w:rsid w:val="008713AF"/>
    <w:rsid w:val="00871581"/>
    <w:rsid w:val="0087164D"/>
    <w:rsid w:val="008716B7"/>
    <w:rsid w:val="008716BE"/>
    <w:rsid w:val="0087174C"/>
    <w:rsid w:val="008718AB"/>
    <w:rsid w:val="00871B04"/>
    <w:rsid w:val="00871C96"/>
    <w:rsid w:val="00871CB9"/>
    <w:rsid w:val="00871E6F"/>
    <w:rsid w:val="008720B3"/>
    <w:rsid w:val="008720B6"/>
    <w:rsid w:val="00872364"/>
    <w:rsid w:val="008723DC"/>
    <w:rsid w:val="008724F7"/>
    <w:rsid w:val="00872600"/>
    <w:rsid w:val="00872602"/>
    <w:rsid w:val="00872802"/>
    <w:rsid w:val="008728E2"/>
    <w:rsid w:val="00872900"/>
    <w:rsid w:val="00872C2B"/>
    <w:rsid w:val="00872CF3"/>
    <w:rsid w:val="00872F79"/>
    <w:rsid w:val="0087300E"/>
    <w:rsid w:val="00873039"/>
    <w:rsid w:val="0087316A"/>
    <w:rsid w:val="0087326B"/>
    <w:rsid w:val="008732A5"/>
    <w:rsid w:val="00873339"/>
    <w:rsid w:val="008733E1"/>
    <w:rsid w:val="008735DE"/>
    <w:rsid w:val="00873629"/>
    <w:rsid w:val="00873B23"/>
    <w:rsid w:val="00873C6A"/>
    <w:rsid w:val="00873D20"/>
    <w:rsid w:val="00873F1C"/>
    <w:rsid w:val="00873FA4"/>
    <w:rsid w:val="0087402A"/>
    <w:rsid w:val="0087418C"/>
    <w:rsid w:val="00874195"/>
    <w:rsid w:val="00874264"/>
    <w:rsid w:val="0087428A"/>
    <w:rsid w:val="008742B9"/>
    <w:rsid w:val="008743CA"/>
    <w:rsid w:val="008744E5"/>
    <w:rsid w:val="00874719"/>
    <w:rsid w:val="0087471A"/>
    <w:rsid w:val="008747D9"/>
    <w:rsid w:val="008747E7"/>
    <w:rsid w:val="008747F2"/>
    <w:rsid w:val="008748AE"/>
    <w:rsid w:val="008749DB"/>
    <w:rsid w:val="00874A2D"/>
    <w:rsid w:val="00874F34"/>
    <w:rsid w:val="0087504E"/>
    <w:rsid w:val="00875347"/>
    <w:rsid w:val="00875628"/>
    <w:rsid w:val="00875709"/>
    <w:rsid w:val="0087570C"/>
    <w:rsid w:val="008757C6"/>
    <w:rsid w:val="00875835"/>
    <w:rsid w:val="00875849"/>
    <w:rsid w:val="0087592C"/>
    <w:rsid w:val="0087598D"/>
    <w:rsid w:val="00875A13"/>
    <w:rsid w:val="00875C50"/>
    <w:rsid w:val="008761B9"/>
    <w:rsid w:val="00876282"/>
    <w:rsid w:val="008764A3"/>
    <w:rsid w:val="008764DA"/>
    <w:rsid w:val="00876598"/>
    <w:rsid w:val="0087676E"/>
    <w:rsid w:val="00876881"/>
    <w:rsid w:val="008768F7"/>
    <w:rsid w:val="00876B19"/>
    <w:rsid w:val="00876D23"/>
    <w:rsid w:val="00876D60"/>
    <w:rsid w:val="00876DAE"/>
    <w:rsid w:val="00876EC3"/>
    <w:rsid w:val="00877001"/>
    <w:rsid w:val="008771F5"/>
    <w:rsid w:val="008771FB"/>
    <w:rsid w:val="00877268"/>
    <w:rsid w:val="008773A4"/>
    <w:rsid w:val="008774E9"/>
    <w:rsid w:val="00877665"/>
    <w:rsid w:val="00877674"/>
    <w:rsid w:val="0087777A"/>
    <w:rsid w:val="0087782F"/>
    <w:rsid w:val="0087786B"/>
    <w:rsid w:val="00877958"/>
    <w:rsid w:val="00877977"/>
    <w:rsid w:val="00877981"/>
    <w:rsid w:val="00877A9F"/>
    <w:rsid w:val="00877BEA"/>
    <w:rsid w:val="00877C57"/>
    <w:rsid w:val="00880040"/>
    <w:rsid w:val="00880047"/>
    <w:rsid w:val="00880130"/>
    <w:rsid w:val="00880168"/>
    <w:rsid w:val="008801B3"/>
    <w:rsid w:val="0088027A"/>
    <w:rsid w:val="008802BC"/>
    <w:rsid w:val="0088043F"/>
    <w:rsid w:val="00880493"/>
    <w:rsid w:val="008804C5"/>
    <w:rsid w:val="008804EA"/>
    <w:rsid w:val="0088056C"/>
    <w:rsid w:val="008805C1"/>
    <w:rsid w:val="00880984"/>
    <w:rsid w:val="00880A11"/>
    <w:rsid w:val="00880ABC"/>
    <w:rsid w:val="00880B69"/>
    <w:rsid w:val="0088104F"/>
    <w:rsid w:val="008810A1"/>
    <w:rsid w:val="0088118D"/>
    <w:rsid w:val="00881246"/>
    <w:rsid w:val="008814D1"/>
    <w:rsid w:val="008814E2"/>
    <w:rsid w:val="008815F4"/>
    <w:rsid w:val="0088166B"/>
    <w:rsid w:val="0088173A"/>
    <w:rsid w:val="0088174C"/>
    <w:rsid w:val="00881765"/>
    <w:rsid w:val="008819C7"/>
    <w:rsid w:val="00881BFE"/>
    <w:rsid w:val="00881C41"/>
    <w:rsid w:val="00881D28"/>
    <w:rsid w:val="00881E02"/>
    <w:rsid w:val="00881E0B"/>
    <w:rsid w:val="00881E81"/>
    <w:rsid w:val="00881EB3"/>
    <w:rsid w:val="00881F1F"/>
    <w:rsid w:val="00881F60"/>
    <w:rsid w:val="00882065"/>
    <w:rsid w:val="0088207F"/>
    <w:rsid w:val="008821A2"/>
    <w:rsid w:val="00882367"/>
    <w:rsid w:val="0088237E"/>
    <w:rsid w:val="008823D2"/>
    <w:rsid w:val="00882445"/>
    <w:rsid w:val="0088285F"/>
    <w:rsid w:val="00882946"/>
    <w:rsid w:val="00882980"/>
    <w:rsid w:val="00882C43"/>
    <w:rsid w:val="00882E95"/>
    <w:rsid w:val="00882EA8"/>
    <w:rsid w:val="00882EB1"/>
    <w:rsid w:val="00882F89"/>
    <w:rsid w:val="00883041"/>
    <w:rsid w:val="0088319C"/>
    <w:rsid w:val="00883308"/>
    <w:rsid w:val="0088338D"/>
    <w:rsid w:val="0088346A"/>
    <w:rsid w:val="00883528"/>
    <w:rsid w:val="008837B6"/>
    <w:rsid w:val="00883935"/>
    <w:rsid w:val="00883A90"/>
    <w:rsid w:val="00883D73"/>
    <w:rsid w:val="00883DFE"/>
    <w:rsid w:val="00883E09"/>
    <w:rsid w:val="00883E82"/>
    <w:rsid w:val="00883EAB"/>
    <w:rsid w:val="00883EB9"/>
    <w:rsid w:val="00883ECA"/>
    <w:rsid w:val="00883F14"/>
    <w:rsid w:val="00884193"/>
    <w:rsid w:val="0088423C"/>
    <w:rsid w:val="0088427F"/>
    <w:rsid w:val="008845D1"/>
    <w:rsid w:val="0088474B"/>
    <w:rsid w:val="008848BE"/>
    <w:rsid w:val="008848C2"/>
    <w:rsid w:val="00884997"/>
    <w:rsid w:val="00884B09"/>
    <w:rsid w:val="00884B98"/>
    <w:rsid w:val="00884D7F"/>
    <w:rsid w:val="00884F1E"/>
    <w:rsid w:val="00884F60"/>
    <w:rsid w:val="00884F84"/>
    <w:rsid w:val="00884FA5"/>
    <w:rsid w:val="0088505D"/>
    <w:rsid w:val="0088506E"/>
    <w:rsid w:val="008850BE"/>
    <w:rsid w:val="0088535F"/>
    <w:rsid w:val="008854FD"/>
    <w:rsid w:val="0088560B"/>
    <w:rsid w:val="00885725"/>
    <w:rsid w:val="00885782"/>
    <w:rsid w:val="008857EA"/>
    <w:rsid w:val="0088581F"/>
    <w:rsid w:val="00885865"/>
    <w:rsid w:val="00885ACF"/>
    <w:rsid w:val="00885B4A"/>
    <w:rsid w:val="00885BC0"/>
    <w:rsid w:val="00885C47"/>
    <w:rsid w:val="00885CB8"/>
    <w:rsid w:val="00885D97"/>
    <w:rsid w:val="00885F13"/>
    <w:rsid w:val="00885FB0"/>
    <w:rsid w:val="0088605B"/>
    <w:rsid w:val="008861E6"/>
    <w:rsid w:val="008862D7"/>
    <w:rsid w:val="00886470"/>
    <w:rsid w:val="0088656C"/>
    <w:rsid w:val="00886599"/>
    <w:rsid w:val="008866B6"/>
    <w:rsid w:val="008869E6"/>
    <w:rsid w:val="00886A3C"/>
    <w:rsid w:val="00886AFE"/>
    <w:rsid w:val="00886C47"/>
    <w:rsid w:val="00886C99"/>
    <w:rsid w:val="00886CA1"/>
    <w:rsid w:val="00886DC5"/>
    <w:rsid w:val="00886ECA"/>
    <w:rsid w:val="00886F03"/>
    <w:rsid w:val="0088701D"/>
    <w:rsid w:val="00887107"/>
    <w:rsid w:val="00887126"/>
    <w:rsid w:val="00887130"/>
    <w:rsid w:val="00887197"/>
    <w:rsid w:val="0088720A"/>
    <w:rsid w:val="0088720C"/>
    <w:rsid w:val="00887403"/>
    <w:rsid w:val="00887524"/>
    <w:rsid w:val="0088755D"/>
    <w:rsid w:val="00887A80"/>
    <w:rsid w:val="00887A8D"/>
    <w:rsid w:val="00887C00"/>
    <w:rsid w:val="00887C62"/>
    <w:rsid w:val="00887DA4"/>
    <w:rsid w:val="00887E85"/>
    <w:rsid w:val="008900BA"/>
    <w:rsid w:val="0089019D"/>
    <w:rsid w:val="00890212"/>
    <w:rsid w:val="00890325"/>
    <w:rsid w:val="008904CF"/>
    <w:rsid w:val="008906AC"/>
    <w:rsid w:val="008906D4"/>
    <w:rsid w:val="0089072A"/>
    <w:rsid w:val="008907A4"/>
    <w:rsid w:val="008909B0"/>
    <w:rsid w:val="008909EB"/>
    <w:rsid w:val="00890BF6"/>
    <w:rsid w:val="00890C2C"/>
    <w:rsid w:val="00890D0D"/>
    <w:rsid w:val="00890E55"/>
    <w:rsid w:val="00891014"/>
    <w:rsid w:val="00891357"/>
    <w:rsid w:val="008913CD"/>
    <w:rsid w:val="00891478"/>
    <w:rsid w:val="008914C6"/>
    <w:rsid w:val="00891643"/>
    <w:rsid w:val="0089172E"/>
    <w:rsid w:val="00891737"/>
    <w:rsid w:val="008917EC"/>
    <w:rsid w:val="00891860"/>
    <w:rsid w:val="00891A59"/>
    <w:rsid w:val="00891A82"/>
    <w:rsid w:val="00891B1A"/>
    <w:rsid w:val="00891B1C"/>
    <w:rsid w:val="00891BFB"/>
    <w:rsid w:val="00891E1E"/>
    <w:rsid w:val="00891E9B"/>
    <w:rsid w:val="00891F9A"/>
    <w:rsid w:val="008920ED"/>
    <w:rsid w:val="00892138"/>
    <w:rsid w:val="008922A5"/>
    <w:rsid w:val="00892483"/>
    <w:rsid w:val="0089255B"/>
    <w:rsid w:val="00892776"/>
    <w:rsid w:val="00892895"/>
    <w:rsid w:val="00892976"/>
    <w:rsid w:val="008929E7"/>
    <w:rsid w:val="00892A11"/>
    <w:rsid w:val="00892A12"/>
    <w:rsid w:val="00892EAD"/>
    <w:rsid w:val="00892ECE"/>
    <w:rsid w:val="00893057"/>
    <w:rsid w:val="00893060"/>
    <w:rsid w:val="008931A8"/>
    <w:rsid w:val="008936B4"/>
    <w:rsid w:val="00893786"/>
    <w:rsid w:val="0089381A"/>
    <w:rsid w:val="008939A9"/>
    <w:rsid w:val="00893B55"/>
    <w:rsid w:val="00893B6E"/>
    <w:rsid w:val="00893D04"/>
    <w:rsid w:val="00893D97"/>
    <w:rsid w:val="00893D9B"/>
    <w:rsid w:val="00893DB8"/>
    <w:rsid w:val="008940BD"/>
    <w:rsid w:val="00894314"/>
    <w:rsid w:val="00894316"/>
    <w:rsid w:val="008944A5"/>
    <w:rsid w:val="008948C9"/>
    <w:rsid w:val="00894A13"/>
    <w:rsid w:val="00894AAE"/>
    <w:rsid w:val="00894F0E"/>
    <w:rsid w:val="00895048"/>
    <w:rsid w:val="008950A3"/>
    <w:rsid w:val="008950B3"/>
    <w:rsid w:val="008953ED"/>
    <w:rsid w:val="008954B0"/>
    <w:rsid w:val="008954E0"/>
    <w:rsid w:val="00895710"/>
    <w:rsid w:val="00895724"/>
    <w:rsid w:val="008957A6"/>
    <w:rsid w:val="00895941"/>
    <w:rsid w:val="00895C8C"/>
    <w:rsid w:val="00895D32"/>
    <w:rsid w:val="00895D8C"/>
    <w:rsid w:val="00895DDE"/>
    <w:rsid w:val="00895EBF"/>
    <w:rsid w:val="00895FDD"/>
    <w:rsid w:val="0089608D"/>
    <w:rsid w:val="0089623C"/>
    <w:rsid w:val="008962DD"/>
    <w:rsid w:val="00896398"/>
    <w:rsid w:val="0089651E"/>
    <w:rsid w:val="0089659B"/>
    <w:rsid w:val="00896AD0"/>
    <w:rsid w:val="00896C29"/>
    <w:rsid w:val="00896ED5"/>
    <w:rsid w:val="00897519"/>
    <w:rsid w:val="00897604"/>
    <w:rsid w:val="0089781C"/>
    <w:rsid w:val="0089785C"/>
    <w:rsid w:val="0089789B"/>
    <w:rsid w:val="008978C8"/>
    <w:rsid w:val="00897A62"/>
    <w:rsid w:val="00897B6E"/>
    <w:rsid w:val="00897C22"/>
    <w:rsid w:val="00897D05"/>
    <w:rsid w:val="00897EDC"/>
    <w:rsid w:val="00897EDE"/>
    <w:rsid w:val="00897F35"/>
    <w:rsid w:val="008A0268"/>
    <w:rsid w:val="008A03EF"/>
    <w:rsid w:val="008A0452"/>
    <w:rsid w:val="008A04A6"/>
    <w:rsid w:val="008A057E"/>
    <w:rsid w:val="008A06C1"/>
    <w:rsid w:val="008A0775"/>
    <w:rsid w:val="008A07BA"/>
    <w:rsid w:val="008A0803"/>
    <w:rsid w:val="008A084D"/>
    <w:rsid w:val="008A0F17"/>
    <w:rsid w:val="008A0F30"/>
    <w:rsid w:val="008A0F6E"/>
    <w:rsid w:val="008A10E1"/>
    <w:rsid w:val="008A115D"/>
    <w:rsid w:val="008A1334"/>
    <w:rsid w:val="008A13A4"/>
    <w:rsid w:val="008A1450"/>
    <w:rsid w:val="008A14B2"/>
    <w:rsid w:val="008A1562"/>
    <w:rsid w:val="008A15B2"/>
    <w:rsid w:val="008A15FA"/>
    <w:rsid w:val="008A16EC"/>
    <w:rsid w:val="008A17BD"/>
    <w:rsid w:val="008A17C2"/>
    <w:rsid w:val="008A1826"/>
    <w:rsid w:val="008A1A61"/>
    <w:rsid w:val="008A1B0E"/>
    <w:rsid w:val="008A1B5F"/>
    <w:rsid w:val="008A1E34"/>
    <w:rsid w:val="008A1EE2"/>
    <w:rsid w:val="008A2018"/>
    <w:rsid w:val="008A2153"/>
    <w:rsid w:val="008A229A"/>
    <w:rsid w:val="008A22E9"/>
    <w:rsid w:val="008A26B3"/>
    <w:rsid w:val="008A2785"/>
    <w:rsid w:val="008A289C"/>
    <w:rsid w:val="008A2929"/>
    <w:rsid w:val="008A29CC"/>
    <w:rsid w:val="008A2A3F"/>
    <w:rsid w:val="008A2A62"/>
    <w:rsid w:val="008A2A63"/>
    <w:rsid w:val="008A2C1E"/>
    <w:rsid w:val="008A2E66"/>
    <w:rsid w:val="008A2F3F"/>
    <w:rsid w:val="008A3135"/>
    <w:rsid w:val="008A34C4"/>
    <w:rsid w:val="008A34E7"/>
    <w:rsid w:val="008A3510"/>
    <w:rsid w:val="008A3544"/>
    <w:rsid w:val="008A3767"/>
    <w:rsid w:val="008A38B3"/>
    <w:rsid w:val="008A3977"/>
    <w:rsid w:val="008A3C1C"/>
    <w:rsid w:val="008A4067"/>
    <w:rsid w:val="008A407C"/>
    <w:rsid w:val="008A40B9"/>
    <w:rsid w:val="008A417F"/>
    <w:rsid w:val="008A41A6"/>
    <w:rsid w:val="008A423E"/>
    <w:rsid w:val="008A42C9"/>
    <w:rsid w:val="008A431C"/>
    <w:rsid w:val="008A4470"/>
    <w:rsid w:val="008A4566"/>
    <w:rsid w:val="008A4573"/>
    <w:rsid w:val="008A4638"/>
    <w:rsid w:val="008A4686"/>
    <w:rsid w:val="008A489A"/>
    <w:rsid w:val="008A4999"/>
    <w:rsid w:val="008A4A3C"/>
    <w:rsid w:val="008A4B63"/>
    <w:rsid w:val="008A4DB0"/>
    <w:rsid w:val="008A500B"/>
    <w:rsid w:val="008A514B"/>
    <w:rsid w:val="008A51EB"/>
    <w:rsid w:val="008A5389"/>
    <w:rsid w:val="008A5489"/>
    <w:rsid w:val="008A5556"/>
    <w:rsid w:val="008A55DB"/>
    <w:rsid w:val="008A5683"/>
    <w:rsid w:val="008A575F"/>
    <w:rsid w:val="008A583C"/>
    <w:rsid w:val="008A5A1D"/>
    <w:rsid w:val="008A5A63"/>
    <w:rsid w:val="008A5BD8"/>
    <w:rsid w:val="008A5BFE"/>
    <w:rsid w:val="008A5D64"/>
    <w:rsid w:val="008A5D7D"/>
    <w:rsid w:val="008A5F44"/>
    <w:rsid w:val="008A60B3"/>
    <w:rsid w:val="008A61EF"/>
    <w:rsid w:val="008A6211"/>
    <w:rsid w:val="008A624C"/>
    <w:rsid w:val="008A62CC"/>
    <w:rsid w:val="008A63B7"/>
    <w:rsid w:val="008A6526"/>
    <w:rsid w:val="008A6634"/>
    <w:rsid w:val="008A666E"/>
    <w:rsid w:val="008A66BF"/>
    <w:rsid w:val="008A675D"/>
    <w:rsid w:val="008A6907"/>
    <w:rsid w:val="008A6C44"/>
    <w:rsid w:val="008A6C6B"/>
    <w:rsid w:val="008A6F38"/>
    <w:rsid w:val="008A6F3B"/>
    <w:rsid w:val="008A7036"/>
    <w:rsid w:val="008A7082"/>
    <w:rsid w:val="008A71B3"/>
    <w:rsid w:val="008A723A"/>
    <w:rsid w:val="008A725D"/>
    <w:rsid w:val="008A731C"/>
    <w:rsid w:val="008A77E6"/>
    <w:rsid w:val="008A7848"/>
    <w:rsid w:val="008A7A1E"/>
    <w:rsid w:val="008A7AB2"/>
    <w:rsid w:val="008A7B3F"/>
    <w:rsid w:val="008A7B56"/>
    <w:rsid w:val="008A7C36"/>
    <w:rsid w:val="008A7C77"/>
    <w:rsid w:val="008A7C8A"/>
    <w:rsid w:val="008A7D52"/>
    <w:rsid w:val="008A7E0B"/>
    <w:rsid w:val="008A7E59"/>
    <w:rsid w:val="008A7F26"/>
    <w:rsid w:val="008B0069"/>
    <w:rsid w:val="008B01D7"/>
    <w:rsid w:val="008B03B7"/>
    <w:rsid w:val="008B03D8"/>
    <w:rsid w:val="008B04F9"/>
    <w:rsid w:val="008B0549"/>
    <w:rsid w:val="008B07B6"/>
    <w:rsid w:val="008B08A3"/>
    <w:rsid w:val="008B09FA"/>
    <w:rsid w:val="008B0AFE"/>
    <w:rsid w:val="008B0D14"/>
    <w:rsid w:val="008B0DE9"/>
    <w:rsid w:val="008B0FB0"/>
    <w:rsid w:val="008B10BF"/>
    <w:rsid w:val="008B10D6"/>
    <w:rsid w:val="008B1111"/>
    <w:rsid w:val="008B12AE"/>
    <w:rsid w:val="008B1302"/>
    <w:rsid w:val="008B137F"/>
    <w:rsid w:val="008B13AA"/>
    <w:rsid w:val="008B17BD"/>
    <w:rsid w:val="008B18D3"/>
    <w:rsid w:val="008B192A"/>
    <w:rsid w:val="008B1A9F"/>
    <w:rsid w:val="008B1B9F"/>
    <w:rsid w:val="008B1C44"/>
    <w:rsid w:val="008B1CA2"/>
    <w:rsid w:val="008B1E04"/>
    <w:rsid w:val="008B1F61"/>
    <w:rsid w:val="008B1FC5"/>
    <w:rsid w:val="008B20CA"/>
    <w:rsid w:val="008B22CE"/>
    <w:rsid w:val="008B238C"/>
    <w:rsid w:val="008B255E"/>
    <w:rsid w:val="008B2657"/>
    <w:rsid w:val="008B27AB"/>
    <w:rsid w:val="008B2AF2"/>
    <w:rsid w:val="008B2BEE"/>
    <w:rsid w:val="008B2C36"/>
    <w:rsid w:val="008B2C6A"/>
    <w:rsid w:val="008B2D1F"/>
    <w:rsid w:val="008B2E69"/>
    <w:rsid w:val="008B2F05"/>
    <w:rsid w:val="008B2FEC"/>
    <w:rsid w:val="008B30BC"/>
    <w:rsid w:val="008B333B"/>
    <w:rsid w:val="008B34C2"/>
    <w:rsid w:val="008B3903"/>
    <w:rsid w:val="008B3A42"/>
    <w:rsid w:val="008B3C19"/>
    <w:rsid w:val="008B3C23"/>
    <w:rsid w:val="008B3D1F"/>
    <w:rsid w:val="008B3DE5"/>
    <w:rsid w:val="008B3ED3"/>
    <w:rsid w:val="008B3FFF"/>
    <w:rsid w:val="008B4205"/>
    <w:rsid w:val="008B4333"/>
    <w:rsid w:val="008B43F0"/>
    <w:rsid w:val="008B4412"/>
    <w:rsid w:val="008B44A5"/>
    <w:rsid w:val="008B455D"/>
    <w:rsid w:val="008B4590"/>
    <w:rsid w:val="008B4A7C"/>
    <w:rsid w:val="008B4A8E"/>
    <w:rsid w:val="008B4DF3"/>
    <w:rsid w:val="008B4F90"/>
    <w:rsid w:val="008B4FEB"/>
    <w:rsid w:val="008B5076"/>
    <w:rsid w:val="008B50CA"/>
    <w:rsid w:val="008B5183"/>
    <w:rsid w:val="008B540B"/>
    <w:rsid w:val="008B542D"/>
    <w:rsid w:val="008B5524"/>
    <w:rsid w:val="008B55FD"/>
    <w:rsid w:val="008B5764"/>
    <w:rsid w:val="008B5794"/>
    <w:rsid w:val="008B57E4"/>
    <w:rsid w:val="008B5892"/>
    <w:rsid w:val="008B58D9"/>
    <w:rsid w:val="008B5997"/>
    <w:rsid w:val="008B5A23"/>
    <w:rsid w:val="008B5AD9"/>
    <w:rsid w:val="008B5C4F"/>
    <w:rsid w:val="008B5C74"/>
    <w:rsid w:val="008B5CD6"/>
    <w:rsid w:val="008B5F4E"/>
    <w:rsid w:val="008B5FD4"/>
    <w:rsid w:val="008B6223"/>
    <w:rsid w:val="008B6505"/>
    <w:rsid w:val="008B65BA"/>
    <w:rsid w:val="008B667B"/>
    <w:rsid w:val="008B6721"/>
    <w:rsid w:val="008B67DB"/>
    <w:rsid w:val="008B67DE"/>
    <w:rsid w:val="008B68FF"/>
    <w:rsid w:val="008B6913"/>
    <w:rsid w:val="008B6923"/>
    <w:rsid w:val="008B6E0B"/>
    <w:rsid w:val="008B6E75"/>
    <w:rsid w:val="008B6EB3"/>
    <w:rsid w:val="008B6F9C"/>
    <w:rsid w:val="008B6FBA"/>
    <w:rsid w:val="008B6FBF"/>
    <w:rsid w:val="008B701A"/>
    <w:rsid w:val="008B7568"/>
    <w:rsid w:val="008B7593"/>
    <w:rsid w:val="008B772D"/>
    <w:rsid w:val="008B773A"/>
    <w:rsid w:val="008B7848"/>
    <w:rsid w:val="008B78AB"/>
    <w:rsid w:val="008B7975"/>
    <w:rsid w:val="008B7A52"/>
    <w:rsid w:val="008B7AE7"/>
    <w:rsid w:val="008B7BB7"/>
    <w:rsid w:val="008B7BEE"/>
    <w:rsid w:val="008B7CAA"/>
    <w:rsid w:val="008B7D52"/>
    <w:rsid w:val="008B7E2A"/>
    <w:rsid w:val="008B7E57"/>
    <w:rsid w:val="008B7FD9"/>
    <w:rsid w:val="008C0382"/>
    <w:rsid w:val="008C0463"/>
    <w:rsid w:val="008C056E"/>
    <w:rsid w:val="008C06BE"/>
    <w:rsid w:val="008C0965"/>
    <w:rsid w:val="008C0A32"/>
    <w:rsid w:val="008C0BCD"/>
    <w:rsid w:val="008C0C29"/>
    <w:rsid w:val="008C0C45"/>
    <w:rsid w:val="008C0C86"/>
    <w:rsid w:val="008C0D40"/>
    <w:rsid w:val="008C0D98"/>
    <w:rsid w:val="008C0DE0"/>
    <w:rsid w:val="008C0E23"/>
    <w:rsid w:val="008C0E24"/>
    <w:rsid w:val="008C0F4D"/>
    <w:rsid w:val="008C1299"/>
    <w:rsid w:val="008C12CB"/>
    <w:rsid w:val="008C1502"/>
    <w:rsid w:val="008C177D"/>
    <w:rsid w:val="008C178B"/>
    <w:rsid w:val="008C1830"/>
    <w:rsid w:val="008C19E8"/>
    <w:rsid w:val="008C1A93"/>
    <w:rsid w:val="008C1AA9"/>
    <w:rsid w:val="008C1BFD"/>
    <w:rsid w:val="008C1C3B"/>
    <w:rsid w:val="008C1C60"/>
    <w:rsid w:val="008C1DBC"/>
    <w:rsid w:val="008C1F1F"/>
    <w:rsid w:val="008C1FF9"/>
    <w:rsid w:val="008C2074"/>
    <w:rsid w:val="008C2085"/>
    <w:rsid w:val="008C214A"/>
    <w:rsid w:val="008C2269"/>
    <w:rsid w:val="008C229B"/>
    <w:rsid w:val="008C24DB"/>
    <w:rsid w:val="008C2531"/>
    <w:rsid w:val="008C2564"/>
    <w:rsid w:val="008C271E"/>
    <w:rsid w:val="008C273E"/>
    <w:rsid w:val="008C2954"/>
    <w:rsid w:val="008C2957"/>
    <w:rsid w:val="008C29CB"/>
    <w:rsid w:val="008C2A26"/>
    <w:rsid w:val="008C2D75"/>
    <w:rsid w:val="008C2DE3"/>
    <w:rsid w:val="008C2EF3"/>
    <w:rsid w:val="008C3045"/>
    <w:rsid w:val="008C315E"/>
    <w:rsid w:val="008C3229"/>
    <w:rsid w:val="008C3257"/>
    <w:rsid w:val="008C3704"/>
    <w:rsid w:val="008C384D"/>
    <w:rsid w:val="008C385E"/>
    <w:rsid w:val="008C3861"/>
    <w:rsid w:val="008C388B"/>
    <w:rsid w:val="008C3924"/>
    <w:rsid w:val="008C3AE2"/>
    <w:rsid w:val="008C3D89"/>
    <w:rsid w:val="008C3F98"/>
    <w:rsid w:val="008C3FAC"/>
    <w:rsid w:val="008C4002"/>
    <w:rsid w:val="008C400F"/>
    <w:rsid w:val="008C4091"/>
    <w:rsid w:val="008C425C"/>
    <w:rsid w:val="008C42EC"/>
    <w:rsid w:val="008C46C4"/>
    <w:rsid w:val="008C46F5"/>
    <w:rsid w:val="008C48FC"/>
    <w:rsid w:val="008C491A"/>
    <w:rsid w:val="008C4967"/>
    <w:rsid w:val="008C4DED"/>
    <w:rsid w:val="008C4FE5"/>
    <w:rsid w:val="008C50E5"/>
    <w:rsid w:val="008C5369"/>
    <w:rsid w:val="008C53A1"/>
    <w:rsid w:val="008C5435"/>
    <w:rsid w:val="008C5464"/>
    <w:rsid w:val="008C55F2"/>
    <w:rsid w:val="008C5600"/>
    <w:rsid w:val="008C574D"/>
    <w:rsid w:val="008C575B"/>
    <w:rsid w:val="008C5995"/>
    <w:rsid w:val="008C5A1C"/>
    <w:rsid w:val="008C5AF5"/>
    <w:rsid w:val="008C5B1C"/>
    <w:rsid w:val="008C5B5C"/>
    <w:rsid w:val="008C5B80"/>
    <w:rsid w:val="008C5DBD"/>
    <w:rsid w:val="008C5EEB"/>
    <w:rsid w:val="008C5FF9"/>
    <w:rsid w:val="008C603B"/>
    <w:rsid w:val="008C63C5"/>
    <w:rsid w:val="008C641C"/>
    <w:rsid w:val="008C6698"/>
    <w:rsid w:val="008C6813"/>
    <w:rsid w:val="008C692C"/>
    <w:rsid w:val="008C6975"/>
    <w:rsid w:val="008C697B"/>
    <w:rsid w:val="008C6A97"/>
    <w:rsid w:val="008C6CC9"/>
    <w:rsid w:val="008C6D87"/>
    <w:rsid w:val="008C6F42"/>
    <w:rsid w:val="008C71C7"/>
    <w:rsid w:val="008C71DE"/>
    <w:rsid w:val="008C722B"/>
    <w:rsid w:val="008C72FA"/>
    <w:rsid w:val="008C7346"/>
    <w:rsid w:val="008C7419"/>
    <w:rsid w:val="008C7436"/>
    <w:rsid w:val="008C7469"/>
    <w:rsid w:val="008C74A7"/>
    <w:rsid w:val="008C7792"/>
    <w:rsid w:val="008C77D9"/>
    <w:rsid w:val="008C78BC"/>
    <w:rsid w:val="008C78C1"/>
    <w:rsid w:val="008C7B35"/>
    <w:rsid w:val="008C7C5D"/>
    <w:rsid w:val="008D0071"/>
    <w:rsid w:val="008D0080"/>
    <w:rsid w:val="008D01C5"/>
    <w:rsid w:val="008D02B8"/>
    <w:rsid w:val="008D03A5"/>
    <w:rsid w:val="008D0567"/>
    <w:rsid w:val="008D05F5"/>
    <w:rsid w:val="008D0615"/>
    <w:rsid w:val="008D0899"/>
    <w:rsid w:val="008D092F"/>
    <w:rsid w:val="008D09EF"/>
    <w:rsid w:val="008D0BC6"/>
    <w:rsid w:val="008D0C80"/>
    <w:rsid w:val="008D0D4C"/>
    <w:rsid w:val="008D11F5"/>
    <w:rsid w:val="008D124A"/>
    <w:rsid w:val="008D133F"/>
    <w:rsid w:val="008D13F9"/>
    <w:rsid w:val="008D1428"/>
    <w:rsid w:val="008D1554"/>
    <w:rsid w:val="008D15EA"/>
    <w:rsid w:val="008D1653"/>
    <w:rsid w:val="008D18CF"/>
    <w:rsid w:val="008D1A08"/>
    <w:rsid w:val="008D1A8D"/>
    <w:rsid w:val="008D1B15"/>
    <w:rsid w:val="008D1B70"/>
    <w:rsid w:val="008D1BF5"/>
    <w:rsid w:val="008D1C05"/>
    <w:rsid w:val="008D225D"/>
    <w:rsid w:val="008D22F8"/>
    <w:rsid w:val="008D260A"/>
    <w:rsid w:val="008D26B2"/>
    <w:rsid w:val="008D2734"/>
    <w:rsid w:val="008D2842"/>
    <w:rsid w:val="008D2876"/>
    <w:rsid w:val="008D2897"/>
    <w:rsid w:val="008D289C"/>
    <w:rsid w:val="008D291B"/>
    <w:rsid w:val="008D29C4"/>
    <w:rsid w:val="008D2A51"/>
    <w:rsid w:val="008D2B93"/>
    <w:rsid w:val="008D2E0D"/>
    <w:rsid w:val="008D2E22"/>
    <w:rsid w:val="008D2E65"/>
    <w:rsid w:val="008D2EA6"/>
    <w:rsid w:val="008D2F9D"/>
    <w:rsid w:val="008D30FE"/>
    <w:rsid w:val="008D321C"/>
    <w:rsid w:val="008D3246"/>
    <w:rsid w:val="008D3348"/>
    <w:rsid w:val="008D338E"/>
    <w:rsid w:val="008D33BB"/>
    <w:rsid w:val="008D346D"/>
    <w:rsid w:val="008D3492"/>
    <w:rsid w:val="008D3621"/>
    <w:rsid w:val="008D3625"/>
    <w:rsid w:val="008D3721"/>
    <w:rsid w:val="008D387B"/>
    <w:rsid w:val="008D3A11"/>
    <w:rsid w:val="008D3A58"/>
    <w:rsid w:val="008D3B3E"/>
    <w:rsid w:val="008D3C1B"/>
    <w:rsid w:val="008D3C8C"/>
    <w:rsid w:val="008D3E87"/>
    <w:rsid w:val="008D3EE2"/>
    <w:rsid w:val="008D3F9E"/>
    <w:rsid w:val="008D426F"/>
    <w:rsid w:val="008D434A"/>
    <w:rsid w:val="008D4380"/>
    <w:rsid w:val="008D43CC"/>
    <w:rsid w:val="008D4576"/>
    <w:rsid w:val="008D460B"/>
    <w:rsid w:val="008D462F"/>
    <w:rsid w:val="008D4648"/>
    <w:rsid w:val="008D4692"/>
    <w:rsid w:val="008D46A8"/>
    <w:rsid w:val="008D46F0"/>
    <w:rsid w:val="008D4843"/>
    <w:rsid w:val="008D48AB"/>
    <w:rsid w:val="008D49EC"/>
    <w:rsid w:val="008D4A72"/>
    <w:rsid w:val="008D4AD9"/>
    <w:rsid w:val="008D4B67"/>
    <w:rsid w:val="008D4D49"/>
    <w:rsid w:val="008D4F13"/>
    <w:rsid w:val="008D4F94"/>
    <w:rsid w:val="008D50B6"/>
    <w:rsid w:val="008D549E"/>
    <w:rsid w:val="008D56BA"/>
    <w:rsid w:val="008D57E7"/>
    <w:rsid w:val="008D5833"/>
    <w:rsid w:val="008D5A12"/>
    <w:rsid w:val="008D5A4D"/>
    <w:rsid w:val="008D5ABB"/>
    <w:rsid w:val="008D5B16"/>
    <w:rsid w:val="008D5B1C"/>
    <w:rsid w:val="008D5E88"/>
    <w:rsid w:val="008D5FD0"/>
    <w:rsid w:val="008D60AE"/>
    <w:rsid w:val="008D6124"/>
    <w:rsid w:val="008D61DC"/>
    <w:rsid w:val="008D6229"/>
    <w:rsid w:val="008D63D7"/>
    <w:rsid w:val="008D64D6"/>
    <w:rsid w:val="008D6577"/>
    <w:rsid w:val="008D672B"/>
    <w:rsid w:val="008D680A"/>
    <w:rsid w:val="008D6B4B"/>
    <w:rsid w:val="008D6C48"/>
    <w:rsid w:val="008D6C5D"/>
    <w:rsid w:val="008D6CB1"/>
    <w:rsid w:val="008D6DBC"/>
    <w:rsid w:val="008D6F39"/>
    <w:rsid w:val="008D6F78"/>
    <w:rsid w:val="008D6F79"/>
    <w:rsid w:val="008D7223"/>
    <w:rsid w:val="008D728A"/>
    <w:rsid w:val="008D73F7"/>
    <w:rsid w:val="008D7452"/>
    <w:rsid w:val="008D7702"/>
    <w:rsid w:val="008D779D"/>
    <w:rsid w:val="008D7A32"/>
    <w:rsid w:val="008D7A94"/>
    <w:rsid w:val="008D7AC6"/>
    <w:rsid w:val="008D7BDD"/>
    <w:rsid w:val="008D7DD9"/>
    <w:rsid w:val="008E00DE"/>
    <w:rsid w:val="008E0256"/>
    <w:rsid w:val="008E03BA"/>
    <w:rsid w:val="008E04F3"/>
    <w:rsid w:val="008E05D6"/>
    <w:rsid w:val="008E06A4"/>
    <w:rsid w:val="008E0726"/>
    <w:rsid w:val="008E0878"/>
    <w:rsid w:val="008E0953"/>
    <w:rsid w:val="008E097C"/>
    <w:rsid w:val="008E09C4"/>
    <w:rsid w:val="008E09DC"/>
    <w:rsid w:val="008E0B12"/>
    <w:rsid w:val="008E0C40"/>
    <w:rsid w:val="008E0D1A"/>
    <w:rsid w:val="008E0DF5"/>
    <w:rsid w:val="008E0E84"/>
    <w:rsid w:val="008E0FB1"/>
    <w:rsid w:val="008E11A7"/>
    <w:rsid w:val="008E1266"/>
    <w:rsid w:val="008E1342"/>
    <w:rsid w:val="008E13CA"/>
    <w:rsid w:val="008E1408"/>
    <w:rsid w:val="008E1473"/>
    <w:rsid w:val="008E1483"/>
    <w:rsid w:val="008E14D3"/>
    <w:rsid w:val="008E1873"/>
    <w:rsid w:val="008E190A"/>
    <w:rsid w:val="008E194B"/>
    <w:rsid w:val="008E19C7"/>
    <w:rsid w:val="008E1AE4"/>
    <w:rsid w:val="008E1BE8"/>
    <w:rsid w:val="008E1BFE"/>
    <w:rsid w:val="008E1C13"/>
    <w:rsid w:val="008E1CAF"/>
    <w:rsid w:val="008E1CC6"/>
    <w:rsid w:val="008E1D00"/>
    <w:rsid w:val="008E1D8F"/>
    <w:rsid w:val="008E1E5C"/>
    <w:rsid w:val="008E1E71"/>
    <w:rsid w:val="008E1E73"/>
    <w:rsid w:val="008E1F41"/>
    <w:rsid w:val="008E1F8C"/>
    <w:rsid w:val="008E20DB"/>
    <w:rsid w:val="008E212B"/>
    <w:rsid w:val="008E234F"/>
    <w:rsid w:val="008E238E"/>
    <w:rsid w:val="008E239F"/>
    <w:rsid w:val="008E2452"/>
    <w:rsid w:val="008E24FE"/>
    <w:rsid w:val="008E2525"/>
    <w:rsid w:val="008E256D"/>
    <w:rsid w:val="008E28D6"/>
    <w:rsid w:val="008E28E1"/>
    <w:rsid w:val="008E2B64"/>
    <w:rsid w:val="008E2B88"/>
    <w:rsid w:val="008E2BD9"/>
    <w:rsid w:val="008E2BDC"/>
    <w:rsid w:val="008E2C18"/>
    <w:rsid w:val="008E2CEF"/>
    <w:rsid w:val="008E2FA8"/>
    <w:rsid w:val="008E30EB"/>
    <w:rsid w:val="008E3126"/>
    <w:rsid w:val="008E312D"/>
    <w:rsid w:val="008E32FE"/>
    <w:rsid w:val="008E342C"/>
    <w:rsid w:val="008E354A"/>
    <w:rsid w:val="008E3565"/>
    <w:rsid w:val="008E36BE"/>
    <w:rsid w:val="008E384E"/>
    <w:rsid w:val="008E3877"/>
    <w:rsid w:val="008E39BF"/>
    <w:rsid w:val="008E3ABB"/>
    <w:rsid w:val="008E3B8D"/>
    <w:rsid w:val="008E3DEB"/>
    <w:rsid w:val="008E3EEB"/>
    <w:rsid w:val="008E40EB"/>
    <w:rsid w:val="008E43BD"/>
    <w:rsid w:val="008E4505"/>
    <w:rsid w:val="008E46C1"/>
    <w:rsid w:val="008E472A"/>
    <w:rsid w:val="008E486A"/>
    <w:rsid w:val="008E4977"/>
    <w:rsid w:val="008E49FC"/>
    <w:rsid w:val="008E4B9A"/>
    <w:rsid w:val="008E4D19"/>
    <w:rsid w:val="008E4DF8"/>
    <w:rsid w:val="008E4E22"/>
    <w:rsid w:val="008E4E2E"/>
    <w:rsid w:val="008E4F4C"/>
    <w:rsid w:val="008E4FDB"/>
    <w:rsid w:val="008E50D7"/>
    <w:rsid w:val="008E517C"/>
    <w:rsid w:val="008E5189"/>
    <w:rsid w:val="008E522F"/>
    <w:rsid w:val="008E5233"/>
    <w:rsid w:val="008E524B"/>
    <w:rsid w:val="008E5298"/>
    <w:rsid w:val="008E533C"/>
    <w:rsid w:val="008E5738"/>
    <w:rsid w:val="008E588E"/>
    <w:rsid w:val="008E58DF"/>
    <w:rsid w:val="008E590C"/>
    <w:rsid w:val="008E59BA"/>
    <w:rsid w:val="008E5CC0"/>
    <w:rsid w:val="008E5D2D"/>
    <w:rsid w:val="008E5DC3"/>
    <w:rsid w:val="008E5DDF"/>
    <w:rsid w:val="008E6001"/>
    <w:rsid w:val="008E603E"/>
    <w:rsid w:val="008E606D"/>
    <w:rsid w:val="008E610A"/>
    <w:rsid w:val="008E6185"/>
    <w:rsid w:val="008E62F4"/>
    <w:rsid w:val="008E6323"/>
    <w:rsid w:val="008E638F"/>
    <w:rsid w:val="008E64A2"/>
    <w:rsid w:val="008E66B4"/>
    <w:rsid w:val="008E6710"/>
    <w:rsid w:val="008E672C"/>
    <w:rsid w:val="008E681C"/>
    <w:rsid w:val="008E6A5A"/>
    <w:rsid w:val="008E6B17"/>
    <w:rsid w:val="008E6E77"/>
    <w:rsid w:val="008E715A"/>
    <w:rsid w:val="008E729D"/>
    <w:rsid w:val="008E73BA"/>
    <w:rsid w:val="008E7441"/>
    <w:rsid w:val="008E759A"/>
    <w:rsid w:val="008E75DC"/>
    <w:rsid w:val="008E75DE"/>
    <w:rsid w:val="008E75F5"/>
    <w:rsid w:val="008E7930"/>
    <w:rsid w:val="008E79D2"/>
    <w:rsid w:val="008E7A0F"/>
    <w:rsid w:val="008E7AE1"/>
    <w:rsid w:val="008E7B71"/>
    <w:rsid w:val="008E7C4E"/>
    <w:rsid w:val="008E7D1F"/>
    <w:rsid w:val="008E7E0C"/>
    <w:rsid w:val="008F023F"/>
    <w:rsid w:val="008F026A"/>
    <w:rsid w:val="008F028C"/>
    <w:rsid w:val="008F0339"/>
    <w:rsid w:val="008F03C0"/>
    <w:rsid w:val="008F03EE"/>
    <w:rsid w:val="008F0467"/>
    <w:rsid w:val="008F04BC"/>
    <w:rsid w:val="008F05AF"/>
    <w:rsid w:val="008F0632"/>
    <w:rsid w:val="008F0745"/>
    <w:rsid w:val="008F07C6"/>
    <w:rsid w:val="008F07E1"/>
    <w:rsid w:val="008F07F5"/>
    <w:rsid w:val="008F08A8"/>
    <w:rsid w:val="008F08CE"/>
    <w:rsid w:val="008F0960"/>
    <w:rsid w:val="008F09AA"/>
    <w:rsid w:val="008F0BFE"/>
    <w:rsid w:val="008F0CEC"/>
    <w:rsid w:val="008F0D0D"/>
    <w:rsid w:val="008F0DD1"/>
    <w:rsid w:val="008F0DDE"/>
    <w:rsid w:val="008F0F0C"/>
    <w:rsid w:val="008F0F7A"/>
    <w:rsid w:val="008F1042"/>
    <w:rsid w:val="008F10E9"/>
    <w:rsid w:val="008F1135"/>
    <w:rsid w:val="008F119C"/>
    <w:rsid w:val="008F11F1"/>
    <w:rsid w:val="008F1261"/>
    <w:rsid w:val="008F1274"/>
    <w:rsid w:val="008F1477"/>
    <w:rsid w:val="008F16AB"/>
    <w:rsid w:val="008F172E"/>
    <w:rsid w:val="008F193A"/>
    <w:rsid w:val="008F1967"/>
    <w:rsid w:val="008F1B05"/>
    <w:rsid w:val="008F1BBA"/>
    <w:rsid w:val="008F1CAD"/>
    <w:rsid w:val="008F1D04"/>
    <w:rsid w:val="008F1D9B"/>
    <w:rsid w:val="008F1F19"/>
    <w:rsid w:val="008F1F20"/>
    <w:rsid w:val="008F1FF3"/>
    <w:rsid w:val="008F2119"/>
    <w:rsid w:val="008F21BF"/>
    <w:rsid w:val="008F232C"/>
    <w:rsid w:val="008F2712"/>
    <w:rsid w:val="008F2765"/>
    <w:rsid w:val="008F2AB7"/>
    <w:rsid w:val="008F2B17"/>
    <w:rsid w:val="008F2B55"/>
    <w:rsid w:val="008F2CEC"/>
    <w:rsid w:val="008F2DDA"/>
    <w:rsid w:val="008F2E28"/>
    <w:rsid w:val="008F2F78"/>
    <w:rsid w:val="008F2FFB"/>
    <w:rsid w:val="008F334B"/>
    <w:rsid w:val="008F3355"/>
    <w:rsid w:val="008F344C"/>
    <w:rsid w:val="008F34A4"/>
    <w:rsid w:val="008F36B4"/>
    <w:rsid w:val="008F377C"/>
    <w:rsid w:val="008F3A09"/>
    <w:rsid w:val="008F3A78"/>
    <w:rsid w:val="008F3AAF"/>
    <w:rsid w:val="008F3CCD"/>
    <w:rsid w:val="008F3E40"/>
    <w:rsid w:val="008F3E7D"/>
    <w:rsid w:val="008F3FE7"/>
    <w:rsid w:val="008F4011"/>
    <w:rsid w:val="008F40A3"/>
    <w:rsid w:val="008F416B"/>
    <w:rsid w:val="008F41F0"/>
    <w:rsid w:val="008F4208"/>
    <w:rsid w:val="008F4541"/>
    <w:rsid w:val="008F46B8"/>
    <w:rsid w:val="008F47FB"/>
    <w:rsid w:val="008F48A6"/>
    <w:rsid w:val="008F4978"/>
    <w:rsid w:val="008F49C2"/>
    <w:rsid w:val="008F4B6E"/>
    <w:rsid w:val="008F4C2C"/>
    <w:rsid w:val="008F4CF7"/>
    <w:rsid w:val="008F4D36"/>
    <w:rsid w:val="008F4D5D"/>
    <w:rsid w:val="008F5087"/>
    <w:rsid w:val="008F50CF"/>
    <w:rsid w:val="008F5283"/>
    <w:rsid w:val="008F545E"/>
    <w:rsid w:val="008F558F"/>
    <w:rsid w:val="008F56BD"/>
    <w:rsid w:val="008F5725"/>
    <w:rsid w:val="008F5878"/>
    <w:rsid w:val="008F5A77"/>
    <w:rsid w:val="008F5AEC"/>
    <w:rsid w:val="008F5C2E"/>
    <w:rsid w:val="008F5CD2"/>
    <w:rsid w:val="008F5D77"/>
    <w:rsid w:val="008F5E82"/>
    <w:rsid w:val="008F5FDB"/>
    <w:rsid w:val="008F60C1"/>
    <w:rsid w:val="008F60E6"/>
    <w:rsid w:val="008F60F4"/>
    <w:rsid w:val="008F6108"/>
    <w:rsid w:val="008F6257"/>
    <w:rsid w:val="008F62DB"/>
    <w:rsid w:val="008F66BE"/>
    <w:rsid w:val="008F68D1"/>
    <w:rsid w:val="008F68F4"/>
    <w:rsid w:val="008F69BE"/>
    <w:rsid w:val="008F6B74"/>
    <w:rsid w:val="008F6C6B"/>
    <w:rsid w:val="008F6CA3"/>
    <w:rsid w:val="008F6D24"/>
    <w:rsid w:val="008F6FF8"/>
    <w:rsid w:val="008F7027"/>
    <w:rsid w:val="008F70B5"/>
    <w:rsid w:val="008F712D"/>
    <w:rsid w:val="008F7182"/>
    <w:rsid w:val="008F7286"/>
    <w:rsid w:val="008F72FA"/>
    <w:rsid w:val="008F74F9"/>
    <w:rsid w:val="008F75FD"/>
    <w:rsid w:val="008F7730"/>
    <w:rsid w:val="008F7757"/>
    <w:rsid w:val="008F7799"/>
    <w:rsid w:val="008F77D2"/>
    <w:rsid w:val="008F7809"/>
    <w:rsid w:val="008F78A5"/>
    <w:rsid w:val="008F78D5"/>
    <w:rsid w:val="008F791C"/>
    <w:rsid w:val="008F7B8A"/>
    <w:rsid w:val="008F7C02"/>
    <w:rsid w:val="008F7ED4"/>
    <w:rsid w:val="00900049"/>
    <w:rsid w:val="009000EF"/>
    <w:rsid w:val="00900191"/>
    <w:rsid w:val="009001E4"/>
    <w:rsid w:val="0090020E"/>
    <w:rsid w:val="009002A7"/>
    <w:rsid w:val="00900324"/>
    <w:rsid w:val="009003EB"/>
    <w:rsid w:val="0090043F"/>
    <w:rsid w:val="00900545"/>
    <w:rsid w:val="00900636"/>
    <w:rsid w:val="009008E9"/>
    <w:rsid w:val="009008ED"/>
    <w:rsid w:val="00900993"/>
    <w:rsid w:val="00900C0C"/>
    <w:rsid w:val="00900CF4"/>
    <w:rsid w:val="00900D0B"/>
    <w:rsid w:val="00900D35"/>
    <w:rsid w:val="00900ED2"/>
    <w:rsid w:val="009010CF"/>
    <w:rsid w:val="00901519"/>
    <w:rsid w:val="00901606"/>
    <w:rsid w:val="0090160E"/>
    <w:rsid w:val="0090167F"/>
    <w:rsid w:val="00901799"/>
    <w:rsid w:val="009017E5"/>
    <w:rsid w:val="00901841"/>
    <w:rsid w:val="00901962"/>
    <w:rsid w:val="00901B19"/>
    <w:rsid w:val="00901B1E"/>
    <w:rsid w:val="00901C64"/>
    <w:rsid w:val="00901CA9"/>
    <w:rsid w:val="00901D5F"/>
    <w:rsid w:val="00901DB1"/>
    <w:rsid w:val="00901E34"/>
    <w:rsid w:val="00901FF4"/>
    <w:rsid w:val="0090226B"/>
    <w:rsid w:val="009023E6"/>
    <w:rsid w:val="009025C2"/>
    <w:rsid w:val="0090267A"/>
    <w:rsid w:val="0090270E"/>
    <w:rsid w:val="00902787"/>
    <w:rsid w:val="0090283B"/>
    <w:rsid w:val="00902865"/>
    <w:rsid w:val="00902AFE"/>
    <w:rsid w:val="00902B1A"/>
    <w:rsid w:val="00902B4D"/>
    <w:rsid w:val="00902D3B"/>
    <w:rsid w:val="009030D2"/>
    <w:rsid w:val="0090312D"/>
    <w:rsid w:val="009031C7"/>
    <w:rsid w:val="0090320F"/>
    <w:rsid w:val="009032CF"/>
    <w:rsid w:val="00903345"/>
    <w:rsid w:val="009036C5"/>
    <w:rsid w:val="00903766"/>
    <w:rsid w:val="009037D4"/>
    <w:rsid w:val="009037F5"/>
    <w:rsid w:val="00903894"/>
    <w:rsid w:val="00903913"/>
    <w:rsid w:val="00903CB4"/>
    <w:rsid w:val="00903DCB"/>
    <w:rsid w:val="00903E9E"/>
    <w:rsid w:val="00903EA0"/>
    <w:rsid w:val="009040F1"/>
    <w:rsid w:val="009041F1"/>
    <w:rsid w:val="009045BC"/>
    <w:rsid w:val="00904722"/>
    <w:rsid w:val="00904774"/>
    <w:rsid w:val="00904788"/>
    <w:rsid w:val="0090483E"/>
    <w:rsid w:val="0090494F"/>
    <w:rsid w:val="00904997"/>
    <w:rsid w:val="00904A48"/>
    <w:rsid w:val="00904A76"/>
    <w:rsid w:val="00904C5A"/>
    <w:rsid w:val="00904CBA"/>
    <w:rsid w:val="00904EC6"/>
    <w:rsid w:val="00904FB3"/>
    <w:rsid w:val="009050AC"/>
    <w:rsid w:val="0090518C"/>
    <w:rsid w:val="00905277"/>
    <w:rsid w:val="009052CC"/>
    <w:rsid w:val="00905359"/>
    <w:rsid w:val="0090557E"/>
    <w:rsid w:val="00905769"/>
    <w:rsid w:val="009058EF"/>
    <w:rsid w:val="009058FE"/>
    <w:rsid w:val="00905A20"/>
    <w:rsid w:val="00905A53"/>
    <w:rsid w:val="00905AFC"/>
    <w:rsid w:val="00905B9D"/>
    <w:rsid w:val="00905C1A"/>
    <w:rsid w:val="00905E59"/>
    <w:rsid w:val="00905E74"/>
    <w:rsid w:val="009061A1"/>
    <w:rsid w:val="009061C6"/>
    <w:rsid w:val="009062F3"/>
    <w:rsid w:val="00906360"/>
    <w:rsid w:val="009067F7"/>
    <w:rsid w:val="00906915"/>
    <w:rsid w:val="009069B2"/>
    <w:rsid w:val="009069BD"/>
    <w:rsid w:val="00906ADD"/>
    <w:rsid w:val="00906B0A"/>
    <w:rsid w:val="00906DC7"/>
    <w:rsid w:val="00906DE6"/>
    <w:rsid w:val="00906E26"/>
    <w:rsid w:val="00906F6D"/>
    <w:rsid w:val="00906F8B"/>
    <w:rsid w:val="00906FFA"/>
    <w:rsid w:val="00907044"/>
    <w:rsid w:val="009070C8"/>
    <w:rsid w:val="00907164"/>
    <w:rsid w:val="00907282"/>
    <w:rsid w:val="00907505"/>
    <w:rsid w:val="0090754F"/>
    <w:rsid w:val="0090762A"/>
    <w:rsid w:val="00907650"/>
    <w:rsid w:val="00907675"/>
    <w:rsid w:val="009076FF"/>
    <w:rsid w:val="009078BB"/>
    <w:rsid w:val="00907A09"/>
    <w:rsid w:val="00907B3D"/>
    <w:rsid w:val="00907B73"/>
    <w:rsid w:val="00907BF7"/>
    <w:rsid w:val="00907C0A"/>
    <w:rsid w:val="00907CF4"/>
    <w:rsid w:val="00907E04"/>
    <w:rsid w:val="00907E2F"/>
    <w:rsid w:val="00907E30"/>
    <w:rsid w:val="0091013F"/>
    <w:rsid w:val="00910182"/>
    <w:rsid w:val="0091019D"/>
    <w:rsid w:val="0091057A"/>
    <w:rsid w:val="009108D5"/>
    <w:rsid w:val="00910AC7"/>
    <w:rsid w:val="00910B7A"/>
    <w:rsid w:val="00910E68"/>
    <w:rsid w:val="00910E78"/>
    <w:rsid w:val="00910F33"/>
    <w:rsid w:val="0091101D"/>
    <w:rsid w:val="009110D4"/>
    <w:rsid w:val="009110F9"/>
    <w:rsid w:val="009114BF"/>
    <w:rsid w:val="009115F6"/>
    <w:rsid w:val="0091178D"/>
    <w:rsid w:val="0091179D"/>
    <w:rsid w:val="009117EE"/>
    <w:rsid w:val="00911A47"/>
    <w:rsid w:val="00911A6F"/>
    <w:rsid w:val="00911FE7"/>
    <w:rsid w:val="00912012"/>
    <w:rsid w:val="0091229D"/>
    <w:rsid w:val="009122C3"/>
    <w:rsid w:val="0091245B"/>
    <w:rsid w:val="009124C7"/>
    <w:rsid w:val="009125B7"/>
    <w:rsid w:val="009125C0"/>
    <w:rsid w:val="0091277B"/>
    <w:rsid w:val="0091278A"/>
    <w:rsid w:val="00912A22"/>
    <w:rsid w:val="00912A2F"/>
    <w:rsid w:val="00912A85"/>
    <w:rsid w:val="00912AFB"/>
    <w:rsid w:val="00912B11"/>
    <w:rsid w:val="00912C13"/>
    <w:rsid w:val="00912DC0"/>
    <w:rsid w:val="00912DFF"/>
    <w:rsid w:val="009130DB"/>
    <w:rsid w:val="00913144"/>
    <w:rsid w:val="00913224"/>
    <w:rsid w:val="00913288"/>
    <w:rsid w:val="009132B1"/>
    <w:rsid w:val="009134BB"/>
    <w:rsid w:val="009135AF"/>
    <w:rsid w:val="009135E1"/>
    <w:rsid w:val="00913667"/>
    <w:rsid w:val="0091391B"/>
    <w:rsid w:val="00913D02"/>
    <w:rsid w:val="00913D86"/>
    <w:rsid w:val="00913F8D"/>
    <w:rsid w:val="00913FA5"/>
    <w:rsid w:val="009140F8"/>
    <w:rsid w:val="00914293"/>
    <w:rsid w:val="009142B4"/>
    <w:rsid w:val="0091431B"/>
    <w:rsid w:val="009143BA"/>
    <w:rsid w:val="009143D2"/>
    <w:rsid w:val="00914489"/>
    <w:rsid w:val="009144E8"/>
    <w:rsid w:val="00914514"/>
    <w:rsid w:val="009145A7"/>
    <w:rsid w:val="009145C2"/>
    <w:rsid w:val="009145F5"/>
    <w:rsid w:val="0091468F"/>
    <w:rsid w:val="0091476F"/>
    <w:rsid w:val="0091485A"/>
    <w:rsid w:val="009148AD"/>
    <w:rsid w:val="009149DA"/>
    <w:rsid w:val="00914A11"/>
    <w:rsid w:val="00914A15"/>
    <w:rsid w:val="00914B43"/>
    <w:rsid w:val="00914C38"/>
    <w:rsid w:val="00914E14"/>
    <w:rsid w:val="00914E5D"/>
    <w:rsid w:val="00914F40"/>
    <w:rsid w:val="00914FE0"/>
    <w:rsid w:val="009150DD"/>
    <w:rsid w:val="009152AD"/>
    <w:rsid w:val="0091530A"/>
    <w:rsid w:val="009153CE"/>
    <w:rsid w:val="0091543F"/>
    <w:rsid w:val="009154D3"/>
    <w:rsid w:val="009154FA"/>
    <w:rsid w:val="00915507"/>
    <w:rsid w:val="00915571"/>
    <w:rsid w:val="00915610"/>
    <w:rsid w:val="00915642"/>
    <w:rsid w:val="009157C1"/>
    <w:rsid w:val="0091596A"/>
    <w:rsid w:val="00915A79"/>
    <w:rsid w:val="00915BB0"/>
    <w:rsid w:val="00915CCD"/>
    <w:rsid w:val="00915DC0"/>
    <w:rsid w:val="00915EE3"/>
    <w:rsid w:val="00915FCA"/>
    <w:rsid w:val="009160B6"/>
    <w:rsid w:val="009162EE"/>
    <w:rsid w:val="00916317"/>
    <w:rsid w:val="009163F0"/>
    <w:rsid w:val="0091647F"/>
    <w:rsid w:val="00916702"/>
    <w:rsid w:val="009167F0"/>
    <w:rsid w:val="00916899"/>
    <w:rsid w:val="009169CF"/>
    <w:rsid w:val="00916A4C"/>
    <w:rsid w:val="00916BCA"/>
    <w:rsid w:val="00916DB0"/>
    <w:rsid w:val="00916DBB"/>
    <w:rsid w:val="00916E71"/>
    <w:rsid w:val="00916FD3"/>
    <w:rsid w:val="00916FF1"/>
    <w:rsid w:val="009170CF"/>
    <w:rsid w:val="009171C5"/>
    <w:rsid w:val="00917233"/>
    <w:rsid w:val="0091725A"/>
    <w:rsid w:val="00917585"/>
    <w:rsid w:val="009175D5"/>
    <w:rsid w:val="00917641"/>
    <w:rsid w:val="009176F3"/>
    <w:rsid w:val="00917776"/>
    <w:rsid w:val="009177FA"/>
    <w:rsid w:val="00917BE1"/>
    <w:rsid w:val="00917CB7"/>
    <w:rsid w:val="00917CEF"/>
    <w:rsid w:val="00917E0A"/>
    <w:rsid w:val="00917E47"/>
    <w:rsid w:val="00917E64"/>
    <w:rsid w:val="00917F9B"/>
    <w:rsid w:val="0092005F"/>
    <w:rsid w:val="00920262"/>
    <w:rsid w:val="009202FC"/>
    <w:rsid w:val="0092032A"/>
    <w:rsid w:val="009203E9"/>
    <w:rsid w:val="00920516"/>
    <w:rsid w:val="00920675"/>
    <w:rsid w:val="00920703"/>
    <w:rsid w:val="009207A5"/>
    <w:rsid w:val="00920937"/>
    <w:rsid w:val="00920988"/>
    <w:rsid w:val="00920999"/>
    <w:rsid w:val="009209AC"/>
    <w:rsid w:val="00920A27"/>
    <w:rsid w:val="00920B17"/>
    <w:rsid w:val="00920B51"/>
    <w:rsid w:val="00921137"/>
    <w:rsid w:val="009211AA"/>
    <w:rsid w:val="00921303"/>
    <w:rsid w:val="009213DB"/>
    <w:rsid w:val="0092141C"/>
    <w:rsid w:val="0092160D"/>
    <w:rsid w:val="00921625"/>
    <w:rsid w:val="0092165F"/>
    <w:rsid w:val="009216E9"/>
    <w:rsid w:val="00921822"/>
    <w:rsid w:val="00921885"/>
    <w:rsid w:val="009219B2"/>
    <w:rsid w:val="00921BF8"/>
    <w:rsid w:val="00921C60"/>
    <w:rsid w:val="00921CC3"/>
    <w:rsid w:val="00921D56"/>
    <w:rsid w:val="00921F80"/>
    <w:rsid w:val="00922008"/>
    <w:rsid w:val="00922066"/>
    <w:rsid w:val="009220DB"/>
    <w:rsid w:val="009221E1"/>
    <w:rsid w:val="0092235D"/>
    <w:rsid w:val="00922366"/>
    <w:rsid w:val="0092248D"/>
    <w:rsid w:val="0092263B"/>
    <w:rsid w:val="009226A8"/>
    <w:rsid w:val="00922753"/>
    <w:rsid w:val="00922771"/>
    <w:rsid w:val="009227C3"/>
    <w:rsid w:val="00922889"/>
    <w:rsid w:val="00922915"/>
    <w:rsid w:val="00922A67"/>
    <w:rsid w:val="00922BEE"/>
    <w:rsid w:val="00922CB7"/>
    <w:rsid w:val="00922D95"/>
    <w:rsid w:val="00923045"/>
    <w:rsid w:val="0092307D"/>
    <w:rsid w:val="0092309E"/>
    <w:rsid w:val="0092321A"/>
    <w:rsid w:val="0092326B"/>
    <w:rsid w:val="0092347E"/>
    <w:rsid w:val="0092347F"/>
    <w:rsid w:val="00923612"/>
    <w:rsid w:val="0092366C"/>
    <w:rsid w:val="009237A2"/>
    <w:rsid w:val="009239BE"/>
    <w:rsid w:val="00923DB2"/>
    <w:rsid w:val="00923E25"/>
    <w:rsid w:val="00923FA3"/>
    <w:rsid w:val="00923FE3"/>
    <w:rsid w:val="0092410F"/>
    <w:rsid w:val="009241BD"/>
    <w:rsid w:val="0092443A"/>
    <w:rsid w:val="009244CA"/>
    <w:rsid w:val="0092452A"/>
    <w:rsid w:val="009245CC"/>
    <w:rsid w:val="00924621"/>
    <w:rsid w:val="009246FD"/>
    <w:rsid w:val="0092488B"/>
    <w:rsid w:val="009248FD"/>
    <w:rsid w:val="00924908"/>
    <w:rsid w:val="009249EA"/>
    <w:rsid w:val="009249FA"/>
    <w:rsid w:val="00924DE8"/>
    <w:rsid w:val="00924E2C"/>
    <w:rsid w:val="00924FC6"/>
    <w:rsid w:val="0092510B"/>
    <w:rsid w:val="00925271"/>
    <w:rsid w:val="0092549E"/>
    <w:rsid w:val="00925744"/>
    <w:rsid w:val="00925A11"/>
    <w:rsid w:val="00925C46"/>
    <w:rsid w:val="00925CDC"/>
    <w:rsid w:val="00925D61"/>
    <w:rsid w:val="00925DDA"/>
    <w:rsid w:val="00925E42"/>
    <w:rsid w:val="00925F17"/>
    <w:rsid w:val="00926021"/>
    <w:rsid w:val="0092604C"/>
    <w:rsid w:val="0092605E"/>
    <w:rsid w:val="00926062"/>
    <w:rsid w:val="0092617E"/>
    <w:rsid w:val="009261B9"/>
    <w:rsid w:val="00926280"/>
    <w:rsid w:val="009262B8"/>
    <w:rsid w:val="009262FD"/>
    <w:rsid w:val="009263B2"/>
    <w:rsid w:val="00926440"/>
    <w:rsid w:val="009264A4"/>
    <w:rsid w:val="0092669E"/>
    <w:rsid w:val="0092683C"/>
    <w:rsid w:val="00926A4A"/>
    <w:rsid w:val="00926AE9"/>
    <w:rsid w:val="00926C50"/>
    <w:rsid w:val="00926CDC"/>
    <w:rsid w:val="00926D1E"/>
    <w:rsid w:val="0092701A"/>
    <w:rsid w:val="0092705F"/>
    <w:rsid w:val="00927227"/>
    <w:rsid w:val="00927262"/>
    <w:rsid w:val="00927492"/>
    <w:rsid w:val="009274D9"/>
    <w:rsid w:val="00927589"/>
    <w:rsid w:val="0092774C"/>
    <w:rsid w:val="00927812"/>
    <w:rsid w:val="00927867"/>
    <w:rsid w:val="00927913"/>
    <w:rsid w:val="00927AF8"/>
    <w:rsid w:val="00927B21"/>
    <w:rsid w:val="00927B80"/>
    <w:rsid w:val="00927B88"/>
    <w:rsid w:val="00927BBA"/>
    <w:rsid w:val="00927D49"/>
    <w:rsid w:val="00927EE6"/>
    <w:rsid w:val="00927F06"/>
    <w:rsid w:val="00927FB9"/>
    <w:rsid w:val="00927FED"/>
    <w:rsid w:val="00930025"/>
    <w:rsid w:val="009301B0"/>
    <w:rsid w:val="00930665"/>
    <w:rsid w:val="00930849"/>
    <w:rsid w:val="0093098F"/>
    <w:rsid w:val="00930E89"/>
    <w:rsid w:val="00930EB6"/>
    <w:rsid w:val="00930F59"/>
    <w:rsid w:val="00930F93"/>
    <w:rsid w:val="00930FE3"/>
    <w:rsid w:val="009310FD"/>
    <w:rsid w:val="0093128F"/>
    <w:rsid w:val="009314FB"/>
    <w:rsid w:val="009315D0"/>
    <w:rsid w:val="0093166E"/>
    <w:rsid w:val="0093171C"/>
    <w:rsid w:val="0093172A"/>
    <w:rsid w:val="00931CDE"/>
    <w:rsid w:val="00931D45"/>
    <w:rsid w:val="00931DAD"/>
    <w:rsid w:val="009321C2"/>
    <w:rsid w:val="009321FD"/>
    <w:rsid w:val="0093224A"/>
    <w:rsid w:val="0093266D"/>
    <w:rsid w:val="009328C7"/>
    <w:rsid w:val="009329D0"/>
    <w:rsid w:val="00932AFC"/>
    <w:rsid w:val="00932BC8"/>
    <w:rsid w:val="00932C7A"/>
    <w:rsid w:val="00932C91"/>
    <w:rsid w:val="00932DA6"/>
    <w:rsid w:val="00932F90"/>
    <w:rsid w:val="009330C9"/>
    <w:rsid w:val="009331BA"/>
    <w:rsid w:val="00933222"/>
    <w:rsid w:val="0093334B"/>
    <w:rsid w:val="009333EA"/>
    <w:rsid w:val="009334AD"/>
    <w:rsid w:val="009334F3"/>
    <w:rsid w:val="00933565"/>
    <w:rsid w:val="009336AD"/>
    <w:rsid w:val="00933899"/>
    <w:rsid w:val="009338CF"/>
    <w:rsid w:val="009338E3"/>
    <w:rsid w:val="00933929"/>
    <w:rsid w:val="00933960"/>
    <w:rsid w:val="00933A06"/>
    <w:rsid w:val="00933BA5"/>
    <w:rsid w:val="00933BB5"/>
    <w:rsid w:val="00933BC1"/>
    <w:rsid w:val="00933C5B"/>
    <w:rsid w:val="00933CF2"/>
    <w:rsid w:val="00933E22"/>
    <w:rsid w:val="00933E2E"/>
    <w:rsid w:val="009340E8"/>
    <w:rsid w:val="009344C3"/>
    <w:rsid w:val="00934594"/>
    <w:rsid w:val="009345A2"/>
    <w:rsid w:val="0093463C"/>
    <w:rsid w:val="00934643"/>
    <w:rsid w:val="0093464E"/>
    <w:rsid w:val="009347EF"/>
    <w:rsid w:val="0093491A"/>
    <w:rsid w:val="00934984"/>
    <w:rsid w:val="00934A08"/>
    <w:rsid w:val="00934BAE"/>
    <w:rsid w:val="00934DA8"/>
    <w:rsid w:val="00935117"/>
    <w:rsid w:val="00935407"/>
    <w:rsid w:val="009354D1"/>
    <w:rsid w:val="009355A8"/>
    <w:rsid w:val="0093585F"/>
    <w:rsid w:val="009358F3"/>
    <w:rsid w:val="009359AA"/>
    <w:rsid w:val="00935A34"/>
    <w:rsid w:val="00935CEA"/>
    <w:rsid w:val="00935D0B"/>
    <w:rsid w:val="00935E4A"/>
    <w:rsid w:val="00935F7E"/>
    <w:rsid w:val="00936222"/>
    <w:rsid w:val="009362EF"/>
    <w:rsid w:val="009365D5"/>
    <w:rsid w:val="009365E5"/>
    <w:rsid w:val="0093667F"/>
    <w:rsid w:val="00936727"/>
    <w:rsid w:val="0093672A"/>
    <w:rsid w:val="009368A5"/>
    <w:rsid w:val="009368D5"/>
    <w:rsid w:val="0093691C"/>
    <w:rsid w:val="00936EE4"/>
    <w:rsid w:val="00936F5A"/>
    <w:rsid w:val="009370ED"/>
    <w:rsid w:val="00937150"/>
    <w:rsid w:val="00937231"/>
    <w:rsid w:val="009372BA"/>
    <w:rsid w:val="00937382"/>
    <w:rsid w:val="0093738F"/>
    <w:rsid w:val="0093780F"/>
    <w:rsid w:val="0093791D"/>
    <w:rsid w:val="0093795F"/>
    <w:rsid w:val="0093799D"/>
    <w:rsid w:val="00937BC3"/>
    <w:rsid w:val="00937F5C"/>
    <w:rsid w:val="00937FAE"/>
    <w:rsid w:val="0094009D"/>
    <w:rsid w:val="009400A7"/>
    <w:rsid w:val="0094010E"/>
    <w:rsid w:val="00940189"/>
    <w:rsid w:val="00940320"/>
    <w:rsid w:val="0094034F"/>
    <w:rsid w:val="009403E1"/>
    <w:rsid w:val="009405A1"/>
    <w:rsid w:val="0094061B"/>
    <w:rsid w:val="0094075D"/>
    <w:rsid w:val="00940796"/>
    <w:rsid w:val="009407F5"/>
    <w:rsid w:val="00940866"/>
    <w:rsid w:val="00940885"/>
    <w:rsid w:val="009409CF"/>
    <w:rsid w:val="00940CC3"/>
    <w:rsid w:val="00940EB6"/>
    <w:rsid w:val="00940F18"/>
    <w:rsid w:val="00940F1E"/>
    <w:rsid w:val="00940F47"/>
    <w:rsid w:val="00940F4C"/>
    <w:rsid w:val="00941174"/>
    <w:rsid w:val="009411E5"/>
    <w:rsid w:val="009412E9"/>
    <w:rsid w:val="009414DD"/>
    <w:rsid w:val="00941515"/>
    <w:rsid w:val="009415D9"/>
    <w:rsid w:val="00941AFD"/>
    <w:rsid w:val="00941B5E"/>
    <w:rsid w:val="00941BB9"/>
    <w:rsid w:val="00941FB4"/>
    <w:rsid w:val="00942033"/>
    <w:rsid w:val="009422B0"/>
    <w:rsid w:val="0094236A"/>
    <w:rsid w:val="00942518"/>
    <w:rsid w:val="00942540"/>
    <w:rsid w:val="009425A7"/>
    <w:rsid w:val="009425C7"/>
    <w:rsid w:val="009425C8"/>
    <w:rsid w:val="00942728"/>
    <w:rsid w:val="0094286A"/>
    <w:rsid w:val="0094288C"/>
    <w:rsid w:val="00942A43"/>
    <w:rsid w:val="00942BC4"/>
    <w:rsid w:val="00942C00"/>
    <w:rsid w:val="00942CDD"/>
    <w:rsid w:val="00942CDF"/>
    <w:rsid w:val="00942D7B"/>
    <w:rsid w:val="00942D83"/>
    <w:rsid w:val="00942DF4"/>
    <w:rsid w:val="00942DF9"/>
    <w:rsid w:val="00942F5C"/>
    <w:rsid w:val="00942F66"/>
    <w:rsid w:val="0094303B"/>
    <w:rsid w:val="009433ED"/>
    <w:rsid w:val="0094345E"/>
    <w:rsid w:val="00943477"/>
    <w:rsid w:val="009434B4"/>
    <w:rsid w:val="00943598"/>
    <w:rsid w:val="00943631"/>
    <w:rsid w:val="00943801"/>
    <w:rsid w:val="00943962"/>
    <w:rsid w:val="00943A10"/>
    <w:rsid w:val="00943AC3"/>
    <w:rsid w:val="00943B05"/>
    <w:rsid w:val="00943CB0"/>
    <w:rsid w:val="00943DF9"/>
    <w:rsid w:val="00943F0A"/>
    <w:rsid w:val="00944052"/>
    <w:rsid w:val="009440A7"/>
    <w:rsid w:val="00944242"/>
    <w:rsid w:val="009442A1"/>
    <w:rsid w:val="009442E5"/>
    <w:rsid w:val="00944360"/>
    <w:rsid w:val="00944365"/>
    <w:rsid w:val="00944430"/>
    <w:rsid w:val="00944784"/>
    <w:rsid w:val="00944981"/>
    <w:rsid w:val="009449B8"/>
    <w:rsid w:val="00944AE3"/>
    <w:rsid w:val="00944E01"/>
    <w:rsid w:val="00944ED1"/>
    <w:rsid w:val="00944F0D"/>
    <w:rsid w:val="00945063"/>
    <w:rsid w:val="00945345"/>
    <w:rsid w:val="009454E8"/>
    <w:rsid w:val="00945543"/>
    <w:rsid w:val="0094563B"/>
    <w:rsid w:val="00945937"/>
    <w:rsid w:val="00945AAF"/>
    <w:rsid w:val="00945AF5"/>
    <w:rsid w:val="00945B2C"/>
    <w:rsid w:val="00945B80"/>
    <w:rsid w:val="00945C0A"/>
    <w:rsid w:val="00945CCC"/>
    <w:rsid w:val="00945F38"/>
    <w:rsid w:val="00945FEB"/>
    <w:rsid w:val="00946101"/>
    <w:rsid w:val="00946411"/>
    <w:rsid w:val="009466AB"/>
    <w:rsid w:val="0094685A"/>
    <w:rsid w:val="009468A0"/>
    <w:rsid w:val="00946BD7"/>
    <w:rsid w:val="00946D64"/>
    <w:rsid w:val="00946DB5"/>
    <w:rsid w:val="00946E60"/>
    <w:rsid w:val="00947039"/>
    <w:rsid w:val="0094726F"/>
    <w:rsid w:val="0094737B"/>
    <w:rsid w:val="0094739E"/>
    <w:rsid w:val="009473BC"/>
    <w:rsid w:val="009475F4"/>
    <w:rsid w:val="00947638"/>
    <w:rsid w:val="009478A4"/>
    <w:rsid w:val="0094797C"/>
    <w:rsid w:val="00947B71"/>
    <w:rsid w:val="00947BD2"/>
    <w:rsid w:val="00947F73"/>
    <w:rsid w:val="00950167"/>
    <w:rsid w:val="009501DF"/>
    <w:rsid w:val="009501E0"/>
    <w:rsid w:val="00950257"/>
    <w:rsid w:val="00950281"/>
    <w:rsid w:val="0095045B"/>
    <w:rsid w:val="0095058F"/>
    <w:rsid w:val="00950596"/>
    <w:rsid w:val="00950692"/>
    <w:rsid w:val="0095077D"/>
    <w:rsid w:val="009508C3"/>
    <w:rsid w:val="00950D00"/>
    <w:rsid w:val="00950D6A"/>
    <w:rsid w:val="00950D77"/>
    <w:rsid w:val="00950E27"/>
    <w:rsid w:val="00950ECD"/>
    <w:rsid w:val="00951018"/>
    <w:rsid w:val="0095105A"/>
    <w:rsid w:val="0095112B"/>
    <w:rsid w:val="009511A8"/>
    <w:rsid w:val="00951246"/>
    <w:rsid w:val="009513DD"/>
    <w:rsid w:val="009514D2"/>
    <w:rsid w:val="0095152A"/>
    <w:rsid w:val="0095169B"/>
    <w:rsid w:val="00951779"/>
    <w:rsid w:val="00951994"/>
    <w:rsid w:val="009519F1"/>
    <w:rsid w:val="009519F3"/>
    <w:rsid w:val="00951A10"/>
    <w:rsid w:val="00951ADB"/>
    <w:rsid w:val="00951C22"/>
    <w:rsid w:val="00951C40"/>
    <w:rsid w:val="00951E86"/>
    <w:rsid w:val="0095207D"/>
    <w:rsid w:val="00952129"/>
    <w:rsid w:val="0095230D"/>
    <w:rsid w:val="0095232B"/>
    <w:rsid w:val="0095243E"/>
    <w:rsid w:val="00952519"/>
    <w:rsid w:val="009527EE"/>
    <w:rsid w:val="00952840"/>
    <w:rsid w:val="00952881"/>
    <w:rsid w:val="009528FB"/>
    <w:rsid w:val="00952A45"/>
    <w:rsid w:val="00952A82"/>
    <w:rsid w:val="00952A96"/>
    <w:rsid w:val="00952AA2"/>
    <w:rsid w:val="00952AD6"/>
    <w:rsid w:val="00952E76"/>
    <w:rsid w:val="00952F43"/>
    <w:rsid w:val="009530E1"/>
    <w:rsid w:val="009533B0"/>
    <w:rsid w:val="00953471"/>
    <w:rsid w:val="0095350C"/>
    <w:rsid w:val="00953826"/>
    <w:rsid w:val="00953897"/>
    <w:rsid w:val="009539CD"/>
    <w:rsid w:val="00953C84"/>
    <w:rsid w:val="00953D4F"/>
    <w:rsid w:val="00953E4D"/>
    <w:rsid w:val="00953E6B"/>
    <w:rsid w:val="00953E72"/>
    <w:rsid w:val="00953EDA"/>
    <w:rsid w:val="00953F68"/>
    <w:rsid w:val="00953FE6"/>
    <w:rsid w:val="00954261"/>
    <w:rsid w:val="009542B0"/>
    <w:rsid w:val="009542F3"/>
    <w:rsid w:val="009544E9"/>
    <w:rsid w:val="00954594"/>
    <w:rsid w:val="00954744"/>
    <w:rsid w:val="0095475C"/>
    <w:rsid w:val="00954A1F"/>
    <w:rsid w:val="00954A48"/>
    <w:rsid w:val="00954AB1"/>
    <w:rsid w:val="00954AD9"/>
    <w:rsid w:val="00954C74"/>
    <w:rsid w:val="00954CC2"/>
    <w:rsid w:val="00954EF0"/>
    <w:rsid w:val="00954F10"/>
    <w:rsid w:val="00954F96"/>
    <w:rsid w:val="009550F4"/>
    <w:rsid w:val="009552F0"/>
    <w:rsid w:val="009553E8"/>
    <w:rsid w:val="00955477"/>
    <w:rsid w:val="00955946"/>
    <w:rsid w:val="009559B6"/>
    <w:rsid w:val="00955AE1"/>
    <w:rsid w:val="00955C06"/>
    <w:rsid w:val="00955D34"/>
    <w:rsid w:val="00955E71"/>
    <w:rsid w:val="00956090"/>
    <w:rsid w:val="00956100"/>
    <w:rsid w:val="00956147"/>
    <w:rsid w:val="009561EB"/>
    <w:rsid w:val="0095624E"/>
    <w:rsid w:val="00956322"/>
    <w:rsid w:val="009565CE"/>
    <w:rsid w:val="009567FA"/>
    <w:rsid w:val="00956987"/>
    <w:rsid w:val="00956A3A"/>
    <w:rsid w:val="00956B40"/>
    <w:rsid w:val="00956C90"/>
    <w:rsid w:val="00956E3D"/>
    <w:rsid w:val="00956EA9"/>
    <w:rsid w:val="00956EBE"/>
    <w:rsid w:val="00956ED9"/>
    <w:rsid w:val="00956EE1"/>
    <w:rsid w:val="00956F40"/>
    <w:rsid w:val="00956FC6"/>
    <w:rsid w:val="00956FCE"/>
    <w:rsid w:val="0095703A"/>
    <w:rsid w:val="009571A6"/>
    <w:rsid w:val="009571CC"/>
    <w:rsid w:val="0095725E"/>
    <w:rsid w:val="009573E7"/>
    <w:rsid w:val="009574F4"/>
    <w:rsid w:val="0095750D"/>
    <w:rsid w:val="00957517"/>
    <w:rsid w:val="009578B7"/>
    <w:rsid w:val="009578EB"/>
    <w:rsid w:val="00957910"/>
    <w:rsid w:val="00957AE6"/>
    <w:rsid w:val="00957BD4"/>
    <w:rsid w:val="00957D18"/>
    <w:rsid w:val="00957E75"/>
    <w:rsid w:val="00960035"/>
    <w:rsid w:val="009600DF"/>
    <w:rsid w:val="009600FD"/>
    <w:rsid w:val="00960160"/>
    <w:rsid w:val="009601DD"/>
    <w:rsid w:val="009601F7"/>
    <w:rsid w:val="0096022D"/>
    <w:rsid w:val="00960266"/>
    <w:rsid w:val="00960287"/>
    <w:rsid w:val="0096028E"/>
    <w:rsid w:val="00960347"/>
    <w:rsid w:val="00960504"/>
    <w:rsid w:val="00960601"/>
    <w:rsid w:val="0096061D"/>
    <w:rsid w:val="009606D6"/>
    <w:rsid w:val="00960724"/>
    <w:rsid w:val="00960830"/>
    <w:rsid w:val="00960879"/>
    <w:rsid w:val="0096098D"/>
    <w:rsid w:val="00960992"/>
    <w:rsid w:val="00960BEA"/>
    <w:rsid w:val="00960C10"/>
    <w:rsid w:val="00960CEA"/>
    <w:rsid w:val="0096101D"/>
    <w:rsid w:val="009610E5"/>
    <w:rsid w:val="0096125E"/>
    <w:rsid w:val="009612E2"/>
    <w:rsid w:val="00961417"/>
    <w:rsid w:val="0096145B"/>
    <w:rsid w:val="009616AA"/>
    <w:rsid w:val="009616DA"/>
    <w:rsid w:val="009618AF"/>
    <w:rsid w:val="009618D9"/>
    <w:rsid w:val="00961C49"/>
    <w:rsid w:val="00961C6C"/>
    <w:rsid w:val="00961D8A"/>
    <w:rsid w:val="00961E21"/>
    <w:rsid w:val="00961E3F"/>
    <w:rsid w:val="00961E7D"/>
    <w:rsid w:val="00962165"/>
    <w:rsid w:val="00962308"/>
    <w:rsid w:val="00962407"/>
    <w:rsid w:val="009624C3"/>
    <w:rsid w:val="009627C9"/>
    <w:rsid w:val="0096283C"/>
    <w:rsid w:val="009628DA"/>
    <w:rsid w:val="00962BBF"/>
    <w:rsid w:val="00962DF3"/>
    <w:rsid w:val="00962E0D"/>
    <w:rsid w:val="0096304F"/>
    <w:rsid w:val="0096314D"/>
    <w:rsid w:val="0096318B"/>
    <w:rsid w:val="009631CD"/>
    <w:rsid w:val="009631F3"/>
    <w:rsid w:val="009632D5"/>
    <w:rsid w:val="00963312"/>
    <w:rsid w:val="009634C2"/>
    <w:rsid w:val="009634C6"/>
    <w:rsid w:val="009634EA"/>
    <w:rsid w:val="0096351A"/>
    <w:rsid w:val="0096360F"/>
    <w:rsid w:val="00963610"/>
    <w:rsid w:val="00963628"/>
    <w:rsid w:val="0096387F"/>
    <w:rsid w:val="00963A04"/>
    <w:rsid w:val="00963ADA"/>
    <w:rsid w:val="00963B98"/>
    <w:rsid w:val="00963BF3"/>
    <w:rsid w:val="00963C8E"/>
    <w:rsid w:val="00963E04"/>
    <w:rsid w:val="00963E28"/>
    <w:rsid w:val="00963E76"/>
    <w:rsid w:val="00963F52"/>
    <w:rsid w:val="009640FC"/>
    <w:rsid w:val="0096416E"/>
    <w:rsid w:val="00964176"/>
    <w:rsid w:val="00964373"/>
    <w:rsid w:val="0096437B"/>
    <w:rsid w:val="00964492"/>
    <w:rsid w:val="009644DE"/>
    <w:rsid w:val="0096458B"/>
    <w:rsid w:val="00964597"/>
    <w:rsid w:val="0096470E"/>
    <w:rsid w:val="009648AE"/>
    <w:rsid w:val="00964933"/>
    <w:rsid w:val="00964A27"/>
    <w:rsid w:val="00964A4B"/>
    <w:rsid w:val="00964B25"/>
    <w:rsid w:val="00964C95"/>
    <w:rsid w:val="00964EA1"/>
    <w:rsid w:val="00964ECD"/>
    <w:rsid w:val="00964FA2"/>
    <w:rsid w:val="009651AF"/>
    <w:rsid w:val="009651BE"/>
    <w:rsid w:val="00965346"/>
    <w:rsid w:val="00965364"/>
    <w:rsid w:val="00965491"/>
    <w:rsid w:val="0096550E"/>
    <w:rsid w:val="00965513"/>
    <w:rsid w:val="00965574"/>
    <w:rsid w:val="009655E8"/>
    <w:rsid w:val="0096586B"/>
    <w:rsid w:val="009658CF"/>
    <w:rsid w:val="009658D6"/>
    <w:rsid w:val="009659BE"/>
    <w:rsid w:val="00965AE1"/>
    <w:rsid w:val="00965D76"/>
    <w:rsid w:val="00965E49"/>
    <w:rsid w:val="00965EBF"/>
    <w:rsid w:val="009660DE"/>
    <w:rsid w:val="009663AD"/>
    <w:rsid w:val="009663EF"/>
    <w:rsid w:val="009664BD"/>
    <w:rsid w:val="009665C5"/>
    <w:rsid w:val="009666BC"/>
    <w:rsid w:val="009668D0"/>
    <w:rsid w:val="009668D7"/>
    <w:rsid w:val="009668E2"/>
    <w:rsid w:val="00966940"/>
    <w:rsid w:val="00966996"/>
    <w:rsid w:val="00966A81"/>
    <w:rsid w:val="00966B6B"/>
    <w:rsid w:val="00966BF3"/>
    <w:rsid w:val="00966CBF"/>
    <w:rsid w:val="00966EB1"/>
    <w:rsid w:val="00967098"/>
    <w:rsid w:val="009670FC"/>
    <w:rsid w:val="00967187"/>
    <w:rsid w:val="00967210"/>
    <w:rsid w:val="00967238"/>
    <w:rsid w:val="00967243"/>
    <w:rsid w:val="00967390"/>
    <w:rsid w:val="0096740F"/>
    <w:rsid w:val="00967500"/>
    <w:rsid w:val="00967539"/>
    <w:rsid w:val="00967680"/>
    <w:rsid w:val="0096770C"/>
    <w:rsid w:val="0096782A"/>
    <w:rsid w:val="00967831"/>
    <w:rsid w:val="00967A3E"/>
    <w:rsid w:val="00967B45"/>
    <w:rsid w:val="00967BEC"/>
    <w:rsid w:val="00967BEE"/>
    <w:rsid w:val="00967BF2"/>
    <w:rsid w:val="00967CE0"/>
    <w:rsid w:val="00967D48"/>
    <w:rsid w:val="00967D53"/>
    <w:rsid w:val="00967EB6"/>
    <w:rsid w:val="00970006"/>
    <w:rsid w:val="009703BD"/>
    <w:rsid w:val="0097040C"/>
    <w:rsid w:val="0097056F"/>
    <w:rsid w:val="009705A8"/>
    <w:rsid w:val="009706A7"/>
    <w:rsid w:val="009706C1"/>
    <w:rsid w:val="009706CC"/>
    <w:rsid w:val="00970830"/>
    <w:rsid w:val="0097092A"/>
    <w:rsid w:val="00970C63"/>
    <w:rsid w:val="00970DF9"/>
    <w:rsid w:val="00970EE0"/>
    <w:rsid w:val="00970F95"/>
    <w:rsid w:val="00971011"/>
    <w:rsid w:val="0097103F"/>
    <w:rsid w:val="009712B6"/>
    <w:rsid w:val="00971333"/>
    <w:rsid w:val="00971412"/>
    <w:rsid w:val="0097143C"/>
    <w:rsid w:val="00971453"/>
    <w:rsid w:val="00971608"/>
    <w:rsid w:val="009716FD"/>
    <w:rsid w:val="0097185A"/>
    <w:rsid w:val="00971875"/>
    <w:rsid w:val="0097193F"/>
    <w:rsid w:val="0097196C"/>
    <w:rsid w:val="0097199C"/>
    <w:rsid w:val="00971C57"/>
    <w:rsid w:val="00971D33"/>
    <w:rsid w:val="00971E41"/>
    <w:rsid w:val="00971F47"/>
    <w:rsid w:val="00972067"/>
    <w:rsid w:val="00972152"/>
    <w:rsid w:val="009721DD"/>
    <w:rsid w:val="009723FD"/>
    <w:rsid w:val="00972722"/>
    <w:rsid w:val="00972764"/>
    <w:rsid w:val="00972792"/>
    <w:rsid w:val="0097299A"/>
    <w:rsid w:val="009729AD"/>
    <w:rsid w:val="00972B29"/>
    <w:rsid w:val="00972D8D"/>
    <w:rsid w:val="00972DC8"/>
    <w:rsid w:val="00972EA1"/>
    <w:rsid w:val="00972EF0"/>
    <w:rsid w:val="00972F1A"/>
    <w:rsid w:val="00972F54"/>
    <w:rsid w:val="00973020"/>
    <w:rsid w:val="009730D4"/>
    <w:rsid w:val="009734C8"/>
    <w:rsid w:val="0097351B"/>
    <w:rsid w:val="0097366E"/>
    <w:rsid w:val="00973762"/>
    <w:rsid w:val="00973873"/>
    <w:rsid w:val="00973967"/>
    <w:rsid w:val="00973A0B"/>
    <w:rsid w:val="00973A53"/>
    <w:rsid w:val="00973B95"/>
    <w:rsid w:val="00973BAA"/>
    <w:rsid w:val="00973C30"/>
    <w:rsid w:val="00973CE9"/>
    <w:rsid w:val="00973DB3"/>
    <w:rsid w:val="00973EB3"/>
    <w:rsid w:val="00973EDC"/>
    <w:rsid w:val="00973FED"/>
    <w:rsid w:val="009740EC"/>
    <w:rsid w:val="009742DF"/>
    <w:rsid w:val="009743E1"/>
    <w:rsid w:val="009745A8"/>
    <w:rsid w:val="009747A1"/>
    <w:rsid w:val="009747D0"/>
    <w:rsid w:val="00974992"/>
    <w:rsid w:val="00974AB4"/>
    <w:rsid w:val="00974BC3"/>
    <w:rsid w:val="00974D80"/>
    <w:rsid w:val="00974FEA"/>
    <w:rsid w:val="009758DF"/>
    <w:rsid w:val="009759DA"/>
    <w:rsid w:val="00975BD6"/>
    <w:rsid w:val="00975C75"/>
    <w:rsid w:val="00975D35"/>
    <w:rsid w:val="00975FEF"/>
    <w:rsid w:val="00976176"/>
    <w:rsid w:val="0097627D"/>
    <w:rsid w:val="00976641"/>
    <w:rsid w:val="009766A8"/>
    <w:rsid w:val="009766C0"/>
    <w:rsid w:val="009767B6"/>
    <w:rsid w:val="0097680C"/>
    <w:rsid w:val="00976A00"/>
    <w:rsid w:val="00976A58"/>
    <w:rsid w:val="00976AFC"/>
    <w:rsid w:val="00976C8D"/>
    <w:rsid w:val="00976F0F"/>
    <w:rsid w:val="00977031"/>
    <w:rsid w:val="009770E0"/>
    <w:rsid w:val="00977124"/>
    <w:rsid w:val="0097746B"/>
    <w:rsid w:val="0097767D"/>
    <w:rsid w:val="00977680"/>
    <w:rsid w:val="009778D5"/>
    <w:rsid w:val="009779FC"/>
    <w:rsid w:val="00977A9C"/>
    <w:rsid w:val="00977ABA"/>
    <w:rsid w:val="00977C46"/>
    <w:rsid w:val="00977F59"/>
    <w:rsid w:val="0098017B"/>
    <w:rsid w:val="0098026A"/>
    <w:rsid w:val="009802E7"/>
    <w:rsid w:val="009802FD"/>
    <w:rsid w:val="0098042C"/>
    <w:rsid w:val="00980490"/>
    <w:rsid w:val="00980552"/>
    <w:rsid w:val="00980662"/>
    <w:rsid w:val="0098071F"/>
    <w:rsid w:val="009809D3"/>
    <w:rsid w:val="00980A1F"/>
    <w:rsid w:val="00980AF7"/>
    <w:rsid w:val="00980C3B"/>
    <w:rsid w:val="00980F95"/>
    <w:rsid w:val="00981044"/>
    <w:rsid w:val="00981189"/>
    <w:rsid w:val="009811F5"/>
    <w:rsid w:val="0098125B"/>
    <w:rsid w:val="009812D6"/>
    <w:rsid w:val="009812E1"/>
    <w:rsid w:val="00981302"/>
    <w:rsid w:val="00981407"/>
    <w:rsid w:val="0098140F"/>
    <w:rsid w:val="0098142A"/>
    <w:rsid w:val="009814B1"/>
    <w:rsid w:val="00981597"/>
    <w:rsid w:val="0098163E"/>
    <w:rsid w:val="00981A41"/>
    <w:rsid w:val="00981B4D"/>
    <w:rsid w:val="00981BD1"/>
    <w:rsid w:val="00981DDC"/>
    <w:rsid w:val="00981DE5"/>
    <w:rsid w:val="00981EE6"/>
    <w:rsid w:val="00981F50"/>
    <w:rsid w:val="009820C1"/>
    <w:rsid w:val="009820C5"/>
    <w:rsid w:val="009821AC"/>
    <w:rsid w:val="009822C8"/>
    <w:rsid w:val="0098233B"/>
    <w:rsid w:val="0098235D"/>
    <w:rsid w:val="009823CB"/>
    <w:rsid w:val="009827C6"/>
    <w:rsid w:val="00982834"/>
    <w:rsid w:val="00982869"/>
    <w:rsid w:val="0098287D"/>
    <w:rsid w:val="00982C20"/>
    <w:rsid w:val="00982CD3"/>
    <w:rsid w:val="00982E93"/>
    <w:rsid w:val="00982FA9"/>
    <w:rsid w:val="00983041"/>
    <w:rsid w:val="00983078"/>
    <w:rsid w:val="0098308C"/>
    <w:rsid w:val="00983166"/>
    <w:rsid w:val="009832FC"/>
    <w:rsid w:val="00983692"/>
    <w:rsid w:val="00983727"/>
    <w:rsid w:val="0098376B"/>
    <w:rsid w:val="00983880"/>
    <w:rsid w:val="0098392D"/>
    <w:rsid w:val="009839D2"/>
    <w:rsid w:val="009839E3"/>
    <w:rsid w:val="00983A02"/>
    <w:rsid w:val="00983A46"/>
    <w:rsid w:val="00983B8C"/>
    <w:rsid w:val="00983B8F"/>
    <w:rsid w:val="00983BCB"/>
    <w:rsid w:val="00983E4A"/>
    <w:rsid w:val="00983FD1"/>
    <w:rsid w:val="009842CB"/>
    <w:rsid w:val="00984329"/>
    <w:rsid w:val="00984372"/>
    <w:rsid w:val="009843E2"/>
    <w:rsid w:val="0098443C"/>
    <w:rsid w:val="009844E2"/>
    <w:rsid w:val="0098458F"/>
    <w:rsid w:val="009846D7"/>
    <w:rsid w:val="009846F9"/>
    <w:rsid w:val="00984715"/>
    <w:rsid w:val="009849BD"/>
    <w:rsid w:val="00984A1D"/>
    <w:rsid w:val="00984AC6"/>
    <w:rsid w:val="00984B6B"/>
    <w:rsid w:val="00984E0A"/>
    <w:rsid w:val="00985102"/>
    <w:rsid w:val="0098513F"/>
    <w:rsid w:val="0098517A"/>
    <w:rsid w:val="00985437"/>
    <w:rsid w:val="009854C1"/>
    <w:rsid w:val="009854CA"/>
    <w:rsid w:val="009854D3"/>
    <w:rsid w:val="009854EA"/>
    <w:rsid w:val="009854EF"/>
    <w:rsid w:val="009856B2"/>
    <w:rsid w:val="0098590B"/>
    <w:rsid w:val="009859CC"/>
    <w:rsid w:val="00985A2E"/>
    <w:rsid w:val="00985A37"/>
    <w:rsid w:val="00985AE7"/>
    <w:rsid w:val="00985B25"/>
    <w:rsid w:val="00985B70"/>
    <w:rsid w:val="00985BBD"/>
    <w:rsid w:val="00985BE9"/>
    <w:rsid w:val="00985C49"/>
    <w:rsid w:val="00985D27"/>
    <w:rsid w:val="00985D72"/>
    <w:rsid w:val="00985DFA"/>
    <w:rsid w:val="00985DFE"/>
    <w:rsid w:val="00986046"/>
    <w:rsid w:val="0098606B"/>
    <w:rsid w:val="009860DA"/>
    <w:rsid w:val="009862E5"/>
    <w:rsid w:val="0098632E"/>
    <w:rsid w:val="009864BA"/>
    <w:rsid w:val="009864D2"/>
    <w:rsid w:val="00986696"/>
    <w:rsid w:val="009866E0"/>
    <w:rsid w:val="009866F9"/>
    <w:rsid w:val="00986767"/>
    <w:rsid w:val="0098677E"/>
    <w:rsid w:val="0098695D"/>
    <w:rsid w:val="00986A56"/>
    <w:rsid w:val="00986BD1"/>
    <w:rsid w:val="00986DCA"/>
    <w:rsid w:val="00986F27"/>
    <w:rsid w:val="00987157"/>
    <w:rsid w:val="009871DE"/>
    <w:rsid w:val="00987369"/>
    <w:rsid w:val="0098765E"/>
    <w:rsid w:val="0098767C"/>
    <w:rsid w:val="009876CF"/>
    <w:rsid w:val="0098775B"/>
    <w:rsid w:val="00987791"/>
    <w:rsid w:val="009878A0"/>
    <w:rsid w:val="00987909"/>
    <w:rsid w:val="0098792E"/>
    <w:rsid w:val="00987AB5"/>
    <w:rsid w:val="00987AC8"/>
    <w:rsid w:val="00987BD0"/>
    <w:rsid w:val="00987D71"/>
    <w:rsid w:val="00987E00"/>
    <w:rsid w:val="00987EF5"/>
    <w:rsid w:val="00987F61"/>
    <w:rsid w:val="00987FD7"/>
    <w:rsid w:val="00987FFE"/>
    <w:rsid w:val="0099012C"/>
    <w:rsid w:val="00990144"/>
    <w:rsid w:val="00990211"/>
    <w:rsid w:val="00990267"/>
    <w:rsid w:val="0099029B"/>
    <w:rsid w:val="0099030A"/>
    <w:rsid w:val="009903F7"/>
    <w:rsid w:val="0099097E"/>
    <w:rsid w:val="00990999"/>
    <w:rsid w:val="009909A9"/>
    <w:rsid w:val="00990A72"/>
    <w:rsid w:val="00990ADA"/>
    <w:rsid w:val="00990ADE"/>
    <w:rsid w:val="00990C51"/>
    <w:rsid w:val="00990CE3"/>
    <w:rsid w:val="00990E27"/>
    <w:rsid w:val="00990E63"/>
    <w:rsid w:val="009911F9"/>
    <w:rsid w:val="009915D1"/>
    <w:rsid w:val="009915D9"/>
    <w:rsid w:val="00991762"/>
    <w:rsid w:val="00991A1E"/>
    <w:rsid w:val="00991B14"/>
    <w:rsid w:val="00991B25"/>
    <w:rsid w:val="00991C73"/>
    <w:rsid w:val="0099203C"/>
    <w:rsid w:val="00992090"/>
    <w:rsid w:val="0099209E"/>
    <w:rsid w:val="009920C8"/>
    <w:rsid w:val="009921AA"/>
    <w:rsid w:val="00992201"/>
    <w:rsid w:val="00992215"/>
    <w:rsid w:val="0099224C"/>
    <w:rsid w:val="0099229F"/>
    <w:rsid w:val="0099255A"/>
    <w:rsid w:val="009925DD"/>
    <w:rsid w:val="00992615"/>
    <w:rsid w:val="00992691"/>
    <w:rsid w:val="0099279C"/>
    <w:rsid w:val="00992947"/>
    <w:rsid w:val="0099296E"/>
    <w:rsid w:val="00992A50"/>
    <w:rsid w:val="00992A78"/>
    <w:rsid w:val="00992AD5"/>
    <w:rsid w:val="00992ADF"/>
    <w:rsid w:val="00992C1E"/>
    <w:rsid w:val="00992C35"/>
    <w:rsid w:val="00992E36"/>
    <w:rsid w:val="00992EA1"/>
    <w:rsid w:val="00992EBC"/>
    <w:rsid w:val="00992EEB"/>
    <w:rsid w:val="00992F56"/>
    <w:rsid w:val="0099309B"/>
    <w:rsid w:val="009931D3"/>
    <w:rsid w:val="009933CC"/>
    <w:rsid w:val="0099341E"/>
    <w:rsid w:val="00993480"/>
    <w:rsid w:val="0099352B"/>
    <w:rsid w:val="0099355E"/>
    <w:rsid w:val="00993590"/>
    <w:rsid w:val="0099390D"/>
    <w:rsid w:val="00993B97"/>
    <w:rsid w:val="00993CF1"/>
    <w:rsid w:val="00993DE4"/>
    <w:rsid w:val="00993E71"/>
    <w:rsid w:val="00993FF7"/>
    <w:rsid w:val="00994163"/>
    <w:rsid w:val="009941C0"/>
    <w:rsid w:val="00994390"/>
    <w:rsid w:val="00994397"/>
    <w:rsid w:val="009943B4"/>
    <w:rsid w:val="009946AA"/>
    <w:rsid w:val="009946C6"/>
    <w:rsid w:val="009947A6"/>
    <w:rsid w:val="009948EE"/>
    <w:rsid w:val="00994C66"/>
    <w:rsid w:val="00994C88"/>
    <w:rsid w:val="00994CEF"/>
    <w:rsid w:val="00994CF7"/>
    <w:rsid w:val="00994D47"/>
    <w:rsid w:val="00994FFF"/>
    <w:rsid w:val="00995019"/>
    <w:rsid w:val="00995140"/>
    <w:rsid w:val="00995373"/>
    <w:rsid w:val="009953AB"/>
    <w:rsid w:val="009953AF"/>
    <w:rsid w:val="009954D6"/>
    <w:rsid w:val="009958D6"/>
    <w:rsid w:val="00995A03"/>
    <w:rsid w:val="00995AC9"/>
    <w:rsid w:val="00995B7B"/>
    <w:rsid w:val="00995C1F"/>
    <w:rsid w:val="00995C62"/>
    <w:rsid w:val="00995D6B"/>
    <w:rsid w:val="00996211"/>
    <w:rsid w:val="0099626C"/>
    <w:rsid w:val="00996319"/>
    <w:rsid w:val="0099659E"/>
    <w:rsid w:val="00996736"/>
    <w:rsid w:val="0099677B"/>
    <w:rsid w:val="00996800"/>
    <w:rsid w:val="00996851"/>
    <w:rsid w:val="009969DF"/>
    <w:rsid w:val="00996A97"/>
    <w:rsid w:val="00996A9D"/>
    <w:rsid w:val="00996B97"/>
    <w:rsid w:val="00996C33"/>
    <w:rsid w:val="00996DBB"/>
    <w:rsid w:val="00996DF1"/>
    <w:rsid w:val="00996EB3"/>
    <w:rsid w:val="009970B2"/>
    <w:rsid w:val="009970FD"/>
    <w:rsid w:val="0099717C"/>
    <w:rsid w:val="0099725C"/>
    <w:rsid w:val="009973BF"/>
    <w:rsid w:val="00997442"/>
    <w:rsid w:val="00997525"/>
    <w:rsid w:val="0099754A"/>
    <w:rsid w:val="0099755D"/>
    <w:rsid w:val="00997574"/>
    <w:rsid w:val="009975D1"/>
    <w:rsid w:val="0099768C"/>
    <w:rsid w:val="0099783D"/>
    <w:rsid w:val="00997B5E"/>
    <w:rsid w:val="00997BAE"/>
    <w:rsid w:val="00997C2B"/>
    <w:rsid w:val="00997C42"/>
    <w:rsid w:val="00997CC1"/>
    <w:rsid w:val="00997D42"/>
    <w:rsid w:val="00997ECB"/>
    <w:rsid w:val="00997EFB"/>
    <w:rsid w:val="00997F00"/>
    <w:rsid w:val="009A01FA"/>
    <w:rsid w:val="009A036B"/>
    <w:rsid w:val="009A052E"/>
    <w:rsid w:val="009A0548"/>
    <w:rsid w:val="009A06D2"/>
    <w:rsid w:val="009A071F"/>
    <w:rsid w:val="009A099D"/>
    <w:rsid w:val="009A0A57"/>
    <w:rsid w:val="009A0B5C"/>
    <w:rsid w:val="009A0D2D"/>
    <w:rsid w:val="009A0ED1"/>
    <w:rsid w:val="009A0F10"/>
    <w:rsid w:val="009A0FF1"/>
    <w:rsid w:val="009A123F"/>
    <w:rsid w:val="009A12EC"/>
    <w:rsid w:val="009A12FF"/>
    <w:rsid w:val="009A1568"/>
    <w:rsid w:val="009A1624"/>
    <w:rsid w:val="009A1682"/>
    <w:rsid w:val="009A1830"/>
    <w:rsid w:val="009A1858"/>
    <w:rsid w:val="009A1913"/>
    <w:rsid w:val="009A1925"/>
    <w:rsid w:val="009A19AF"/>
    <w:rsid w:val="009A1AA7"/>
    <w:rsid w:val="009A1AF0"/>
    <w:rsid w:val="009A1B42"/>
    <w:rsid w:val="009A1B5A"/>
    <w:rsid w:val="009A1BBF"/>
    <w:rsid w:val="009A1CF7"/>
    <w:rsid w:val="009A1DA6"/>
    <w:rsid w:val="009A1E2C"/>
    <w:rsid w:val="009A1E5D"/>
    <w:rsid w:val="009A2136"/>
    <w:rsid w:val="009A2185"/>
    <w:rsid w:val="009A2250"/>
    <w:rsid w:val="009A24B2"/>
    <w:rsid w:val="009A2500"/>
    <w:rsid w:val="009A250E"/>
    <w:rsid w:val="009A260A"/>
    <w:rsid w:val="009A264B"/>
    <w:rsid w:val="009A26E2"/>
    <w:rsid w:val="009A27C4"/>
    <w:rsid w:val="009A282B"/>
    <w:rsid w:val="009A28D4"/>
    <w:rsid w:val="009A2909"/>
    <w:rsid w:val="009A295B"/>
    <w:rsid w:val="009A29A5"/>
    <w:rsid w:val="009A29BB"/>
    <w:rsid w:val="009A2A4D"/>
    <w:rsid w:val="009A2CAA"/>
    <w:rsid w:val="009A2CF9"/>
    <w:rsid w:val="009A2D7E"/>
    <w:rsid w:val="009A2D97"/>
    <w:rsid w:val="009A2E14"/>
    <w:rsid w:val="009A2F27"/>
    <w:rsid w:val="009A2F2C"/>
    <w:rsid w:val="009A2F83"/>
    <w:rsid w:val="009A314A"/>
    <w:rsid w:val="009A31A3"/>
    <w:rsid w:val="009A31AA"/>
    <w:rsid w:val="009A31CE"/>
    <w:rsid w:val="009A3201"/>
    <w:rsid w:val="009A3309"/>
    <w:rsid w:val="009A3422"/>
    <w:rsid w:val="009A3476"/>
    <w:rsid w:val="009A3628"/>
    <w:rsid w:val="009A38A4"/>
    <w:rsid w:val="009A38AE"/>
    <w:rsid w:val="009A39D0"/>
    <w:rsid w:val="009A3A67"/>
    <w:rsid w:val="009A3DE2"/>
    <w:rsid w:val="009A3E8D"/>
    <w:rsid w:val="009A3FE9"/>
    <w:rsid w:val="009A409B"/>
    <w:rsid w:val="009A40F8"/>
    <w:rsid w:val="009A42DB"/>
    <w:rsid w:val="009A4364"/>
    <w:rsid w:val="009A4562"/>
    <w:rsid w:val="009A45E9"/>
    <w:rsid w:val="009A4713"/>
    <w:rsid w:val="009A4736"/>
    <w:rsid w:val="009A480E"/>
    <w:rsid w:val="009A48A8"/>
    <w:rsid w:val="009A4934"/>
    <w:rsid w:val="009A498D"/>
    <w:rsid w:val="009A4D1C"/>
    <w:rsid w:val="009A4EA9"/>
    <w:rsid w:val="009A4F0E"/>
    <w:rsid w:val="009A4F74"/>
    <w:rsid w:val="009A5119"/>
    <w:rsid w:val="009A517D"/>
    <w:rsid w:val="009A5252"/>
    <w:rsid w:val="009A5268"/>
    <w:rsid w:val="009A53D4"/>
    <w:rsid w:val="009A5436"/>
    <w:rsid w:val="009A54A7"/>
    <w:rsid w:val="009A5507"/>
    <w:rsid w:val="009A5630"/>
    <w:rsid w:val="009A56B7"/>
    <w:rsid w:val="009A56FB"/>
    <w:rsid w:val="009A5740"/>
    <w:rsid w:val="009A58C2"/>
    <w:rsid w:val="009A5A5E"/>
    <w:rsid w:val="009A5A8F"/>
    <w:rsid w:val="009A5B31"/>
    <w:rsid w:val="009A5E4D"/>
    <w:rsid w:val="009A5EAD"/>
    <w:rsid w:val="009A5FC9"/>
    <w:rsid w:val="009A5FEA"/>
    <w:rsid w:val="009A63A9"/>
    <w:rsid w:val="009A648D"/>
    <w:rsid w:val="009A64B5"/>
    <w:rsid w:val="009A64EA"/>
    <w:rsid w:val="009A6575"/>
    <w:rsid w:val="009A6682"/>
    <w:rsid w:val="009A66E6"/>
    <w:rsid w:val="009A6856"/>
    <w:rsid w:val="009A6915"/>
    <w:rsid w:val="009A693A"/>
    <w:rsid w:val="009A693B"/>
    <w:rsid w:val="009A6B2E"/>
    <w:rsid w:val="009A6B7F"/>
    <w:rsid w:val="009A6CAB"/>
    <w:rsid w:val="009A6CC1"/>
    <w:rsid w:val="009A6EEA"/>
    <w:rsid w:val="009A6FBB"/>
    <w:rsid w:val="009A6FE8"/>
    <w:rsid w:val="009A70F9"/>
    <w:rsid w:val="009A723F"/>
    <w:rsid w:val="009A738F"/>
    <w:rsid w:val="009A73F7"/>
    <w:rsid w:val="009A7488"/>
    <w:rsid w:val="009A7679"/>
    <w:rsid w:val="009A77FC"/>
    <w:rsid w:val="009A7AF4"/>
    <w:rsid w:val="009A7C31"/>
    <w:rsid w:val="009A7CB0"/>
    <w:rsid w:val="009A7D3B"/>
    <w:rsid w:val="009A7EA8"/>
    <w:rsid w:val="009A7FDA"/>
    <w:rsid w:val="009B006C"/>
    <w:rsid w:val="009B0244"/>
    <w:rsid w:val="009B02C0"/>
    <w:rsid w:val="009B03E5"/>
    <w:rsid w:val="009B0427"/>
    <w:rsid w:val="009B0428"/>
    <w:rsid w:val="009B0664"/>
    <w:rsid w:val="009B07C0"/>
    <w:rsid w:val="009B09AA"/>
    <w:rsid w:val="009B0B1F"/>
    <w:rsid w:val="009B0B76"/>
    <w:rsid w:val="009B0E3F"/>
    <w:rsid w:val="009B0E56"/>
    <w:rsid w:val="009B0E6F"/>
    <w:rsid w:val="009B109C"/>
    <w:rsid w:val="009B10E6"/>
    <w:rsid w:val="009B10F1"/>
    <w:rsid w:val="009B113B"/>
    <w:rsid w:val="009B137F"/>
    <w:rsid w:val="009B162F"/>
    <w:rsid w:val="009B163D"/>
    <w:rsid w:val="009B177B"/>
    <w:rsid w:val="009B18EE"/>
    <w:rsid w:val="009B193A"/>
    <w:rsid w:val="009B19B2"/>
    <w:rsid w:val="009B1A98"/>
    <w:rsid w:val="009B1B3F"/>
    <w:rsid w:val="009B1CD0"/>
    <w:rsid w:val="009B1DF9"/>
    <w:rsid w:val="009B1DFD"/>
    <w:rsid w:val="009B1E56"/>
    <w:rsid w:val="009B20A3"/>
    <w:rsid w:val="009B21FE"/>
    <w:rsid w:val="009B2345"/>
    <w:rsid w:val="009B2362"/>
    <w:rsid w:val="009B2378"/>
    <w:rsid w:val="009B247F"/>
    <w:rsid w:val="009B2565"/>
    <w:rsid w:val="009B256D"/>
    <w:rsid w:val="009B25D5"/>
    <w:rsid w:val="009B27A7"/>
    <w:rsid w:val="009B2850"/>
    <w:rsid w:val="009B285B"/>
    <w:rsid w:val="009B2925"/>
    <w:rsid w:val="009B2A26"/>
    <w:rsid w:val="009B2D27"/>
    <w:rsid w:val="009B2EF0"/>
    <w:rsid w:val="009B317B"/>
    <w:rsid w:val="009B3191"/>
    <w:rsid w:val="009B31C2"/>
    <w:rsid w:val="009B3335"/>
    <w:rsid w:val="009B3353"/>
    <w:rsid w:val="009B3400"/>
    <w:rsid w:val="009B342F"/>
    <w:rsid w:val="009B3549"/>
    <w:rsid w:val="009B3701"/>
    <w:rsid w:val="009B371A"/>
    <w:rsid w:val="009B3762"/>
    <w:rsid w:val="009B378C"/>
    <w:rsid w:val="009B3849"/>
    <w:rsid w:val="009B38E0"/>
    <w:rsid w:val="009B3977"/>
    <w:rsid w:val="009B3A0D"/>
    <w:rsid w:val="009B3ABA"/>
    <w:rsid w:val="009B3C26"/>
    <w:rsid w:val="009B3CB2"/>
    <w:rsid w:val="009B3E3B"/>
    <w:rsid w:val="009B3F63"/>
    <w:rsid w:val="009B3FC8"/>
    <w:rsid w:val="009B4114"/>
    <w:rsid w:val="009B4279"/>
    <w:rsid w:val="009B43DC"/>
    <w:rsid w:val="009B447A"/>
    <w:rsid w:val="009B455E"/>
    <w:rsid w:val="009B45C6"/>
    <w:rsid w:val="009B45DB"/>
    <w:rsid w:val="009B476C"/>
    <w:rsid w:val="009B4791"/>
    <w:rsid w:val="009B47DE"/>
    <w:rsid w:val="009B47F3"/>
    <w:rsid w:val="009B4939"/>
    <w:rsid w:val="009B4960"/>
    <w:rsid w:val="009B4A43"/>
    <w:rsid w:val="009B4ADC"/>
    <w:rsid w:val="009B4E7F"/>
    <w:rsid w:val="009B5340"/>
    <w:rsid w:val="009B5479"/>
    <w:rsid w:val="009B5551"/>
    <w:rsid w:val="009B5767"/>
    <w:rsid w:val="009B5934"/>
    <w:rsid w:val="009B594F"/>
    <w:rsid w:val="009B595D"/>
    <w:rsid w:val="009B59B8"/>
    <w:rsid w:val="009B5B6B"/>
    <w:rsid w:val="009B5C11"/>
    <w:rsid w:val="009B5CCE"/>
    <w:rsid w:val="009B5DF3"/>
    <w:rsid w:val="009B5E24"/>
    <w:rsid w:val="009B5E43"/>
    <w:rsid w:val="009B5EB0"/>
    <w:rsid w:val="009B5F69"/>
    <w:rsid w:val="009B5FC0"/>
    <w:rsid w:val="009B6447"/>
    <w:rsid w:val="009B64E3"/>
    <w:rsid w:val="009B6690"/>
    <w:rsid w:val="009B66A7"/>
    <w:rsid w:val="009B6815"/>
    <w:rsid w:val="009B6DDB"/>
    <w:rsid w:val="009B6E54"/>
    <w:rsid w:val="009B6EF2"/>
    <w:rsid w:val="009B6F9C"/>
    <w:rsid w:val="009B701C"/>
    <w:rsid w:val="009B70CC"/>
    <w:rsid w:val="009B7128"/>
    <w:rsid w:val="009B7164"/>
    <w:rsid w:val="009B71F9"/>
    <w:rsid w:val="009B73C4"/>
    <w:rsid w:val="009B73DB"/>
    <w:rsid w:val="009B74E2"/>
    <w:rsid w:val="009B75C4"/>
    <w:rsid w:val="009B7799"/>
    <w:rsid w:val="009B77F3"/>
    <w:rsid w:val="009B780E"/>
    <w:rsid w:val="009B79D6"/>
    <w:rsid w:val="009B7ADC"/>
    <w:rsid w:val="009B7ADE"/>
    <w:rsid w:val="009B7BF8"/>
    <w:rsid w:val="009B7C42"/>
    <w:rsid w:val="009B7CE6"/>
    <w:rsid w:val="009B7D31"/>
    <w:rsid w:val="009B7D84"/>
    <w:rsid w:val="009B7E3C"/>
    <w:rsid w:val="009B7E81"/>
    <w:rsid w:val="009B7EE0"/>
    <w:rsid w:val="009B7F43"/>
    <w:rsid w:val="009C000D"/>
    <w:rsid w:val="009C01A5"/>
    <w:rsid w:val="009C02D2"/>
    <w:rsid w:val="009C02D7"/>
    <w:rsid w:val="009C03A2"/>
    <w:rsid w:val="009C0526"/>
    <w:rsid w:val="009C0736"/>
    <w:rsid w:val="009C0894"/>
    <w:rsid w:val="009C0999"/>
    <w:rsid w:val="009C09C2"/>
    <w:rsid w:val="009C0A62"/>
    <w:rsid w:val="009C0B28"/>
    <w:rsid w:val="009C0B5B"/>
    <w:rsid w:val="009C0C93"/>
    <w:rsid w:val="009C0D60"/>
    <w:rsid w:val="009C0F68"/>
    <w:rsid w:val="009C0F86"/>
    <w:rsid w:val="009C1032"/>
    <w:rsid w:val="009C1355"/>
    <w:rsid w:val="009C137D"/>
    <w:rsid w:val="009C1400"/>
    <w:rsid w:val="009C1445"/>
    <w:rsid w:val="009C1646"/>
    <w:rsid w:val="009C176F"/>
    <w:rsid w:val="009C1780"/>
    <w:rsid w:val="009C1856"/>
    <w:rsid w:val="009C1933"/>
    <w:rsid w:val="009C1B82"/>
    <w:rsid w:val="009C1C38"/>
    <w:rsid w:val="009C1CD3"/>
    <w:rsid w:val="009C1EE0"/>
    <w:rsid w:val="009C21F2"/>
    <w:rsid w:val="009C2363"/>
    <w:rsid w:val="009C2389"/>
    <w:rsid w:val="009C255C"/>
    <w:rsid w:val="009C256E"/>
    <w:rsid w:val="009C2673"/>
    <w:rsid w:val="009C26C1"/>
    <w:rsid w:val="009C2719"/>
    <w:rsid w:val="009C27B8"/>
    <w:rsid w:val="009C28B4"/>
    <w:rsid w:val="009C2AEA"/>
    <w:rsid w:val="009C2B4F"/>
    <w:rsid w:val="009C2B79"/>
    <w:rsid w:val="009C2B89"/>
    <w:rsid w:val="009C2CF2"/>
    <w:rsid w:val="009C2D5F"/>
    <w:rsid w:val="009C2E85"/>
    <w:rsid w:val="009C2F07"/>
    <w:rsid w:val="009C2FA1"/>
    <w:rsid w:val="009C3115"/>
    <w:rsid w:val="009C320E"/>
    <w:rsid w:val="009C3288"/>
    <w:rsid w:val="009C3357"/>
    <w:rsid w:val="009C353C"/>
    <w:rsid w:val="009C356C"/>
    <w:rsid w:val="009C383F"/>
    <w:rsid w:val="009C3B58"/>
    <w:rsid w:val="009C3B95"/>
    <w:rsid w:val="009C3DD3"/>
    <w:rsid w:val="009C3DD7"/>
    <w:rsid w:val="009C3E0A"/>
    <w:rsid w:val="009C3E27"/>
    <w:rsid w:val="009C3FCD"/>
    <w:rsid w:val="009C4113"/>
    <w:rsid w:val="009C42BB"/>
    <w:rsid w:val="009C4438"/>
    <w:rsid w:val="009C447F"/>
    <w:rsid w:val="009C45FC"/>
    <w:rsid w:val="009C47B7"/>
    <w:rsid w:val="009C47B9"/>
    <w:rsid w:val="009C4820"/>
    <w:rsid w:val="009C4A7A"/>
    <w:rsid w:val="009C4AE3"/>
    <w:rsid w:val="009C4C98"/>
    <w:rsid w:val="009C4CBE"/>
    <w:rsid w:val="009C4D62"/>
    <w:rsid w:val="009C4E2D"/>
    <w:rsid w:val="009C4EB1"/>
    <w:rsid w:val="009C517C"/>
    <w:rsid w:val="009C534C"/>
    <w:rsid w:val="009C53B3"/>
    <w:rsid w:val="009C53F5"/>
    <w:rsid w:val="009C55D2"/>
    <w:rsid w:val="009C55DB"/>
    <w:rsid w:val="009C5742"/>
    <w:rsid w:val="009C59B4"/>
    <w:rsid w:val="009C59F0"/>
    <w:rsid w:val="009C5A34"/>
    <w:rsid w:val="009C5A77"/>
    <w:rsid w:val="009C5ADF"/>
    <w:rsid w:val="009C5BB3"/>
    <w:rsid w:val="009C5BC9"/>
    <w:rsid w:val="009C5CE5"/>
    <w:rsid w:val="009C5D02"/>
    <w:rsid w:val="009C5FBA"/>
    <w:rsid w:val="009C600B"/>
    <w:rsid w:val="009C604B"/>
    <w:rsid w:val="009C623D"/>
    <w:rsid w:val="009C62E5"/>
    <w:rsid w:val="009C637B"/>
    <w:rsid w:val="009C639B"/>
    <w:rsid w:val="009C65BC"/>
    <w:rsid w:val="009C677E"/>
    <w:rsid w:val="009C6795"/>
    <w:rsid w:val="009C6817"/>
    <w:rsid w:val="009C6A0C"/>
    <w:rsid w:val="009C6A5B"/>
    <w:rsid w:val="009C6A6F"/>
    <w:rsid w:val="009C6CBE"/>
    <w:rsid w:val="009C6CE5"/>
    <w:rsid w:val="009C6D4B"/>
    <w:rsid w:val="009C6DD9"/>
    <w:rsid w:val="009C6F23"/>
    <w:rsid w:val="009C6F60"/>
    <w:rsid w:val="009C7020"/>
    <w:rsid w:val="009C704A"/>
    <w:rsid w:val="009C720E"/>
    <w:rsid w:val="009C7246"/>
    <w:rsid w:val="009C7314"/>
    <w:rsid w:val="009C7324"/>
    <w:rsid w:val="009C7549"/>
    <w:rsid w:val="009C7846"/>
    <w:rsid w:val="009C7877"/>
    <w:rsid w:val="009C7B3F"/>
    <w:rsid w:val="009C7B81"/>
    <w:rsid w:val="009C7C72"/>
    <w:rsid w:val="009C7C7A"/>
    <w:rsid w:val="009C7E3C"/>
    <w:rsid w:val="009C7F92"/>
    <w:rsid w:val="009C7F9A"/>
    <w:rsid w:val="009D03AF"/>
    <w:rsid w:val="009D0404"/>
    <w:rsid w:val="009D04B7"/>
    <w:rsid w:val="009D0688"/>
    <w:rsid w:val="009D0695"/>
    <w:rsid w:val="009D09C9"/>
    <w:rsid w:val="009D0A70"/>
    <w:rsid w:val="009D0ABD"/>
    <w:rsid w:val="009D0AEA"/>
    <w:rsid w:val="009D0C58"/>
    <w:rsid w:val="009D0E00"/>
    <w:rsid w:val="009D0E58"/>
    <w:rsid w:val="009D0ECD"/>
    <w:rsid w:val="009D100F"/>
    <w:rsid w:val="009D1037"/>
    <w:rsid w:val="009D1183"/>
    <w:rsid w:val="009D11CC"/>
    <w:rsid w:val="009D1291"/>
    <w:rsid w:val="009D153F"/>
    <w:rsid w:val="009D15F5"/>
    <w:rsid w:val="009D1628"/>
    <w:rsid w:val="009D16E4"/>
    <w:rsid w:val="009D171D"/>
    <w:rsid w:val="009D172E"/>
    <w:rsid w:val="009D1CEF"/>
    <w:rsid w:val="009D1DB0"/>
    <w:rsid w:val="009D1ED2"/>
    <w:rsid w:val="009D2061"/>
    <w:rsid w:val="009D215D"/>
    <w:rsid w:val="009D21F2"/>
    <w:rsid w:val="009D2359"/>
    <w:rsid w:val="009D2435"/>
    <w:rsid w:val="009D245F"/>
    <w:rsid w:val="009D24C6"/>
    <w:rsid w:val="009D24F4"/>
    <w:rsid w:val="009D258D"/>
    <w:rsid w:val="009D265A"/>
    <w:rsid w:val="009D28CB"/>
    <w:rsid w:val="009D2C50"/>
    <w:rsid w:val="009D2F48"/>
    <w:rsid w:val="009D301C"/>
    <w:rsid w:val="009D3179"/>
    <w:rsid w:val="009D31A5"/>
    <w:rsid w:val="009D33A9"/>
    <w:rsid w:val="009D3511"/>
    <w:rsid w:val="009D3706"/>
    <w:rsid w:val="009D37C2"/>
    <w:rsid w:val="009D39E1"/>
    <w:rsid w:val="009D3AF9"/>
    <w:rsid w:val="009D3BCD"/>
    <w:rsid w:val="009D3CC4"/>
    <w:rsid w:val="009D3EFB"/>
    <w:rsid w:val="009D3F7F"/>
    <w:rsid w:val="009D40FB"/>
    <w:rsid w:val="009D439C"/>
    <w:rsid w:val="009D4517"/>
    <w:rsid w:val="009D46BB"/>
    <w:rsid w:val="009D471C"/>
    <w:rsid w:val="009D4765"/>
    <w:rsid w:val="009D48C2"/>
    <w:rsid w:val="009D4924"/>
    <w:rsid w:val="009D4B35"/>
    <w:rsid w:val="009D4BC5"/>
    <w:rsid w:val="009D4BE4"/>
    <w:rsid w:val="009D4CA9"/>
    <w:rsid w:val="009D4E3A"/>
    <w:rsid w:val="009D5060"/>
    <w:rsid w:val="009D5159"/>
    <w:rsid w:val="009D51F4"/>
    <w:rsid w:val="009D51F8"/>
    <w:rsid w:val="009D5243"/>
    <w:rsid w:val="009D5257"/>
    <w:rsid w:val="009D5365"/>
    <w:rsid w:val="009D53B0"/>
    <w:rsid w:val="009D551F"/>
    <w:rsid w:val="009D5A32"/>
    <w:rsid w:val="009D5AAB"/>
    <w:rsid w:val="009D5AD2"/>
    <w:rsid w:val="009D5B05"/>
    <w:rsid w:val="009D5B35"/>
    <w:rsid w:val="009D5BFB"/>
    <w:rsid w:val="009D5D8C"/>
    <w:rsid w:val="009D5DB4"/>
    <w:rsid w:val="009D5E2B"/>
    <w:rsid w:val="009D5F0D"/>
    <w:rsid w:val="009D5F1E"/>
    <w:rsid w:val="009D6232"/>
    <w:rsid w:val="009D62DC"/>
    <w:rsid w:val="009D63B1"/>
    <w:rsid w:val="009D63C9"/>
    <w:rsid w:val="009D63FA"/>
    <w:rsid w:val="009D6728"/>
    <w:rsid w:val="009D6A5A"/>
    <w:rsid w:val="009D6CE4"/>
    <w:rsid w:val="009D6D05"/>
    <w:rsid w:val="009D6D2C"/>
    <w:rsid w:val="009D6EAB"/>
    <w:rsid w:val="009D6FB0"/>
    <w:rsid w:val="009D6FC9"/>
    <w:rsid w:val="009D71B4"/>
    <w:rsid w:val="009D72C9"/>
    <w:rsid w:val="009D75DB"/>
    <w:rsid w:val="009D76E6"/>
    <w:rsid w:val="009D7834"/>
    <w:rsid w:val="009D7A29"/>
    <w:rsid w:val="009D7D01"/>
    <w:rsid w:val="009D7E9B"/>
    <w:rsid w:val="009D7F07"/>
    <w:rsid w:val="009D7FC0"/>
    <w:rsid w:val="009E004C"/>
    <w:rsid w:val="009E02C9"/>
    <w:rsid w:val="009E05B9"/>
    <w:rsid w:val="009E05BB"/>
    <w:rsid w:val="009E05EE"/>
    <w:rsid w:val="009E063E"/>
    <w:rsid w:val="009E0731"/>
    <w:rsid w:val="009E082F"/>
    <w:rsid w:val="009E092A"/>
    <w:rsid w:val="009E094B"/>
    <w:rsid w:val="009E0AB0"/>
    <w:rsid w:val="009E0E6E"/>
    <w:rsid w:val="009E0EDC"/>
    <w:rsid w:val="009E0F18"/>
    <w:rsid w:val="009E0F4F"/>
    <w:rsid w:val="009E10A4"/>
    <w:rsid w:val="009E10B5"/>
    <w:rsid w:val="009E10EC"/>
    <w:rsid w:val="009E10FE"/>
    <w:rsid w:val="009E115F"/>
    <w:rsid w:val="009E11DC"/>
    <w:rsid w:val="009E1385"/>
    <w:rsid w:val="009E1412"/>
    <w:rsid w:val="009E1425"/>
    <w:rsid w:val="009E1434"/>
    <w:rsid w:val="009E1442"/>
    <w:rsid w:val="009E14A4"/>
    <w:rsid w:val="009E14B5"/>
    <w:rsid w:val="009E1680"/>
    <w:rsid w:val="009E1958"/>
    <w:rsid w:val="009E1AE3"/>
    <w:rsid w:val="009E1C37"/>
    <w:rsid w:val="009E1CF6"/>
    <w:rsid w:val="009E1D31"/>
    <w:rsid w:val="009E1EC6"/>
    <w:rsid w:val="009E1EE1"/>
    <w:rsid w:val="009E1F46"/>
    <w:rsid w:val="009E203C"/>
    <w:rsid w:val="009E2052"/>
    <w:rsid w:val="009E20C7"/>
    <w:rsid w:val="009E214F"/>
    <w:rsid w:val="009E230E"/>
    <w:rsid w:val="009E2389"/>
    <w:rsid w:val="009E23D2"/>
    <w:rsid w:val="009E2688"/>
    <w:rsid w:val="009E269F"/>
    <w:rsid w:val="009E27ED"/>
    <w:rsid w:val="009E288C"/>
    <w:rsid w:val="009E296F"/>
    <w:rsid w:val="009E2A96"/>
    <w:rsid w:val="009E2C49"/>
    <w:rsid w:val="009E2C6D"/>
    <w:rsid w:val="009E2C7E"/>
    <w:rsid w:val="009E2EC1"/>
    <w:rsid w:val="009E2F27"/>
    <w:rsid w:val="009E2F93"/>
    <w:rsid w:val="009E3107"/>
    <w:rsid w:val="009E32FA"/>
    <w:rsid w:val="009E330A"/>
    <w:rsid w:val="009E344F"/>
    <w:rsid w:val="009E346D"/>
    <w:rsid w:val="009E34CE"/>
    <w:rsid w:val="009E34E7"/>
    <w:rsid w:val="009E37F9"/>
    <w:rsid w:val="009E3823"/>
    <w:rsid w:val="009E3848"/>
    <w:rsid w:val="009E38B1"/>
    <w:rsid w:val="009E3A85"/>
    <w:rsid w:val="009E3AFE"/>
    <w:rsid w:val="009E3B35"/>
    <w:rsid w:val="009E3C72"/>
    <w:rsid w:val="009E3D2C"/>
    <w:rsid w:val="009E3DB3"/>
    <w:rsid w:val="009E3E20"/>
    <w:rsid w:val="009E4247"/>
    <w:rsid w:val="009E42A0"/>
    <w:rsid w:val="009E42E9"/>
    <w:rsid w:val="009E43B1"/>
    <w:rsid w:val="009E43BE"/>
    <w:rsid w:val="009E45FA"/>
    <w:rsid w:val="009E4625"/>
    <w:rsid w:val="009E4895"/>
    <w:rsid w:val="009E48BA"/>
    <w:rsid w:val="009E48DB"/>
    <w:rsid w:val="009E4912"/>
    <w:rsid w:val="009E4946"/>
    <w:rsid w:val="009E49AE"/>
    <w:rsid w:val="009E4B21"/>
    <w:rsid w:val="009E4C1C"/>
    <w:rsid w:val="009E4C48"/>
    <w:rsid w:val="009E4D98"/>
    <w:rsid w:val="009E4DCE"/>
    <w:rsid w:val="009E4E8D"/>
    <w:rsid w:val="009E4F3C"/>
    <w:rsid w:val="009E5087"/>
    <w:rsid w:val="009E530D"/>
    <w:rsid w:val="009E5420"/>
    <w:rsid w:val="009E54C1"/>
    <w:rsid w:val="009E557B"/>
    <w:rsid w:val="009E584C"/>
    <w:rsid w:val="009E5A2C"/>
    <w:rsid w:val="009E5B03"/>
    <w:rsid w:val="009E5B9F"/>
    <w:rsid w:val="009E5BE1"/>
    <w:rsid w:val="009E5C69"/>
    <w:rsid w:val="009E5C78"/>
    <w:rsid w:val="009E5CC4"/>
    <w:rsid w:val="009E5CE2"/>
    <w:rsid w:val="009E5D6F"/>
    <w:rsid w:val="009E613B"/>
    <w:rsid w:val="009E61BD"/>
    <w:rsid w:val="009E6204"/>
    <w:rsid w:val="009E6241"/>
    <w:rsid w:val="009E6439"/>
    <w:rsid w:val="009E64E4"/>
    <w:rsid w:val="009E65AD"/>
    <w:rsid w:val="009E65BD"/>
    <w:rsid w:val="009E665F"/>
    <w:rsid w:val="009E67C8"/>
    <w:rsid w:val="009E67D4"/>
    <w:rsid w:val="009E6859"/>
    <w:rsid w:val="009E698B"/>
    <w:rsid w:val="009E6A27"/>
    <w:rsid w:val="009E6AD3"/>
    <w:rsid w:val="009E6ADF"/>
    <w:rsid w:val="009E6CCF"/>
    <w:rsid w:val="009E6E30"/>
    <w:rsid w:val="009E6E4A"/>
    <w:rsid w:val="009E6E5A"/>
    <w:rsid w:val="009E6EF5"/>
    <w:rsid w:val="009E6FB7"/>
    <w:rsid w:val="009E7029"/>
    <w:rsid w:val="009E7150"/>
    <w:rsid w:val="009E728A"/>
    <w:rsid w:val="009E7320"/>
    <w:rsid w:val="009E73F3"/>
    <w:rsid w:val="009E7428"/>
    <w:rsid w:val="009E7498"/>
    <w:rsid w:val="009E7551"/>
    <w:rsid w:val="009E75A1"/>
    <w:rsid w:val="009E75C9"/>
    <w:rsid w:val="009E763C"/>
    <w:rsid w:val="009E7936"/>
    <w:rsid w:val="009E7970"/>
    <w:rsid w:val="009E7C30"/>
    <w:rsid w:val="009E7C3A"/>
    <w:rsid w:val="009E7C51"/>
    <w:rsid w:val="009E7C7C"/>
    <w:rsid w:val="009E7ED4"/>
    <w:rsid w:val="009E7F5D"/>
    <w:rsid w:val="009F008A"/>
    <w:rsid w:val="009F01E7"/>
    <w:rsid w:val="009F027D"/>
    <w:rsid w:val="009F033D"/>
    <w:rsid w:val="009F04D0"/>
    <w:rsid w:val="009F0682"/>
    <w:rsid w:val="009F06E8"/>
    <w:rsid w:val="009F070E"/>
    <w:rsid w:val="009F0717"/>
    <w:rsid w:val="009F07B4"/>
    <w:rsid w:val="009F0897"/>
    <w:rsid w:val="009F097D"/>
    <w:rsid w:val="009F0ACC"/>
    <w:rsid w:val="009F0C85"/>
    <w:rsid w:val="009F0D61"/>
    <w:rsid w:val="009F0F37"/>
    <w:rsid w:val="009F1066"/>
    <w:rsid w:val="009F10C9"/>
    <w:rsid w:val="009F10E7"/>
    <w:rsid w:val="009F1195"/>
    <w:rsid w:val="009F11AD"/>
    <w:rsid w:val="009F11FC"/>
    <w:rsid w:val="009F13B0"/>
    <w:rsid w:val="009F1541"/>
    <w:rsid w:val="009F161A"/>
    <w:rsid w:val="009F16C5"/>
    <w:rsid w:val="009F1730"/>
    <w:rsid w:val="009F17DA"/>
    <w:rsid w:val="009F18B2"/>
    <w:rsid w:val="009F1BE1"/>
    <w:rsid w:val="009F1D31"/>
    <w:rsid w:val="009F1EBF"/>
    <w:rsid w:val="009F1FB0"/>
    <w:rsid w:val="009F200D"/>
    <w:rsid w:val="009F2090"/>
    <w:rsid w:val="009F21ED"/>
    <w:rsid w:val="009F2224"/>
    <w:rsid w:val="009F2265"/>
    <w:rsid w:val="009F2701"/>
    <w:rsid w:val="009F283F"/>
    <w:rsid w:val="009F2884"/>
    <w:rsid w:val="009F29C7"/>
    <w:rsid w:val="009F29E8"/>
    <w:rsid w:val="009F2A28"/>
    <w:rsid w:val="009F2B31"/>
    <w:rsid w:val="009F2C9F"/>
    <w:rsid w:val="009F2E33"/>
    <w:rsid w:val="009F3002"/>
    <w:rsid w:val="009F30AC"/>
    <w:rsid w:val="009F30F7"/>
    <w:rsid w:val="009F311F"/>
    <w:rsid w:val="009F336E"/>
    <w:rsid w:val="009F35C8"/>
    <w:rsid w:val="009F36DD"/>
    <w:rsid w:val="009F3763"/>
    <w:rsid w:val="009F3844"/>
    <w:rsid w:val="009F3968"/>
    <w:rsid w:val="009F3A02"/>
    <w:rsid w:val="009F3A76"/>
    <w:rsid w:val="009F3B11"/>
    <w:rsid w:val="009F3DA5"/>
    <w:rsid w:val="009F3DBD"/>
    <w:rsid w:val="009F42CC"/>
    <w:rsid w:val="009F42DF"/>
    <w:rsid w:val="009F43B0"/>
    <w:rsid w:val="009F43B4"/>
    <w:rsid w:val="009F4679"/>
    <w:rsid w:val="009F487A"/>
    <w:rsid w:val="009F4896"/>
    <w:rsid w:val="009F48E3"/>
    <w:rsid w:val="009F49DC"/>
    <w:rsid w:val="009F4C12"/>
    <w:rsid w:val="009F4C6A"/>
    <w:rsid w:val="009F4D33"/>
    <w:rsid w:val="009F4D38"/>
    <w:rsid w:val="009F4D3B"/>
    <w:rsid w:val="009F4DE6"/>
    <w:rsid w:val="009F4E36"/>
    <w:rsid w:val="009F4EB4"/>
    <w:rsid w:val="009F4F6B"/>
    <w:rsid w:val="009F506D"/>
    <w:rsid w:val="009F5085"/>
    <w:rsid w:val="009F508C"/>
    <w:rsid w:val="009F5108"/>
    <w:rsid w:val="009F51A4"/>
    <w:rsid w:val="009F5465"/>
    <w:rsid w:val="009F5748"/>
    <w:rsid w:val="009F5752"/>
    <w:rsid w:val="009F5831"/>
    <w:rsid w:val="009F5850"/>
    <w:rsid w:val="009F5917"/>
    <w:rsid w:val="009F59D3"/>
    <w:rsid w:val="009F59E8"/>
    <w:rsid w:val="009F5AEE"/>
    <w:rsid w:val="009F5D63"/>
    <w:rsid w:val="009F5DBB"/>
    <w:rsid w:val="009F5F01"/>
    <w:rsid w:val="009F60CF"/>
    <w:rsid w:val="009F61E6"/>
    <w:rsid w:val="009F6320"/>
    <w:rsid w:val="009F6547"/>
    <w:rsid w:val="009F664F"/>
    <w:rsid w:val="009F6666"/>
    <w:rsid w:val="009F66EF"/>
    <w:rsid w:val="009F6742"/>
    <w:rsid w:val="009F6746"/>
    <w:rsid w:val="009F67B8"/>
    <w:rsid w:val="009F67B9"/>
    <w:rsid w:val="009F6CC0"/>
    <w:rsid w:val="009F6ED9"/>
    <w:rsid w:val="009F6EEF"/>
    <w:rsid w:val="009F6FCD"/>
    <w:rsid w:val="009F708D"/>
    <w:rsid w:val="009F7120"/>
    <w:rsid w:val="009F725B"/>
    <w:rsid w:val="009F78EC"/>
    <w:rsid w:val="009F7A99"/>
    <w:rsid w:val="009F7B4A"/>
    <w:rsid w:val="009F7DC9"/>
    <w:rsid w:val="009F7E60"/>
    <w:rsid w:val="009F7EF3"/>
    <w:rsid w:val="009F7F50"/>
    <w:rsid w:val="00A00014"/>
    <w:rsid w:val="00A000E3"/>
    <w:rsid w:val="00A001EA"/>
    <w:rsid w:val="00A004FC"/>
    <w:rsid w:val="00A0054F"/>
    <w:rsid w:val="00A00683"/>
    <w:rsid w:val="00A00951"/>
    <w:rsid w:val="00A00A50"/>
    <w:rsid w:val="00A00C29"/>
    <w:rsid w:val="00A00F7E"/>
    <w:rsid w:val="00A00FDA"/>
    <w:rsid w:val="00A0114E"/>
    <w:rsid w:val="00A01227"/>
    <w:rsid w:val="00A01298"/>
    <w:rsid w:val="00A01375"/>
    <w:rsid w:val="00A013A3"/>
    <w:rsid w:val="00A013B5"/>
    <w:rsid w:val="00A0143A"/>
    <w:rsid w:val="00A01455"/>
    <w:rsid w:val="00A0148D"/>
    <w:rsid w:val="00A01517"/>
    <w:rsid w:val="00A015DE"/>
    <w:rsid w:val="00A0166A"/>
    <w:rsid w:val="00A017DE"/>
    <w:rsid w:val="00A018E8"/>
    <w:rsid w:val="00A0190F"/>
    <w:rsid w:val="00A01915"/>
    <w:rsid w:val="00A01975"/>
    <w:rsid w:val="00A019EA"/>
    <w:rsid w:val="00A01B34"/>
    <w:rsid w:val="00A01C60"/>
    <w:rsid w:val="00A01D6D"/>
    <w:rsid w:val="00A01DBE"/>
    <w:rsid w:val="00A01EE2"/>
    <w:rsid w:val="00A01F3D"/>
    <w:rsid w:val="00A02311"/>
    <w:rsid w:val="00A023A9"/>
    <w:rsid w:val="00A024F0"/>
    <w:rsid w:val="00A02559"/>
    <w:rsid w:val="00A02625"/>
    <w:rsid w:val="00A0264A"/>
    <w:rsid w:val="00A02825"/>
    <w:rsid w:val="00A02A77"/>
    <w:rsid w:val="00A02AB7"/>
    <w:rsid w:val="00A02AD9"/>
    <w:rsid w:val="00A02CF9"/>
    <w:rsid w:val="00A02DC3"/>
    <w:rsid w:val="00A02F2E"/>
    <w:rsid w:val="00A02F3F"/>
    <w:rsid w:val="00A03001"/>
    <w:rsid w:val="00A03015"/>
    <w:rsid w:val="00A03021"/>
    <w:rsid w:val="00A03054"/>
    <w:rsid w:val="00A03060"/>
    <w:rsid w:val="00A030F9"/>
    <w:rsid w:val="00A03123"/>
    <w:rsid w:val="00A0335E"/>
    <w:rsid w:val="00A034CA"/>
    <w:rsid w:val="00A03609"/>
    <w:rsid w:val="00A03701"/>
    <w:rsid w:val="00A03747"/>
    <w:rsid w:val="00A03803"/>
    <w:rsid w:val="00A03968"/>
    <w:rsid w:val="00A03B15"/>
    <w:rsid w:val="00A03BBD"/>
    <w:rsid w:val="00A03D0D"/>
    <w:rsid w:val="00A03D29"/>
    <w:rsid w:val="00A03DC9"/>
    <w:rsid w:val="00A03EA1"/>
    <w:rsid w:val="00A03F76"/>
    <w:rsid w:val="00A041E0"/>
    <w:rsid w:val="00A042C8"/>
    <w:rsid w:val="00A0432B"/>
    <w:rsid w:val="00A04333"/>
    <w:rsid w:val="00A044AA"/>
    <w:rsid w:val="00A04562"/>
    <w:rsid w:val="00A046AE"/>
    <w:rsid w:val="00A048C2"/>
    <w:rsid w:val="00A05030"/>
    <w:rsid w:val="00A050C1"/>
    <w:rsid w:val="00A055A3"/>
    <w:rsid w:val="00A055AA"/>
    <w:rsid w:val="00A055CB"/>
    <w:rsid w:val="00A0565E"/>
    <w:rsid w:val="00A05955"/>
    <w:rsid w:val="00A05B08"/>
    <w:rsid w:val="00A05B52"/>
    <w:rsid w:val="00A05CF5"/>
    <w:rsid w:val="00A05D4A"/>
    <w:rsid w:val="00A05D54"/>
    <w:rsid w:val="00A05F03"/>
    <w:rsid w:val="00A05F46"/>
    <w:rsid w:val="00A05F54"/>
    <w:rsid w:val="00A05FF9"/>
    <w:rsid w:val="00A062BD"/>
    <w:rsid w:val="00A063B2"/>
    <w:rsid w:val="00A063C1"/>
    <w:rsid w:val="00A06785"/>
    <w:rsid w:val="00A06875"/>
    <w:rsid w:val="00A06886"/>
    <w:rsid w:val="00A068EB"/>
    <w:rsid w:val="00A06905"/>
    <w:rsid w:val="00A06BF6"/>
    <w:rsid w:val="00A06CC6"/>
    <w:rsid w:val="00A06D60"/>
    <w:rsid w:val="00A06F07"/>
    <w:rsid w:val="00A06F9C"/>
    <w:rsid w:val="00A070DF"/>
    <w:rsid w:val="00A07206"/>
    <w:rsid w:val="00A07244"/>
    <w:rsid w:val="00A072D9"/>
    <w:rsid w:val="00A073CD"/>
    <w:rsid w:val="00A073D9"/>
    <w:rsid w:val="00A074EE"/>
    <w:rsid w:val="00A07503"/>
    <w:rsid w:val="00A0762A"/>
    <w:rsid w:val="00A07659"/>
    <w:rsid w:val="00A07690"/>
    <w:rsid w:val="00A07782"/>
    <w:rsid w:val="00A0780C"/>
    <w:rsid w:val="00A07AD7"/>
    <w:rsid w:val="00A07B2F"/>
    <w:rsid w:val="00A07B45"/>
    <w:rsid w:val="00A07C49"/>
    <w:rsid w:val="00A07F1E"/>
    <w:rsid w:val="00A07F1F"/>
    <w:rsid w:val="00A100D9"/>
    <w:rsid w:val="00A104C4"/>
    <w:rsid w:val="00A105C4"/>
    <w:rsid w:val="00A10708"/>
    <w:rsid w:val="00A10723"/>
    <w:rsid w:val="00A10904"/>
    <w:rsid w:val="00A10B92"/>
    <w:rsid w:val="00A10BA4"/>
    <w:rsid w:val="00A10BB8"/>
    <w:rsid w:val="00A10CAB"/>
    <w:rsid w:val="00A10D19"/>
    <w:rsid w:val="00A10D47"/>
    <w:rsid w:val="00A10D73"/>
    <w:rsid w:val="00A10DB1"/>
    <w:rsid w:val="00A10F6F"/>
    <w:rsid w:val="00A11331"/>
    <w:rsid w:val="00A1146B"/>
    <w:rsid w:val="00A11497"/>
    <w:rsid w:val="00A11667"/>
    <w:rsid w:val="00A116CD"/>
    <w:rsid w:val="00A117E7"/>
    <w:rsid w:val="00A11951"/>
    <w:rsid w:val="00A11A49"/>
    <w:rsid w:val="00A11A59"/>
    <w:rsid w:val="00A11B2F"/>
    <w:rsid w:val="00A11D3C"/>
    <w:rsid w:val="00A11F4E"/>
    <w:rsid w:val="00A11FCB"/>
    <w:rsid w:val="00A121DA"/>
    <w:rsid w:val="00A12248"/>
    <w:rsid w:val="00A12572"/>
    <w:rsid w:val="00A125C7"/>
    <w:rsid w:val="00A1260E"/>
    <w:rsid w:val="00A126C0"/>
    <w:rsid w:val="00A1294C"/>
    <w:rsid w:val="00A1294F"/>
    <w:rsid w:val="00A1298F"/>
    <w:rsid w:val="00A12ABF"/>
    <w:rsid w:val="00A12AED"/>
    <w:rsid w:val="00A12B71"/>
    <w:rsid w:val="00A12D75"/>
    <w:rsid w:val="00A12EB4"/>
    <w:rsid w:val="00A12F8A"/>
    <w:rsid w:val="00A13161"/>
    <w:rsid w:val="00A1325F"/>
    <w:rsid w:val="00A1326F"/>
    <w:rsid w:val="00A133AC"/>
    <w:rsid w:val="00A13459"/>
    <w:rsid w:val="00A134A6"/>
    <w:rsid w:val="00A13527"/>
    <w:rsid w:val="00A13555"/>
    <w:rsid w:val="00A13590"/>
    <w:rsid w:val="00A135F6"/>
    <w:rsid w:val="00A13832"/>
    <w:rsid w:val="00A13883"/>
    <w:rsid w:val="00A139DB"/>
    <w:rsid w:val="00A13A38"/>
    <w:rsid w:val="00A13B7F"/>
    <w:rsid w:val="00A13B9E"/>
    <w:rsid w:val="00A13CD3"/>
    <w:rsid w:val="00A13CE2"/>
    <w:rsid w:val="00A13D24"/>
    <w:rsid w:val="00A13D9E"/>
    <w:rsid w:val="00A142FB"/>
    <w:rsid w:val="00A143DB"/>
    <w:rsid w:val="00A1446D"/>
    <w:rsid w:val="00A1467F"/>
    <w:rsid w:val="00A146B0"/>
    <w:rsid w:val="00A146CB"/>
    <w:rsid w:val="00A14880"/>
    <w:rsid w:val="00A1493C"/>
    <w:rsid w:val="00A14AA3"/>
    <w:rsid w:val="00A14B3F"/>
    <w:rsid w:val="00A14B71"/>
    <w:rsid w:val="00A14B9F"/>
    <w:rsid w:val="00A14BAD"/>
    <w:rsid w:val="00A14CD8"/>
    <w:rsid w:val="00A14DFA"/>
    <w:rsid w:val="00A151D8"/>
    <w:rsid w:val="00A153A4"/>
    <w:rsid w:val="00A1546C"/>
    <w:rsid w:val="00A1558B"/>
    <w:rsid w:val="00A155BA"/>
    <w:rsid w:val="00A1567C"/>
    <w:rsid w:val="00A15760"/>
    <w:rsid w:val="00A157B2"/>
    <w:rsid w:val="00A157DF"/>
    <w:rsid w:val="00A15813"/>
    <w:rsid w:val="00A158A1"/>
    <w:rsid w:val="00A158E1"/>
    <w:rsid w:val="00A15918"/>
    <w:rsid w:val="00A15951"/>
    <w:rsid w:val="00A159E7"/>
    <w:rsid w:val="00A15A0B"/>
    <w:rsid w:val="00A15B89"/>
    <w:rsid w:val="00A15BBF"/>
    <w:rsid w:val="00A15C31"/>
    <w:rsid w:val="00A15CDF"/>
    <w:rsid w:val="00A15CE9"/>
    <w:rsid w:val="00A1609D"/>
    <w:rsid w:val="00A16372"/>
    <w:rsid w:val="00A166AB"/>
    <w:rsid w:val="00A1686B"/>
    <w:rsid w:val="00A169E6"/>
    <w:rsid w:val="00A16A30"/>
    <w:rsid w:val="00A16AD7"/>
    <w:rsid w:val="00A16AE0"/>
    <w:rsid w:val="00A16B4D"/>
    <w:rsid w:val="00A16BE4"/>
    <w:rsid w:val="00A16CE4"/>
    <w:rsid w:val="00A170E3"/>
    <w:rsid w:val="00A170FD"/>
    <w:rsid w:val="00A1731F"/>
    <w:rsid w:val="00A173D9"/>
    <w:rsid w:val="00A173FC"/>
    <w:rsid w:val="00A174ED"/>
    <w:rsid w:val="00A175E8"/>
    <w:rsid w:val="00A17652"/>
    <w:rsid w:val="00A17672"/>
    <w:rsid w:val="00A176F6"/>
    <w:rsid w:val="00A177DF"/>
    <w:rsid w:val="00A1797C"/>
    <w:rsid w:val="00A17A93"/>
    <w:rsid w:val="00A17B5A"/>
    <w:rsid w:val="00A17DEE"/>
    <w:rsid w:val="00A17E8F"/>
    <w:rsid w:val="00A20049"/>
    <w:rsid w:val="00A2005C"/>
    <w:rsid w:val="00A201B4"/>
    <w:rsid w:val="00A2020F"/>
    <w:rsid w:val="00A2047B"/>
    <w:rsid w:val="00A20487"/>
    <w:rsid w:val="00A2053A"/>
    <w:rsid w:val="00A20569"/>
    <w:rsid w:val="00A2057D"/>
    <w:rsid w:val="00A20832"/>
    <w:rsid w:val="00A20BB1"/>
    <w:rsid w:val="00A20BE9"/>
    <w:rsid w:val="00A20C65"/>
    <w:rsid w:val="00A20CCF"/>
    <w:rsid w:val="00A20D1B"/>
    <w:rsid w:val="00A20E5A"/>
    <w:rsid w:val="00A2108A"/>
    <w:rsid w:val="00A21180"/>
    <w:rsid w:val="00A212C8"/>
    <w:rsid w:val="00A213BD"/>
    <w:rsid w:val="00A21755"/>
    <w:rsid w:val="00A217F9"/>
    <w:rsid w:val="00A21882"/>
    <w:rsid w:val="00A21AB2"/>
    <w:rsid w:val="00A21B75"/>
    <w:rsid w:val="00A21C12"/>
    <w:rsid w:val="00A21D9E"/>
    <w:rsid w:val="00A2206B"/>
    <w:rsid w:val="00A22095"/>
    <w:rsid w:val="00A22529"/>
    <w:rsid w:val="00A22676"/>
    <w:rsid w:val="00A2271A"/>
    <w:rsid w:val="00A227F6"/>
    <w:rsid w:val="00A22917"/>
    <w:rsid w:val="00A22941"/>
    <w:rsid w:val="00A2297F"/>
    <w:rsid w:val="00A229CD"/>
    <w:rsid w:val="00A22B4E"/>
    <w:rsid w:val="00A22C87"/>
    <w:rsid w:val="00A22CA7"/>
    <w:rsid w:val="00A23203"/>
    <w:rsid w:val="00A23310"/>
    <w:rsid w:val="00A2333D"/>
    <w:rsid w:val="00A235A5"/>
    <w:rsid w:val="00A235D4"/>
    <w:rsid w:val="00A235E2"/>
    <w:rsid w:val="00A23637"/>
    <w:rsid w:val="00A23811"/>
    <w:rsid w:val="00A23A7D"/>
    <w:rsid w:val="00A23AE2"/>
    <w:rsid w:val="00A23BC3"/>
    <w:rsid w:val="00A23C36"/>
    <w:rsid w:val="00A23D5E"/>
    <w:rsid w:val="00A23FF4"/>
    <w:rsid w:val="00A24069"/>
    <w:rsid w:val="00A240D1"/>
    <w:rsid w:val="00A2412F"/>
    <w:rsid w:val="00A24388"/>
    <w:rsid w:val="00A243EC"/>
    <w:rsid w:val="00A2447B"/>
    <w:rsid w:val="00A24490"/>
    <w:rsid w:val="00A2489A"/>
    <w:rsid w:val="00A249A1"/>
    <w:rsid w:val="00A249E2"/>
    <w:rsid w:val="00A24AA5"/>
    <w:rsid w:val="00A24B31"/>
    <w:rsid w:val="00A24BE3"/>
    <w:rsid w:val="00A24FCC"/>
    <w:rsid w:val="00A251CB"/>
    <w:rsid w:val="00A252B8"/>
    <w:rsid w:val="00A253F7"/>
    <w:rsid w:val="00A25464"/>
    <w:rsid w:val="00A25666"/>
    <w:rsid w:val="00A2566C"/>
    <w:rsid w:val="00A25907"/>
    <w:rsid w:val="00A25AB4"/>
    <w:rsid w:val="00A25BA1"/>
    <w:rsid w:val="00A25CC0"/>
    <w:rsid w:val="00A25DF9"/>
    <w:rsid w:val="00A25E33"/>
    <w:rsid w:val="00A25E6D"/>
    <w:rsid w:val="00A2600A"/>
    <w:rsid w:val="00A26117"/>
    <w:rsid w:val="00A26164"/>
    <w:rsid w:val="00A26281"/>
    <w:rsid w:val="00A262B0"/>
    <w:rsid w:val="00A263A9"/>
    <w:rsid w:val="00A26465"/>
    <w:rsid w:val="00A265CE"/>
    <w:rsid w:val="00A266A8"/>
    <w:rsid w:val="00A266F9"/>
    <w:rsid w:val="00A26703"/>
    <w:rsid w:val="00A26E35"/>
    <w:rsid w:val="00A27078"/>
    <w:rsid w:val="00A272DF"/>
    <w:rsid w:val="00A2735F"/>
    <w:rsid w:val="00A27386"/>
    <w:rsid w:val="00A27522"/>
    <w:rsid w:val="00A27532"/>
    <w:rsid w:val="00A2766E"/>
    <w:rsid w:val="00A27697"/>
    <w:rsid w:val="00A27732"/>
    <w:rsid w:val="00A27798"/>
    <w:rsid w:val="00A278E2"/>
    <w:rsid w:val="00A27921"/>
    <w:rsid w:val="00A279AB"/>
    <w:rsid w:val="00A27AA0"/>
    <w:rsid w:val="00A27AFC"/>
    <w:rsid w:val="00A27BF0"/>
    <w:rsid w:val="00A27D96"/>
    <w:rsid w:val="00A300FF"/>
    <w:rsid w:val="00A30457"/>
    <w:rsid w:val="00A30580"/>
    <w:rsid w:val="00A30645"/>
    <w:rsid w:val="00A309F6"/>
    <w:rsid w:val="00A30B8A"/>
    <w:rsid w:val="00A30C2A"/>
    <w:rsid w:val="00A30E7E"/>
    <w:rsid w:val="00A31021"/>
    <w:rsid w:val="00A3116B"/>
    <w:rsid w:val="00A311FC"/>
    <w:rsid w:val="00A31208"/>
    <w:rsid w:val="00A3128D"/>
    <w:rsid w:val="00A312BB"/>
    <w:rsid w:val="00A3139D"/>
    <w:rsid w:val="00A31413"/>
    <w:rsid w:val="00A31501"/>
    <w:rsid w:val="00A315A0"/>
    <w:rsid w:val="00A31B11"/>
    <w:rsid w:val="00A31B12"/>
    <w:rsid w:val="00A31BD1"/>
    <w:rsid w:val="00A31BFC"/>
    <w:rsid w:val="00A31D23"/>
    <w:rsid w:val="00A31D3A"/>
    <w:rsid w:val="00A31F35"/>
    <w:rsid w:val="00A321CA"/>
    <w:rsid w:val="00A322B0"/>
    <w:rsid w:val="00A322E6"/>
    <w:rsid w:val="00A32420"/>
    <w:rsid w:val="00A3243D"/>
    <w:rsid w:val="00A324F6"/>
    <w:rsid w:val="00A32696"/>
    <w:rsid w:val="00A3280E"/>
    <w:rsid w:val="00A32873"/>
    <w:rsid w:val="00A328D2"/>
    <w:rsid w:val="00A3290B"/>
    <w:rsid w:val="00A32A16"/>
    <w:rsid w:val="00A32BF0"/>
    <w:rsid w:val="00A32C62"/>
    <w:rsid w:val="00A32CCA"/>
    <w:rsid w:val="00A32EFF"/>
    <w:rsid w:val="00A32F1D"/>
    <w:rsid w:val="00A3312D"/>
    <w:rsid w:val="00A331F4"/>
    <w:rsid w:val="00A334CA"/>
    <w:rsid w:val="00A3362F"/>
    <w:rsid w:val="00A336C8"/>
    <w:rsid w:val="00A33742"/>
    <w:rsid w:val="00A33763"/>
    <w:rsid w:val="00A33815"/>
    <w:rsid w:val="00A33951"/>
    <w:rsid w:val="00A33B14"/>
    <w:rsid w:val="00A33B15"/>
    <w:rsid w:val="00A33B80"/>
    <w:rsid w:val="00A33B95"/>
    <w:rsid w:val="00A33DC6"/>
    <w:rsid w:val="00A33DD6"/>
    <w:rsid w:val="00A33F03"/>
    <w:rsid w:val="00A34012"/>
    <w:rsid w:val="00A340BC"/>
    <w:rsid w:val="00A34108"/>
    <w:rsid w:val="00A34182"/>
    <w:rsid w:val="00A34207"/>
    <w:rsid w:val="00A342B7"/>
    <w:rsid w:val="00A3436E"/>
    <w:rsid w:val="00A348BD"/>
    <w:rsid w:val="00A348EC"/>
    <w:rsid w:val="00A34B67"/>
    <w:rsid w:val="00A34D97"/>
    <w:rsid w:val="00A34DBD"/>
    <w:rsid w:val="00A34E12"/>
    <w:rsid w:val="00A34F99"/>
    <w:rsid w:val="00A34FE6"/>
    <w:rsid w:val="00A351B2"/>
    <w:rsid w:val="00A351B9"/>
    <w:rsid w:val="00A353DD"/>
    <w:rsid w:val="00A356CF"/>
    <w:rsid w:val="00A35879"/>
    <w:rsid w:val="00A3592D"/>
    <w:rsid w:val="00A35B25"/>
    <w:rsid w:val="00A35CCF"/>
    <w:rsid w:val="00A35EA9"/>
    <w:rsid w:val="00A35EE1"/>
    <w:rsid w:val="00A35F73"/>
    <w:rsid w:val="00A35FB8"/>
    <w:rsid w:val="00A36011"/>
    <w:rsid w:val="00A36033"/>
    <w:rsid w:val="00A36066"/>
    <w:rsid w:val="00A36079"/>
    <w:rsid w:val="00A36099"/>
    <w:rsid w:val="00A361A6"/>
    <w:rsid w:val="00A36547"/>
    <w:rsid w:val="00A365D2"/>
    <w:rsid w:val="00A367D4"/>
    <w:rsid w:val="00A368EF"/>
    <w:rsid w:val="00A36AC3"/>
    <w:rsid w:val="00A36ACE"/>
    <w:rsid w:val="00A36BBB"/>
    <w:rsid w:val="00A36C3D"/>
    <w:rsid w:val="00A36D11"/>
    <w:rsid w:val="00A36D6C"/>
    <w:rsid w:val="00A36DE4"/>
    <w:rsid w:val="00A36E56"/>
    <w:rsid w:val="00A36EC8"/>
    <w:rsid w:val="00A36F06"/>
    <w:rsid w:val="00A36FE6"/>
    <w:rsid w:val="00A3702A"/>
    <w:rsid w:val="00A37032"/>
    <w:rsid w:val="00A3716F"/>
    <w:rsid w:val="00A37219"/>
    <w:rsid w:val="00A37257"/>
    <w:rsid w:val="00A372D4"/>
    <w:rsid w:val="00A3732C"/>
    <w:rsid w:val="00A3735D"/>
    <w:rsid w:val="00A373B0"/>
    <w:rsid w:val="00A37573"/>
    <w:rsid w:val="00A375AC"/>
    <w:rsid w:val="00A375D2"/>
    <w:rsid w:val="00A375DA"/>
    <w:rsid w:val="00A3761F"/>
    <w:rsid w:val="00A37786"/>
    <w:rsid w:val="00A37834"/>
    <w:rsid w:val="00A37A0B"/>
    <w:rsid w:val="00A37A32"/>
    <w:rsid w:val="00A37A81"/>
    <w:rsid w:val="00A37A93"/>
    <w:rsid w:val="00A37BC7"/>
    <w:rsid w:val="00A37BEE"/>
    <w:rsid w:val="00A37C89"/>
    <w:rsid w:val="00A37C9B"/>
    <w:rsid w:val="00A37D37"/>
    <w:rsid w:val="00A37E0B"/>
    <w:rsid w:val="00A37E13"/>
    <w:rsid w:val="00A37E1F"/>
    <w:rsid w:val="00A37F38"/>
    <w:rsid w:val="00A37FB7"/>
    <w:rsid w:val="00A40119"/>
    <w:rsid w:val="00A40146"/>
    <w:rsid w:val="00A402E2"/>
    <w:rsid w:val="00A404CA"/>
    <w:rsid w:val="00A404EC"/>
    <w:rsid w:val="00A4052F"/>
    <w:rsid w:val="00A40537"/>
    <w:rsid w:val="00A40542"/>
    <w:rsid w:val="00A406B5"/>
    <w:rsid w:val="00A406C4"/>
    <w:rsid w:val="00A407D2"/>
    <w:rsid w:val="00A407E8"/>
    <w:rsid w:val="00A40996"/>
    <w:rsid w:val="00A40AC9"/>
    <w:rsid w:val="00A40B59"/>
    <w:rsid w:val="00A40BB4"/>
    <w:rsid w:val="00A40C4D"/>
    <w:rsid w:val="00A40D47"/>
    <w:rsid w:val="00A40D77"/>
    <w:rsid w:val="00A40DBB"/>
    <w:rsid w:val="00A40F6D"/>
    <w:rsid w:val="00A40F7D"/>
    <w:rsid w:val="00A4106A"/>
    <w:rsid w:val="00A41094"/>
    <w:rsid w:val="00A41150"/>
    <w:rsid w:val="00A4124C"/>
    <w:rsid w:val="00A41393"/>
    <w:rsid w:val="00A41598"/>
    <w:rsid w:val="00A41599"/>
    <w:rsid w:val="00A417F9"/>
    <w:rsid w:val="00A418C1"/>
    <w:rsid w:val="00A41913"/>
    <w:rsid w:val="00A41B42"/>
    <w:rsid w:val="00A41B6A"/>
    <w:rsid w:val="00A41B84"/>
    <w:rsid w:val="00A41BE4"/>
    <w:rsid w:val="00A41C9A"/>
    <w:rsid w:val="00A41D03"/>
    <w:rsid w:val="00A41EFC"/>
    <w:rsid w:val="00A42139"/>
    <w:rsid w:val="00A42206"/>
    <w:rsid w:val="00A4228D"/>
    <w:rsid w:val="00A423F0"/>
    <w:rsid w:val="00A427FF"/>
    <w:rsid w:val="00A42A82"/>
    <w:rsid w:val="00A42B02"/>
    <w:rsid w:val="00A42BE9"/>
    <w:rsid w:val="00A42D0E"/>
    <w:rsid w:val="00A42D11"/>
    <w:rsid w:val="00A42E11"/>
    <w:rsid w:val="00A42EB1"/>
    <w:rsid w:val="00A42EEF"/>
    <w:rsid w:val="00A4319A"/>
    <w:rsid w:val="00A431FC"/>
    <w:rsid w:val="00A434A2"/>
    <w:rsid w:val="00A437DD"/>
    <w:rsid w:val="00A43877"/>
    <w:rsid w:val="00A43883"/>
    <w:rsid w:val="00A43950"/>
    <w:rsid w:val="00A43A42"/>
    <w:rsid w:val="00A43BF0"/>
    <w:rsid w:val="00A43C7A"/>
    <w:rsid w:val="00A43D49"/>
    <w:rsid w:val="00A43E0D"/>
    <w:rsid w:val="00A43E39"/>
    <w:rsid w:val="00A43F35"/>
    <w:rsid w:val="00A43F65"/>
    <w:rsid w:val="00A43FC0"/>
    <w:rsid w:val="00A43FFD"/>
    <w:rsid w:val="00A44059"/>
    <w:rsid w:val="00A4431A"/>
    <w:rsid w:val="00A443B7"/>
    <w:rsid w:val="00A44465"/>
    <w:rsid w:val="00A4465B"/>
    <w:rsid w:val="00A44869"/>
    <w:rsid w:val="00A44CB8"/>
    <w:rsid w:val="00A44D09"/>
    <w:rsid w:val="00A44DB3"/>
    <w:rsid w:val="00A44DB7"/>
    <w:rsid w:val="00A44FFD"/>
    <w:rsid w:val="00A4513A"/>
    <w:rsid w:val="00A45168"/>
    <w:rsid w:val="00A451ED"/>
    <w:rsid w:val="00A4522B"/>
    <w:rsid w:val="00A45470"/>
    <w:rsid w:val="00A45499"/>
    <w:rsid w:val="00A454C7"/>
    <w:rsid w:val="00A45532"/>
    <w:rsid w:val="00A45561"/>
    <w:rsid w:val="00A456C2"/>
    <w:rsid w:val="00A456D0"/>
    <w:rsid w:val="00A457B8"/>
    <w:rsid w:val="00A45890"/>
    <w:rsid w:val="00A45BDD"/>
    <w:rsid w:val="00A45BF7"/>
    <w:rsid w:val="00A45D32"/>
    <w:rsid w:val="00A45E2C"/>
    <w:rsid w:val="00A45F55"/>
    <w:rsid w:val="00A4601C"/>
    <w:rsid w:val="00A46053"/>
    <w:rsid w:val="00A460A9"/>
    <w:rsid w:val="00A4624A"/>
    <w:rsid w:val="00A462CA"/>
    <w:rsid w:val="00A46454"/>
    <w:rsid w:val="00A464D1"/>
    <w:rsid w:val="00A46684"/>
    <w:rsid w:val="00A466B9"/>
    <w:rsid w:val="00A4670B"/>
    <w:rsid w:val="00A46BE3"/>
    <w:rsid w:val="00A46C98"/>
    <w:rsid w:val="00A46CEE"/>
    <w:rsid w:val="00A46D71"/>
    <w:rsid w:val="00A46F49"/>
    <w:rsid w:val="00A4708A"/>
    <w:rsid w:val="00A47208"/>
    <w:rsid w:val="00A47380"/>
    <w:rsid w:val="00A474F7"/>
    <w:rsid w:val="00A47557"/>
    <w:rsid w:val="00A476DF"/>
    <w:rsid w:val="00A476E6"/>
    <w:rsid w:val="00A47703"/>
    <w:rsid w:val="00A4777D"/>
    <w:rsid w:val="00A477BE"/>
    <w:rsid w:val="00A479B2"/>
    <w:rsid w:val="00A47C7D"/>
    <w:rsid w:val="00A47C89"/>
    <w:rsid w:val="00A47FC2"/>
    <w:rsid w:val="00A5005D"/>
    <w:rsid w:val="00A5007B"/>
    <w:rsid w:val="00A50271"/>
    <w:rsid w:val="00A50351"/>
    <w:rsid w:val="00A503A5"/>
    <w:rsid w:val="00A503FE"/>
    <w:rsid w:val="00A504D8"/>
    <w:rsid w:val="00A504DE"/>
    <w:rsid w:val="00A50687"/>
    <w:rsid w:val="00A50781"/>
    <w:rsid w:val="00A507DA"/>
    <w:rsid w:val="00A50869"/>
    <w:rsid w:val="00A508F0"/>
    <w:rsid w:val="00A5098F"/>
    <w:rsid w:val="00A50A05"/>
    <w:rsid w:val="00A50ADB"/>
    <w:rsid w:val="00A50C87"/>
    <w:rsid w:val="00A50C91"/>
    <w:rsid w:val="00A50F23"/>
    <w:rsid w:val="00A5155C"/>
    <w:rsid w:val="00A515E3"/>
    <w:rsid w:val="00A516D2"/>
    <w:rsid w:val="00A516E9"/>
    <w:rsid w:val="00A517EC"/>
    <w:rsid w:val="00A51D7A"/>
    <w:rsid w:val="00A51DF7"/>
    <w:rsid w:val="00A5203C"/>
    <w:rsid w:val="00A521F9"/>
    <w:rsid w:val="00A52255"/>
    <w:rsid w:val="00A5227B"/>
    <w:rsid w:val="00A522EC"/>
    <w:rsid w:val="00A52372"/>
    <w:rsid w:val="00A523A7"/>
    <w:rsid w:val="00A523E8"/>
    <w:rsid w:val="00A5243D"/>
    <w:rsid w:val="00A5251C"/>
    <w:rsid w:val="00A527C2"/>
    <w:rsid w:val="00A52819"/>
    <w:rsid w:val="00A52849"/>
    <w:rsid w:val="00A5287F"/>
    <w:rsid w:val="00A5290C"/>
    <w:rsid w:val="00A529E1"/>
    <w:rsid w:val="00A52B48"/>
    <w:rsid w:val="00A52C12"/>
    <w:rsid w:val="00A52D5A"/>
    <w:rsid w:val="00A52D7E"/>
    <w:rsid w:val="00A52FC5"/>
    <w:rsid w:val="00A5316F"/>
    <w:rsid w:val="00A535A1"/>
    <w:rsid w:val="00A536A9"/>
    <w:rsid w:val="00A53782"/>
    <w:rsid w:val="00A5391C"/>
    <w:rsid w:val="00A5392E"/>
    <w:rsid w:val="00A53A16"/>
    <w:rsid w:val="00A53D57"/>
    <w:rsid w:val="00A53E8A"/>
    <w:rsid w:val="00A540DD"/>
    <w:rsid w:val="00A541F0"/>
    <w:rsid w:val="00A54298"/>
    <w:rsid w:val="00A543AD"/>
    <w:rsid w:val="00A54409"/>
    <w:rsid w:val="00A544F7"/>
    <w:rsid w:val="00A545BA"/>
    <w:rsid w:val="00A54722"/>
    <w:rsid w:val="00A5479D"/>
    <w:rsid w:val="00A547A5"/>
    <w:rsid w:val="00A5497B"/>
    <w:rsid w:val="00A54A0A"/>
    <w:rsid w:val="00A54A56"/>
    <w:rsid w:val="00A54ABB"/>
    <w:rsid w:val="00A54EAC"/>
    <w:rsid w:val="00A54FE6"/>
    <w:rsid w:val="00A550B0"/>
    <w:rsid w:val="00A55598"/>
    <w:rsid w:val="00A556ED"/>
    <w:rsid w:val="00A556F3"/>
    <w:rsid w:val="00A5572A"/>
    <w:rsid w:val="00A557AF"/>
    <w:rsid w:val="00A5586C"/>
    <w:rsid w:val="00A558A8"/>
    <w:rsid w:val="00A559A5"/>
    <w:rsid w:val="00A55A6B"/>
    <w:rsid w:val="00A55BCE"/>
    <w:rsid w:val="00A55CB8"/>
    <w:rsid w:val="00A55CCE"/>
    <w:rsid w:val="00A55E1F"/>
    <w:rsid w:val="00A55EC1"/>
    <w:rsid w:val="00A55EF1"/>
    <w:rsid w:val="00A55F1B"/>
    <w:rsid w:val="00A560E2"/>
    <w:rsid w:val="00A562A5"/>
    <w:rsid w:val="00A56326"/>
    <w:rsid w:val="00A56592"/>
    <w:rsid w:val="00A565CC"/>
    <w:rsid w:val="00A565ED"/>
    <w:rsid w:val="00A5677F"/>
    <w:rsid w:val="00A567C2"/>
    <w:rsid w:val="00A56A31"/>
    <w:rsid w:val="00A56A7D"/>
    <w:rsid w:val="00A56AA7"/>
    <w:rsid w:val="00A56C50"/>
    <w:rsid w:val="00A56D06"/>
    <w:rsid w:val="00A56EA2"/>
    <w:rsid w:val="00A57415"/>
    <w:rsid w:val="00A57483"/>
    <w:rsid w:val="00A57542"/>
    <w:rsid w:val="00A5779D"/>
    <w:rsid w:val="00A578C0"/>
    <w:rsid w:val="00A5795C"/>
    <w:rsid w:val="00A57A1C"/>
    <w:rsid w:val="00A57A65"/>
    <w:rsid w:val="00A57A96"/>
    <w:rsid w:val="00A57ADE"/>
    <w:rsid w:val="00A57BFE"/>
    <w:rsid w:val="00A57C1F"/>
    <w:rsid w:val="00A57C26"/>
    <w:rsid w:val="00A57CB7"/>
    <w:rsid w:val="00A57D3A"/>
    <w:rsid w:val="00A600C2"/>
    <w:rsid w:val="00A601B0"/>
    <w:rsid w:val="00A6024E"/>
    <w:rsid w:val="00A602E2"/>
    <w:rsid w:val="00A60681"/>
    <w:rsid w:val="00A60920"/>
    <w:rsid w:val="00A60C2A"/>
    <w:rsid w:val="00A60D8F"/>
    <w:rsid w:val="00A60F30"/>
    <w:rsid w:val="00A6106A"/>
    <w:rsid w:val="00A611A0"/>
    <w:rsid w:val="00A611DD"/>
    <w:rsid w:val="00A61233"/>
    <w:rsid w:val="00A6146E"/>
    <w:rsid w:val="00A61522"/>
    <w:rsid w:val="00A61565"/>
    <w:rsid w:val="00A616AE"/>
    <w:rsid w:val="00A61908"/>
    <w:rsid w:val="00A61A08"/>
    <w:rsid w:val="00A61A77"/>
    <w:rsid w:val="00A61BF0"/>
    <w:rsid w:val="00A61D4A"/>
    <w:rsid w:val="00A61E26"/>
    <w:rsid w:val="00A61F18"/>
    <w:rsid w:val="00A61FC2"/>
    <w:rsid w:val="00A6201D"/>
    <w:rsid w:val="00A6206F"/>
    <w:rsid w:val="00A620CD"/>
    <w:rsid w:val="00A62134"/>
    <w:rsid w:val="00A621E7"/>
    <w:rsid w:val="00A62208"/>
    <w:rsid w:val="00A62278"/>
    <w:rsid w:val="00A624D5"/>
    <w:rsid w:val="00A62795"/>
    <w:rsid w:val="00A627AF"/>
    <w:rsid w:val="00A6287D"/>
    <w:rsid w:val="00A62AC7"/>
    <w:rsid w:val="00A62B15"/>
    <w:rsid w:val="00A62CD0"/>
    <w:rsid w:val="00A62CEE"/>
    <w:rsid w:val="00A62DEB"/>
    <w:rsid w:val="00A62FE1"/>
    <w:rsid w:val="00A6306A"/>
    <w:rsid w:val="00A63093"/>
    <w:rsid w:val="00A63165"/>
    <w:rsid w:val="00A63194"/>
    <w:rsid w:val="00A63198"/>
    <w:rsid w:val="00A632C0"/>
    <w:rsid w:val="00A633B0"/>
    <w:rsid w:val="00A633D2"/>
    <w:rsid w:val="00A634BF"/>
    <w:rsid w:val="00A634E0"/>
    <w:rsid w:val="00A637C8"/>
    <w:rsid w:val="00A637FB"/>
    <w:rsid w:val="00A6380C"/>
    <w:rsid w:val="00A63B0D"/>
    <w:rsid w:val="00A63C2B"/>
    <w:rsid w:val="00A63C4C"/>
    <w:rsid w:val="00A63C4E"/>
    <w:rsid w:val="00A63CA1"/>
    <w:rsid w:val="00A63DD5"/>
    <w:rsid w:val="00A63F0A"/>
    <w:rsid w:val="00A63F3A"/>
    <w:rsid w:val="00A6416E"/>
    <w:rsid w:val="00A64176"/>
    <w:rsid w:val="00A641BB"/>
    <w:rsid w:val="00A641EF"/>
    <w:rsid w:val="00A641F7"/>
    <w:rsid w:val="00A64205"/>
    <w:rsid w:val="00A64588"/>
    <w:rsid w:val="00A647B8"/>
    <w:rsid w:val="00A64965"/>
    <w:rsid w:val="00A649DA"/>
    <w:rsid w:val="00A64C54"/>
    <w:rsid w:val="00A64D11"/>
    <w:rsid w:val="00A64E70"/>
    <w:rsid w:val="00A64F16"/>
    <w:rsid w:val="00A6512E"/>
    <w:rsid w:val="00A65495"/>
    <w:rsid w:val="00A655A5"/>
    <w:rsid w:val="00A65608"/>
    <w:rsid w:val="00A657EA"/>
    <w:rsid w:val="00A65837"/>
    <w:rsid w:val="00A65861"/>
    <w:rsid w:val="00A658A6"/>
    <w:rsid w:val="00A6594B"/>
    <w:rsid w:val="00A65A8D"/>
    <w:rsid w:val="00A65ADC"/>
    <w:rsid w:val="00A65C00"/>
    <w:rsid w:val="00A65E5E"/>
    <w:rsid w:val="00A65EE6"/>
    <w:rsid w:val="00A65F3E"/>
    <w:rsid w:val="00A66043"/>
    <w:rsid w:val="00A66167"/>
    <w:rsid w:val="00A664A7"/>
    <w:rsid w:val="00A6653D"/>
    <w:rsid w:val="00A666FA"/>
    <w:rsid w:val="00A66816"/>
    <w:rsid w:val="00A66823"/>
    <w:rsid w:val="00A669D3"/>
    <w:rsid w:val="00A66A5F"/>
    <w:rsid w:val="00A66BCF"/>
    <w:rsid w:val="00A66C5F"/>
    <w:rsid w:val="00A66CE1"/>
    <w:rsid w:val="00A66D34"/>
    <w:rsid w:val="00A66F57"/>
    <w:rsid w:val="00A67054"/>
    <w:rsid w:val="00A67071"/>
    <w:rsid w:val="00A6738C"/>
    <w:rsid w:val="00A67622"/>
    <w:rsid w:val="00A67A8F"/>
    <w:rsid w:val="00A67B17"/>
    <w:rsid w:val="00A67B47"/>
    <w:rsid w:val="00A67C1D"/>
    <w:rsid w:val="00A67CD0"/>
    <w:rsid w:val="00A67D02"/>
    <w:rsid w:val="00A67D10"/>
    <w:rsid w:val="00A67E8B"/>
    <w:rsid w:val="00A67F5A"/>
    <w:rsid w:val="00A67FA8"/>
    <w:rsid w:val="00A67FE3"/>
    <w:rsid w:val="00A7008A"/>
    <w:rsid w:val="00A70145"/>
    <w:rsid w:val="00A70247"/>
    <w:rsid w:val="00A703AB"/>
    <w:rsid w:val="00A703D3"/>
    <w:rsid w:val="00A70440"/>
    <w:rsid w:val="00A70477"/>
    <w:rsid w:val="00A705F9"/>
    <w:rsid w:val="00A705FB"/>
    <w:rsid w:val="00A70608"/>
    <w:rsid w:val="00A706FF"/>
    <w:rsid w:val="00A70819"/>
    <w:rsid w:val="00A7081A"/>
    <w:rsid w:val="00A7086C"/>
    <w:rsid w:val="00A70982"/>
    <w:rsid w:val="00A70B86"/>
    <w:rsid w:val="00A70C5C"/>
    <w:rsid w:val="00A70FCA"/>
    <w:rsid w:val="00A70FFD"/>
    <w:rsid w:val="00A7102E"/>
    <w:rsid w:val="00A71111"/>
    <w:rsid w:val="00A71154"/>
    <w:rsid w:val="00A71191"/>
    <w:rsid w:val="00A71311"/>
    <w:rsid w:val="00A7147D"/>
    <w:rsid w:val="00A714DE"/>
    <w:rsid w:val="00A715CA"/>
    <w:rsid w:val="00A716E5"/>
    <w:rsid w:val="00A716EB"/>
    <w:rsid w:val="00A717DB"/>
    <w:rsid w:val="00A719C8"/>
    <w:rsid w:val="00A71C4B"/>
    <w:rsid w:val="00A71C52"/>
    <w:rsid w:val="00A71CA0"/>
    <w:rsid w:val="00A71D23"/>
    <w:rsid w:val="00A71DC2"/>
    <w:rsid w:val="00A71E91"/>
    <w:rsid w:val="00A7204A"/>
    <w:rsid w:val="00A7210A"/>
    <w:rsid w:val="00A72172"/>
    <w:rsid w:val="00A722BD"/>
    <w:rsid w:val="00A72378"/>
    <w:rsid w:val="00A724AD"/>
    <w:rsid w:val="00A724ED"/>
    <w:rsid w:val="00A724EE"/>
    <w:rsid w:val="00A72510"/>
    <w:rsid w:val="00A725BA"/>
    <w:rsid w:val="00A72652"/>
    <w:rsid w:val="00A7273B"/>
    <w:rsid w:val="00A72BAC"/>
    <w:rsid w:val="00A72BEE"/>
    <w:rsid w:val="00A72E32"/>
    <w:rsid w:val="00A72F17"/>
    <w:rsid w:val="00A72F49"/>
    <w:rsid w:val="00A73033"/>
    <w:rsid w:val="00A73185"/>
    <w:rsid w:val="00A73261"/>
    <w:rsid w:val="00A73338"/>
    <w:rsid w:val="00A738F4"/>
    <w:rsid w:val="00A73983"/>
    <w:rsid w:val="00A73A6A"/>
    <w:rsid w:val="00A73C4F"/>
    <w:rsid w:val="00A73C62"/>
    <w:rsid w:val="00A73D8C"/>
    <w:rsid w:val="00A73E84"/>
    <w:rsid w:val="00A73EDD"/>
    <w:rsid w:val="00A74127"/>
    <w:rsid w:val="00A7417F"/>
    <w:rsid w:val="00A74395"/>
    <w:rsid w:val="00A743AE"/>
    <w:rsid w:val="00A743B4"/>
    <w:rsid w:val="00A74504"/>
    <w:rsid w:val="00A74508"/>
    <w:rsid w:val="00A745A2"/>
    <w:rsid w:val="00A745C6"/>
    <w:rsid w:val="00A74743"/>
    <w:rsid w:val="00A7479B"/>
    <w:rsid w:val="00A747BC"/>
    <w:rsid w:val="00A74842"/>
    <w:rsid w:val="00A7489E"/>
    <w:rsid w:val="00A74A41"/>
    <w:rsid w:val="00A74C11"/>
    <w:rsid w:val="00A74C56"/>
    <w:rsid w:val="00A74C5E"/>
    <w:rsid w:val="00A74CE2"/>
    <w:rsid w:val="00A74EB5"/>
    <w:rsid w:val="00A75019"/>
    <w:rsid w:val="00A75027"/>
    <w:rsid w:val="00A75208"/>
    <w:rsid w:val="00A75229"/>
    <w:rsid w:val="00A754C4"/>
    <w:rsid w:val="00A755BD"/>
    <w:rsid w:val="00A7575B"/>
    <w:rsid w:val="00A7582F"/>
    <w:rsid w:val="00A7583A"/>
    <w:rsid w:val="00A75943"/>
    <w:rsid w:val="00A75B3A"/>
    <w:rsid w:val="00A75C16"/>
    <w:rsid w:val="00A75D1E"/>
    <w:rsid w:val="00A75D5F"/>
    <w:rsid w:val="00A75DFE"/>
    <w:rsid w:val="00A75E93"/>
    <w:rsid w:val="00A75EF9"/>
    <w:rsid w:val="00A75F6C"/>
    <w:rsid w:val="00A76050"/>
    <w:rsid w:val="00A7609C"/>
    <w:rsid w:val="00A760A5"/>
    <w:rsid w:val="00A76102"/>
    <w:rsid w:val="00A76110"/>
    <w:rsid w:val="00A76158"/>
    <w:rsid w:val="00A762D6"/>
    <w:rsid w:val="00A7635C"/>
    <w:rsid w:val="00A76426"/>
    <w:rsid w:val="00A764F2"/>
    <w:rsid w:val="00A76514"/>
    <w:rsid w:val="00A765A5"/>
    <w:rsid w:val="00A76702"/>
    <w:rsid w:val="00A76710"/>
    <w:rsid w:val="00A76868"/>
    <w:rsid w:val="00A768C3"/>
    <w:rsid w:val="00A76979"/>
    <w:rsid w:val="00A76BEC"/>
    <w:rsid w:val="00A76C22"/>
    <w:rsid w:val="00A76D2B"/>
    <w:rsid w:val="00A76D9E"/>
    <w:rsid w:val="00A76E16"/>
    <w:rsid w:val="00A76ED6"/>
    <w:rsid w:val="00A76FED"/>
    <w:rsid w:val="00A77167"/>
    <w:rsid w:val="00A77178"/>
    <w:rsid w:val="00A772E2"/>
    <w:rsid w:val="00A7737A"/>
    <w:rsid w:val="00A7756D"/>
    <w:rsid w:val="00A7765B"/>
    <w:rsid w:val="00A77760"/>
    <w:rsid w:val="00A77784"/>
    <w:rsid w:val="00A7779A"/>
    <w:rsid w:val="00A778E3"/>
    <w:rsid w:val="00A77B03"/>
    <w:rsid w:val="00A77C09"/>
    <w:rsid w:val="00A77DAF"/>
    <w:rsid w:val="00A77DDB"/>
    <w:rsid w:val="00A77F56"/>
    <w:rsid w:val="00A77FAB"/>
    <w:rsid w:val="00A80118"/>
    <w:rsid w:val="00A80382"/>
    <w:rsid w:val="00A80494"/>
    <w:rsid w:val="00A804D2"/>
    <w:rsid w:val="00A8050A"/>
    <w:rsid w:val="00A80683"/>
    <w:rsid w:val="00A8068C"/>
    <w:rsid w:val="00A80702"/>
    <w:rsid w:val="00A80992"/>
    <w:rsid w:val="00A809D5"/>
    <w:rsid w:val="00A80B30"/>
    <w:rsid w:val="00A80BEA"/>
    <w:rsid w:val="00A80DE2"/>
    <w:rsid w:val="00A80E07"/>
    <w:rsid w:val="00A80E59"/>
    <w:rsid w:val="00A80FB3"/>
    <w:rsid w:val="00A810E9"/>
    <w:rsid w:val="00A810FE"/>
    <w:rsid w:val="00A81213"/>
    <w:rsid w:val="00A8122E"/>
    <w:rsid w:val="00A81470"/>
    <w:rsid w:val="00A81655"/>
    <w:rsid w:val="00A816D4"/>
    <w:rsid w:val="00A81830"/>
    <w:rsid w:val="00A81916"/>
    <w:rsid w:val="00A81B40"/>
    <w:rsid w:val="00A821F5"/>
    <w:rsid w:val="00A82259"/>
    <w:rsid w:val="00A8225D"/>
    <w:rsid w:val="00A822B7"/>
    <w:rsid w:val="00A82389"/>
    <w:rsid w:val="00A825BA"/>
    <w:rsid w:val="00A825D7"/>
    <w:rsid w:val="00A8262F"/>
    <w:rsid w:val="00A827FB"/>
    <w:rsid w:val="00A829CE"/>
    <w:rsid w:val="00A82AFD"/>
    <w:rsid w:val="00A82B61"/>
    <w:rsid w:val="00A82BFF"/>
    <w:rsid w:val="00A82C7E"/>
    <w:rsid w:val="00A82D4F"/>
    <w:rsid w:val="00A82DB2"/>
    <w:rsid w:val="00A82EEF"/>
    <w:rsid w:val="00A82F21"/>
    <w:rsid w:val="00A82F53"/>
    <w:rsid w:val="00A82FF5"/>
    <w:rsid w:val="00A830F9"/>
    <w:rsid w:val="00A832FD"/>
    <w:rsid w:val="00A833AB"/>
    <w:rsid w:val="00A83684"/>
    <w:rsid w:val="00A83746"/>
    <w:rsid w:val="00A83BFF"/>
    <w:rsid w:val="00A83C45"/>
    <w:rsid w:val="00A83C97"/>
    <w:rsid w:val="00A83D58"/>
    <w:rsid w:val="00A83EF7"/>
    <w:rsid w:val="00A83F81"/>
    <w:rsid w:val="00A83FCB"/>
    <w:rsid w:val="00A84087"/>
    <w:rsid w:val="00A84094"/>
    <w:rsid w:val="00A840B1"/>
    <w:rsid w:val="00A84100"/>
    <w:rsid w:val="00A8410C"/>
    <w:rsid w:val="00A84189"/>
    <w:rsid w:val="00A84379"/>
    <w:rsid w:val="00A8451A"/>
    <w:rsid w:val="00A8466F"/>
    <w:rsid w:val="00A84792"/>
    <w:rsid w:val="00A847DE"/>
    <w:rsid w:val="00A84D8B"/>
    <w:rsid w:val="00A84EB9"/>
    <w:rsid w:val="00A84F22"/>
    <w:rsid w:val="00A85073"/>
    <w:rsid w:val="00A850BA"/>
    <w:rsid w:val="00A8572E"/>
    <w:rsid w:val="00A85764"/>
    <w:rsid w:val="00A857A3"/>
    <w:rsid w:val="00A858EA"/>
    <w:rsid w:val="00A859AF"/>
    <w:rsid w:val="00A859CD"/>
    <w:rsid w:val="00A85C1F"/>
    <w:rsid w:val="00A85DA2"/>
    <w:rsid w:val="00A85DA3"/>
    <w:rsid w:val="00A85EBE"/>
    <w:rsid w:val="00A85EF6"/>
    <w:rsid w:val="00A85F09"/>
    <w:rsid w:val="00A861DC"/>
    <w:rsid w:val="00A86248"/>
    <w:rsid w:val="00A8625C"/>
    <w:rsid w:val="00A86342"/>
    <w:rsid w:val="00A86347"/>
    <w:rsid w:val="00A8637E"/>
    <w:rsid w:val="00A863F3"/>
    <w:rsid w:val="00A86473"/>
    <w:rsid w:val="00A86569"/>
    <w:rsid w:val="00A86583"/>
    <w:rsid w:val="00A865B2"/>
    <w:rsid w:val="00A865B8"/>
    <w:rsid w:val="00A86763"/>
    <w:rsid w:val="00A868D9"/>
    <w:rsid w:val="00A86A21"/>
    <w:rsid w:val="00A86BAE"/>
    <w:rsid w:val="00A86CCB"/>
    <w:rsid w:val="00A86D59"/>
    <w:rsid w:val="00A86E8A"/>
    <w:rsid w:val="00A86F4E"/>
    <w:rsid w:val="00A87050"/>
    <w:rsid w:val="00A8709F"/>
    <w:rsid w:val="00A872B7"/>
    <w:rsid w:val="00A8738C"/>
    <w:rsid w:val="00A87414"/>
    <w:rsid w:val="00A874E7"/>
    <w:rsid w:val="00A8757F"/>
    <w:rsid w:val="00A87606"/>
    <w:rsid w:val="00A8761A"/>
    <w:rsid w:val="00A877D1"/>
    <w:rsid w:val="00A87834"/>
    <w:rsid w:val="00A878AD"/>
    <w:rsid w:val="00A878EB"/>
    <w:rsid w:val="00A87984"/>
    <w:rsid w:val="00A87A9B"/>
    <w:rsid w:val="00A87B0C"/>
    <w:rsid w:val="00A87B29"/>
    <w:rsid w:val="00A87C4E"/>
    <w:rsid w:val="00A87D01"/>
    <w:rsid w:val="00A87D2D"/>
    <w:rsid w:val="00A87D3E"/>
    <w:rsid w:val="00A87D48"/>
    <w:rsid w:val="00A87DB5"/>
    <w:rsid w:val="00A87DCC"/>
    <w:rsid w:val="00A9000B"/>
    <w:rsid w:val="00A9001A"/>
    <w:rsid w:val="00A9007E"/>
    <w:rsid w:val="00A90122"/>
    <w:rsid w:val="00A90322"/>
    <w:rsid w:val="00A903D1"/>
    <w:rsid w:val="00A90541"/>
    <w:rsid w:val="00A90588"/>
    <w:rsid w:val="00A90619"/>
    <w:rsid w:val="00A9061C"/>
    <w:rsid w:val="00A9082B"/>
    <w:rsid w:val="00A90932"/>
    <w:rsid w:val="00A90AB2"/>
    <w:rsid w:val="00A90B41"/>
    <w:rsid w:val="00A90C30"/>
    <w:rsid w:val="00A90CEF"/>
    <w:rsid w:val="00A90D9E"/>
    <w:rsid w:val="00A910AD"/>
    <w:rsid w:val="00A911EC"/>
    <w:rsid w:val="00A9152B"/>
    <w:rsid w:val="00A91559"/>
    <w:rsid w:val="00A91602"/>
    <w:rsid w:val="00A91684"/>
    <w:rsid w:val="00A91739"/>
    <w:rsid w:val="00A91799"/>
    <w:rsid w:val="00A91AC0"/>
    <w:rsid w:val="00A91B61"/>
    <w:rsid w:val="00A91B7E"/>
    <w:rsid w:val="00A91C16"/>
    <w:rsid w:val="00A91CD2"/>
    <w:rsid w:val="00A91D3B"/>
    <w:rsid w:val="00A91D83"/>
    <w:rsid w:val="00A91E31"/>
    <w:rsid w:val="00A920B5"/>
    <w:rsid w:val="00A920CF"/>
    <w:rsid w:val="00A9218B"/>
    <w:rsid w:val="00A92419"/>
    <w:rsid w:val="00A92436"/>
    <w:rsid w:val="00A924F8"/>
    <w:rsid w:val="00A92563"/>
    <w:rsid w:val="00A92980"/>
    <w:rsid w:val="00A92A5E"/>
    <w:rsid w:val="00A92AD2"/>
    <w:rsid w:val="00A92AE4"/>
    <w:rsid w:val="00A92BCA"/>
    <w:rsid w:val="00A92C25"/>
    <w:rsid w:val="00A93005"/>
    <w:rsid w:val="00A93061"/>
    <w:rsid w:val="00A9309F"/>
    <w:rsid w:val="00A932C3"/>
    <w:rsid w:val="00A93305"/>
    <w:rsid w:val="00A93479"/>
    <w:rsid w:val="00A934EE"/>
    <w:rsid w:val="00A93525"/>
    <w:rsid w:val="00A9355E"/>
    <w:rsid w:val="00A93585"/>
    <w:rsid w:val="00A935CF"/>
    <w:rsid w:val="00A936F3"/>
    <w:rsid w:val="00A93767"/>
    <w:rsid w:val="00A9388B"/>
    <w:rsid w:val="00A938DE"/>
    <w:rsid w:val="00A938F2"/>
    <w:rsid w:val="00A93B4E"/>
    <w:rsid w:val="00A93C17"/>
    <w:rsid w:val="00A93C67"/>
    <w:rsid w:val="00A93CB2"/>
    <w:rsid w:val="00A93D20"/>
    <w:rsid w:val="00A93E7C"/>
    <w:rsid w:val="00A93EAA"/>
    <w:rsid w:val="00A940A5"/>
    <w:rsid w:val="00A940EA"/>
    <w:rsid w:val="00A941DE"/>
    <w:rsid w:val="00A94256"/>
    <w:rsid w:val="00A942FF"/>
    <w:rsid w:val="00A943A4"/>
    <w:rsid w:val="00A946BE"/>
    <w:rsid w:val="00A94770"/>
    <w:rsid w:val="00A94798"/>
    <w:rsid w:val="00A94CF4"/>
    <w:rsid w:val="00A94D0E"/>
    <w:rsid w:val="00A94E27"/>
    <w:rsid w:val="00A94EDC"/>
    <w:rsid w:val="00A95118"/>
    <w:rsid w:val="00A951FF"/>
    <w:rsid w:val="00A95297"/>
    <w:rsid w:val="00A9530A"/>
    <w:rsid w:val="00A9536E"/>
    <w:rsid w:val="00A954F6"/>
    <w:rsid w:val="00A95503"/>
    <w:rsid w:val="00A95AED"/>
    <w:rsid w:val="00A95B5E"/>
    <w:rsid w:val="00A95B9A"/>
    <w:rsid w:val="00A95C08"/>
    <w:rsid w:val="00A95C2F"/>
    <w:rsid w:val="00A95DAA"/>
    <w:rsid w:val="00A95F9A"/>
    <w:rsid w:val="00A96098"/>
    <w:rsid w:val="00A960A7"/>
    <w:rsid w:val="00A961B5"/>
    <w:rsid w:val="00A96205"/>
    <w:rsid w:val="00A9621D"/>
    <w:rsid w:val="00A963D7"/>
    <w:rsid w:val="00A96408"/>
    <w:rsid w:val="00A96497"/>
    <w:rsid w:val="00A96624"/>
    <w:rsid w:val="00A96684"/>
    <w:rsid w:val="00A96699"/>
    <w:rsid w:val="00A96918"/>
    <w:rsid w:val="00A9698A"/>
    <w:rsid w:val="00A969F0"/>
    <w:rsid w:val="00A96A6B"/>
    <w:rsid w:val="00A96C2D"/>
    <w:rsid w:val="00A96C40"/>
    <w:rsid w:val="00A96C6C"/>
    <w:rsid w:val="00A96D04"/>
    <w:rsid w:val="00A96E99"/>
    <w:rsid w:val="00A96EDA"/>
    <w:rsid w:val="00A9700A"/>
    <w:rsid w:val="00A97038"/>
    <w:rsid w:val="00A9706C"/>
    <w:rsid w:val="00A97105"/>
    <w:rsid w:val="00A97233"/>
    <w:rsid w:val="00A973B0"/>
    <w:rsid w:val="00A97543"/>
    <w:rsid w:val="00A97581"/>
    <w:rsid w:val="00A976EC"/>
    <w:rsid w:val="00A976EE"/>
    <w:rsid w:val="00A977E6"/>
    <w:rsid w:val="00A97915"/>
    <w:rsid w:val="00A97958"/>
    <w:rsid w:val="00A97C32"/>
    <w:rsid w:val="00AA00BB"/>
    <w:rsid w:val="00AA0186"/>
    <w:rsid w:val="00AA021F"/>
    <w:rsid w:val="00AA05C2"/>
    <w:rsid w:val="00AA05E4"/>
    <w:rsid w:val="00AA06CE"/>
    <w:rsid w:val="00AA07A3"/>
    <w:rsid w:val="00AA07BC"/>
    <w:rsid w:val="00AA092D"/>
    <w:rsid w:val="00AA0A1F"/>
    <w:rsid w:val="00AA0A5C"/>
    <w:rsid w:val="00AA0C76"/>
    <w:rsid w:val="00AA0CE4"/>
    <w:rsid w:val="00AA0CE8"/>
    <w:rsid w:val="00AA0D05"/>
    <w:rsid w:val="00AA0D61"/>
    <w:rsid w:val="00AA107F"/>
    <w:rsid w:val="00AA10F8"/>
    <w:rsid w:val="00AA10FD"/>
    <w:rsid w:val="00AA126E"/>
    <w:rsid w:val="00AA14B4"/>
    <w:rsid w:val="00AA1648"/>
    <w:rsid w:val="00AA1716"/>
    <w:rsid w:val="00AA176C"/>
    <w:rsid w:val="00AA17DD"/>
    <w:rsid w:val="00AA197D"/>
    <w:rsid w:val="00AA1A56"/>
    <w:rsid w:val="00AA1AFE"/>
    <w:rsid w:val="00AA1B95"/>
    <w:rsid w:val="00AA1C78"/>
    <w:rsid w:val="00AA1E4C"/>
    <w:rsid w:val="00AA1EA5"/>
    <w:rsid w:val="00AA1F44"/>
    <w:rsid w:val="00AA1F72"/>
    <w:rsid w:val="00AA2158"/>
    <w:rsid w:val="00AA21DA"/>
    <w:rsid w:val="00AA21DE"/>
    <w:rsid w:val="00AA228B"/>
    <w:rsid w:val="00AA26AD"/>
    <w:rsid w:val="00AA26B8"/>
    <w:rsid w:val="00AA276A"/>
    <w:rsid w:val="00AA277B"/>
    <w:rsid w:val="00AA27E4"/>
    <w:rsid w:val="00AA2A8B"/>
    <w:rsid w:val="00AA2BC9"/>
    <w:rsid w:val="00AA2E18"/>
    <w:rsid w:val="00AA2EA6"/>
    <w:rsid w:val="00AA3035"/>
    <w:rsid w:val="00AA3067"/>
    <w:rsid w:val="00AA31BA"/>
    <w:rsid w:val="00AA33B6"/>
    <w:rsid w:val="00AA346E"/>
    <w:rsid w:val="00AA34BE"/>
    <w:rsid w:val="00AA34CB"/>
    <w:rsid w:val="00AA34F5"/>
    <w:rsid w:val="00AA3563"/>
    <w:rsid w:val="00AA3690"/>
    <w:rsid w:val="00AA36FF"/>
    <w:rsid w:val="00AA3734"/>
    <w:rsid w:val="00AA3754"/>
    <w:rsid w:val="00AA38B1"/>
    <w:rsid w:val="00AA3955"/>
    <w:rsid w:val="00AA3A3B"/>
    <w:rsid w:val="00AA3A53"/>
    <w:rsid w:val="00AA3A5F"/>
    <w:rsid w:val="00AA3A8B"/>
    <w:rsid w:val="00AA3AA7"/>
    <w:rsid w:val="00AA3B02"/>
    <w:rsid w:val="00AA3B1B"/>
    <w:rsid w:val="00AA3B6D"/>
    <w:rsid w:val="00AA3B74"/>
    <w:rsid w:val="00AA3D41"/>
    <w:rsid w:val="00AA3D93"/>
    <w:rsid w:val="00AA3DED"/>
    <w:rsid w:val="00AA3E3E"/>
    <w:rsid w:val="00AA3E8F"/>
    <w:rsid w:val="00AA3F9D"/>
    <w:rsid w:val="00AA3FDC"/>
    <w:rsid w:val="00AA41F4"/>
    <w:rsid w:val="00AA4210"/>
    <w:rsid w:val="00AA4321"/>
    <w:rsid w:val="00AA492F"/>
    <w:rsid w:val="00AA4C21"/>
    <w:rsid w:val="00AA4C73"/>
    <w:rsid w:val="00AA4DE4"/>
    <w:rsid w:val="00AA4EE0"/>
    <w:rsid w:val="00AA4F27"/>
    <w:rsid w:val="00AA4F40"/>
    <w:rsid w:val="00AA4FCD"/>
    <w:rsid w:val="00AA5090"/>
    <w:rsid w:val="00AA512A"/>
    <w:rsid w:val="00AA523F"/>
    <w:rsid w:val="00AA54A7"/>
    <w:rsid w:val="00AA55D5"/>
    <w:rsid w:val="00AA562B"/>
    <w:rsid w:val="00AA5660"/>
    <w:rsid w:val="00AA5A1C"/>
    <w:rsid w:val="00AA5A49"/>
    <w:rsid w:val="00AA5AFC"/>
    <w:rsid w:val="00AA5C9D"/>
    <w:rsid w:val="00AA5CE5"/>
    <w:rsid w:val="00AA5D89"/>
    <w:rsid w:val="00AA5ED6"/>
    <w:rsid w:val="00AA60E9"/>
    <w:rsid w:val="00AA60F3"/>
    <w:rsid w:val="00AA6273"/>
    <w:rsid w:val="00AA62FD"/>
    <w:rsid w:val="00AA662D"/>
    <w:rsid w:val="00AA6669"/>
    <w:rsid w:val="00AA66FE"/>
    <w:rsid w:val="00AA6748"/>
    <w:rsid w:val="00AA67A1"/>
    <w:rsid w:val="00AA6866"/>
    <w:rsid w:val="00AA68D5"/>
    <w:rsid w:val="00AA6A24"/>
    <w:rsid w:val="00AA6AC1"/>
    <w:rsid w:val="00AA6B3E"/>
    <w:rsid w:val="00AA6CFD"/>
    <w:rsid w:val="00AA6D6E"/>
    <w:rsid w:val="00AA6F8E"/>
    <w:rsid w:val="00AA70B2"/>
    <w:rsid w:val="00AA7398"/>
    <w:rsid w:val="00AA743C"/>
    <w:rsid w:val="00AA76B1"/>
    <w:rsid w:val="00AA7768"/>
    <w:rsid w:val="00AA7C8D"/>
    <w:rsid w:val="00AA7D4A"/>
    <w:rsid w:val="00AA7E31"/>
    <w:rsid w:val="00AA7F14"/>
    <w:rsid w:val="00AB0019"/>
    <w:rsid w:val="00AB00D7"/>
    <w:rsid w:val="00AB0130"/>
    <w:rsid w:val="00AB01D1"/>
    <w:rsid w:val="00AB02FE"/>
    <w:rsid w:val="00AB036C"/>
    <w:rsid w:val="00AB04A0"/>
    <w:rsid w:val="00AB0577"/>
    <w:rsid w:val="00AB06C2"/>
    <w:rsid w:val="00AB0B60"/>
    <w:rsid w:val="00AB0B74"/>
    <w:rsid w:val="00AB0CD9"/>
    <w:rsid w:val="00AB0D2E"/>
    <w:rsid w:val="00AB0E51"/>
    <w:rsid w:val="00AB0F70"/>
    <w:rsid w:val="00AB0FFE"/>
    <w:rsid w:val="00AB0FFF"/>
    <w:rsid w:val="00AB1275"/>
    <w:rsid w:val="00AB1278"/>
    <w:rsid w:val="00AB13FB"/>
    <w:rsid w:val="00AB1498"/>
    <w:rsid w:val="00AB15EB"/>
    <w:rsid w:val="00AB15FE"/>
    <w:rsid w:val="00AB163F"/>
    <w:rsid w:val="00AB1646"/>
    <w:rsid w:val="00AB1663"/>
    <w:rsid w:val="00AB1933"/>
    <w:rsid w:val="00AB19D1"/>
    <w:rsid w:val="00AB1B17"/>
    <w:rsid w:val="00AB20D9"/>
    <w:rsid w:val="00AB21B5"/>
    <w:rsid w:val="00AB21D1"/>
    <w:rsid w:val="00AB225E"/>
    <w:rsid w:val="00AB2311"/>
    <w:rsid w:val="00AB23A3"/>
    <w:rsid w:val="00AB253D"/>
    <w:rsid w:val="00AB2577"/>
    <w:rsid w:val="00AB25C2"/>
    <w:rsid w:val="00AB269C"/>
    <w:rsid w:val="00AB28E0"/>
    <w:rsid w:val="00AB296C"/>
    <w:rsid w:val="00AB29C5"/>
    <w:rsid w:val="00AB2B13"/>
    <w:rsid w:val="00AB2CD4"/>
    <w:rsid w:val="00AB2CDA"/>
    <w:rsid w:val="00AB2FCA"/>
    <w:rsid w:val="00AB307F"/>
    <w:rsid w:val="00AB313C"/>
    <w:rsid w:val="00AB33C8"/>
    <w:rsid w:val="00AB34DD"/>
    <w:rsid w:val="00AB3598"/>
    <w:rsid w:val="00AB35DF"/>
    <w:rsid w:val="00AB3699"/>
    <w:rsid w:val="00AB385F"/>
    <w:rsid w:val="00AB3A0F"/>
    <w:rsid w:val="00AB3ABA"/>
    <w:rsid w:val="00AB3AD8"/>
    <w:rsid w:val="00AB3B86"/>
    <w:rsid w:val="00AB3BCF"/>
    <w:rsid w:val="00AB3E28"/>
    <w:rsid w:val="00AB3ECB"/>
    <w:rsid w:val="00AB3F1A"/>
    <w:rsid w:val="00AB3FE2"/>
    <w:rsid w:val="00AB406E"/>
    <w:rsid w:val="00AB40E5"/>
    <w:rsid w:val="00AB4209"/>
    <w:rsid w:val="00AB42E6"/>
    <w:rsid w:val="00AB4324"/>
    <w:rsid w:val="00AB441F"/>
    <w:rsid w:val="00AB44AA"/>
    <w:rsid w:val="00AB4515"/>
    <w:rsid w:val="00AB46A1"/>
    <w:rsid w:val="00AB477D"/>
    <w:rsid w:val="00AB481E"/>
    <w:rsid w:val="00AB483A"/>
    <w:rsid w:val="00AB48CE"/>
    <w:rsid w:val="00AB4ACC"/>
    <w:rsid w:val="00AB4C35"/>
    <w:rsid w:val="00AB4F4B"/>
    <w:rsid w:val="00AB4FF3"/>
    <w:rsid w:val="00AB50B0"/>
    <w:rsid w:val="00AB5117"/>
    <w:rsid w:val="00AB51D1"/>
    <w:rsid w:val="00AB51D3"/>
    <w:rsid w:val="00AB52FB"/>
    <w:rsid w:val="00AB5340"/>
    <w:rsid w:val="00AB537A"/>
    <w:rsid w:val="00AB53C9"/>
    <w:rsid w:val="00AB53F4"/>
    <w:rsid w:val="00AB53F7"/>
    <w:rsid w:val="00AB541B"/>
    <w:rsid w:val="00AB5425"/>
    <w:rsid w:val="00AB550F"/>
    <w:rsid w:val="00AB55C1"/>
    <w:rsid w:val="00AB5622"/>
    <w:rsid w:val="00AB5680"/>
    <w:rsid w:val="00AB56DD"/>
    <w:rsid w:val="00AB5741"/>
    <w:rsid w:val="00AB5A56"/>
    <w:rsid w:val="00AB5D1D"/>
    <w:rsid w:val="00AB5FA2"/>
    <w:rsid w:val="00AB5FDC"/>
    <w:rsid w:val="00AB6002"/>
    <w:rsid w:val="00AB6113"/>
    <w:rsid w:val="00AB61E1"/>
    <w:rsid w:val="00AB661B"/>
    <w:rsid w:val="00AB6715"/>
    <w:rsid w:val="00AB674A"/>
    <w:rsid w:val="00AB677B"/>
    <w:rsid w:val="00AB682C"/>
    <w:rsid w:val="00AB6837"/>
    <w:rsid w:val="00AB68E9"/>
    <w:rsid w:val="00AB695B"/>
    <w:rsid w:val="00AB6A0B"/>
    <w:rsid w:val="00AB6A10"/>
    <w:rsid w:val="00AB6C24"/>
    <w:rsid w:val="00AB6CE7"/>
    <w:rsid w:val="00AB6D19"/>
    <w:rsid w:val="00AB6D65"/>
    <w:rsid w:val="00AB6DDC"/>
    <w:rsid w:val="00AB6EFE"/>
    <w:rsid w:val="00AB7063"/>
    <w:rsid w:val="00AB709F"/>
    <w:rsid w:val="00AB70E9"/>
    <w:rsid w:val="00AB726F"/>
    <w:rsid w:val="00AB741A"/>
    <w:rsid w:val="00AB750D"/>
    <w:rsid w:val="00AB7533"/>
    <w:rsid w:val="00AB7563"/>
    <w:rsid w:val="00AB75B1"/>
    <w:rsid w:val="00AB78CE"/>
    <w:rsid w:val="00AB79A9"/>
    <w:rsid w:val="00AB79C2"/>
    <w:rsid w:val="00AB7A8D"/>
    <w:rsid w:val="00AB7AF0"/>
    <w:rsid w:val="00AB7B66"/>
    <w:rsid w:val="00AB7C10"/>
    <w:rsid w:val="00AB7C8D"/>
    <w:rsid w:val="00AB7CFD"/>
    <w:rsid w:val="00AB7EDD"/>
    <w:rsid w:val="00AB7F11"/>
    <w:rsid w:val="00AC008C"/>
    <w:rsid w:val="00AC0228"/>
    <w:rsid w:val="00AC02C7"/>
    <w:rsid w:val="00AC04BA"/>
    <w:rsid w:val="00AC06EA"/>
    <w:rsid w:val="00AC0957"/>
    <w:rsid w:val="00AC09D9"/>
    <w:rsid w:val="00AC0A12"/>
    <w:rsid w:val="00AC0A53"/>
    <w:rsid w:val="00AC0A6F"/>
    <w:rsid w:val="00AC0C83"/>
    <w:rsid w:val="00AC0CB9"/>
    <w:rsid w:val="00AC0E41"/>
    <w:rsid w:val="00AC0E64"/>
    <w:rsid w:val="00AC0E8E"/>
    <w:rsid w:val="00AC105D"/>
    <w:rsid w:val="00AC11E7"/>
    <w:rsid w:val="00AC1261"/>
    <w:rsid w:val="00AC12EE"/>
    <w:rsid w:val="00AC131B"/>
    <w:rsid w:val="00AC132A"/>
    <w:rsid w:val="00AC13C1"/>
    <w:rsid w:val="00AC148F"/>
    <w:rsid w:val="00AC1571"/>
    <w:rsid w:val="00AC159D"/>
    <w:rsid w:val="00AC15F0"/>
    <w:rsid w:val="00AC15F7"/>
    <w:rsid w:val="00AC1617"/>
    <w:rsid w:val="00AC16E4"/>
    <w:rsid w:val="00AC1785"/>
    <w:rsid w:val="00AC17A7"/>
    <w:rsid w:val="00AC182B"/>
    <w:rsid w:val="00AC1929"/>
    <w:rsid w:val="00AC1973"/>
    <w:rsid w:val="00AC1B19"/>
    <w:rsid w:val="00AC1C68"/>
    <w:rsid w:val="00AC1DCE"/>
    <w:rsid w:val="00AC1ED6"/>
    <w:rsid w:val="00AC1EE3"/>
    <w:rsid w:val="00AC1EFB"/>
    <w:rsid w:val="00AC22B6"/>
    <w:rsid w:val="00AC2507"/>
    <w:rsid w:val="00AC2755"/>
    <w:rsid w:val="00AC28D0"/>
    <w:rsid w:val="00AC28EB"/>
    <w:rsid w:val="00AC2B86"/>
    <w:rsid w:val="00AC2BA2"/>
    <w:rsid w:val="00AC2BEE"/>
    <w:rsid w:val="00AC2D7F"/>
    <w:rsid w:val="00AC2EA2"/>
    <w:rsid w:val="00AC3086"/>
    <w:rsid w:val="00AC31E5"/>
    <w:rsid w:val="00AC31EA"/>
    <w:rsid w:val="00AC33CB"/>
    <w:rsid w:val="00AC3758"/>
    <w:rsid w:val="00AC37BF"/>
    <w:rsid w:val="00AC3860"/>
    <w:rsid w:val="00AC39D2"/>
    <w:rsid w:val="00AC39D5"/>
    <w:rsid w:val="00AC39FB"/>
    <w:rsid w:val="00AC3AE1"/>
    <w:rsid w:val="00AC3B9B"/>
    <w:rsid w:val="00AC3DAF"/>
    <w:rsid w:val="00AC3DF1"/>
    <w:rsid w:val="00AC3EB5"/>
    <w:rsid w:val="00AC3EE3"/>
    <w:rsid w:val="00AC3FDF"/>
    <w:rsid w:val="00AC408A"/>
    <w:rsid w:val="00AC4097"/>
    <w:rsid w:val="00AC40AF"/>
    <w:rsid w:val="00AC4270"/>
    <w:rsid w:val="00AC4355"/>
    <w:rsid w:val="00AC43E0"/>
    <w:rsid w:val="00AC4599"/>
    <w:rsid w:val="00AC4672"/>
    <w:rsid w:val="00AC468C"/>
    <w:rsid w:val="00AC473C"/>
    <w:rsid w:val="00AC4846"/>
    <w:rsid w:val="00AC4AA4"/>
    <w:rsid w:val="00AC4B79"/>
    <w:rsid w:val="00AC4CA9"/>
    <w:rsid w:val="00AC4D07"/>
    <w:rsid w:val="00AC4DA3"/>
    <w:rsid w:val="00AC4FD1"/>
    <w:rsid w:val="00AC508D"/>
    <w:rsid w:val="00AC5232"/>
    <w:rsid w:val="00AC5356"/>
    <w:rsid w:val="00AC53A8"/>
    <w:rsid w:val="00AC5543"/>
    <w:rsid w:val="00AC5566"/>
    <w:rsid w:val="00AC5621"/>
    <w:rsid w:val="00AC56ED"/>
    <w:rsid w:val="00AC57CE"/>
    <w:rsid w:val="00AC580E"/>
    <w:rsid w:val="00AC589D"/>
    <w:rsid w:val="00AC5935"/>
    <w:rsid w:val="00AC5975"/>
    <w:rsid w:val="00AC5B13"/>
    <w:rsid w:val="00AC5B3B"/>
    <w:rsid w:val="00AC5C5E"/>
    <w:rsid w:val="00AC5C9D"/>
    <w:rsid w:val="00AC5E41"/>
    <w:rsid w:val="00AC5E71"/>
    <w:rsid w:val="00AC5FA7"/>
    <w:rsid w:val="00AC60E6"/>
    <w:rsid w:val="00AC6205"/>
    <w:rsid w:val="00AC655D"/>
    <w:rsid w:val="00AC65B8"/>
    <w:rsid w:val="00AC65F3"/>
    <w:rsid w:val="00AC66D6"/>
    <w:rsid w:val="00AC67A3"/>
    <w:rsid w:val="00AC6A42"/>
    <w:rsid w:val="00AC6A50"/>
    <w:rsid w:val="00AC6C5E"/>
    <w:rsid w:val="00AC6CFE"/>
    <w:rsid w:val="00AC6D11"/>
    <w:rsid w:val="00AC6F22"/>
    <w:rsid w:val="00AC701C"/>
    <w:rsid w:val="00AC71F5"/>
    <w:rsid w:val="00AC72FE"/>
    <w:rsid w:val="00AC75BA"/>
    <w:rsid w:val="00AC76EA"/>
    <w:rsid w:val="00AC7864"/>
    <w:rsid w:val="00AC786A"/>
    <w:rsid w:val="00AC79F7"/>
    <w:rsid w:val="00AC7AB4"/>
    <w:rsid w:val="00AC7C2C"/>
    <w:rsid w:val="00AC7E8B"/>
    <w:rsid w:val="00AC7F88"/>
    <w:rsid w:val="00AD0024"/>
    <w:rsid w:val="00AD009D"/>
    <w:rsid w:val="00AD00D6"/>
    <w:rsid w:val="00AD039F"/>
    <w:rsid w:val="00AD0422"/>
    <w:rsid w:val="00AD0521"/>
    <w:rsid w:val="00AD0682"/>
    <w:rsid w:val="00AD07A6"/>
    <w:rsid w:val="00AD0BFC"/>
    <w:rsid w:val="00AD0E89"/>
    <w:rsid w:val="00AD0F74"/>
    <w:rsid w:val="00AD104E"/>
    <w:rsid w:val="00AD13E0"/>
    <w:rsid w:val="00AD1574"/>
    <w:rsid w:val="00AD1693"/>
    <w:rsid w:val="00AD16A4"/>
    <w:rsid w:val="00AD16B8"/>
    <w:rsid w:val="00AD1749"/>
    <w:rsid w:val="00AD188D"/>
    <w:rsid w:val="00AD18FD"/>
    <w:rsid w:val="00AD1934"/>
    <w:rsid w:val="00AD19CB"/>
    <w:rsid w:val="00AD1A33"/>
    <w:rsid w:val="00AD1B40"/>
    <w:rsid w:val="00AD1B81"/>
    <w:rsid w:val="00AD1BC8"/>
    <w:rsid w:val="00AD1D52"/>
    <w:rsid w:val="00AD1D8C"/>
    <w:rsid w:val="00AD1F21"/>
    <w:rsid w:val="00AD1F61"/>
    <w:rsid w:val="00AD201D"/>
    <w:rsid w:val="00AD2211"/>
    <w:rsid w:val="00AD229A"/>
    <w:rsid w:val="00AD23FE"/>
    <w:rsid w:val="00AD25CC"/>
    <w:rsid w:val="00AD2662"/>
    <w:rsid w:val="00AD2915"/>
    <w:rsid w:val="00AD29D8"/>
    <w:rsid w:val="00AD2A2A"/>
    <w:rsid w:val="00AD2A8B"/>
    <w:rsid w:val="00AD2DD4"/>
    <w:rsid w:val="00AD2F2E"/>
    <w:rsid w:val="00AD2F5E"/>
    <w:rsid w:val="00AD30D1"/>
    <w:rsid w:val="00AD31D5"/>
    <w:rsid w:val="00AD3216"/>
    <w:rsid w:val="00AD322D"/>
    <w:rsid w:val="00AD3266"/>
    <w:rsid w:val="00AD33D4"/>
    <w:rsid w:val="00AD3512"/>
    <w:rsid w:val="00AD353C"/>
    <w:rsid w:val="00AD35C0"/>
    <w:rsid w:val="00AD35D5"/>
    <w:rsid w:val="00AD3993"/>
    <w:rsid w:val="00AD3C49"/>
    <w:rsid w:val="00AD3E75"/>
    <w:rsid w:val="00AD3EC3"/>
    <w:rsid w:val="00AD3F21"/>
    <w:rsid w:val="00AD3F57"/>
    <w:rsid w:val="00AD3FB2"/>
    <w:rsid w:val="00AD4055"/>
    <w:rsid w:val="00AD428A"/>
    <w:rsid w:val="00AD432A"/>
    <w:rsid w:val="00AD43C6"/>
    <w:rsid w:val="00AD43E9"/>
    <w:rsid w:val="00AD443B"/>
    <w:rsid w:val="00AD458F"/>
    <w:rsid w:val="00AD4732"/>
    <w:rsid w:val="00AD4941"/>
    <w:rsid w:val="00AD4A06"/>
    <w:rsid w:val="00AD4D5D"/>
    <w:rsid w:val="00AD4F51"/>
    <w:rsid w:val="00AD4FA2"/>
    <w:rsid w:val="00AD50F4"/>
    <w:rsid w:val="00AD52C6"/>
    <w:rsid w:val="00AD53E2"/>
    <w:rsid w:val="00AD5419"/>
    <w:rsid w:val="00AD564E"/>
    <w:rsid w:val="00AD59BB"/>
    <w:rsid w:val="00AD5A47"/>
    <w:rsid w:val="00AD5AEC"/>
    <w:rsid w:val="00AD5B92"/>
    <w:rsid w:val="00AD5D7D"/>
    <w:rsid w:val="00AD5D87"/>
    <w:rsid w:val="00AD5E1C"/>
    <w:rsid w:val="00AD5F49"/>
    <w:rsid w:val="00AD5F99"/>
    <w:rsid w:val="00AD5FBF"/>
    <w:rsid w:val="00AD5FF4"/>
    <w:rsid w:val="00AD600A"/>
    <w:rsid w:val="00AD6021"/>
    <w:rsid w:val="00AD6081"/>
    <w:rsid w:val="00AD635E"/>
    <w:rsid w:val="00AD65E2"/>
    <w:rsid w:val="00AD66A4"/>
    <w:rsid w:val="00AD6706"/>
    <w:rsid w:val="00AD68E1"/>
    <w:rsid w:val="00AD6A02"/>
    <w:rsid w:val="00AD6B26"/>
    <w:rsid w:val="00AD6B31"/>
    <w:rsid w:val="00AD6CEE"/>
    <w:rsid w:val="00AD6DEF"/>
    <w:rsid w:val="00AD6E58"/>
    <w:rsid w:val="00AD7002"/>
    <w:rsid w:val="00AD714F"/>
    <w:rsid w:val="00AD72EE"/>
    <w:rsid w:val="00AD730D"/>
    <w:rsid w:val="00AD7365"/>
    <w:rsid w:val="00AD7439"/>
    <w:rsid w:val="00AD7776"/>
    <w:rsid w:val="00AD7792"/>
    <w:rsid w:val="00AD7BCF"/>
    <w:rsid w:val="00AD7C10"/>
    <w:rsid w:val="00AD7C73"/>
    <w:rsid w:val="00AD7D62"/>
    <w:rsid w:val="00AD7DA5"/>
    <w:rsid w:val="00AD7DC8"/>
    <w:rsid w:val="00AD7DD1"/>
    <w:rsid w:val="00AE0082"/>
    <w:rsid w:val="00AE02FF"/>
    <w:rsid w:val="00AE0350"/>
    <w:rsid w:val="00AE0377"/>
    <w:rsid w:val="00AE06FD"/>
    <w:rsid w:val="00AE070B"/>
    <w:rsid w:val="00AE07C6"/>
    <w:rsid w:val="00AE07DB"/>
    <w:rsid w:val="00AE0904"/>
    <w:rsid w:val="00AE0968"/>
    <w:rsid w:val="00AE09E5"/>
    <w:rsid w:val="00AE0A16"/>
    <w:rsid w:val="00AE0AA4"/>
    <w:rsid w:val="00AE0D57"/>
    <w:rsid w:val="00AE0FD1"/>
    <w:rsid w:val="00AE1001"/>
    <w:rsid w:val="00AE10AB"/>
    <w:rsid w:val="00AE112E"/>
    <w:rsid w:val="00AE1290"/>
    <w:rsid w:val="00AE1297"/>
    <w:rsid w:val="00AE12A9"/>
    <w:rsid w:val="00AE12D4"/>
    <w:rsid w:val="00AE13EC"/>
    <w:rsid w:val="00AE13F1"/>
    <w:rsid w:val="00AE13FC"/>
    <w:rsid w:val="00AE142E"/>
    <w:rsid w:val="00AE14A6"/>
    <w:rsid w:val="00AE1548"/>
    <w:rsid w:val="00AE15AF"/>
    <w:rsid w:val="00AE1A6E"/>
    <w:rsid w:val="00AE1B2B"/>
    <w:rsid w:val="00AE1B6B"/>
    <w:rsid w:val="00AE1B88"/>
    <w:rsid w:val="00AE1B8C"/>
    <w:rsid w:val="00AE1B94"/>
    <w:rsid w:val="00AE1C4A"/>
    <w:rsid w:val="00AE1C93"/>
    <w:rsid w:val="00AE1CC3"/>
    <w:rsid w:val="00AE1DF5"/>
    <w:rsid w:val="00AE1DF9"/>
    <w:rsid w:val="00AE1DFF"/>
    <w:rsid w:val="00AE1E04"/>
    <w:rsid w:val="00AE1FE4"/>
    <w:rsid w:val="00AE20CE"/>
    <w:rsid w:val="00AE21F2"/>
    <w:rsid w:val="00AE224E"/>
    <w:rsid w:val="00AE2377"/>
    <w:rsid w:val="00AE237F"/>
    <w:rsid w:val="00AE2385"/>
    <w:rsid w:val="00AE269C"/>
    <w:rsid w:val="00AE26CD"/>
    <w:rsid w:val="00AE2738"/>
    <w:rsid w:val="00AE27B8"/>
    <w:rsid w:val="00AE282E"/>
    <w:rsid w:val="00AE2957"/>
    <w:rsid w:val="00AE2958"/>
    <w:rsid w:val="00AE2AE7"/>
    <w:rsid w:val="00AE2B83"/>
    <w:rsid w:val="00AE3023"/>
    <w:rsid w:val="00AE3124"/>
    <w:rsid w:val="00AE337B"/>
    <w:rsid w:val="00AE34AB"/>
    <w:rsid w:val="00AE34F4"/>
    <w:rsid w:val="00AE356F"/>
    <w:rsid w:val="00AE38D7"/>
    <w:rsid w:val="00AE3952"/>
    <w:rsid w:val="00AE395A"/>
    <w:rsid w:val="00AE3ABA"/>
    <w:rsid w:val="00AE3B9E"/>
    <w:rsid w:val="00AE3BA8"/>
    <w:rsid w:val="00AE3C23"/>
    <w:rsid w:val="00AE3D46"/>
    <w:rsid w:val="00AE3EE1"/>
    <w:rsid w:val="00AE40CF"/>
    <w:rsid w:val="00AE4109"/>
    <w:rsid w:val="00AE414C"/>
    <w:rsid w:val="00AE4151"/>
    <w:rsid w:val="00AE41D0"/>
    <w:rsid w:val="00AE41F6"/>
    <w:rsid w:val="00AE4226"/>
    <w:rsid w:val="00AE42E3"/>
    <w:rsid w:val="00AE43A7"/>
    <w:rsid w:val="00AE43B4"/>
    <w:rsid w:val="00AE4470"/>
    <w:rsid w:val="00AE45ED"/>
    <w:rsid w:val="00AE461C"/>
    <w:rsid w:val="00AE46E0"/>
    <w:rsid w:val="00AE4726"/>
    <w:rsid w:val="00AE4747"/>
    <w:rsid w:val="00AE48F3"/>
    <w:rsid w:val="00AE491A"/>
    <w:rsid w:val="00AE4982"/>
    <w:rsid w:val="00AE4E6A"/>
    <w:rsid w:val="00AE4F08"/>
    <w:rsid w:val="00AE4F23"/>
    <w:rsid w:val="00AE4F5C"/>
    <w:rsid w:val="00AE5098"/>
    <w:rsid w:val="00AE518C"/>
    <w:rsid w:val="00AE51B3"/>
    <w:rsid w:val="00AE52EF"/>
    <w:rsid w:val="00AE5364"/>
    <w:rsid w:val="00AE545F"/>
    <w:rsid w:val="00AE56BB"/>
    <w:rsid w:val="00AE591C"/>
    <w:rsid w:val="00AE5AFF"/>
    <w:rsid w:val="00AE5B86"/>
    <w:rsid w:val="00AE5BD2"/>
    <w:rsid w:val="00AE5C5D"/>
    <w:rsid w:val="00AE5DD8"/>
    <w:rsid w:val="00AE6013"/>
    <w:rsid w:val="00AE6102"/>
    <w:rsid w:val="00AE61B2"/>
    <w:rsid w:val="00AE61B9"/>
    <w:rsid w:val="00AE6413"/>
    <w:rsid w:val="00AE6515"/>
    <w:rsid w:val="00AE6529"/>
    <w:rsid w:val="00AE6669"/>
    <w:rsid w:val="00AE6A62"/>
    <w:rsid w:val="00AE6BD9"/>
    <w:rsid w:val="00AE6D86"/>
    <w:rsid w:val="00AE6DB6"/>
    <w:rsid w:val="00AE6E10"/>
    <w:rsid w:val="00AE6E1B"/>
    <w:rsid w:val="00AE6F04"/>
    <w:rsid w:val="00AE715D"/>
    <w:rsid w:val="00AE7185"/>
    <w:rsid w:val="00AE7348"/>
    <w:rsid w:val="00AE73F1"/>
    <w:rsid w:val="00AE74D7"/>
    <w:rsid w:val="00AE7602"/>
    <w:rsid w:val="00AE764C"/>
    <w:rsid w:val="00AE780B"/>
    <w:rsid w:val="00AE7998"/>
    <w:rsid w:val="00AE7EB2"/>
    <w:rsid w:val="00AE7FA7"/>
    <w:rsid w:val="00AF01A3"/>
    <w:rsid w:val="00AF01BE"/>
    <w:rsid w:val="00AF022C"/>
    <w:rsid w:val="00AF0393"/>
    <w:rsid w:val="00AF03C3"/>
    <w:rsid w:val="00AF04B6"/>
    <w:rsid w:val="00AF0544"/>
    <w:rsid w:val="00AF05EA"/>
    <w:rsid w:val="00AF0766"/>
    <w:rsid w:val="00AF07B8"/>
    <w:rsid w:val="00AF081F"/>
    <w:rsid w:val="00AF0953"/>
    <w:rsid w:val="00AF0C6E"/>
    <w:rsid w:val="00AF0CC8"/>
    <w:rsid w:val="00AF0F05"/>
    <w:rsid w:val="00AF0F70"/>
    <w:rsid w:val="00AF0FAF"/>
    <w:rsid w:val="00AF11D7"/>
    <w:rsid w:val="00AF1394"/>
    <w:rsid w:val="00AF14CB"/>
    <w:rsid w:val="00AF1519"/>
    <w:rsid w:val="00AF17DE"/>
    <w:rsid w:val="00AF1821"/>
    <w:rsid w:val="00AF1835"/>
    <w:rsid w:val="00AF1908"/>
    <w:rsid w:val="00AF19B9"/>
    <w:rsid w:val="00AF1BFE"/>
    <w:rsid w:val="00AF1C0E"/>
    <w:rsid w:val="00AF2068"/>
    <w:rsid w:val="00AF2109"/>
    <w:rsid w:val="00AF2527"/>
    <w:rsid w:val="00AF2560"/>
    <w:rsid w:val="00AF2579"/>
    <w:rsid w:val="00AF258B"/>
    <w:rsid w:val="00AF28BF"/>
    <w:rsid w:val="00AF28E3"/>
    <w:rsid w:val="00AF2A74"/>
    <w:rsid w:val="00AF2C0B"/>
    <w:rsid w:val="00AF2CB1"/>
    <w:rsid w:val="00AF2DC8"/>
    <w:rsid w:val="00AF2E06"/>
    <w:rsid w:val="00AF2E85"/>
    <w:rsid w:val="00AF2F01"/>
    <w:rsid w:val="00AF2F44"/>
    <w:rsid w:val="00AF319A"/>
    <w:rsid w:val="00AF338B"/>
    <w:rsid w:val="00AF36B9"/>
    <w:rsid w:val="00AF3801"/>
    <w:rsid w:val="00AF3876"/>
    <w:rsid w:val="00AF38EA"/>
    <w:rsid w:val="00AF3A43"/>
    <w:rsid w:val="00AF3A94"/>
    <w:rsid w:val="00AF3AC3"/>
    <w:rsid w:val="00AF3C2F"/>
    <w:rsid w:val="00AF3D1A"/>
    <w:rsid w:val="00AF3D5D"/>
    <w:rsid w:val="00AF3EC1"/>
    <w:rsid w:val="00AF3EC8"/>
    <w:rsid w:val="00AF3F85"/>
    <w:rsid w:val="00AF3FCB"/>
    <w:rsid w:val="00AF4100"/>
    <w:rsid w:val="00AF41B8"/>
    <w:rsid w:val="00AF41C2"/>
    <w:rsid w:val="00AF41F0"/>
    <w:rsid w:val="00AF42F0"/>
    <w:rsid w:val="00AF444E"/>
    <w:rsid w:val="00AF4559"/>
    <w:rsid w:val="00AF4590"/>
    <w:rsid w:val="00AF45F8"/>
    <w:rsid w:val="00AF463E"/>
    <w:rsid w:val="00AF4655"/>
    <w:rsid w:val="00AF478C"/>
    <w:rsid w:val="00AF48A7"/>
    <w:rsid w:val="00AF4936"/>
    <w:rsid w:val="00AF499D"/>
    <w:rsid w:val="00AF4A11"/>
    <w:rsid w:val="00AF4BCD"/>
    <w:rsid w:val="00AF4CF8"/>
    <w:rsid w:val="00AF4E1E"/>
    <w:rsid w:val="00AF4E93"/>
    <w:rsid w:val="00AF4ED1"/>
    <w:rsid w:val="00AF4EF7"/>
    <w:rsid w:val="00AF4EFD"/>
    <w:rsid w:val="00AF4F35"/>
    <w:rsid w:val="00AF517B"/>
    <w:rsid w:val="00AF5213"/>
    <w:rsid w:val="00AF527F"/>
    <w:rsid w:val="00AF5284"/>
    <w:rsid w:val="00AF5311"/>
    <w:rsid w:val="00AF5562"/>
    <w:rsid w:val="00AF55B0"/>
    <w:rsid w:val="00AF5636"/>
    <w:rsid w:val="00AF59C8"/>
    <w:rsid w:val="00AF5C91"/>
    <w:rsid w:val="00AF5C9E"/>
    <w:rsid w:val="00AF5D55"/>
    <w:rsid w:val="00AF6039"/>
    <w:rsid w:val="00AF608D"/>
    <w:rsid w:val="00AF615F"/>
    <w:rsid w:val="00AF64B2"/>
    <w:rsid w:val="00AF6553"/>
    <w:rsid w:val="00AF6633"/>
    <w:rsid w:val="00AF6660"/>
    <w:rsid w:val="00AF6B53"/>
    <w:rsid w:val="00AF6CCE"/>
    <w:rsid w:val="00AF6D11"/>
    <w:rsid w:val="00AF6DEB"/>
    <w:rsid w:val="00AF6F05"/>
    <w:rsid w:val="00AF6F89"/>
    <w:rsid w:val="00AF7110"/>
    <w:rsid w:val="00AF7137"/>
    <w:rsid w:val="00AF71C4"/>
    <w:rsid w:val="00AF71DF"/>
    <w:rsid w:val="00AF71F2"/>
    <w:rsid w:val="00AF738A"/>
    <w:rsid w:val="00AF74F6"/>
    <w:rsid w:val="00AF7585"/>
    <w:rsid w:val="00AF76A3"/>
    <w:rsid w:val="00AF771E"/>
    <w:rsid w:val="00AF784C"/>
    <w:rsid w:val="00AF794F"/>
    <w:rsid w:val="00AF7967"/>
    <w:rsid w:val="00AF7AD7"/>
    <w:rsid w:val="00AF7B21"/>
    <w:rsid w:val="00AF7B8B"/>
    <w:rsid w:val="00AF7CFA"/>
    <w:rsid w:val="00AF7F16"/>
    <w:rsid w:val="00AF7F7F"/>
    <w:rsid w:val="00B00099"/>
    <w:rsid w:val="00B000A2"/>
    <w:rsid w:val="00B0010C"/>
    <w:rsid w:val="00B00188"/>
    <w:rsid w:val="00B001A3"/>
    <w:rsid w:val="00B0027C"/>
    <w:rsid w:val="00B00288"/>
    <w:rsid w:val="00B002DA"/>
    <w:rsid w:val="00B00329"/>
    <w:rsid w:val="00B004A7"/>
    <w:rsid w:val="00B00699"/>
    <w:rsid w:val="00B0075F"/>
    <w:rsid w:val="00B007F4"/>
    <w:rsid w:val="00B00875"/>
    <w:rsid w:val="00B008DE"/>
    <w:rsid w:val="00B00A6A"/>
    <w:rsid w:val="00B00D1F"/>
    <w:rsid w:val="00B00D6A"/>
    <w:rsid w:val="00B00D84"/>
    <w:rsid w:val="00B00E10"/>
    <w:rsid w:val="00B00F50"/>
    <w:rsid w:val="00B0102A"/>
    <w:rsid w:val="00B0116D"/>
    <w:rsid w:val="00B011EE"/>
    <w:rsid w:val="00B0133E"/>
    <w:rsid w:val="00B015B4"/>
    <w:rsid w:val="00B01623"/>
    <w:rsid w:val="00B0166A"/>
    <w:rsid w:val="00B0168E"/>
    <w:rsid w:val="00B016A0"/>
    <w:rsid w:val="00B01736"/>
    <w:rsid w:val="00B017C3"/>
    <w:rsid w:val="00B018ED"/>
    <w:rsid w:val="00B01C9B"/>
    <w:rsid w:val="00B01CA7"/>
    <w:rsid w:val="00B01CAF"/>
    <w:rsid w:val="00B01CE7"/>
    <w:rsid w:val="00B01E4B"/>
    <w:rsid w:val="00B01E78"/>
    <w:rsid w:val="00B01F83"/>
    <w:rsid w:val="00B01FA8"/>
    <w:rsid w:val="00B020ED"/>
    <w:rsid w:val="00B022E0"/>
    <w:rsid w:val="00B025E0"/>
    <w:rsid w:val="00B02870"/>
    <w:rsid w:val="00B02A4C"/>
    <w:rsid w:val="00B02A55"/>
    <w:rsid w:val="00B02ABD"/>
    <w:rsid w:val="00B02AD4"/>
    <w:rsid w:val="00B02C16"/>
    <w:rsid w:val="00B02D0A"/>
    <w:rsid w:val="00B02DE7"/>
    <w:rsid w:val="00B02DF4"/>
    <w:rsid w:val="00B02F0F"/>
    <w:rsid w:val="00B03097"/>
    <w:rsid w:val="00B0315F"/>
    <w:rsid w:val="00B03194"/>
    <w:rsid w:val="00B034AB"/>
    <w:rsid w:val="00B0360B"/>
    <w:rsid w:val="00B037BF"/>
    <w:rsid w:val="00B0385B"/>
    <w:rsid w:val="00B03954"/>
    <w:rsid w:val="00B03963"/>
    <w:rsid w:val="00B039E8"/>
    <w:rsid w:val="00B03A7F"/>
    <w:rsid w:val="00B03CD9"/>
    <w:rsid w:val="00B04047"/>
    <w:rsid w:val="00B04213"/>
    <w:rsid w:val="00B042C7"/>
    <w:rsid w:val="00B043C9"/>
    <w:rsid w:val="00B04417"/>
    <w:rsid w:val="00B04496"/>
    <w:rsid w:val="00B04749"/>
    <w:rsid w:val="00B0485B"/>
    <w:rsid w:val="00B04926"/>
    <w:rsid w:val="00B04929"/>
    <w:rsid w:val="00B049A3"/>
    <w:rsid w:val="00B04A8D"/>
    <w:rsid w:val="00B04D17"/>
    <w:rsid w:val="00B04D7D"/>
    <w:rsid w:val="00B04EAC"/>
    <w:rsid w:val="00B04EF2"/>
    <w:rsid w:val="00B04F9F"/>
    <w:rsid w:val="00B05029"/>
    <w:rsid w:val="00B05139"/>
    <w:rsid w:val="00B0514F"/>
    <w:rsid w:val="00B05181"/>
    <w:rsid w:val="00B0528A"/>
    <w:rsid w:val="00B052C3"/>
    <w:rsid w:val="00B0531D"/>
    <w:rsid w:val="00B05475"/>
    <w:rsid w:val="00B0547D"/>
    <w:rsid w:val="00B0549D"/>
    <w:rsid w:val="00B05A1D"/>
    <w:rsid w:val="00B05AF9"/>
    <w:rsid w:val="00B05B04"/>
    <w:rsid w:val="00B05B47"/>
    <w:rsid w:val="00B05CC1"/>
    <w:rsid w:val="00B05D06"/>
    <w:rsid w:val="00B05E2D"/>
    <w:rsid w:val="00B05EE6"/>
    <w:rsid w:val="00B05EFC"/>
    <w:rsid w:val="00B05FF0"/>
    <w:rsid w:val="00B060CD"/>
    <w:rsid w:val="00B06103"/>
    <w:rsid w:val="00B0616A"/>
    <w:rsid w:val="00B06205"/>
    <w:rsid w:val="00B06266"/>
    <w:rsid w:val="00B062A0"/>
    <w:rsid w:val="00B062C7"/>
    <w:rsid w:val="00B062FC"/>
    <w:rsid w:val="00B064B5"/>
    <w:rsid w:val="00B06536"/>
    <w:rsid w:val="00B0653D"/>
    <w:rsid w:val="00B06572"/>
    <w:rsid w:val="00B065A3"/>
    <w:rsid w:val="00B065C7"/>
    <w:rsid w:val="00B0666B"/>
    <w:rsid w:val="00B0669E"/>
    <w:rsid w:val="00B066F6"/>
    <w:rsid w:val="00B06715"/>
    <w:rsid w:val="00B067B7"/>
    <w:rsid w:val="00B06A21"/>
    <w:rsid w:val="00B06A99"/>
    <w:rsid w:val="00B06BF6"/>
    <w:rsid w:val="00B06D97"/>
    <w:rsid w:val="00B06F69"/>
    <w:rsid w:val="00B07302"/>
    <w:rsid w:val="00B07456"/>
    <w:rsid w:val="00B0751A"/>
    <w:rsid w:val="00B0761D"/>
    <w:rsid w:val="00B07764"/>
    <w:rsid w:val="00B07A05"/>
    <w:rsid w:val="00B07A33"/>
    <w:rsid w:val="00B07A3B"/>
    <w:rsid w:val="00B07AE9"/>
    <w:rsid w:val="00B07B0E"/>
    <w:rsid w:val="00B07C66"/>
    <w:rsid w:val="00B07D3E"/>
    <w:rsid w:val="00B07D79"/>
    <w:rsid w:val="00B101D7"/>
    <w:rsid w:val="00B10301"/>
    <w:rsid w:val="00B103AF"/>
    <w:rsid w:val="00B104FF"/>
    <w:rsid w:val="00B1057E"/>
    <w:rsid w:val="00B10612"/>
    <w:rsid w:val="00B10732"/>
    <w:rsid w:val="00B107AA"/>
    <w:rsid w:val="00B10869"/>
    <w:rsid w:val="00B108E0"/>
    <w:rsid w:val="00B10994"/>
    <w:rsid w:val="00B10B82"/>
    <w:rsid w:val="00B10E7B"/>
    <w:rsid w:val="00B10FB4"/>
    <w:rsid w:val="00B10FC0"/>
    <w:rsid w:val="00B112CD"/>
    <w:rsid w:val="00B1146F"/>
    <w:rsid w:val="00B114A3"/>
    <w:rsid w:val="00B116B5"/>
    <w:rsid w:val="00B117E6"/>
    <w:rsid w:val="00B11A04"/>
    <w:rsid w:val="00B11A21"/>
    <w:rsid w:val="00B11AE9"/>
    <w:rsid w:val="00B11B89"/>
    <w:rsid w:val="00B11BC7"/>
    <w:rsid w:val="00B11D7D"/>
    <w:rsid w:val="00B11DCB"/>
    <w:rsid w:val="00B1200B"/>
    <w:rsid w:val="00B12317"/>
    <w:rsid w:val="00B1238A"/>
    <w:rsid w:val="00B12461"/>
    <w:rsid w:val="00B12684"/>
    <w:rsid w:val="00B1269A"/>
    <w:rsid w:val="00B12725"/>
    <w:rsid w:val="00B1275B"/>
    <w:rsid w:val="00B12926"/>
    <w:rsid w:val="00B129D5"/>
    <w:rsid w:val="00B12B0F"/>
    <w:rsid w:val="00B12B45"/>
    <w:rsid w:val="00B12CCE"/>
    <w:rsid w:val="00B12D63"/>
    <w:rsid w:val="00B12D9B"/>
    <w:rsid w:val="00B12DDB"/>
    <w:rsid w:val="00B12DDF"/>
    <w:rsid w:val="00B1317C"/>
    <w:rsid w:val="00B1335F"/>
    <w:rsid w:val="00B13511"/>
    <w:rsid w:val="00B13657"/>
    <w:rsid w:val="00B1367A"/>
    <w:rsid w:val="00B136AF"/>
    <w:rsid w:val="00B13733"/>
    <w:rsid w:val="00B13746"/>
    <w:rsid w:val="00B13838"/>
    <w:rsid w:val="00B13864"/>
    <w:rsid w:val="00B138CD"/>
    <w:rsid w:val="00B13997"/>
    <w:rsid w:val="00B13A08"/>
    <w:rsid w:val="00B13A4A"/>
    <w:rsid w:val="00B13BD6"/>
    <w:rsid w:val="00B13C2C"/>
    <w:rsid w:val="00B13CCD"/>
    <w:rsid w:val="00B13D6B"/>
    <w:rsid w:val="00B13DC0"/>
    <w:rsid w:val="00B13DCE"/>
    <w:rsid w:val="00B13F04"/>
    <w:rsid w:val="00B13F6F"/>
    <w:rsid w:val="00B13F88"/>
    <w:rsid w:val="00B13F99"/>
    <w:rsid w:val="00B13FED"/>
    <w:rsid w:val="00B140AC"/>
    <w:rsid w:val="00B14180"/>
    <w:rsid w:val="00B141BA"/>
    <w:rsid w:val="00B143B1"/>
    <w:rsid w:val="00B14509"/>
    <w:rsid w:val="00B1467E"/>
    <w:rsid w:val="00B1475C"/>
    <w:rsid w:val="00B14978"/>
    <w:rsid w:val="00B149F8"/>
    <w:rsid w:val="00B14A16"/>
    <w:rsid w:val="00B14AD2"/>
    <w:rsid w:val="00B14B2D"/>
    <w:rsid w:val="00B14E91"/>
    <w:rsid w:val="00B14FB6"/>
    <w:rsid w:val="00B150FE"/>
    <w:rsid w:val="00B15273"/>
    <w:rsid w:val="00B152E1"/>
    <w:rsid w:val="00B153DD"/>
    <w:rsid w:val="00B154B3"/>
    <w:rsid w:val="00B15507"/>
    <w:rsid w:val="00B1575A"/>
    <w:rsid w:val="00B15885"/>
    <w:rsid w:val="00B15B49"/>
    <w:rsid w:val="00B15E8F"/>
    <w:rsid w:val="00B15F04"/>
    <w:rsid w:val="00B15F68"/>
    <w:rsid w:val="00B15FEB"/>
    <w:rsid w:val="00B1608E"/>
    <w:rsid w:val="00B160C3"/>
    <w:rsid w:val="00B16258"/>
    <w:rsid w:val="00B164AA"/>
    <w:rsid w:val="00B1668D"/>
    <w:rsid w:val="00B16732"/>
    <w:rsid w:val="00B1674F"/>
    <w:rsid w:val="00B167A1"/>
    <w:rsid w:val="00B1697E"/>
    <w:rsid w:val="00B16BA9"/>
    <w:rsid w:val="00B16C2A"/>
    <w:rsid w:val="00B16C9E"/>
    <w:rsid w:val="00B16CE3"/>
    <w:rsid w:val="00B16D10"/>
    <w:rsid w:val="00B16DD7"/>
    <w:rsid w:val="00B16E6A"/>
    <w:rsid w:val="00B16EE6"/>
    <w:rsid w:val="00B170C2"/>
    <w:rsid w:val="00B170E7"/>
    <w:rsid w:val="00B17108"/>
    <w:rsid w:val="00B1725A"/>
    <w:rsid w:val="00B17329"/>
    <w:rsid w:val="00B17465"/>
    <w:rsid w:val="00B17564"/>
    <w:rsid w:val="00B17762"/>
    <w:rsid w:val="00B177E1"/>
    <w:rsid w:val="00B1793C"/>
    <w:rsid w:val="00B17B28"/>
    <w:rsid w:val="00B17B40"/>
    <w:rsid w:val="00B17D7A"/>
    <w:rsid w:val="00B17DF2"/>
    <w:rsid w:val="00B17F20"/>
    <w:rsid w:val="00B200A2"/>
    <w:rsid w:val="00B200E2"/>
    <w:rsid w:val="00B20188"/>
    <w:rsid w:val="00B20190"/>
    <w:rsid w:val="00B202FC"/>
    <w:rsid w:val="00B203F4"/>
    <w:rsid w:val="00B2048E"/>
    <w:rsid w:val="00B2072B"/>
    <w:rsid w:val="00B2076B"/>
    <w:rsid w:val="00B2085E"/>
    <w:rsid w:val="00B20A48"/>
    <w:rsid w:val="00B20A82"/>
    <w:rsid w:val="00B20B84"/>
    <w:rsid w:val="00B20EE9"/>
    <w:rsid w:val="00B210AB"/>
    <w:rsid w:val="00B210CD"/>
    <w:rsid w:val="00B2113A"/>
    <w:rsid w:val="00B21190"/>
    <w:rsid w:val="00B211E9"/>
    <w:rsid w:val="00B21205"/>
    <w:rsid w:val="00B21289"/>
    <w:rsid w:val="00B212CD"/>
    <w:rsid w:val="00B2130A"/>
    <w:rsid w:val="00B21337"/>
    <w:rsid w:val="00B21340"/>
    <w:rsid w:val="00B2142B"/>
    <w:rsid w:val="00B214B9"/>
    <w:rsid w:val="00B215E7"/>
    <w:rsid w:val="00B21963"/>
    <w:rsid w:val="00B21A51"/>
    <w:rsid w:val="00B21CCE"/>
    <w:rsid w:val="00B21D99"/>
    <w:rsid w:val="00B21D9C"/>
    <w:rsid w:val="00B220A3"/>
    <w:rsid w:val="00B2230F"/>
    <w:rsid w:val="00B223B0"/>
    <w:rsid w:val="00B22420"/>
    <w:rsid w:val="00B22439"/>
    <w:rsid w:val="00B226F9"/>
    <w:rsid w:val="00B2272E"/>
    <w:rsid w:val="00B22755"/>
    <w:rsid w:val="00B22A2D"/>
    <w:rsid w:val="00B22A51"/>
    <w:rsid w:val="00B22A6B"/>
    <w:rsid w:val="00B22B18"/>
    <w:rsid w:val="00B22B1A"/>
    <w:rsid w:val="00B22BF9"/>
    <w:rsid w:val="00B22C7C"/>
    <w:rsid w:val="00B22DE3"/>
    <w:rsid w:val="00B22E11"/>
    <w:rsid w:val="00B230C1"/>
    <w:rsid w:val="00B231E7"/>
    <w:rsid w:val="00B232A1"/>
    <w:rsid w:val="00B233F6"/>
    <w:rsid w:val="00B2343D"/>
    <w:rsid w:val="00B23466"/>
    <w:rsid w:val="00B23654"/>
    <w:rsid w:val="00B236A0"/>
    <w:rsid w:val="00B237CC"/>
    <w:rsid w:val="00B23936"/>
    <w:rsid w:val="00B239CF"/>
    <w:rsid w:val="00B23B0D"/>
    <w:rsid w:val="00B23C06"/>
    <w:rsid w:val="00B23C41"/>
    <w:rsid w:val="00B23C74"/>
    <w:rsid w:val="00B23C93"/>
    <w:rsid w:val="00B23D12"/>
    <w:rsid w:val="00B23E23"/>
    <w:rsid w:val="00B23EB1"/>
    <w:rsid w:val="00B23FE7"/>
    <w:rsid w:val="00B23FFB"/>
    <w:rsid w:val="00B2418B"/>
    <w:rsid w:val="00B241CB"/>
    <w:rsid w:val="00B2425F"/>
    <w:rsid w:val="00B2433B"/>
    <w:rsid w:val="00B24602"/>
    <w:rsid w:val="00B24641"/>
    <w:rsid w:val="00B246EC"/>
    <w:rsid w:val="00B24934"/>
    <w:rsid w:val="00B249C8"/>
    <w:rsid w:val="00B24EF5"/>
    <w:rsid w:val="00B24F5B"/>
    <w:rsid w:val="00B25057"/>
    <w:rsid w:val="00B252D8"/>
    <w:rsid w:val="00B2544F"/>
    <w:rsid w:val="00B25590"/>
    <w:rsid w:val="00B255B5"/>
    <w:rsid w:val="00B256AB"/>
    <w:rsid w:val="00B257E3"/>
    <w:rsid w:val="00B2584C"/>
    <w:rsid w:val="00B2589F"/>
    <w:rsid w:val="00B25A1B"/>
    <w:rsid w:val="00B25C44"/>
    <w:rsid w:val="00B25C4B"/>
    <w:rsid w:val="00B25D48"/>
    <w:rsid w:val="00B25D76"/>
    <w:rsid w:val="00B25E89"/>
    <w:rsid w:val="00B25ECC"/>
    <w:rsid w:val="00B25F0C"/>
    <w:rsid w:val="00B2612F"/>
    <w:rsid w:val="00B2617F"/>
    <w:rsid w:val="00B262FA"/>
    <w:rsid w:val="00B2646F"/>
    <w:rsid w:val="00B26499"/>
    <w:rsid w:val="00B264E7"/>
    <w:rsid w:val="00B266EB"/>
    <w:rsid w:val="00B2687B"/>
    <w:rsid w:val="00B26978"/>
    <w:rsid w:val="00B269D8"/>
    <w:rsid w:val="00B26A3A"/>
    <w:rsid w:val="00B26AD2"/>
    <w:rsid w:val="00B26C96"/>
    <w:rsid w:val="00B26D07"/>
    <w:rsid w:val="00B26D0A"/>
    <w:rsid w:val="00B26DBE"/>
    <w:rsid w:val="00B26E70"/>
    <w:rsid w:val="00B26EF8"/>
    <w:rsid w:val="00B26F41"/>
    <w:rsid w:val="00B27080"/>
    <w:rsid w:val="00B270D7"/>
    <w:rsid w:val="00B27185"/>
    <w:rsid w:val="00B272DC"/>
    <w:rsid w:val="00B27381"/>
    <w:rsid w:val="00B274D2"/>
    <w:rsid w:val="00B276BC"/>
    <w:rsid w:val="00B276E5"/>
    <w:rsid w:val="00B27A22"/>
    <w:rsid w:val="00B27A25"/>
    <w:rsid w:val="00B27A38"/>
    <w:rsid w:val="00B27C27"/>
    <w:rsid w:val="00B27DA7"/>
    <w:rsid w:val="00B30048"/>
    <w:rsid w:val="00B30074"/>
    <w:rsid w:val="00B30164"/>
    <w:rsid w:val="00B30245"/>
    <w:rsid w:val="00B303DD"/>
    <w:rsid w:val="00B304EE"/>
    <w:rsid w:val="00B3057F"/>
    <w:rsid w:val="00B30605"/>
    <w:rsid w:val="00B3067A"/>
    <w:rsid w:val="00B3069D"/>
    <w:rsid w:val="00B30708"/>
    <w:rsid w:val="00B307F8"/>
    <w:rsid w:val="00B3090C"/>
    <w:rsid w:val="00B30A0B"/>
    <w:rsid w:val="00B30B99"/>
    <w:rsid w:val="00B30DB1"/>
    <w:rsid w:val="00B30F1B"/>
    <w:rsid w:val="00B30F3F"/>
    <w:rsid w:val="00B30F6E"/>
    <w:rsid w:val="00B30FFE"/>
    <w:rsid w:val="00B3145E"/>
    <w:rsid w:val="00B314A1"/>
    <w:rsid w:val="00B3151F"/>
    <w:rsid w:val="00B31678"/>
    <w:rsid w:val="00B31838"/>
    <w:rsid w:val="00B31B3F"/>
    <w:rsid w:val="00B31C54"/>
    <w:rsid w:val="00B31CCD"/>
    <w:rsid w:val="00B31D4E"/>
    <w:rsid w:val="00B31E6C"/>
    <w:rsid w:val="00B31FEE"/>
    <w:rsid w:val="00B32056"/>
    <w:rsid w:val="00B3210B"/>
    <w:rsid w:val="00B32243"/>
    <w:rsid w:val="00B323FD"/>
    <w:rsid w:val="00B3252F"/>
    <w:rsid w:val="00B32617"/>
    <w:rsid w:val="00B3283A"/>
    <w:rsid w:val="00B328A0"/>
    <w:rsid w:val="00B329AF"/>
    <w:rsid w:val="00B32C7E"/>
    <w:rsid w:val="00B32DC4"/>
    <w:rsid w:val="00B33062"/>
    <w:rsid w:val="00B331BA"/>
    <w:rsid w:val="00B33347"/>
    <w:rsid w:val="00B33597"/>
    <w:rsid w:val="00B335CE"/>
    <w:rsid w:val="00B3360D"/>
    <w:rsid w:val="00B3367A"/>
    <w:rsid w:val="00B33751"/>
    <w:rsid w:val="00B33817"/>
    <w:rsid w:val="00B33995"/>
    <w:rsid w:val="00B33CDB"/>
    <w:rsid w:val="00B33D23"/>
    <w:rsid w:val="00B33F64"/>
    <w:rsid w:val="00B34377"/>
    <w:rsid w:val="00B344E0"/>
    <w:rsid w:val="00B346B8"/>
    <w:rsid w:val="00B3485F"/>
    <w:rsid w:val="00B348FF"/>
    <w:rsid w:val="00B349E6"/>
    <w:rsid w:val="00B34CE5"/>
    <w:rsid w:val="00B34E10"/>
    <w:rsid w:val="00B34EF7"/>
    <w:rsid w:val="00B34F91"/>
    <w:rsid w:val="00B3509D"/>
    <w:rsid w:val="00B35285"/>
    <w:rsid w:val="00B35499"/>
    <w:rsid w:val="00B35574"/>
    <w:rsid w:val="00B355A9"/>
    <w:rsid w:val="00B355F6"/>
    <w:rsid w:val="00B35612"/>
    <w:rsid w:val="00B358F8"/>
    <w:rsid w:val="00B359F5"/>
    <w:rsid w:val="00B35B82"/>
    <w:rsid w:val="00B35CC9"/>
    <w:rsid w:val="00B35D1B"/>
    <w:rsid w:val="00B35D68"/>
    <w:rsid w:val="00B35E24"/>
    <w:rsid w:val="00B35F3E"/>
    <w:rsid w:val="00B36131"/>
    <w:rsid w:val="00B36380"/>
    <w:rsid w:val="00B36381"/>
    <w:rsid w:val="00B36404"/>
    <w:rsid w:val="00B36469"/>
    <w:rsid w:val="00B3648A"/>
    <w:rsid w:val="00B365E2"/>
    <w:rsid w:val="00B365EF"/>
    <w:rsid w:val="00B36D4B"/>
    <w:rsid w:val="00B36FC4"/>
    <w:rsid w:val="00B36FDF"/>
    <w:rsid w:val="00B37243"/>
    <w:rsid w:val="00B37351"/>
    <w:rsid w:val="00B374DB"/>
    <w:rsid w:val="00B37541"/>
    <w:rsid w:val="00B3758B"/>
    <w:rsid w:val="00B3765B"/>
    <w:rsid w:val="00B37688"/>
    <w:rsid w:val="00B376AE"/>
    <w:rsid w:val="00B376F8"/>
    <w:rsid w:val="00B37744"/>
    <w:rsid w:val="00B37810"/>
    <w:rsid w:val="00B378B5"/>
    <w:rsid w:val="00B378B7"/>
    <w:rsid w:val="00B378BE"/>
    <w:rsid w:val="00B37A30"/>
    <w:rsid w:val="00B37A4B"/>
    <w:rsid w:val="00B37E77"/>
    <w:rsid w:val="00B37EC6"/>
    <w:rsid w:val="00B37FE7"/>
    <w:rsid w:val="00B400BD"/>
    <w:rsid w:val="00B400F3"/>
    <w:rsid w:val="00B401A9"/>
    <w:rsid w:val="00B40379"/>
    <w:rsid w:val="00B404B2"/>
    <w:rsid w:val="00B405B4"/>
    <w:rsid w:val="00B4076B"/>
    <w:rsid w:val="00B40BA7"/>
    <w:rsid w:val="00B40CFB"/>
    <w:rsid w:val="00B40D02"/>
    <w:rsid w:val="00B40D5E"/>
    <w:rsid w:val="00B40F0D"/>
    <w:rsid w:val="00B4104A"/>
    <w:rsid w:val="00B41058"/>
    <w:rsid w:val="00B410F5"/>
    <w:rsid w:val="00B4118F"/>
    <w:rsid w:val="00B41345"/>
    <w:rsid w:val="00B4141E"/>
    <w:rsid w:val="00B4141F"/>
    <w:rsid w:val="00B41457"/>
    <w:rsid w:val="00B41495"/>
    <w:rsid w:val="00B4157E"/>
    <w:rsid w:val="00B416CC"/>
    <w:rsid w:val="00B4173C"/>
    <w:rsid w:val="00B4176B"/>
    <w:rsid w:val="00B4178C"/>
    <w:rsid w:val="00B419DA"/>
    <w:rsid w:val="00B41BBD"/>
    <w:rsid w:val="00B41DC4"/>
    <w:rsid w:val="00B41EA8"/>
    <w:rsid w:val="00B420AF"/>
    <w:rsid w:val="00B42218"/>
    <w:rsid w:val="00B42254"/>
    <w:rsid w:val="00B4228F"/>
    <w:rsid w:val="00B422F6"/>
    <w:rsid w:val="00B423F9"/>
    <w:rsid w:val="00B425AE"/>
    <w:rsid w:val="00B425B6"/>
    <w:rsid w:val="00B426B0"/>
    <w:rsid w:val="00B429C1"/>
    <w:rsid w:val="00B42AFD"/>
    <w:rsid w:val="00B42CDE"/>
    <w:rsid w:val="00B42D20"/>
    <w:rsid w:val="00B42F22"/>
    <w:rsid w:val="00B431F4"/>
    <w:rsid w:val="00B431FC"/>
    <w:rsid w:val="00B4361D"/>
    <w:rsid w:val="00B437D2"/>
    <w:rsid w:val="00B438C8"/>
    <w:rsid w:val="00B439DA"/>
    <w:rsid w:val="00B43B4A"/>
    <w:rsid w:val="00B43B75"/>
    <w:rsid w:val="00B43CA3"/>
    <w:rsid w:val="00B43CA8"/>
    <w:rsid w:val="00B43D0F"/>
    <w:rsid w:val="00B43D3B"/>
    <w:rsid w:val="00B443A3"/>
    <w:rsid w:val="00B443DB"/>
    <w:rsid w:val="00B446F7"/>
    <w:rsid w:val="00B447AB"/>
    <w:rsid w:val="00B4483C"/>
    <w:rsid w:val="00B44862"/>
    <w:rsid w:val="00B448D1"/>
    <w:rsid w:val="00B44916"/>
    <w:rsid w:val="00B4496F"/>
    <w:rsid w:val="00B449F1"/>
    <w:rsid w:val="00B44AA8"/>
    <w:rsid w:val="00B44C6C"/>
    <w:rsid w:val="00B44C8C"/>
    <w:rsid w:val="00B44C8D"/>
    <w:rsid w:val="00B44E57"/>
    <w:rsid w:val="00B450AE"/>
    <w:rsid w:val="00B45168"/>
    <w:rsid w:val="00B45171"/>
    <w:rsid w:val="00B4522F"/>
    <w:rsid w:val="00B452E2"/>
    <w:rsid w:val="00B452F8"/>
    <w:rsid w:val="00B4552B"/>
    <w:rsid w:val="00B45592"/>
    <w:rsid w:val="00B45773"/>
    <w:rsid w:val="00B459B0"/>
    <w:rsid w:val="00B45A1E"/>
    <w:rsid w:val="00B45A49"/>
    <w:rsid w:val="00B45C2A"/>
    <w:rsid w:val="00B45C41"/>
    <w:rsid w:val="00B45CC1"/>
    <w:rsid w:val="00B45D39"/>
    <w:rsid w:val="00B45E70"/>
    <w:rsid w:val="00B46066"/>
    <w:rsid w:val="00B46361"/>
    <w:rsid w:val="00B46373"/>
    <w:rsid w:val="00B46550"/>
    <w:rsid w:val="00B465D4"/>
    <w:rsid w:val="00B465E6"/>
    <w:rsid w:val="00B46911"/>
    <w:rsid w:val="00B46929"/>
    <w:rsid w:val="00B46B05"/>
    <w:rsid w:val="00B46C88"/>
    <w:rsid w:val="00B46CDA"/>
    <w:rsid w:val="00B46DA2"/>
    <w:rsid w:val="00B46E76"/>
    <w:rsid w:val="00B46EB7"/>
    <w:rsid w:val="00B470EE"/>
    <w:rsid w:val="00B47462"/>
    <w:rsid w:val="00B47520"/>
    <w:rsid w:val="00B475A6"/>
    <w:rsid w:val="00B475C8"/>
    <w:rsid w:val="00B47649"/>
    <w:rsid w:val="00B47710"/>
    <w:rsid w:val="00B47723"/>
    <w:rsid w:val="00B47939"/>
    <w:rsid w:val="00B47A3D"/>
    <w:rsid w:val="00B47CF1"/>
    <w:rsid w:val="00B47DF1"/>
    <w:rsid w:val="00B47E72"/>
    <w:rsid w:val="00B500AD"/>
    <w:rsid w:val="00B500BC"/>
    <w:rsid w:val="00B5025D"/>
    <w:rsid w:val="00B50464"/>
    <w:rsid w:val="00B50539"/>
    <w:rsid w:val="00B50615"/>
    <w:rsid w:val="00B506AD"/>
    <w:rsid w:val="00B5084B"/>
    <w:rsid w:val="00B50BCB"/>
    <w:rsid w:val="00B50C2F"/>
    <w:rsid w:val="00B50CE2"/>
    <w:rsid w:val="00B50E1C"/>
    <w:rsid w:val="00B50EB6"/>
    <w:rsid w:val="00B50FE0"/>
    <w:rsid w:val="00B51003"/>
    <w:rsid w:val="00B51056"/>
    <w:rsid w:val="00B51194"/>
    <w:rsid w:val="00B5142A"/>
    <w:rsid w:val="00B515D1"/>
    <w:rsid w:val="00B515D4"/>
    <w:rsid w:val="00B51721"/>
    <w:rsid w:val="00B51929"/>
    <w:rsid w:val="00B5197A"/>
    <w:rsid w:val="00B51A1B"/>
    <w:rsid w:val="00B51CCC"/>
    <w:rsid w:val="00B51CE4"/>
    <w:rsid w:val="00B51D25"/>
    <w:rsid w:val="00B51DDA"/>
    <w:rsid w:val="00B51ED8"/>
    <w:rsid w:val="00B51F5E"/>
    <w:rsid w:val="00B52223"/>
    <w:rsid w:val="00B52534"/>
    <w:rsid w:val="00B525EC"/>
    <w:rsid w:val="00B52935"/>
    <w:rsid w:val="00B529AF"/>
    <w:rsid w:val="00B52A75"/>
    <w:rsid w:val="00B52D45"/>
    <w:rsid w:val="00B52E11"/>
    <w:rsid w:val="00B5306E"/>
    <w:rsid w:val="00B530FF"/>
    <w:rsid w:val="00B53256"/>
    <w:rsid w:val="00B53296"/>
    <w:rsid w:val="00B53329"/>
    <w:rsid w:val="00B533F6"/>
    <w:rsid w:val="00B5360C"/>
    <w:rsid w:val="00B5363D"/>
    <w:rsid w:val="00B53714"/>
    <w:rsid w:val="00B53793"/>
    <w:rsid w:val="00B538A3"/>
    <w:rsid w:val="00B539A5"/>
    <w:rsid w:val="00B539B1"/>
    <w:rsid w:val="00B53B17"/>
    <w:rsid w:val="00B53CA8"/>
    <w:rsid w:val="00B53DE9"/>
    <w:rsid w:val="00B53E1B"/>
    <w:rsid w:val="00B53F31"/>
    <w:rsid w:val="00B53FFC"/>
    <w:rsid w:val="00B54042"/>
    <w:rsid w:val="00B54112"/>
    <w:rsid w:val="00B54205"/>
    <w:rsid w:val="00B54228"/>
    <w:rsid w:val="00B54267"/>
    <w:rsid w:val="00B5438E"/>
    <w:rsid w:val="00B543C5"/>
    <w:rsid w:val="00B543ED"/>
    <w:rsid w:val="00B54486"/>
    <w:rsid w:val="00B54528"/>
    <w:rsid w:val="00B54979"/>
    <w:rsid w:val="00B54AB4"/>
    <w:rsid w:val="00B54B10"/>
    <w:rsid w:val="00B54B65"/>
    <w:rsid w:val="00B54B7E"/>
    <w:rsid w:val="00B54B8F"/>
    <w:rsid w:val="00B54BFF"/>
    <w:rsid w:val="00B54DD8"/>
    <w:rsid w:val="00B54F80"/>
    <w:rsid w:val="00B5517F"/>
    <w:rsid w:val="00B55387"/>
    <w:rsid w:val="00B554D1"/>
    <w:rsid w:val="00B555EC"/>
    <w:rsid w:val="00B5575B"/>
    <w:rsid w:val="00B55877"/>
    <w:rsid w:val="00B55B7D"/>
    <w:rsid w:val="00B55BCB"/>
    <w:rsid w:val="00B55BF4"/>
    <w:rsid w:val="00B55DC3"/>
    <w:rsid w:val="00B55E2C"/>
    <w:rsid w:val="00B55E45"/>
    <w:rsid w:val="00B560C5"/>
    <w:rsid w:val="00B561B6"/>
    <w:rsid w:val="00B5621D"/>
    <w:rsid w:val="00B562BD"/>
    <w:rsid w:val="00B563FC"/>
    <w:rsid w:val="00B5650D"/>
    <w:rsid w:val="00B56548"/>
    <w:rsid w:val="00B56723"/>
    <w:rsid w:val="00B5680C"/>
    <w:rsid w:val="00B56CB3"/>
    <w:rsid w:val="00B56DB0"/>
    <w:rsid w:val="00B56E0E"/>
    <w:rsid w:val="00B56E48"/>
    <w:rsid w:val="00B56F24"/>
    <w:rsid w:val="00B56F9F"/>
    <w:rsid w:val="00B5715F"/>
    <w:rsid w:val="00B57278"/>
    <w:rsid w:val="00B573B5"/>
    <w:rsid w:val="00B5761C"/>
    <w:rsid w:val="00B576F4"/>
    <w:rsid w:val="00B5773B"/>
    <w:rsid w:val="00B57742"/>
    <w:rsid w:val="00B5786B"/>
    <w:rsid w:val="00B57BFD"/>
    <w:rsid w:val="00B57CC2"/>
    <w:rsid w:val="00B57DC4"/>
    <w:rsid w:val="00B57DF8"/>
    <w:rsid w:val="00B57E7E"/>
    <w:rsid w:val="00B6008E"/>
    <w:rsid w:val="00B601AE"/>
    <w:rsid w:val="00B603AF"/>
    <w:rsid w:val="00B603BB"/>
    <w:rsid w:val="00B60578"/>
    <w:rsid w:val="00B605CC"/>
    <w:rsid w:val="00B60696"/>
    <w:rsid w:val="00B606B3"/>
    <w:rsid w:val="00B606BE"/>
    <w:rsid w:val="00B607FF"/>
    <w:rsid w:val="00B60806"/>
    <w:rsid w:val="00B6083A"/>
    <w:rsid w:val="00B608E7"/>
    <w:rsid w:val="00B60AA8"/>
    <w:rsid w:val="00B60CF6"/>
    <w:rsid w:val="00B60F9B"/>
    <w:rsid w:val="00B60FEF"/>
    <w:rsid w:val="00B610A3"/>
    <w:rsid w:val="00B610FF"/>
    <w:rsid w:val="00B611E9"/>
    <w:rsid w:val="00B612F6"/>
    <w:rsid w:val="00B61307"/>
    <w:rsid w:val="00B613A1"/>
    <w:rsid w:val="00B613A4"/>
    <w:rsid w:val="00B614D7"/>
    <w:rsid w:val="00B615BE"/>
    <w:rsid w:val="00B617F7"/>
    <w:rsid w:val="00B61804"/>
    <w:rsid w:val="00B6192E"/>
    <w:rsid w:val="00B61983"/>
    <w:rsid w:val="00B61B86"/>
    <w:rsid w:val="00B61C74"/>
    <w:rsid w:val="00B61E56"/>
    <w:rsid w:val="00B620C6"/>
    <w:rsid w:val="00B620C9"/>
    <w:rsid w:val="00B621B8"/>
    <w:rsid w:val="00B622F1"/>
    <w:rsid w:val="00B62355"/>
    <w:rsid w:val="00B62445"/>
    <w:rsid w:val="00B624BB"/>
    <w:rsid w:val="00B62700"/>
    <w:rsid w:val="00B627A4"/>
    <w:rsid w:val="00B62859"/>
    <w:rsid w:val="00B628ED"/>
    <w:rsid w:val="00B62957"/>
    <w:rsid w:val="00B62A49"/>
    <w:rsid w:val="00B62A9B"/>
    <w:rsid w:val="00B62AA9"/>
    <w:rsid w:val="00B62AAA"/>
    <w:rsid w:val="00B62B79"/>
    <w:rsid w:val="00B62B89"/>
    <w:rsid w:val="00B62BF9"/>
    <w:rsid w:val="00B62CB3"/>
    <w:rsid w:val="00B62CC2"/>
    <w:rsid w:val="00B62D0A"/>
    <w:rsid w:val="00B62D7A"/>
    <w:rsid w:val="00B62E54"/>
    <w:rsid w:val="00B62E82"/>
    <w:rsid w:val="00B62FB2"/>
    <w:rsid w:val="00B63238"/>
    <w:rsid w:val="00B63269"/>
    <w:rsid w:val="00B634A6"/>
    <w:rsid w:val="00B6354A"/>
    <w:rsid w:val="00B63609"/>
    <w:rsid w:val="00B6366B"/>
    <w:rsid w:val="00B6381B"/>
    <w:rsid w:val="00B63946"/>
    <w:rsid w:val="00B63AB7"/>
    <w:rsid w:val="00B63BF5"/>
    <w:rsid w:val="00B63C37"/>
    <w:rsid w:val="00B63C8D"/>
    <w:rsid w:val="00B63CF5"/>
    <w:rsid w:val="00B63EE4"/>
    <w:rsid w:val="00B64044"/>
    <w:rsid w:val="00B640D8"/>
    <w:rsid w:val="00B64127"/>
    <w:rsid w:val="00B64153"/>
    <w:rsid w:val="00B64229"/>
    <w:rsid w:val="00B64293"/>
    <w:rsid w:val="00B6451F"/>
    <w:rsid w:val="00B64590"/>
    <w:rsid w:val="00B64734"/>
    <w:rsid w:val="00B64994"/>
    <w:rsid w:val="00B64BE9"/>
    <w:rsid w:val="00B64D95"/>
    <w:rsid w:val="00B64DB1"/>
    <w:rsid w:val="00B64F48"/>
    <w:rsid w:val="00B65178"/>
    <w:rsid w:val="00B65432"/>
    <w:rsid w:val="00B65519"/>
    <w:rsid w:val="00B6555F"/>
    <w:rsid w:val="00B655E4"/>
    <w:rsid w:val="00B65718"/>
    <w:rsid w:val="00B65884"/>
    <w:rsid w:val="00B6588D"/>
    <w:rsid w:val="00B65892"/>
    <w:rsid w:val="00B658E1"/>
    <w:rsid w:val="00B658E8"/>
    <w:rsid w:val="00B65AD0"/>
    <w:rsid w:val="00B65BDC"/>
    <w:rsid w:val="00B65C7B"/>
    <w:rsid w:val="00B65E93"/>
    <w:rsid w:val="00B65E98"/>
    <w:rsid w:val="00B66192"/>
    <w:rsid w:val="00B661DB"/>
    <w:rsid w:val="00B661DF"/>
    <w:rsid w:val="00B66553"/>
    <w:rsid w:val="00B667A7"/>
    <w:rsid w:val="00B66805"/>
    <w:rsid w:val="00B66A12"/>
    <w:rsid w:val="00B66A84"/>
    <w:rsid w:val="00B66AE2"/>
    <w:rsid w:val="00B66DE1"/>
    <w:rsid w:val="00B66E76"/>
    <w:rsid w:val="00B66EBA"/>
    <w:rsid w:val="00B66F00"/>
    <w:rsid w:val="00B6702F"/>
    <w:rsid w:val="00B67045"/>
    <w:rsid w:val="00B673F2"/>
    <w:rsid w:val="00B67617"/>
    <w:rsid w:val="00B67680"/>
    <w:rsid w:val="00B6781F"/>
    <w:rsid w:val="00B67902"/>
    <w:rsid w:val="00B67928"/>
    <w:rsid w:val="00B67938"/>
    <w:rsid w:val="00B67A76"/>
    <w:rsid w:val="00B67AC0"/>
    <w:rsid w:val="00B67EA3"/>
    <w:rsid w:val="00B7025C"/>
    <w:rsid w:val="00B702A6"/>
    <w:rsid w:val="00B7045B"/>
    <w:rsid w:val="00B704F8"/>
    <w:rsid w:val="00B705BC"/>
    <w:rsid w:val="00B70850"/>
    <w:rsid w:val="00B70C6F"/>
    <w:rsid w:val="00B70C9D"/>
    <w:rsid w:val="00B70DD5"/>
    <w:rsid w:val="00B70E21"/>
    <w:rsid w:val="00B70ED3"/>
    <w:rsid w:val="00B70F75"/>
    <w:rsid w:val="00B710DF"/>
    <w:rsid w:val="00B71217"/>
    <w:rsid w:val="00B71233"/>
    <w:rsid w:val="00B71268"/>
    <w:rsid w:val="00B712EC"/>
    <w:rsid w:val="00B71351"/>
    <w:rsid w:val="00B713AC"/>
    <w:rsid w:val="00B71438"/>
    <w:rsid w:val="00B7172E"/>
    <w:rsid w:val="00B71848"/>
    <w:rsid w:val="00B71B2A"/>
    <w:rsid w:val="00B71BCD"/>
    <w:rsid w:val="00B71CA7"/>
    <w:rsid w:val="00B71CDF"/>
    <w:rsid w:val="00B71D18"/>
    <w:rsid w:val="00B71ECD"/>
    <w:rsid w:val="00B71F14"/>
    <w:rsid w:val="00B71F4D"/>
    <w:rsid w:val="00B72054"/>
    <w:rsid w:val="00B72112"/>
    <w:rsid w:val="00B7211C"/>
    <w:rsid w:val="00B7215E"/>
    <w:rsid w:val="00B7219B"/>
    <w:rsid w:val="00B7226F"/>
    <w:rsid w:val="00B7228E"/>
    <w:rsid w:val="00B722C9"/>
    <w:rsid w:val="00B722DE"/>
    <w:rsid w:val="00B7235A"/>
    <w:rsid w:val="00B723B6"/>
    <w:rsid w:val="00B724C3"/>
    <w:rsid w:val="00B726B0"/>
    <w:rsid w:val="00B72862"/>
    <w:rsid w:val="00B7286F"/>
    <w:rsid w:val="00B728DF"/>
    <w:rsid w:val="00B729D8"/>
    <w:rsid w:val="00B72B94"/>
    <w:rsid w:val="00B72B96"/>
    <w:rsid w:val="00B72BAE"/>
    <w:rsid w:val="00B72C73"/>
    <w:rsid w:val="00B72CB3"/>
    <w:rsid w:val="00B72CC2"/>
    <w:rsid w:val="00B72D47"/>
    <w:rsid w:val="00B72E4E"/>
    <w:rsid w:val="00B73093"/>
    <w:rsid w:val="00B7324A"/>
    <w:rsid w:val="00B73273"/>
    <w:rsid w:val="00B7337B"/>
    <w:rsid w:val="00B7342E"/>
    <w:rsid w:val="00B734E9"/>
    <w:rsid w:val="00B73580"/>
    <w:rsid w:val="00B735D5"/>
    <w:rsid w:val="00B73634"/>
    <w:rsid w:val="00B7384F"/>
    <w:rsid w:val="00B73942"/>
    <w:rsid w:val="00B73BAC"/>
    <w:rsid w:val="00B73BDE"/>
    <w:rsid w:val="00B73DE3"/>
    <w:rsid w:val="00B73E10"/>
    <w:rsid w:val="00B73F23"/>
    <w:rsid w:val="00B73F53"/>
    <w:rsid w:val="00B73F69"/>
    <w:rsid w:val="00B7402C"/>
    <w:rsid w:val="00B740DF"/>
    <w:rsid w:val="00B74277"/>
    <w:rsid w:val="00B742D2"/>
    <w:rsid w:val="00B7434C"/>
    <w:rsid w:val="00B7443D"/>
    <w:rsid w:val="00B744B1"/>
    <w:rsid w:val="00B74545"/>
    <w:rsid w:val="00B74677"/>
    <w:rsid w:val="00B7495F"/>
    <w:rsid w:val="00B749FE"/>
    <w:rsid w:val="00B74AE7"/>
    <w:rsid w:val="00B74B07"/>
    <w:rsid w:val="00B74B25"/>
    <w:rsid w:val="00B74C75"/>
    <w:rsid w:val="00B74D4B"/>
    <w:rsid w:val="00B74D94"/>
    <w:rsid w:val="00B74E0D"/>
    <w:rsid w:val="00B74F40"/>
    <w:rsid w:val="00B74F96"/>
    <w:rsid w:val="00B74FFA"/>
    <w:rsid w:val="00B750EC"/>
    <w:rsid w:val="00B7532D"/>
    <w:rsid w:val="00B75584"/>
    <w:rsid w:val="00B755B3"/>
    <w:rsid w:val="00B756B1"/>
    <w:rsid w:val="00B756E2"/>
    <w:rsid w:val="00B75714"/>
    <w:rsid w:val="00B7575A"/>
    <w:rsid w:val="00B75838"/>
    <w:rsid w:val="00B75B9A"/>
    <w:rsid w:val="00B75D87"/>
    <w:rsid w:val="00B75EF0"/>
    <w:rsid w:val="00B75F35"/>
    <w:rsid w:val="00B75FF2"/>
    <w:rsid w:val="00B76155"/>
    <w:rsid w:val="00B765EE"/>
    <w:rsid w:val="00B76735"/>
    <w:rsid w:val="00B76B6D"/>
    <w:rsid w:val="00B76BD3"/>
    <w:rsid w:val="00B76CB6"/>
    <w:rsid w:val="00B76CDE"/>
    <w:rsid w:val="00B76D95"/>
    <w:rsid w:val="00B76ED5"/>
    <w:rsid w:val="00B76FF0"/>
    <w:rsid w:val="00B770D8"/>
    <w:rsid w:val="00B772B7"/>
    <w:rsid w:val="00B773D3"/>
    <w:rsid w:val="00B7742D"/>
    <w:rsid w:val="00B77532"/>
    <w:rsid w:val="00B7754F"/>
    <w:rsid w:val="00B7766F"/>
    <w:rsid w:val="00B77670"/>
    <w:rsid w:val="00B776FC"/>
    <w:rsid w:val="00B779F7"/>
    <w:rsid w:val="00B77AC5"/>
    <w:rsid w:val="00B77BCF"/>
    <w:rsid w:val="00B77C4C"/>
    <w:rsid w:val="00B80129"/>
    <w:rsid w:val="00B80270"/>
    <w:rsid w:val="00B807CF"/>
    <w:rsid w:val="00B808F2"/>
    <w:rsid w:val="00B80902"/>
    <w:rsid w:val="00B8095C"/>
    <w:rsid w:val="00B80B3D"/>
    <w:rsid w:val="00B80B56"/>
    <w:rsid w:val="00B80BE5"/>
    <w:rsid w:val="00B80C29"/>
    <w:rsid w:val="00B80E5A"/>
    <w:rsid w:val="00B80F65"/>
    <w:rsid w:val="00B810E1"/>
    <w:rsid w:val="00B81123"/>
    <w:rsid w:val="00B81238"/>
    <w:rsid w:val="00B813B9"/>
    <w:rsid w:val="00B814A1"/>
    <w:rsid w:val="00B8166E"/>
    <w:rsid w:val="00B816BB"/>
    <w:rsid w:val="00B8197A"/>
    <w:rsid w:val="00B81BF1"/>
    <w:rsid w:val="00B81D25"/>
    <w:rsid w:val="00B82070"/>
    <w:rsid w:val="00B8211F"/>
    <w:rsid w:val="00B8218F"/>
    <w:rsid w:val="00B8229C"/>
    <w:rsid w:val="00B82355"/>
    <w:rsid w:val="00B82565"/>
    <w:rsid w:val="00B825BA"/>
    <w:rsid w:val="00B826E6"/>
    <w:rsid w:val="00B82893"/>
    <w:rsid w:val="00B828F9"/>
    <w:rsid w:val="00B829DC"/>
    <w:rsid w:val="00B82AB7"/>
    <w:rsid w:val="00B82B2A"/>
    <w:rsid w:val="00B82D3F"/>
    <w:rsid w:val="00B82D42"/>
    <w:rsid w:val="00B82E69"/>
    <w:rsid w:val="00B82F5F"/>
    <w:rsid w:val="00B831B6"/>
    <w:rsid w:val="00B832B2"/>
    <w:rsid w:val="00B832D0"/>
    <w:rsid w:val="00B833DD"/>
    <w:rsid w:val="00B8370D"/>
    <w:rsid w:val="00B8372D"/>
    <w:rsid w:val="00B83820"/>
    <w:rsid w:val="00B8385B"/>
    <w:rsid w:val="00B83C83"/>
    <w:rsid w:val="00B83C88"/>
    <w:rsid w:val="00B83DEC"/>
    <w:rsid w:val="00B83E33"/>
    <w:rsid w:val="00B83F5A"/>
    <w:rsid w:val="00B8404C"/>
    <w:rsid w:val="00B840B8"/>
    <w:rsid w:val="00B84101"/>
    <w:rsid w:val="00B8427D"/>
    <w:rsid w:val="00B84310"/>
    <w:rsid w:val="00B8458E"/>
    <w:rsid w:val="00B845A8"/>
    <w:rsid w:val="00B84731"/>
    <w:rsid w:val="00B8499F"/>
    <w:rsid w:val="00B84A9C"/>
    <w:rsid w:val="00B84AB5"/>
    <w:rsid w:val="00B84DA6"/>
    <w:rsid w:val="00B8510A"/>
    <w:rsid w:val="00B85183"/>
    <w:rsid w:val="00B851CE"/>
    <w:rsid w:val="00B85275"/>
    <w:rsid w:val="00B852C5"/>
    <w:rsid w:val="00B85560"/>
    <w:rsid w:val="00B855CE"/>
    <w:rsid w:val="00B85823"/>
    <w:rsid w:val="00B85978"/>
    <w:rsid w:val="00B85B41"/>
    <w:rsid w:val="00B85C8A"/>
    <w:rsid w:val="00B85CE0"/>
    <w:rsid w:val="00B85E0A"/>
    <w:rsid w:val="00B85E40"/>
    <w:rsid w:val="00B85F6C"/>
    <w:rsid w:val="00B8608D"/>
    <w:rsid w:val="00B863B9"/>
    <w:rsid w:val="00B86512"/>
    <w:rsid w:val="00B86592"/>
    <w:rsid w:val="00B865B8"/>
    <w:rsid w:val="00B8671B"/>
    <w:rsid w:val="00B8680D"/>
    <w:rsid w:val="00B86894"/>
    <w:rsid w:val="00B869DC"/>
    <w:rsid w:val="00B86A0E"/>
    <w:rsid w:val="00B86CB1"/>
    <w:rsid w:val="00B86DCA"/>
    <w:rsid w:val="00B86E1A"/>
    <w:rsid w:val="00B86EE0"/>
    <w:rsid w:val="00B873B3"/>
    <w:rsid w:val="00B87460"/>
    <w:rsid w:val="00B877B5"/>
    <w:rsid w:val="00B87897"/>
    <w:rsid w:val="00B879B2"/>
    <w:rsid w:val="00B87A04"/>
    <w:rsid w:val="00B87A3D"/>
    <w:rsid w:val="00B87A87"/>
    <w:rsid w:val="00B87DBD"/>
    <w:rsid w:val="00B90029"/>
    <w:rsid w:val="00B90099"/>
    <w:rsid w:val="00B90140"/>
    <w:rsid w:val="00B90230"/>
    <w:rsid w:val="00B9024F"/>
    <w:rsid w:val="00B90309"/>
    <w:rsid w:val="00B90470"/>
    <w:rsid w:val="00B90652"/>
    <w:rsid w:val="00B9065B"/>
    <w:rsid w:val="00B906A0"/>
    <w:rsid w:val="00B9085B"/>
    <w:rsid w:val="00B90901"/>
    <w:rsid w:val="00B90969"/>
    <w:rsid w:val="00B90A95"/>
    <w:rsid w:val="00B90CE1"/>
    <w:rsid w:val="00B90EA7"/>
    <w:rsid w:val="00B90EC8"/>
    <w:rsid w:val="00B90F83"/>
    <w:rsid w:val="00B9134A"/>
    <w:rsid w:val="00B91462"/>
    <w:rsid w:val="00B91472"/>
    <w:rsid w:val="00B914CD"/>
    <w:rsid w:val="00B915DB"/>
    <w:rsid w:val="00B9165B"/>
    <w:rsid w:val="00B916BE"/>
    <w:rsid w:val="00B919FE"/>
    <w:rsid w:val="00B91A14"/>
    <w:rsid w:val="00B91B1B"/>
    <w:rsid w:val="00B91C8A"/>
    <w:rsid w:val="00B91D67"/>
    <w:rsid w:val="00B91D71"/>
    <w:rsid w:val="00B91E1E"/>
    <w:rsid w:val="00B91F06"/>
    <w:rsid w:val="00B92023"/>
    <w:rsid w:val="00B92037"/>
    <w:rsid w:val="00B920A2"/>
    <w:rsid w:val="00B92276"/>
    <w:rsid w:val="00B92320"/>
    <w:rsid w:val="00B92469"/>
    <w:rsid w:val="00B924FD"/>
    <w:rsid w:val="00B92663"/>
    <w:rsid w:val="00B92683"/>
    <w:rsid w:val="00B92B22"/>
    <w:rsid w:val="00B92C73"/>
    <w:rsid w:val="00B92C8D"/>
    <w:rsid w:val="00B92DC2"/>
    <w:rsid w:val="00B92ED3"/>
    <w:rsid w:val="00B92F87"/>
    <w:rsid w:val="00B92F8E"/>
    <w:rsid w:val="00B930FB"/>
    <w:rsid w:val="00B93272"/>
    <w:rsid w:val="00B932C9"/>
    <w:rsid w:val="00B932D3"/>
    <w:rsid w:val="00B932DB"/>
    <w:rsid w:val="00B932F0"/>
    <w:rsid w:val="00B932FA"/>
    <w:rsid w:val="00B93441"/>
    <w:rsid w:val="00B9365F"/>
    <w:rsid w:val="00B93A85"/>
    <w:rsid w:val="00B93ABD"/>
    <w:rsid w:val="00B93AD1"/>
    <w:rsid w:val="00B93FE3"/>
    <w:rsid w:val="00B9411E"/>
    <w:rsid w:val="00B94212"/>
    <w:rsid w:val="00B944C6"/>
    <w:rsid w:val="00B945F0"/>
    <w:rsid w:val="00B9460A"/>
    <w:rsid w:val="00B946EE"/>
    <w:rsid w:val="00B94735"/>
    <w:rsid w:val="00B94796"/>
    <w:rsid w:val="00B947C9"/>
    <w:rsid w:val="00B9497D"/>
    <w:rsid w:val="00B94A26"/>
    <w:rsid w:val="00B94B18"/>
    <w:rsid w:val="00B94D0A"/>
    <w:rsid w:val="00B94D31"/>
    <w:rsid w:val="00B94F1F"/>
    <w:rsid w:val="00B94F42"/>
    <w:rsid w:val="00B95113"/>
    <w:rsid w:val="00B95126"/>
    <w:rsid w:val="00B95161"/>
    <w:rsid w:val="00B95198"/>
    <w:rsid w:val="00B95333"/>
    <w:rsid w:val="00B9574B"/>
    <w:rsid w:val="00B95771"/>
    <w:rsid w:val="00B95816"/>
    <w:rsid w:val="00B958B8"/>
    <w:rsid w:val="00B95AB8"/>
    <w:rsid w:val="00B95AC4"/>
    <w:rsid w:val="00B95C1F"/>
    <w:rsid w:val="00B95CAA"/>
    <w:rsid w:val="00B95D00"/>
    <w:rsid w:val="00B95FF2"/>
    <w:rsid w:val="00B96029"/>
    <w:rsid w:val="00B9610F"/>
    <w:rsid w:val="00B96168"/>
    <w:rsid w:val="00B9616B"/>
    <w:rsid w:val="00B965A6"/>
    <w:rsid w:val="00B966B9"/>
    <w:rsid w:val="00B966CF"/>
    <w:rsid w:val="00B967FE"/>
    <w:rsid w:val="00B96962"/>
    <w:rsid w:val="00B96A8C"/>
    <w:rsid w:val="00B96F4B"/>
    <w:rsid w:val="00B96FED"/>
    <w:rsid w:val="00B974D9"/>
    <w:rsid w:val="00B97683"/>
    <w:rsid w:val="00B9776E"/>
    <w:rsid w:val="00B977CE"/>
    <w:rsid w:val="00B97A8D"/>
    <w:rsid w:val="00B97D2F"/>
    <w:rsid w:val="00B97E7E"/>
    <w:rsid w:val="00B97ED0"/>
    <w:rsid w:val="00B97F19"/>
    <w:rsid w:val="00B97FA4"/>
    <w:rsid w:val="00BA005C"/>
    <w:rsid w:val="00BA0134"/>
    <w:rsid w:val="00BA01FC"/>
    <w:rsid w:val="00BA029D"/>
    <w:rsid w:val="00BA02E9"/>
    <w:rsid w:val="00BA03D1"/>
    <w:rsid w:val="00BA048B"/>
    <w:rsid w:val="00BA04FA"/>
    <w:rsid w:val="00BA0576"/>
    <w:rsid w:val="00BA061E"/>
    <w:rsid w:val="00BA065A"/>
    <w:rsid w:val="00BA0937"/>
    <w:rsid w:val="00BA0A1C"/>
    <w:rsid w:val="00BA0A58"/>
    <w:rsid w:val="00BA0AFC"/>
    <w:rsid w:val="00BA0C24"/>
    <w:rsid w:val="00BA0CCA"/>
    <w:rsid w:val="00BA0CD1"/>
    <w:rsid w:val="00BA0D8E"/>
    <w:rsid w:val="00BA0E06"/>
    <w:rsid w:val="00BA0EB9"/>
    <w:rsid w:val="00BA0ED8"/>
    <w:rsid w:val="00BA0F01"/>
    <w:rsid w:val="00BA0F69"/>
    <w:rsid w:val="00BA10C0"/>
    <w:rsid w:val="00BA11DD"/>
    <w:rsid w:val="00BA1295"/>
    <w:rsid w:val="00BA15C5"/>
    <w:rsid w:val="00BA1619"/>
    <w:rsid w:val="00BA167A"/>
    <w:rsid w:val="00BA1686"/>
    <w:rsid w:val="00BA18BB"/>
    <w:rsid w:val="00BA1901"/>
    <w:rsid w:val="00BA195B"/>
    <w:rsid w:val="00BA1A14"/>
    <w:rsid w:val="00BA1A9A"/>
    <w:rsid w:val="00BA1AEC"/>
    <w:rsid w:val="00BA1C8B"/>
    <w:rsid w:val="00BA1D37"/>
    <w:rsid w:val="00BA1E3D"/>
    <w:rsid w:val="00BA20AD"/>
    <w:rsid w:val="00BA20BE"/>
    <w:rsid w:val="00BA24A2"/>
    <w:rsid w:val="00BA24DF"/>
    <w:rsid w:val="00BA263B"/>
    <w:rsid w:val="00BA264A"/>
    <w:rsid w:val="00BA2734"/>
    <w:rsid w:val="00BA290F"/>
    <w:rsid w:val="00BA2B0B"/>
    <w:rsid w:val="00BA2C36"/>
    <w:rsid w:val="00BA2DBF"/>
    <w:rsid w:val="00BA2EEC"/>
    <w:rsid w:val="00BA2F88"/>
    <w:rsid w:val="00BA33C5"/>
    <w:rsid w:val="00BA3619"/>
    <w:rsid w:val="00BA3660"/>
    <w:rsid w:val="00BA370E"/>
    <w:rsid w:val="00BA386A"/>
    <w:rsid w:val="00BA38EF"/>
    <w:rsid w:val="00BA38F0"/>
    <w:rsid w:val="00BA3A09"/>
    <w:rsid w:val="00BA3A58"/>
    <w:rsid w:val="00BA3AB6"/>
    <w:rsid w:val="00BA3B39"/>
    <w:rsid w:val="00BA3C64"/>
    <w:rsid w:val="00BA3E78"/>
    <w:rsid w:val="00BA400D"/>
    <w:rsid w:val="00BA4315"/>
    <w:rsid w:val="00BA4359"/>
    <w:rsid w:val="00BA44B2"/>
    <w:rsid w:val="00BA4659"/>
    <w:rsid w:val="00BA4677"/>
    <w:rsid w:val="00BA46D0"/>
    <w:rsid w:val="00BA47D6"/>
    <w:rsid w:val="00BA4876"/>
    <w:rsid w:val="00BA4964"/>
    <w:rsid w:val="00BA4A6C"/>
    <w:rsid w:val="00BA4A76"/>
    <w:rsid w:val="00BA4B0C"/>
    <w:rsid w:val="00BA4B97"/>
    <w:rsid w:val="00BA4DF8"/>
    <w:rsid w:val="00BA505A"/>
    <w:rsid w:val="00BA5073"/>
    <w:rsid w:val="00BA50B4"/>
    <w:rsid w:val="00BA5113"/>
    <w:rsid w:val="00BA520F"/>
    <w:rsid w:val="00BA52BB"/>
    <w:rsid w:val="00BA52F5"/>
    <w:rsid w:val="00BA5401"/>
    <w:rsid w:val="00BA568A"/>
    <w:rsid w:val="00BA57F5"/>
    <w:rsid w:val="00BA588B"/>
    <w:rsid w:val="00BA58B9"/>
    <w:rsid w:val="00BA5A1F"/>
    <w:rsid w:val="00BA5B23"/>
    <w:rsid w:val="00BA5C30"/>
    <w:rsid w:val="00BA5FEC"/>
    <w:rsid w:val="00BA607B"/>
    <w:rsid w:val="00BA621E"/>
    <w:rsid w:val="00BA6280"/>
    <w:rsid w:val="00BA62F4"/>
    <w:rsid w:val="00BA638D"/>
    <w:rsid w:val="00BA6465"/>
    <w:rsid w:val="00BA6479"/>
    <w:rsid w:val="00BA64CE"/>
    <w:rsid w:val="00BA6548"/>
    <w:rsid w:val="00BA6598"/>
    <w:rsid w:val="00BA65EA"/>
    <w:rsid w:val="00BA66DA"/>
    <w:rsid w:val="00BA6730"/>
    <w:rsid w:val="00BA6762"/>
    <w:rsid w:val="00BA6788"/>
    <w:rsid w:val="00BA68F6"/>
    <w:rsid w:val="00BA6926"/>
    <w:rsid w:val="00BA69B9"/>
    <w:rsid w:val="00BA6B80"/>
    <w:rsid w:val="00BA6C85"/>
    <w:rsid w:val="00BA6C9E"/>
    <w:rsid w:val="00BA6DE3"/>
    <w:rsid w:val="00BA6E5C"/>
    <w:rsid w:val="00BA6F61"/>
    <w:rsid w:val="00BA7032"/>
    <w:rsid w:val="00BA73FF"/>
    <w:rsid w:val="00BA7404"/>
    <w:rsid w:val="00BA74F2"/>
    <w:rsid w:val="00BA751D"/>
    <w:rsid w:val="00BA777F"/>
    <w:rsid w:val="00BA779B"/>
    <w:rsid w:val="00BA7888"/>
    <w:rsid w:val="00BA78AF"/>
    <w:rsid w:val="00BA7BEA"/>
    <w:rsid w:val="00BA7D21"/>
    <w:rsid w:val="00BA7D42"/>
    <w:rsid w:val="00BA7E35"/>
    <w:rsid w:val="00BA7E58"/>
    <w:rsid w:val="00BA7E8A"/>
    <w:rsid w:val="00BA7EE8"/>
    <w:rsid w:val="00BA7F26"/>
    <w:rsid w:val="00BB00F6"/>
    <w:rsid w:val="00BB0177"/>
    <w:rsid w:val="00BB026D"/>
    <w:rsid w:val="00BB042E"/>
    <w:rsid w:val="00BB04A7"/>
    <w:rsid w:val="00BB0672"/>
    <w:rsid w:val="00BB074E"/>
    <w:rsid w:val="00BB07A5"/>
    <w:rsid w:val="00BB08A5"/>
    <w:rsid w:val="00BB0A53"/>
    <w:rsid w:val="00BB0C65"/>
    <w:rsid w:val="00BB0DA1"/>
    <w:rsid w:val="00BB0DB4"/>
    <w:rsid w:val="00BB1098"/>
    <w:rsid w:val="00BB110C"/>
    <w:rsid w:val="00BB1160"/>
    <w:rsid w:val="00BB11EB"/>
    <w:rsid w:val="00BB11EF"/>
    <w:rsid w:val="00BB1289"/>
    <w:rsid w:val="00BB13D4"/>
    <w:rsid w:val="00BB1435"/>
    <w:rsid w:val="00BB143E"/>
    <w:rsid w:val="00BB1612"/>
    <w:rsid w:val="00BB16BF"/>
    <w:rsid w:val="00BB180F"/>
    <w:rsid w:val="00BB1909"/>
    <w:rsid w:val="00BB199A"/>
    <w:rsid w:val="00BB1AC2"/>
    <w:rsid w:val="00BB1C06"/>
    <w:rsid w:val="00BB1C3F"/>
    <w:rsid w:val="00BB1CB5"/>
    <w:rsid w:val="00BB1D52"/>
    <w:rsid w:val="00BB1D58"/>
    <w:rsid w:val="00BB1DBF"/>
    <w:rsid w:val="00BB1E16"/>
    <w:rsid w:val="00BB1E2A"/>
    <w:rsid w:val="00BB1F38"/>
    <w:rsid w:val="00BB2193"/>
    <w:rsid w:val="00BB2238"/>
    <w:rsid w:val="00BB258D"/>
    <w:rsid w:val="00BB25C7"/>
    <w:rsid w:val="00BB26DD"/>
    <w:rsid w:val="00BB2771"/>
    <w:rsid w:val="00BB2A7F"/>
    <w:rsid w:val="00BB2B78"/>
    <w:rsid w:val="00BB2C41"/>
    <w:rsid w:val="00BB2DC8"/>
    <w:rsid w:val="00BB2E05"/>
    <w:rsid w:val="00BB2E0D"/>
    <w:rsid w:val="00BB2EE2"/>
    <w:rsid w:val="00BB2F99"/>
    <w:rsid w:val="00BB2FA8"/>
    <w:rsid w:val="00BB300E"/>
    <w:rsid w:val="00BB319E"/>
    <w:rsid w:val="00BB33DD"/>
    <w:rsid w:val="00BB3540"/>
    <w:rsid w:val="00BB3715"/>
    <w:rsid w:val="00BB373E"/>
    <w:rsid w:val="00BB378F"/>
    <w:rsid w:val="00BB3A46"/>
    <w:rsid w:val="00BB3A7B"/>
    <w:rsid w:val="00BB3B5A"/>
    <w:rsid w:val="00BB3C4D"/>
    <w:rsid w:val="00BB3C99"/>
    <w:rsid w:val="00BB3D34"/>
    <w:rsid w:val="00BB3D9F"/>
    <w:rsid w:val="00BB3EE4"/>
    <w:rsid w:val="00BB3FC6"/>
    <w:rsid w:val="00BB40F7"/>
    <w:rsid w:val="00BB42B4"/>
    <w:rsid w:val="00BB430F"/>
    <w:rsid w:val="00BB431B"/>
    <w:rsid w:val="00BB4339"/>
    <w:rsid w:val="00BB43EE"/>
    <w:rsid w:val="00BB43FC"/>
    <w:rsid w:val="00BB446B"/>
    <w:rsid w:val="00BB44C6"/>
    <w:rsid w:val="00BB464F"/>
    <w:rsid w:val="00BB467D"/>
    <w:rsid w:val="00BB4694"/>
    <w:rsid w:val="00BB46BF"/>
    <w:rsid w:val="00BB475E"/>
    <w:rsid w:val="00BB4C92"/>
    <w:rsid w:val="00BB4E1B"/>
    <w:rsid w:val="00BB5202"/>
    <w:rsid w:val="00BB5210"/>
    <w:rsid w:val="00BB5394"/>
    <w:rsid w:val="00BB53F8"/>
    <w:rsid w:val="00BB5401"/>
    <w:rsid w:val="00BB5481"/>
    <w:rsid w:val="00BB5544"/>
    <w:rsid w:val="00BB558A"/>
    <w:rsid w:val="00BB58E5"/>
    <w:rsid w:val="00BB5A17"/>
    <w:rsid w:val="00BB5A5F"/>
    <w:rsid w:val="00BB5C55"/>
    <w:rsid w:val="00BB5DE3"/>
    <w:rsid w:val="00BB6013"/>
    <w:rsid w:val="00BB60CF"/>
    <w:rsid w:val="00BB613F"/>
    <w:rsid w:val="00BB61DB"/>
    <w:rsid w:val="00BB643F"/>
    <w:rsid w:val="00BB64AA"/>
    <w:rsid w:val="00BB65DF"/>
    <w:rsid w:val="00BB65FE"/>
    <w:rsid w:val="00BB661E"/>
    <w:rsid w:val="00BB6717"/>
    <w:rsid w:val="00BB6787"/>
    <w:rsid w:val="00BB6C00"/>
    <w:rsid w:val="00BB6C21"/>
    <w:rsid w:val="00BB6CC2"/>
    <w:rsid w:val="00BB6D39"/>
    <w:rsid w:val="00BB6DDA"/>
    <w:rsid w:val="00BB6F0D"/>
    <w:rsid w:val="00BB70BD"/>
    <w:rsid w:val="00BB7182"/>
    <w:rsid w:val="00BB7502"/>
    <w:rsid w:val="00BB7605"/>
    <w:rsid w:val="00BB7639"/>
    <w:rsid w:val="00BB7803"/>
    <w:rsid w:val="00BB7846"/>
    <w:rsid w:val="00BB7876"/>
    <w:rsid w:val="00BB7A28"/>
    <w:rsid w:val="00BB7A75"/>
    <w:rsid w:val="00BB7C34"/>
    <w:rsid w:val="00BB7CC7"/>
    <w:rsid w:val="00BB7D21"/>
    <w:rsid w:val="00BB7E41"/>
    <w:rsid w:val="00BB7F62"/>
    <w:rsid w:val="00BC021D"/>
    <w:rsid w:val="00BC025E"/>
    <w:rsid w:val="00BC0360"/>
    <w:rsid w:val="00BC0460"/>
    <w:rsid w:val="00BC0549"/>
    <w:rsid w:val="00BC056A"/>
    <w:rsid w:val="00BC0635"/>
    <w:rsid w:val="00BC0675"/>
    <w:rsid w:val="00BC068B"/>
    <w:rsid w:val="00BC0739"/>
    <w:rsid w:val="00BC0832"/>
    <w:rsid w:val="00BC0A18"/>
    <w:rsid w:val="00BC0B25"/>
    <w:rsid w:val="00BC0B56"/>
    <w:rsid w:val="00BC0CED"/>
    <w:rsid w:val="00BC0D3F"/>
    <w:rsid w:val="00BC0F05"/>
    <w:rsid w:val="00BC0F7E"/>
    <w:rsid w:val="00BC1079"/>
    <w:rsid w:val="00BC108A"/>
    <w:rsid w:val="00BC112A"/>
    <w:rsid w:val="00BC1605"/>
    <w:rsid w:val="00BC16A5"/>
    <w:rsid w:val="00BC1843"/>
    <w:rsid w:val="00BC1852"/>
    <w:rsid w:val="00BC1B47"/>
    <w:rsid w:val="00BC1D08"/>
    <w:rsid w:val="00BC1EEF"/>
    <w:rsid w:val="00BC1F29"/>
    <w:rsid w:val="00BC1F5D"/>
    <w:rsid w:val="00BC2032"/>
    <w:rsid w:val="00BC21C8"/>
    <w:rsid w:val="00BC2436"/>
    <w:rsid w:val="00BC2442"/>
    <w:rsid w:val="00BC2647"/>
    <w:rsid w:val="00BC2707"/>
    <w:rsid w:val="00BC27CE"/>
    <w:rsid w:val="00BC2823"/>
    <w:rsid w:val="00BC2834"/>
    <w:rsid w:val="00BC2870"/>
    <w:rsid w:val="00BC2A3A"/>
    <w:rsid w:val="00BC2A9E"/>
    <w:rsid w:val="00BC2C8C"/>
    <w:rsid w:val="00BC2D57"/>
    <w:rsid w:val="00BC2D5F"/>
    <w:rsid w:val="00BC2E54"/>
    <w:rsid w:val="00BC340C"/>
    <w:rsid w:val="00BC3647"/>
    <w:rsid w:val="00BC36C5"/>
    <w:rsid w:val="00BC36FC"/>
    <w:rsid w:val="00BC373A"/>
    <w:rsid w:val="00BC37B3"/>
    <w:rsid w:val="00BC37B6"/>
    <w:rsid w:val="00BC3849"/>
    <w:rsid w:val="00BC38C1"/>
    <w:rsid w:val="00BC3A79"/>
    <w:rsid w:val="00BC3AD1"/>
    <w:rsid w:val="00BC3BDA"/>
    <w:rsid w:val="00BC3BDB"/>
    <w:rsid w:val="00BC3CF9"/>
    <w:rsid w:val="00BC3D35"/>
    <w:rsid w:val="00BC3D54"/>
    <w:rsid w:val="00BC40E6"/>
    <w:rsid w:val="00BC41B3"/>
    <w:rsid w:val="00BC41BA"/>
    <w:rsid w:val="00BC42BC"/>
    <w:rsid w:val="00BC442B"/>
    <w:rsid w:val="00BC4552"/>
    <w:rsid w:val="00BC4620"/>
    <w:rsid w:val="00BC4642"/>
    <w:rsid w:val="00BC465F"/>
    <w:rsid w:val="00BC46A4"/>
    <w:rsid w:val="00BC48F8"/>
    <w:rsid w:val="00BC4C05"/>
    <w:rsid w:val="00BC4C40"/>
    <w:rsid w:val="00BC4C48"/>
    <w:rsid w:val="00BC4C55"/>
    <w:rsid w:val="00BC4CB6"/>
    <w:rsid w:val="00BC4F4D"/>
    <w:rsid w:val="00BC4FC2"/>
    <w:rsid w:val="00BC5064"/>
    <w:rsid w:val="00BC508E"/>
    <w:rsid w:val="00BC50F1"/>
    <w:rsid w:val="00BC52EA"/>
    <w:rsid w:val="00BC5346"/>
    <w:rsid w:val="00BC536D"/>
    <w:rsid w:val="00BC54C1"/>
    <w:rsid w:val="00BC5547"/>
    <w:rsid w:val="00BC556E"/>
    <w:rsid w:val="00BC561E"/>
    <w:rsid w:val="00BC576D"/>
    <w:rsid w:val="00BC5795"/>
    <w:rsid w:val="00BC58CE"/>
    <w:rsid w:val="00BC58D1"/>
    <w:rsid w:val="00BC5A7A"/>
    <w:rsid w:val="00BC5D20"/>
    <w:rsid w:val="00BC5EDF"/>
    <w:rsid w:val="00BC5F34"/>
    <w:rsid w:val="00BC6299"/>
    <w:rsid w:val="00BC65FB"/>
    <w:rsid w:val="00BC663E"/>
    <w:rsid w:val="00BC66C9"/>
    <w:rsid w:val="00BC671B"/>
    <w:rsid w:val="00BC69F3"/>
    <w:rsid w:val="00BC6ACF"/>
    <w:rsid w:val="00BC6AD2"/>
    <w:rsid w:val="00BC6B0F"/>
    <w:rsid w:val="00BC6B16"/>
    <w:rsid w:val="00BC6BB7"/>
    <w:rsid w:val="00BC6BB9"/>
    <w:rsid w:val="00BC6BF3"/>
    <w:rsid w:val="00BC6CBC"/>
    <w:rsid w:val="00BC6DEF"/>
    <w:rsid w:val="00BC6E19"/>
    <w:rsid w:val="00BC6F1B"/>
    <w:rsid w:val="00BC7087"/>
    <w:rsid w:val="00BC7108"/>
    <w:rsid w:val="00BC71F1"/>
    <w:rsid w:val="00BC7440"/>
    <w:rsid w:val="00BC761D"/>
    <w:rsid w:val="00BC7777"/>
    <w:rsid w:val="00BC797F"/>
    <w:rsid w:val="00BC7C31"/>
    <w:rsid w:val="00BC7CCD"/>
    <w:rsid w:val="00BD0011"/>
    <w:rsid w:val="00BD021B"/>
    <w:rsid w:val="00BD03EA"/>
    <w:rsid w:val="00BD04BE"/>
    <w:rsid w:val="00BD07B3"/>
    <w:rsid w:val="00BD0B41"/>
    <w:rsid w:val="00BD0B66"/>
    <w:rsid w:val="00BD0B7F"/>
    <w:rsid w:val="00BD0BBB"/>
    <w:rsid w:val="00BD0BFC"/>
    <w:rsid w:val="00BD0C7B"/>
    <w:rsid w:val="00BD0E59"/>
    <w:rsid w:val="00BD1040"/>
    <w:rsid w:val="00BD1233"/>
    <w:rsid w:val="00BD127E"/>
    <w:rsid w:val="00BD13D8"/>
    <w:rsid w:val="00BD14F9"/>
    <w:rsid w:val="00BD14FA"/>
    <w:rsid w:val="00BD1518"/>
    <w:rsid w:val="00BD152F"/>
    <w:rsid w:val="00BD161E"/>
    <w:rsid w:val="00BD1867"/>
    <w:rsid w:val="00BD1869"/>
    <w:rsid w:val="00BD196F"/>
    <w:rsid w:val="00BD1999"/>
    <w:rsid w:val="00BD1A42"/>
    <w:rsid w:val="00BD1B3D"/>
    <w:rsid w:val="00BD1BCD"/>
    <w:rsid w:val="00BD1C3A"/>
    <w:rsid w:val="00BD1C86"/>
    <w:rsid w:val="00BD1D1B"/>
    <w:rsid w:val="00BD1E8C"/>
    <w:rsid w:val="00BD1ED7"/>
    <w:rsid w:val="00BD1F90"/>
    <w:rsid w:val="00BD213C"/>
    <w:rsid w:val="00BD21C1"/>
    <w:rsid w:val="00BD21FC"/>
    <w:rsid w:val="00BD2225"/>
    <w:rsid w:val="00BD2291"/>
    <w:rsid w:val="00BD2353"/>
    <w:rsid w:val="00BD2373"/>
    <w:rsid w:val="00BD2385"/>
    <w:rsid w:val="00BD246E"/>
    <w:rsid w:val="00BD26E1"/>
    <w:rsid w:val="00BD2722"/>
    <w:rsid w:val="00BD27B2"/>
    <w:rsid w:val="00BD27CC"/>
    <w:rsid w:val="00BD296E"/>
    <w:rsid w:val="00BD29CB"/>
    <w:rsid w:val="00BD29FD"/>
    <w:rsid w:val="00BD2AC8"/>
    <w:rsid w:val="00BD2CC7"/>
    <w:rsid w:val="00BD306F"/>
    <w:rsid w:val="00BD3096"/>
    <w:rsid w:val="00BD31AB"/>
    <w:rsid w:val="00BD328D"/>
    <w:rsid w:val="00BD3344"/>
    <w:rsid w:val="00BD362A"/>
    <w:rsid w:val="00BD3668"/>
    <w:rsid w:val="00BD3769"/>
    <w:rsid w:val="00BD37B4"/>
    <w:rsid w:val="00BD3823"/>
    <w:rsid w:val="00BD3943"/>
    <w:rsid w:val="00BD3993"/>
    <w:rsid w:val="00BD399F"/>
    <w:rsid w:val="00BD39E0"/>
    <w:rsid w:val="00BD3C68"/>
    <w:rsid w:val="00BD3D8B"/>
    <w:rsid w:val="00BD3EF7"/>
    <w:rsid w:val="00BD4118"/>
    <w:rsid w:val="00BD4147"/>
    <w:rsid w:val="00BD41F7"/>
    <w:rsid w:val="00BD44BB"/>
    <w:rsid w:val="00BD454D"/>
    <w:rsid w:val="00BD45A2"/>
    <w:rsid w:val="00BD475E"/>
    <w:rsid w:val="00BD488D"/>
    <w:rsid w:val="00BD4A4C"/>
    <w:rsid w:val="00BD4AF0"/>
    <w:rsid w:val="00BD4AF4"/>
    <w:rsid w:val="00BD4C3D"/>
    <w:rsid w:val="00BD4D0E"/>
    <w:rsid w:val="00BD4DCB"/>
    <w:rsid w:val="00BD4EEF"/>
    <w:rsid w:val="00BD4F2D"/>
    <w:rsid w:val="00BD50CF"/>
    <w:rsid w:val="00BD5114"/>
    <w:rsid w:val="00BD52CF"/>
    <w:rsid w:val="00BD53AA"/>
    <w:rsid w:val="00BD53AF"/>
    <w:rsid w:val="00BD54AC"/>
    <w:rsid w:val="00BD55E5"/>
    <w:rsid w:val="00BD577E"/>
    <w:rsid w:val="00BD588C"/>
    <w:rsid w:val="00BD58E4"/>
    <w:rsid w:val="00BD5972"/>
    <w:rsid w:val="00BD5976"/>
    <w:rsid w:val="00BD5B86"/>
    <w:rsid w:val="00BD5CE6"/>
    <w:rsid w:val="00BD5D74"/>
    <w:rsid w:val="00BD5FAF"/>
    <w:rsid w:val="00BD60E1"/>
    <w:rsid w:val="00BD612B"/>
    <w:rsid w:val="00BD61D7"/>
    <w:rsid w:val="00BD629A"/>
    <w:rsid w:val="00BD6377"/>
    <w:rsid w:val="00BD63A6"/>
    <w:rsid w:val="00BD64D0"/>
    <w:rsid w:val="00BD678A"/>
    <w:rsid w:val="00BD69C3"/>
    <w:rsid w:val="00BD6B6A"/>
    <w:rsid w:val="00BD6B80"/>
    <w:rsid w:val="00BD6BEC"/>
    <w:rsid w:val="00BD6CE5"/>
    <w:rsid w:val="00BD6D59"/>
    <w:rsid w:val="00BD6DAE"/>
    <w:rsid w:val="00BD6E59"/>
    <w:rsid w:val="00BD6F8C"/>
    <w:rsid w:val="00BD6F90"/>
    <w:rsid w:val="00BD6FCA"/>
    <w:rsid w:val="00BD703D"/>
    <w:rsid w:val="00BD71F1"/>
    <w:rsid w:val="00BD7563"/>
    <w:rsid w:val="00BD763E"/>
    <w:rsid w:val="00BD7761"/>
    <w:rsid w:val="00BD779A"/>
    <w:rsid w:val="00BD77AE"/>
    <w:rsid w:val="00BD79F6"/>
    <w:rsid w:val="00BD7A34"/>
    <w:rsid w:val="00BD7B23"/>
    <w:rsid w:val="00BD7B25"/>
    <w:rsid w:val="00BD7D2B"/>
    <w:rsid w:val="00BD7D51"/>
    <w:rsid w:val="00BD7D9A"/>
    <w:rsid w:val="00BD7EFB"/>
    <w:rsid w:val="00BD7F98"/>
    <w:rsid w:val="00BD7FF0"/>
    <w:rsid w:val="00BE00EC"/>
    <w:rsid w:val="00BE0373"/>
    <w:rsid w:val="00BE03C4"/>
    <w:rsid w:val="00BE044D"/>
    <w:rsid w:val="00BE044E"/>
    <w:rsid w:val="00BE04D0"/>
    <w:rsid w:val="00BE0563"/>
    <w:rsid w:val="00BE06B0"/>
    <w:rsid w:val="00BE0880"/>
    <w:rsid w:val="00BE08E4"/>
    <w:rsid w:val="00BE0938"/>
    <w:rsid w:val="00BE096C"/>
    <w:rsid w:val="00BE09A1"/>
    <w:rsid w:val="00BE113E"/>
    <w:rsid w:val="00BE1195"/>
    <w:rsid w:val="00BE12F2"/>
    <w:rsid w:val="00BE14AD"/>
    <w:rsid w:val="00BE17E0"/>
    <w:rsid w:val="00BE1880"/>
    <w:rsid w:val="00BE19ED"/>
    <w:rsid w:val="00BE1B79"/>
    <w:rsid w:val="00BE1C18"/>
    <w:rsid w:val="00BE1D22"/>
    <w:rsid w:val="00BE1DF2"/>
    <w:rsid w:val="00BE1E6F"/>
    <w:rsid w:val="00BE1FA7"/>
    <w:rsid w:val="00BE2079"/>
    <w:rsid w:val="00BE2085"/>
    <w:rsid w:val="00BE2121"/>
    <w:rsid w:val="00BE2361"/>
    <w:rsid w:val="00BE24D5"/>
    <w:rsid w:val="00BE25E5"/>
    <w:rsid w:val="00BE2666"/>
    <w:rsid w:val="00BE295B"/>
    <w:rsid w:val="00BE29BB"/>
    <w:rsid w:val="00BE2A98"/>
    <w:rsid w:val="00BE2D1F"/>
    <w:rsid w:val="00BE2D25"/>
    <w:rsid w:val="00BE2DD2"/>
    <w:rsid w:val="00BE2FE1"/>
    <w:rsid w:val="00BE3145"/>
    <w:rsid w:val="00BE3200"/>
    <w:rsid w:val="00BE3414"/>
    <w:rsid w:val="00BE3491"/>
    <w:rsid w:val="00BE3539"/>
    <w:rsid w:val="00BE3541"/>
    <w:rsid w:val="00BE3642"/>
    <w:rsid w:val="00BE3762"/>
    <w:rsid w:val="00BE378D"/>
    <w:rsid w:val="00BE3797"/>
    <w:rsid w:val="00BE37D0"/>
    <w:rsid w:val="00BE3836"/>
    <w:rsid w:val="00BE398F"/>
    <w:rsid w:val="00BE3B2F"/>
    <w:rsid w:val="00BE3C98"/>
    <w:rsid w:val="00BE3D77"/>
    <w:rsid w:val="00BE3EBB"/>
    <w:rsid w:val="00BE3F5B"/>
    <w:rsid w:val="00BE3F5F"/>
    <w:rsid w:val="00BE4049"/>
    <w:rsid w:val="00BE4050"/>
    <w:rsid w:val="00BE40C2"/>
    <w:rsid w:val="00BE42B6"/>
    <w:rsid w:val="00BE4311"/>
    <w:rsid w:val="00BE4376"/>
    <w:rsid w:val="00BE4708"/>
    <w:rsid w:val="00BE477B"/>
    <w:rsid w:val="00BE479C"/>
    <w:rsid w:val="00BE48C8"/>
    <w:rsid w:val="00BE48CA"/>
    <w:rsid w:val="00BE48F5"/>
    <w:rsid w:val="00BE4B51"/>
    <w:rsid w:val="00BE4B73"/>
    <w:rsid w:val="00BE4B94"/>
    <w:rsid w:val="00BE4E1E"/>
    <w:rsid w:val="00BE4F84"/>
    <w:rsid w:val="00BE4FB2"/>
    <w:rsid w:val="00BE50C1"/>
    <w:rsid w:val="00BE51B4"/>
    <w:rsid w:val="00BE5266"/>
    <w:rsid w:val="00BE5298"/>
    <w:rsid w:val="00BE52DC"/>
    <w:rsid w:val="00BE53CA"/>
    <w:rsid w:val="00BE56BB"/>
    <w:rsid w:val="00BE58A0"/>
    <w:rsid w:val="00BE5A18"/>
    <w:rsid w:val="00BE5A59"/>
    <w:rsid w:val="00BE5C7A"/>
    <w:rsid w:val="00BE5C89"/>
    <w:rsid w:val="00BE5F26"/>
    <w:rsid w:val="00BE5FDA"/>
    <w:rsid w:val="00BE6018"/>
    <w:rsid w:val="00BE61F1"/>
    <w:rsid w:val="00BE63E1"/>
    <w:rsid w:val="00BE646F"/>
    <w:rsid w:val="00BE65EF"/>
    <w:rsid w:val="00BE65F9"/>
    <w:rsid w:val="00BE69D1"/>
    <w:rsid w:val="00BE6AD3"/>
    <w:rsid w:val="00BE6B12"/>
    <w:rsid w:val="00BE6C60"/>
    <w:rsid w:val="00BE6F87"/>
    <w:rsid w:val="00BE7095"/>
    <w:rsid w:val="00BE720E"/>
    <w:rsid w:val="00BE7386"/>
    <w:rsid w:val="00BE73E1"/>
    <w:rsid w:val="00BE7608"/>
    <w:rsid w:val="00BE76F9"/>
    <w:rsid w:val="00BE7876"/>
    <w:rsid w:val="00BE7915"/>
    <w:rsid w:val="00BE7946"/>
    <w:rsid w:val="00BE794A"/>
    <w:rsid w:val="00BE799B"/>
    <w:rsid w:val="00BE7AC1"/>
    <w:rsid w:val="00BE7CF5"/>
    <w:rsid w:val="00BE7D38"/>
    <w:rsid w:val="00BE7D7F"/>
    <w:rsid w:val="00BE7DF5"/>
    <w:rsid w:val="00BF03F6"/>
    <w:rsid w:val="00BF053A"/>
    <w:rsid w:val="00BF05A5"/>
    <w:rsid w:val="00BF05EF"/>
    <w:rsid w:val="00BF078D"/>
    <w:rsid w:val="00BF07D8"/>
    <w:rsid w:val="00BF09E2"/>
    <w:rsid w:val="00BF0B40"/>
    <w:rsid w:val="00BF0C46"/>
    <w:rsid w:val="00BF0E85"/>
    <w:rsid w:val="00BF0F6C"/>
    <w:rsid w:val="00BF10C4"/>
    <w:rsid w:val="00BF1297"/>
    <w:rsid w:val="00BF14E7"/>
    <w:rsid w:val="00BF1822"/>
    <w:rsid w:val="00BF1931"/>
    <w:rsid w:val="00BF1A14"/>
    <w:rsid w:val="00BF1AB5"/>
    <w:rsid w:val="00BF1B28"/>
    <w:rsid w:val="00BF1C90"/>
    <w:rsid w:val="00BF1D37"/>
    <w:rsid w:val="00BF1DCD"/>
    <w:rsid w:val="00BF1E90"/>
    <w:rsid w:val="00BF1EA9"/>
    <w:rsid w:val="00BF207C"/>
    <w:rsid w:val="00BF2310"/>
    <w:rsid w:val="00BF231E"/>
    <w:rsid w:val="00BF2407"/>
    <w:rsid w:val="00BF251E"/>
    <w:rsid w:val="00BF2699"/>
    <w:rsid w:val="00BF26FB"/>
    <w:rsid w:val="00BF29D5"/>
    <w:rsid w:val="00BF2B1A"/>
    <w:rsid w:val="00BF2D01"/>
    <w:rsid w:val="00BF2DE0"/>
    <w:rsid w:val="00BF3215"/>
    <w:rsid w:val="00BF3300"/>
    <w:rsid w:val="00BF34FF"/>
    <w:rsid w:val="00BF36F4"/>
    <w:rsid w:val="00BF3701"/>
    <w:rsid w:val="00BF37D2"/>
    <w:rsid w:val="00BF37E4"/>
    <w:rsid w:val="00BF3812"/>
    <w:rsid w:val="00BF398A"/>
    <w:rsid w:val="00BF39D2"/>
    <w:rsid w:val="00BF3C3B"/>
    <w:rsid w:val="00BF3C8A"/>
    <w:rsid w:val="00BF3CEB"/>
    <w:rsid w:val="00BF3DBF"/>
    <w:rsid w:val="00BF3DD3"/>
    <w:rsid w:val="00BF3E48"/>
    <w:rsid w:val="00BF3ED2"/>
    <w:rsid w:val="00BF417D"/>
    <w:rsid w:val="00BF428F"/>
    <w:rsid w:val="00BF4359"/>
    <w:rsid w:val="00BF4368"/>
    <w:rsid w:val="00BF4451"/>
    <w:rsid w:val="00BF4482"/>
    <w:rsid w:val="00BF448F"/>
    <w:rsid w:val="00BF44EE"/>
    <w:rsid w:val="00BF45E4"/>
    <w:rsid w:val="00BF4629"/>
    <w:rsid w:val="00BF46CD"/>
    <w:rsid w:val="00BF4710"/>
    <w:rsid w:val="00BF4810"/>
    <w:rsid w:val="00BF4879"/>
    <w:rsid w:val="00BF48CD"/>
    <w:rsid w:val="00BF495A"/>
    <w:rsid w:val="00BF498C"/>
    <w:rsid w:val="00BF4CB8"/>
    <w:rsid w:val="00BF4F11"/>
    <w:rsid w:val="00BF4F2E"/>
    <w:rsid w:val="00BF4F5A"/>
    <w:rsid w:val="00BF5017"/>
    <w:rsid w:val="00BF54D9"/>
    <w:rsid w:val="00BF55AD"/>
    <w:rsid w:val="00BF55EC"/>
    <w:rsid w:val="00BF560A"/>
    <w:rsid w:val="00BF5629"/>
    <w:rsid w:val="00BF56FC"/>
    <w:rsid w:val="00BF575F"/>
    <w:rsid w:val="00BF57CD"/>
    <w:rsid w:val="00BF57D1"/>
    <w:rsid w:val="00BF589E"/>
    <w:rsid w:val="00BF594C"/>
    <w:rsid w:val="00BF5986"/>
    <w:rsid w:val="00BF5A1B"/>
    <w:rsid w:val="00BF5A47"/>
    <w:rsid w:val="00BF5CE6"/>
    <w:rsid w:val="00BF5D55"/>
    <w:rsid w:val="00BF5DB2"/>
    <w:rsid w:val="00BF5DDE"/>
    <w:rsid w:val="00BF5F58"/>
    <w:rsid w:val="00BF5FA3"/>
    <w:rsid w:val="00BF6074"/>
    <w:rsid w:val="00BF6091"/>
    <w:rsid w:val="00BF6104"/>
    <w:rsid w:val="00BF6179"/>
    <w:rsid w:val="00BF6346"/>
    <w:rsid w:val="00BF6A28"/>
    <w:rsid w:val="00BF6A33"/>
    <w:rsid w:val="00BF6A69"/>
    <w:rsid w:val="00BF6A81"/>
    <w:rsid w:val="00BF6C19"/>
    <w:rsid w:val="00BF6C6E"/>
    <w:rsid w:val="00BF6D62"/>
    <w:rsid w:val="00BF6E07"/>
    <w:rsid w:val="00BF7105"/>
    <w:rsid w:val="00BF715C"/>
    <w:rsid w:val="00BF72A8"/>
    <w:rsid w:val="00BF7362"/>
    <w:rsid w:val="00BF7466"/>
    <w:rsid w:val="00BF74ED"/>
    <w:rsid w:val="00BF7641"/>
    <w:rsid w:val="00BF7693"/>
    <w:rsid w:val="00BF7794"/>
    <w:rsid w:val="00BF7814"/>
    <w:rsid w:val="00BF7942"/>
    <w:rsid w:val="00BF7A46"/>
    <w:rsid w:val="00BF7ACB"/>
    <w:rsid w:val="00BF7B27"/>
    <w:rsid w:val="00BF7B4B"/>
    <w:rsid w:val="00BF7D7C"/>
    <w:rsid w:val="00BF7DDF"/>
    <w:rsid w:val="00BF7E4F"/>
    <w:rsid w:val="00BF7EBB"/>
    <w:rsid w:val="00BF7F6E"/>
    <w:rsid w:val="00BF7FAF"/>
    <w:rsid w:val="00C00020"/>
    <w:rsid w:val="00C00136"/>
    <w:rsid w:val="00C002FF"/>
    <w:rsid w:val="00C003B1"/>
    <w:rsid w:val="00C00448"/>
    <w:rsid w:val="00C00463"/>
    <w:rsid w:val="00C004C1"/>
    <w:rsid w:val="00C0058A"/>
    <w:rsid w:val="00C005A1"/>
    <w:rsid w:val="00C0063E"/>
    <w:rsid w:val="00C008C1"/>
    <w:rsid w:val="00C00966"/>
    <w:rsid w:val="00C00B61"/>
    <w:rsid w:val="00C00C5C"/>
    <w:rsid w:val="00C00D4B"/>
    <w:rsid w:val="00C00E1B"/>
    <w:rsid w:val="00C00E23"/>
    <w:rsid w:val="00C00E8D"/>
    <w:rsid w:val="00C012D1"/>
    <w:rsid w:val="00C013CD"/>
    <w:rsid w:val="00C01635"/>
    <w:rsid w:val="00C016AA"/>
    <w:rsid w:val="00C01875"/>
    <w:rsid w:val="00C0188C"/>
    <w:rsid w:val="00C019DA"/>
    <w:rsid w:val="00C01AC2"/>
    <w:rsid w:val="00C01B03"/>
    <w:rsid w:val="00C01ED1"/>
    <w:rsid w:val="00C01F37"/>
    <w:rsid w:val="00C01FCC"/>
    <w:rsid w:val="00C02067"/>
    <w:rsid w:val="00C02134"/>
    <w:rsid w:val="00C0214A"/>
    <w:rsid w:val="00C021BA"/>
    <w:rsid w:val="00C02274"/>
    <w:rsid w:val="00C022AA"/>
    <w:rsid w:val="00C022B5"/>
    <w:rsid w:val="00C0238C"/>
    <w:rsid w:val="00C023CE"/>
    <w:rsid w:val="00C023D6"/>
    <w:rsid w:val="00C0241F"/>
    <w:rsid w:val="00C024B9"/>
    <w:rsid w:val="00C02647"/>
    <w:rsid w:val="00C0269C"/>
    <w:rsid w:val="00C026D8"/>
    <w:rsid w:val="00C02C1F"/>
    <w:rsid w:val="00C02C51"/>
    <w:rsid w:val="00C02C7E"/>
    <w:rsid w:val="00C02D3D"/>
    <w:rsid w:val="00C02D3E"/>
    <w:rsid w:val="00C02DF1"/>
    <w:rsid w:val="00C02ED4"/>
    <w:rsid w:val="00C03003"/>
    <w:rsid w:val="00C0304F"/>
    <w:rsid w:val="00C030F3"/>
    <w:rsid w:val="00C030F7"/>
    <w:rsid w:val="00C03293"/>
    <w:rsid w:val="00C032CA"/>
    <w:rsid w:val="00C032D6"/>
    <w:rsid w:val="00C033D2"/>
    <w:rsid w:val="00C0342D"/>
    <w:rsid w:val="00C03493"/>
    <w:rsid w:val="00C0354B"/>
    <w:rsid w:val="00C03630"/>
    <w:rsid w:val="00C03959"/>
    <w:rsid w:val="00C03B6B"/>
    <w:rsid w:val="00C03C43"/>
    <w:rsid w:val="00C03E96"/>
    <w:rsid w:val="00C03F2D"/>
    <w:rsid w:val="00C040B7"/>
    <w:rsid w:val="00C04164"/>
    <w:rsid w:val="00C041BD"/>
    <w:rsid w:val="00C0424B"/>
    <w:rsid w:val="00C0451D"/>
    <w:rsid w:val="00C047FE"/>
    <w:rsid w:val="00C0489E"/>
    <w:rsid w:val="00C048D7"/>
    <w:rsid w:val="00C0490D"/>
    <w:rsid w:val="00C04A6A"/>
    <w:rsid w:val="00C04A6D"/>
    <w:rsid w:val="00C04AF4"/>
    <w:rsid w:val="00C04B41"/>
    <w:rsid w:val="00C04C35"/>
    <w:rsid w:val="00C04D6D"/>
    <w:rsid w:val="00C04F4D"/>
    <w:rsid w:val="00C04FD9"/>
    <w:rsid w:val="00C050CF"/>
    <w:rsid w:val="00C0522A"/>
    <w:rsid w:val="00C05311"/>
    <w:rsid w:val="00C054A2"/>
    <w:rsid w:val="00C055A4"/>
    <w:rsid w:val="00C055BF"/>
    <w:rsid w:val="00C05617"/>
    <w:rsid w:val="00C05719"/>
    <w:rsid w:val="00C05773"/>
    <w:rsid w:val="00C05A21"/>
    <w:rsid w:val="00C05A68"/>
    <w:rsid w:val="00C05A86"/>
    <w:rsid w:val="00C05C34"/>
    <w:rsid w:val="00C05ED1"/>
    <w:rsid w:val="00C0602C"/>
    <w:rsid w:val="00C060D4"/>
    <w:rsid w:val="00C062ED"/>
    <w:rsid w:val="00C06607"/>
    <w:rsid w:val="00C066DF"/>
    <w:rsid w:val="00C06853"/>
    <w:rsid w:val="00C069E3"/>
    <w:rsid w:val="00C06A2C"/>
    <w:rsid w:val="00C06C5E"/>
    <w:rsid w:val="00C0700A"/>
    <w:rsid w:val="00C070BD"/>
    <w:rsid w:val="00C073FD"/>
    <w:rsid w:val="00C07403"/>
    <w:rsid w:val="00C074B4"/>
    <w:rsid w:val="00C074CA"/>
    <w:rsid w:val="00C075B6"/>
    <w:rsid w:val="00C0761C"/>
    <w:rsid w:val="00C07717"/>
    <w:rsid w:val="00C07809"/>
    <w:rsid w:val="00C078D6"/>
    <w:rsid w:val="00C078F3"/>
    <w:rsid w:val="00C07A9E"/>
    <w:rsid w:val="00C07F91"/>
    <w:rsid w:val="00C10227"/>
    <w:rsid w:val="00C102BE"/>
    <w:rsid w:val="00C1059B"/>
    <w:rsid w:val="00C1069E"/>
    <w:rsid w:val="00C108A2"/>
    <w:rsid w:val="00C1090A"/>
    <w:rsid w:val="00C10A5E"/>
    <w:rsid w:val="00C10B85"/>
    <w:rsid w:val="00C10D67"/>
    <w:rsid w:val="00C10D73"/>
    <w:rsid w:val="00C10DE6"/>
    <w:rsid w:val="00C10E23"/>
    <w:rsid w:val="00C10E83"/>
    <w:rsid w:val="00C110A1"/>
    <w:rsid w:val="00C1156F"/>
    <w:rsid w:val="00C1158B"/>
    <w:rsid w:val="00C115DB"/>
    <w:rsid w:val="00C1162F"/>
    <w:rsid w:val="00C1173A"/>
    <w:rsid w:val="00C11973"/>
    <w:rsid w:val="00C11986"/>
    <w:rsid w:val="00C119BC"/>
    <w:rsid w:val="00C11BD8"/>
    <w:rsid w:val="00C11C77"/>
    <w:rsid w:val="00C11FAC"/>
    <w:rsid w:val="00C1214E"/>
    <w:rsid w:val="00C1219E"/>
    <w:rsid w:val="00C12213"/>
    <w:rsid w:val="00C1234A"/>
    <w:rsid w:val="00C1242C"/>
    <w:rsid w:val="00C1243E"/>
    <w:rsid w:val="00C12461"/>
    <w:rsid w:val="00C124C9"/>
    <w:rsid w:val="00C12579"/>
    <w:rsid w:val="00C12648"/>
    <w:rsid w:val="00C1276B"/>
    <w:rsid w:val="00C129A0"/>
    <w:rsid w:val="00C12B11"/>
    <w:rsid w:val="00C12CA4"/>
    <w:rsid w:val="00C12CC5"/>
    <w:rsid w:val="00C12F42"/>
    <w:rsid w:val="00C131DC"/>
    <w:rsid w:val="00C1335C"/>
    <w:rsid w:val="00C1346C"/>
    <w:rsid w:val="00C13515"/>
    <w:rsid w:val="00C1355D"/>
    <w:rsid w:val="00C1357B"/>
    <w:rsid w:val="00C135EF"/>
    <w:rsid w:val="00C13676"/>
    <w:rsid w:val="00C136E0"/>
    <w:rsid w:val="00C1379F"/>
    <w:rsid w:val="00C137F6"/>
    <w:rsid w:val="00C139D4"/>
    <w:rsid w:val="00C13BC1"/>
    <w:rsid w:val="00C13CC7"/>
    <w:rsid w:val="00C13D5E"/>
    <w:rsid w:val="00C13D75"/>
    <w:rsid w:val="00C13DA5"/>
    <w:rsid w:val="00C13F09"/>
    <w:rsid w:val="00C140BD"/>
    <w:rsid w:val="00C1432B"/>
    <w:rsid w:val="00C143EF"/>
    <w:rsid w:val="00C145D0"/>
    <w:rsid w:val="00C146CE"/>
    <w:rsid w:val="00C146E9"/>
    <w:rsid w:val="00C14780"/>
    <w:rsid w:val="00C14961"/>
    <w:rsid w:val="00C14A4A"/>
    <w:rsid w:val="00C14BF7"/>
    <w:rsid w:val="00C14C12"/>
    <w:rsid w:val="00C14E06"/>
    <w:rsid w:val="00C14F47"/>
    <w:rsid w:val="00C14F82"/>
    <w:rsid w:val="00C14FF5"/>
    <w:rsid w:val="00C15128"/>
    <w:rsid w:val="00C1515D"/>
    <w:rsid w:val="00C1536E"/>
    <w:rsid w:val="00C15686"/>
    <w:rsid w:val="00C156C6"/>
    <w:rsid w:val="00C157AC"/>
    <w:rsid w:val="00C158BD"/>
    <w:rsid w:val="00C158D3"/>
    <w:rsid w:val="00C1599B"/>
    <w:rsid w:val="00C159EA"/>
    <w:rsid w:val="00C15A25"/>
    <w:rsid w:val="00C15AC9"/>
    <w:rsid w:val="00C15AD2"/>
    <w:rsid w:val="00C15AF9"/>
    <w:rsid w:val="00C15B21"/>
    <w:rsid w:val="00C15C1D"/>
    <w:rsid w:val="00C15C54"/>
    <w:rsid w:val="00C15C6D"/>
    <w:rsid w:val="00C15D35"/>
    <w:rsid w:val="00C15E8C"/>
    <w:rsid w:val="00C15F44"/>
    <w:rsid w:val="00C15FD4"/>
    <w:rsid w:val="00C1607B"/>
    <w:rsid w:val="00C16139"/>
    <w:rsid w:val="00C16212"/>
    <w:rsid w:val="00C16229"/>
    <w:rsid w:val="00C16233"/>
    <w:rsid w:val="00C1626E"/>
    <w:rsid w:val="00C1655C"/>
    <w:rsid w:val="00C166DB"/>
    <w:rsid w:val="00C16745"/>
    <w:rsid w:val="00C16770"/>
    <w:rsid w:val="00C167E1"/>
    <w:rsid w:val="00C1681C"/>
    <w:rsid w:val="00C16862"/>
    <w:rsid w:val="00C16867"/>
    <w:rsid w:val="00C168D6"/>
    <w:rsid w:val="00C16ADF"/>
    <w:rsid w:val="00C16B9D"/>
    <w:rsid w:val="00C16E15"/>
    <w:rsid w:val="00C17039"/>
    <w:rsid w:val="00C1726A"/>
    <w:rsid w:val="00C174F2"/>
    <w:rsid w:val="00C1757C"/>
    <w:rsid w:val="00C176B6"/>
    <w:rsid w:val="00C1785B"/>
    <w:rsid w:val="00C17A4B"/>
    <w:rsid w:val="00C17C2C"/>
    <w:rsid w:val="00C17C48"/>
    <w:rsid w:val="00C17FB3"/>
    <w:rsid w:val="00C20047"/>
    <w:rsid w:val="00C200CC"/>
    <w:rsid w:val="00C201D7"/>
    <w:rsid w:val="00C20273"/>
    <w:rsid w:val="00C202FF"/>
    <w:rsid w:val="00C2030A"/>
    <w:rsid w:val="00C20350"/>
    <w:rsid w:val="00C2035F"/>
    <w:rsid w:val="00C20423"/>
    <w:rsid w:val="00C2056B"/>
    <w:rsid w:val="00C205D3"/>
    <w:rsid w:val="00C2077D"/>
    <w:rsid w:val="00C207B0"/>
    <w:rsid w:val="00C2086C"/>
    <w:rsid w:val="00C20895"/>
    <w:rsid w:val="00C208C1"/>
    <w:rsid w:val="00C2093A"/>
    <w:rsid w:val="00C20963"/>
    <w:rsid w:val="00C20A18"/>
    <w:rsid w:val="00C20BCD"/>
    <w:rsid w:val="00C20CCC"/>
    <w:rsid w:val="00C20DE8"/>
    <w:rsid w:val="00C20E6F"/>
    <w:rsid w:val="00C20EB6"/>
    <w:rsid w:val="00C20F1E"/>
    <w:rsid w:val="00C20FF3"/>
    <w:rsid w:val="00C213FC"/>
    <w:rsid w:val="00C21427"/>
    <w:rsid w:val="00C214FE"/>
    <w:rsid w:val="00C21738"/>
    <w:rsid w:val="00C21978"/>
    <w:rsid w:val="00C219DE"/>
    <w:rsid w:val="00C21A92"/>
    <w:rsid w:val="00C21B55"/>
    <w:rsid w:val="00C21B68"/>
    <w:rsid w:val="00C21B6D"/>
    <w:rsid w:val="00C21CA7"/>
    <w:rsid w:val="00C21EA6"/>
    <w:rsid w:val="00C21F02"/>
    <w:rsid w:val="00C21F1B"/>
    <w:rsid w:val="00C2204E"/>
    <w:rsid w:val="00C22099"/>
    <w:rsid w:val="00C220BE"/>
    <w:rsid w:val="00C22118"/>
    <w:rsid w:val="00C2218E"/>
    <w:rsid w:val="00C221EA"/>
    <w:rsid w:val="00C22348"/>
    <w:rsid w:val="00C22479"/>
    <w:rsid w:val="00C2250F"/>
    <w:rsid w:val="00C2253B"/>
    <w:rsid w:val="00C225DC"/>
    <w:rsid w:val="00C226D5"/>
    <w:rsid w:val="00C22953"/>
    <w:rsid w:val="00C22CDA"/>
    <w:rsid w:val="00C22DD9"/>
    <w:rsid w:val="00C22E23"/>
    <w:rsid w:val="00C22EC8"/>
    <w:rsid w:val="00C22F4C"/>
    <w:rsid w:val="00C22F9A"/>
    <w:rsid w:val="00C23058"/>
    <w:rsid w:val="00C230D7"/>
    <w:rsid w:val="00C2310C"/>
    <w:rsid w:val="00C23155"/>
    <w:rsid w:val="00C232DE"/>
    <w:rsid w:val="00C2335E"/>
    <w:rsid w:val="00C2353E"/>
    <w:rsid w:val="00C23604"/>
    <w:rsid w:val="00C2377C"/>
    <w:rsid w:val="00C237DC"/>
    <w:rsid w:val="00C23866"/>
    <w:rsid w:val="00C2395A"/>
    <w:rsid w:val="00C23AD0"/>
    <w:rsid w:val="00C23C88"/>
    <w:rsid w:val="00C23D52"/>
    <w:rsid w:val="00C23FBC"/>
    <w:rsid w:val="00C24078"/>
    <w:rsid w:val="00C241D7"/>
    <w:rsid w:val="00C242F6"/>
    <w:rsid w:val="00C24369"/>
    <w:rsid w:val="00C24394"/>
    <w:rsid w:val="00C245EC"/>
    <w:rsid w:val="00C2469F"/>
    <w:rsid w:val="00C2474E"/>
    <w:rsid w:val="00C24771"/>
    <w:rsid w:val="00C2494F"/>
    <w:rsid w:val="00C24A31"/>
    <w:rsid w:val="00C24AAA"/>
    <w:rsid w:val="00C24AAE"/>
    <w:rsid w:val="00C24B4C"/>
    <w:rsid w:val="00C24BA5"/>
    <w:rsid w:val="00C24CF0"/>
    <w:rsid w:val="00C24CF1"/>
    <w:rsid w:val="00C24E17"/>
    <w:rsid w:val="00C24E1F"/>
    <w:rsid w:val="00C24EB6"/>
    <w:rsid w:val="00C24ED6"/>
    <w:rsid w:val="00C24F75"/>
    <w:rsid w:val="00C250D1"/>
    <w:rsid w:val="00C25121"/>
    <w:rsid w:val="00C25129"/>
    <w:rsid w:val="00C2524C"/>
    <w:rsid w:val="00C25262"/>
    <w:rsid w:val="00C252C7"/>
    <w:rsid w:val="00C25349"/>
    <w:rsid w:val="00C25519"/>
    <w:rsid w:val="00C25829"/>
    <w:rsid w:val="00C25A89"/>
    <w:rsid w:val="00C25AE7"/>
    <w:rsid w:val="00C25B19"/>
    <w:rsid w:val="00C25D47"/>
    <w:rsid w:val="00C25EBC"/>
    <w:rsid w:val="00C260AC"/>
    <w:rsid w:val="00C260FB"/>
    <w:rsid w:val="00C2631C"/>
    <w:rsid w:val="00C263EE"/>
    <w:rsid w:val="00C26605"/>
    <w:rsid w:val="00C26774"/>
    <w:rsid w:val="00C26859"/>
    <w:rsid w:val="00C268D7"/>
    <w:rsid w:val="00C268E2"/>
    <w:rsid w:val="00C2696F"/>
    <w:rsid w:val="00C26C12"/>
    <w:rsid w:val="00C26C83"/>
    <w:rsid w:val="00C26CDA"/>
    <w:rsid w:val="00C26E50"/>
    <w:rsid w:val="00C26F29"/>
    <w:rsid w:val="00C26F9A"/>
    <w:rsid w:val="00C26FFD"/>
    <w:rsid w:val="00C27135"/>
    <w:rsid w:val="00C27242"/>
    <w:rsid w:val="00C272F6"/>
    <w:rsid w:val="00C27345"/>
    <w:rsid w:val="00C2734E"/>
    <w:rsid w:val="00C2749E"/>
    <w:rsid w:val="00C274BE"/>
    <w:rsid w:val="00C2754E"/>
    <w:rsid w:val="00C27569"/>
    <w:rsid w:val="00C2760D"/>
    <w:rsid w:val="00C27753"/>
    <w:rsid w:val="00C27992"/>
    <w:rsid w:val="00C27AB9"/>
    <w:rsid w:val="00C27C3B"/>
    <w:rsid w:val="00C27CD9"/>
    <w:rsid w:val="00C27EB4"/>
    <w:rsid w:val="00C27ED7"/>
    <w:rsid w:val="00C27FB6"/>
    <w:rsid w:val="00C30078"/>
    <w:rsid w:val="00C301F5"/>
    <w:rsid w:val="00C30342"/>
    <w:rsid w:val="00C306A9"/>
    <w:rsid w:val="00C306E6"/>
    <w:rsid w:val="00C30778"/>
    <w:rsid w:val="00C30869"/>
    <w:rsid w:val="00C309FB"/>
    <w:rsid w:val="00C30BCD"/>
    <w:rsid w:val="00C30D0E"/>
    <w:rsid w:val="00C30DE1"/>
    <w:rsid w:val="00C30DE2"/>
    <w:rsid w:val="00C30FC2"/>
    <w:rsid w:val="00C3143E"/>
    <w:rsid w:val="00C315D4"/>
    <w:rsid w:val="00C315DA"/>
    <w:rsid w:val="00C3168C"/>
    <w:rsid w:val="00C316F9"/>
    <w:rsid w:val="00C31831"/>
    <w:rsid w:val="00C318B1"/>
    <w:rsid w:val="00C319AC"/>
    <w:rsid w:val="00C319AE"/>
    <w:rsid w:val="00C319B7"/>
    <w:rsid w:val="00C31D22"/>
    <w:rsid w:val="00C31E2F"/>
    <w:rsid w:val="00C31F27"/>
    <w:rsid w:val="00C31FCF"/>
    <w:rsid w:val="00C3215B"/>
    <w:rsid w:val="00C321FE"/>
    <w:rsid w:val="00C3223B"/>
    <w:rsid w:val="00C3223C"/>
    <w:rsid w:val="00C32578"/>
    <w:rsid w:val="00C32811"/>
    <w:rsid w:val="00C3284A"/>
    <w:rsid w:val="00C3284C"/>
    <w:rsid w:val="00C3289A"/>
    <w:rsid w:val="00C329E0"/>
    <w:rsid w:val="00C32B70"/>
    <w:rsid w:val="00C32C27"/>
    <w:rsid w:val="00C32E27"/>
    <w:rsid w:val="00C32E95"/>
    <w:rsid w:val="00C330FD"/>
    <w:rsid w:val="00C3313E"/>
    <w:rsid w:val="00C33140"/>
    <w:rsid w:val="00C33370"/>
    <w:rsid w:val="00C333F9"/>
    <w:rsid w:val="00C33667"/>
    <w:rsid w:val="00C336C7"/>
    <w:rsid w:val="00C33813"/>
    <w:rsid w:val="00C33871"/>
    <w:rsid w:val="00C33987"/>
    <w:rsid w:val="00C33BAA"/>
    <w:rsid w:val="00C33C4D"/>
    <w:rsid w:val="00C33D11"/>
    <w:rsid w:val="00C33DF9"/>
    <w:rsid w:val="00C33F23"/>
    <w:rsid w:val="00C341BC"/>
    <w:rsid w:val="00C34260"/>
    <w:rsid w:val="00C3441F"/>
    <w:rsid w:val="00C3460F"/>
    <w:rsid w:val="00C34664"/>
    <w:rsid w:val="00C3485A"/>
    <w:rsid w:val="00C34977"/>
    <w:rsid w:val="00C34D01"/>
    <w:rsid w:val="00C34D1E"/>
    <w:rsid w:val="00C34DB7"/>
    <w:rsid w:val="00C35077"/>
    <w:rsid w:val="00C350CD"/>
    <w:rsid w:val="00C35191"/>
    <w:rsid w:val="00C3521D"/>
    <w:rsid w:val="00C35334"/>
    <w:rsid w:val="00C35425"/>
    <w:rsid w:val="00C3568D"/>
    <w:rsid w:val="00C35963"/>
    <w:rsid w:val="00C359E3"/>
    <w:rsid w:val="00C35A13"/>
    <w:rsid w:val="00C35A48"/>
    <w:rsid w:val="00C35AC5"/>
    <w:rsid w:val="00C35ADC"/>
    <w:rsid w:val="00C35C27"/>
    <w:rsid w:val="00C35C9E"/>
    <w:rsid w:val="00C35D08"/>
    <w:rsid w:val="00C35D3E"/>
    <w:rsid w:val="00C3620E"/>
    <w:rsid w:val="00C365DD"/>
    <w:rsid w:val="00C3671A"/>
    <w:rsid w:val="00C36896"/>
    <w:rsid w:val="00C369D0"/>
    <w:rsid w:val="00C36A7D"/>
    <w:rsid w:val="00C36FA7"/>
    <w:rsid w:val="00C36FCD"/>
    <w:rsid w:val="00C37083"/>
    <w:rsid w:val="00C370C2"/>
    <w:rsid w:val="00C370FD"/>
    <w:rsid w:val="00C3712A"/>
    <w:rsid w:val="00C3754F"/>
    <w:rsid w:val="00C37763"/>
    <w:rsid w:val="00C3789E"/>
    <w:rsid w:val="00C379B7"/>
    <w:rsid w:val="00C37A99"/>
    <w:rsid w:val="00C37BEC"/>
    <w:rsid w:val="00C37C04"/>
    <w:rsid w:val="00C37C3E"/>
    <w:rsid w:val="00C37F39"/>
    <w:rsid w:val="00C37F57"/>
    <w:rsid w:val="00C37F61"/>
    <w:rsid w:val="00C401E5"/>
    <w:rsid w:val="00C40489"/>
    <w:rsid w:val="00C404B4"/>
    <w:rsid w:val="00C4053B"/>
    <w:rsid w:val="00C4054C"/>
    <w:rsid w:val="00C405D3"/>
    <w:rsid w:val="00C40675"/>
    <w:rsid w:val="00C406AA"/>
    <w:rsid w:val="00C406BB"/>
    <w:rsid w:val="00C4079F"/>
    <w:rsid w:val="00C40929"/>
    <w:rsid w:val="00C40B42"/>
    <w:rsid w:val="00C4103E"/>
    <w:rsid w:val="00C411C6"/>
    <w:rsid w:val="00C41361"/>
    <w:rsid w:val="00C414DC"/>
    <w:rsid w:val="00C41552"/>
    <w:rsid w:val="00C415D9"/>
    <w:rsid w:val="00C416C0"/>
    <w:rsid w:val="00C4198D"/>
    <w:rsid w:val="00C41B7F"/>
    <w:rsid w:val="00C41BAA"/>
    <w:rsid w:val="00C41BB3"/>
    <w:rsid w:val="00C41C58"/>
    <w:rsid w:val="00C41E96"/>
    <w:rsid w:val="00C42033"/>
    <w:rsid w:val="00C42310"/>
    <w:rsid w:val="00C42335"/>
    <w:rsid w:val="00C42387"/>
    <w:rsid w:val="00C423E4"/>
    <w:rsid w:val="00C424A2"/>
    <w:rsid w:val="00C425A3"/>
    <w:rsid w:val="00C425AC"/>
    <w:rsid w:val="00C426C6"/>
    <w:rsid w:val="00C42783"/>
    <w:rsid w:val="00C427C8"/>
    <w:rsid w:val="00C42A29"/>
    <w:rsid w:val="00C42A8A"/>
    <w:rsid w:val="00C42AC9"/>
    <w:rsid w:val="00C42C6E"/>
    <w:rsid w:val="00C42CE2"/>
    <w:rsid w:val="00C42D3A"/>
    <w:rsid w:val="00C42EA6"/>
    <w:rsid w:val="00C42EBD"/>
    <w:rsid w:val="00C430AD"/>
    <w:rsid w:val="00C430B7"/>
    <w:rsid w:val="00C430C9"/>
    <w:rsid w:val="00C430F2"/>
    <w:rsid w:val="00C43107"/>
    <w:rsid w:val="00C43153"/>
    <w:rsid w:val="00C43173"/>
    <w:rsid w:val="00C4318C"/>
    <w:rsid w:val="00C431F9"/>
    <w:rsid w:val="00C4340B"/>
    <w:rsid w:val="00C43585"/>
    <w:rsid w:val="00C437BF"/>
    <w:rsid w:val="00C43A59"/>
    <w:rsid w:val="00C43C34"/>
    <w:rsid w:val="00C43D5A"/>
    <w:rsid w:val="00C43E32"/>
    <w:rsid w:val="00C43F6E"/>
    <w:rsid w:val="00C43FEE"/>
    <w:rsid w:val="00C44162"/>
    <w:rsid w:val="00C442A8"/>
    <w:rsid w:val="00C4456B"/>
    <w:rsid w:val="00C4488E"/>
    <w:rsid w:val="00C4495B"/>
    <w:rsid w:val="00C44A29"/>
    <w:rsid w:val="00C44AF1"/>
    <w:rsid w:val="00C44B4A"/>
    <w:rsid w:val="00C44D6D"/>
    <w:rsid w:val="00C452F6"/>
    <w:rsid w:val="00C45538"/>
    <w:rsid w:val="00C45586"/>
    <w:rsid w:val="00C45798"/>
    <w:rsid w:val="00C457E2"/>
    <w:rsid w:val="00C45A44"/>
    <w:rsid w:val="00C45A9D"/>
    <w:rsid w:val="00C45AE0"/>
    <w:rsid w:val="00C45AFD"/>
    <w:rsid w:val="00C45C43"/>
    <w:rsid w:val="00C45D36"/>
    <w:rsid w:val="00C45E4A"/>
    <w:rsid w:val="00C45E65"/>
    <w:rsid w:val="00C45E83"/>
    <w:rsid w:val="00C45EAB"/>
    <w:rsid w:val="00C45F61"/>
    <w:rsid w:val="00C460EF"/>
    <w:rsid w:val="00C46251"/>
    <w:rsid w:val="00C4629B"/>
    <w:rsid w:val="00C463BA"/>
    <w:rsid w:val="00C46584"/>
    <w:rsid w:val="00C466D2"/>
    <w:rsid w:val="00C46767"/>
    <w:rsid w:val="00C46836"/>
    <w:rsid w:val="00C46865"/>
    <w:rsid w:val="00C46947"/>
    <w:rsid w:val="00C46C6D"/>
    <w:rsid w:val="00C46D06"/>
    <w:rsid w:val="00C46E7E"/>
    <w:rsid w:val="00C4701F"/>
    <w:rsid w:val="00C47150"/>
    <w:rsid w:val="00C47259"/>
    <w:rsid w:val="00C47506"/>
    <w:rsid w:val="00C4752F"/>
    <w:rsid w:val="00C47580"/>
    <w:rsid w:val="00C47845"/>
    <w:rsid w:val="00C4784E"/>
    <w:rsid w:val="00C4789D"/>
    <w:rsid w:val="00C478C9"/>
    <w:rsid w:val="00C4797C"/>
    <w:rsid w:val="00C479A6"/>
    <w:rsid w:val="00C479E1"/>
    <w:rsid w:val="00C47A49"/>
    <w:rsid w:val="00C47C21"/>
    <w:rsid w:val="00C47DBB"/>
    <w:rsid w:val="00C47DCC"/>
    <w:rsid w:val="00C47E7B"/>
    <w:rsid w:val="00C47FEE"/>
    <w:rsid w:val="00C500CB"/>
    <w:rsid w:val="00C5047D"/>
    <w:rsid w:val="00C50866"/>
    <w:rsid w:val="00C50A21"/>
    <w:rsid w:val="00C50B08"/>
    <w:rsid w:val="00C50BC8"/>
    <w:rsid w:val="00C50C19"/>
    <w:rsid w:val="00C50E6C"/>
    <w:rsid w:val="00C50EAA"/>
    <w:rsid w:val="00C510EA"/>
    <w:rsid w:val="00C51156"/>
    <w:rsid w:val="00C511D4"/>
    <w:rsid w:val="00C512C0"/>
    <w:rsid w:val="00C512F5"/>
    <w:rsid w:val="00C516F6"/>
    <w:rsid w:val="00C51765"/>
    <w:rsid w:val="00C517AB"/>
    <w:rsid w:val="00C51844"/>
    <w:rsid w:val="00C519A3"/>
    <w:rsid w:val="00C51A9D"/>
    <w:rsid w:val="00C51AEB"/>
    <w:rsid w:val="00C51AEC"/>
    <w:rsid w:val="00C51BE2"/>
    <w:rsid w:val="00C51C4E"/>
    <w:rsid w:val="00C51D04"/>
    <w:rsid w:val="00C51F75"/>
    <w:rsid w:val="00C51FA8"/>
    <w:rsid w:val="00C52008"/>
    <w:rsid w:val="00C52026"/>
    <w:rsid w:val="00C520D8"/>
    <w:rsid w:val="00C52141"/>
    <w:rsid w:val="00C521E7"/>
    <w:rsid w:val="00C52250"/>
    <w:rsid w:val="00C5230A"/>
    <w:rsid w:val="00C5231A"/>
    <w:rsid w:val="00C52396"/>
    <w:rsid w:val="00C523E2"/>
    <w:rsid w:val="00C5245D"/>
    <w:rsid w:val="00C524A2"/>
    <w:rsid w:val="00C52537"/>
    <w:rsid w:val="00C526D0"/>
    <w:rsid w:val="00C527BA"/>
    <w:rsid w:val="00C52938"/>
    <w:rsid w:val="00C5294E"/>
    <w:rsid w:val="00C52A4F"/>
    <w:rsid w:val="00C52BFE"/>
    <w:rsid w:val="00C52F9C"/>
    <w:rsid w:val="00C53102"/>
    <w:rsid w:val="00C5319B"/>
    <w:rsid w:val="00C532C4"/>
    <w:rsid w:val="00C5339B"/>
    <w:rsid w:val="00C53556"/>
    <w:rsid w:val="00C535CB"/>
    <w:rsid w:val="00C5374F"/>
    <w:rsid w:val="00C53764"/>
    <w:rsid w:val="00C53805"/>
    <w:rsid w:val="00C53939"/>
    <w:rsid w:val="00C53A4B"/>
    <w:rsid w:val="00C53C0D"/>
    <w:rsid w:val="00C53CC3"/>
    <w:rsid w:val="00C53E24"/>
    <w:rsid w:val="00C53F5B"/>
    <w:rsid w:val="00C540DB"/>
    <w:rsid w:val="00C54224"/>
    <w:rsid w:val="00C54309"/>
    <w:rsid w:val="00C544B6"/>
    <w:rsid w:val="00C54768"/>
    <w:rsid w:val="00C54A8B"/>
    <w:rsid w:val="00C54D8C"/>
    <w:rsid w:val="00C54DF2"/>
    <w:rsid w:val="00C54E3E"/>
    <w:rsid w:val="00C54EA5"/>
    <w:rsid w:val="00C54F5E"/>
    <w:rsid w:val="00C5506A"/>
    <w:rsid w:val="00C55388"/>
    <w:rsid w:val="00C553A7"/>
    <w:rsid w:val="00C553C0"/>
    <w:rsid w:val="00C5576B"/>
    <w:rsid w:val="00C55892"/>
    <w:rsid w:val="00C558B3"/>
    <w:rsid w:val="00C5593B"/>
    <w:rsid w:val="00C55C8E"/>
    <w:rsid w:val="00C55DB4"/>
    <w:rsid w:val="00C55DBE"/>
    <w:rsid w:val="00C55F27"/>
    <w:rsid w:val="00C55F3E"/>
    <w:rsid w:val="00C56008"/>
    <w:rsid w:val="00C5602B"/>
    <w:rsid w:val="00C5605A"/>
    <w:rsid w:val="00C56211"/>
    <w:rsid w:val="00C565A2"/>
    <w:rsid w:val="00C565DE"/>
    <w:rsid w:val="00C56672"/>
    <w:rsid w:val="00C56716"/>
    <w:rsid w:val="00C56760"/>
    <w:rsid w:val="00C568CE"/>
    <w:rsid w:val="00C56999"/>
    <w:rsid w:val="00C569BA"/>
    <w:rsid w:val="00C56C2B"/>
    <w:rsid w:val="00C56CB3"/>
    <w:rsid w:val="00C56D9C"/>
    <w:rsid w:val="00C56F62"/>
    <w:rsid w:val="00C57096"/>
    <w:rsid w:val="00C57380"/>
    <w:rsid w:val="00C5746A"/>
    <w:rsid w:val="00C57621"/>
    <w:rsid w:val="00C57755"/>
    <w:rsid w:val="00C57769"/>
    <w:rsid w:val="00C57A09"/>
    <w:rsid w:val="00C57A4F"/>
    <w:rsid w:val="00C57CE3"/>
    <w:rsid w:val="00C57E0A"/>
    <w:rsid w:val="00C57E23"/>
    <w:rsid w:val="00C57E97"/>
    <w:rsid w:val="00C57EA8"/>
    <w:rsid w:val="00C6003D"/>
    <w:rsid w:val="00C6013D"/>
    <w:rsid w:val="00C60168"/>
    <w:rsid w:val="00C605C9"/>
    <w:rsid w:val="00C605D0"/>
    <w:rsid w:val="00C605FF"/>
    <w:rsid w:val="00C6088A"/>
    <w:rsid w:val="00C608B3"/>
    <w:rsid w:val="00C60918"/>
    <w:rsid w:val="00C60A70"/>
    <w:rsid w:val="00C60C76"/>
    <w:rsid w:val="00C60CF5"/>
    <w:rsid w:val="00C61234"/>
    <w:rsid w:val="00C612A6"/>
    <w:rsid w:val="00C612DE"/>
    <w:rsid w:val="00C61300"/>
    <w:rsid w:val="00C6140E"/>
    <w:rsid w:val="00C6143B"/>
    <w:rsid w:val="00C6152F"/>
    <w:rsid w:val="00C6165D"/>
    <w:rsid w:val="00C619F8"/>
    <w:rsid w:val="00C61A5A"/>
    <w:rsid w:val="00C61CC9"/>
    <w:rsid w:val="00C61CDE"/>
    <w:rsid w:val="00C61ECC"/>
    <w:rsid w:val="00C61F57"/>
    <w:rsid w:val="00C6201C"/>
    <w:rsid w:val="00C62067"/>
    <w:rsid w:val="00C6214B"/>
    <w:rsid w:val="00C621C3"/>
    <w:rsid w:val="00C622A8"/>
    <w:rsid w:val="00C622AA"/>
    <w:rsid w:val="00C62345"/>
    <w:rsid w:val="00C62535"/>
    <w:rsid w:val="00C62635"/>
    <w:rsid w:val="00C6263C"/>
    <w:rsid w:val="00C6270B"/>
    <w:rsid w:val="00C627D0"/>
    <w:rsid w:val="00C628CA"/>
    <w:rsid w:val="00C62AB6"/>
    <w:rsid w:val="00C62B8E"/>
    <w:rsid w:val="00C62CD8"/>
    <w:rsid w:val="00C62ED9"/>
    <w:rsid w:val="00C62F70"/>
    <w:rsid w:val="00C6305D"/>
    <w:rsid w:val="00C63220"/>
    <w:rsid w:val="00C632D5"/>
    <w:rsid w:val="00C63311"/>
    <w:rsid w:val="00C63374"/>
    <w:rsid w:val="00C633DD"/>
    <w:rsid w:val="00C63562"/>
    <w:rsid w:val="00C635DC"/>
    <w:rsid w:val="00C63659"/>
    <w:rsid w:val="00C636A3"/>
    <w:rsid w:val="00C638B4"/>
    <w:rsid w:val="00C63A4C"/>
    <w:rsid w:val="00C63B7A"/>
    <w:rsid w:val="00C63BD3"/>
    <w:rsid w:val="00C63BE3"/>
    <w:rsid w:val="00C63E74"/>
    <w:rsid w:val="00C63EBA"/>
    <w:rsid w:val="00C63EE4"/>
    <w:rsid w:val="00C63FE1"/>
    <w:rsid w:val="00C6408A"/>
    <w:rsid w:val="00C641CB"/>
    <w:rsid w:val="00C641D4"/>
    <w:rsid w:val="00C641F5"/>
    <w:rsid w:val="00C64224"/>
    <w:rsid w:val="00C642F9"/>
    <w:rsid w:val="00C6445E"/>
    <w:rsid w:val="00C64486"/>
    <w:rsid w:val="00C644D0"/>
    <w:rsid w:val="00C6469B"/>
    <w:rsid w:val="00C64728"/>
    <w:rsid w:val="00C647E3"/>
    <w:rsid w:val="00C649A2"/>
    <w:rsid w:val="00C64CA0"/>
    <w:rsid w:val="00C64CDC"/>
    <w:rsid w:val="00C64F9F"/>
    <w:rsid w:val="00C65120"/>
    <w:rsid w:val="00C65137"/>
    <w:rsid w:val="00C65362"/>
    <w:rsid w:val="00C65420"/>
    <w:rsid w:val="00C65513"/>
    <w:rsid w:val="00C655DD"/>
    <w:rsid w:val="00C655F0"/>
    <w:rsid w:val="00C6581B"/>
    <w:rsid w:val="00C6593F"/>
    <w:rsid w:val="00C659AA"/>
    <w:rsid w:val="00C659D5"/>
    <w:rsid w:val="00C65C05"/>
    <w:rsid w:val="00C65C74"/>
    <w:rsid w:val="00C65CE0"/>
    <w:rsid w:val="00C65DA6"/>
    <w:rsid w:val="00C65F6A"/>
    <w:rsid w:val="00C660A6"/>
    <w:rsid w:val="00C66102"/>
    <w:rsid w:val="00C66123"/>
    <w:rsid w:val="00C66165"/>
    <w:rsid w:val="00C662A3"/>
    <w:rsid w:val="00C6642B"/>
    <w:rsid w:val="00C66457"/>
    <w:rsid w:val="00C6666C"/>
    <w:rsid w:val="00C66725"/>
    <w:rsid w:val="00C66869"/>
    <w:rsid w:val="00C668DA"/>
    <w:rsid w:val="00C66AF6"/>
    <w:rsid w:val="00C66C32"/>
    <w:rsid w:val="00C66CE5"/>
    <w:rsid w:val="00C671F9"/>
    <w:rsid w:val="00C6724D"/>
    <w:rsid w:val="00C6742A"/>
    <w:rsid w:val="00C674B8"/>
    <w:rsid w:val="00C67622"/>
    <w:rsid w:val="00C6788A"/>
    <w:rsid w:val="00C678EB"/>
    <w:rsid w:val="00C67B98"/>
    <w:rsid w:val="00C67F14"/>
    <w:rsid w:val="00C67FAA"/>
    <w:rsid w:val="00C7017E"/>
    <w:rsid w:val="00C7026E"/>
    <w:rsid w:val="00C702E2"/>
    <w:rsid w:val="00C70305"/>
    <w:rsid w:val="00C70551"/>
    <w:rsid w:val="00C705AF"/>
    <w:rsid w:val="00C705CB"/>
    <w:rsid w:val="00C7080C"/>
    <w:rsid w:val="00C70855"/>
    <w:rsid w:val="00C70874"/>
    <w:rsid w:val="00C70938"/>
    <w:rsid w:val="00C70C80"/>
    <w:rsid w:val="00C70E9F"/>
    <w:rsid w:val="00C70FEF"/>
    <w:rsid w:val="00C71031"/>
    <w:rsid w:val="00C71158"/>
    <w:rsid w:val="00C7123D"/>
    <w:rsid w:val="00C71259"/>
    <w:rsid w:val="00C71296"/>
    <w:rsid w:val="00C713F8"/>
    <w:rsid w:val="00C71455"/>
    <w:rsid w:val="00C714E2"/>
    <w:rsid w:val="00C71665"/>
    <w:rsid w:val="00C7177B"/>
    <w:rsid w:val="00C719A8"/>
    <w:rsid w:val="00C719B4"/>
    <w:rsid w:val="00C71A70"/>
    <w:rsid w:val="00C71AC5"/>
    <w:rsid w:val="00C71B06"/>
    <w:rsid w:val="00C71B1E"/>
    <w:rsid w:val="00C71D20"/>
    <w:rsid w:val="00C71D45"/>
    <w:rsid w:val="00C71E35"/>
    <w:rsid w:val="00C71FA8"/>
    <w:rsid w:val="00C7200F"/>
    <w:rsid w:val="00C7208B"/>
    <w:rsid w:val="00C720B0"/>
    <w:rsid w:val="00C721FC"/>
    <w:rsid w:val="00C72270"/>
    <w:rsid w:val="00C72286"/>
    <w:rsid w:val="00C724E7"/>
    <w:rsid w:val="00C725F9"/>
    <w:rsid w:val="00C72659"/>
    <w:rsid w:val="00C727DA"/>
    <w:rsid w:val="00C72832"/>
    <w:rsid w:val="00C72903"/>
    <w:rsid w:val="00C72969"/>
    <w:rsid w:val="00C72EE9"/>
    <w:rsid w:val="00C72FF7"/>
    <w:rsid w:val="00C732AA"/>
    <w:rsid w:val="00C732F8"/>
    <w:rsid w:val="00C73387"/>
    <w:rsid w:val="00C734E6"/>
    <w:rsid w:val="00C735AE"/>
    <w:rsid w:val="00C73738"/>
    <w:rsid w:val="00C73780"/>
    <w:rsid w:val="00C73889"/>
    <w:rsid w:val="00C73B4A"/>
    <w:rsid w:val="00C73C7D"/>
    <w:rsid w:val="00C73CB5"/>
    <w:rsid w:val="00C73DBB"/>
    <w:rsid w:val="00C73E9E"/>
    <w:rsid w:val="00C73EDB"/>
    <w:rsid w:val="00C73F12"/>
    <w:rsid w:val="00C73F33"/>
    <w:rsid w:val="00C74064"/>
    <w:rsid w:val="00C741A0"/>
    <w:rsid w:val="00C742C8"/>
    <w:rsid w:val="00C7430D"/>
    <w:rsid w:val="00C7443C"/>
    <w:rsid w:val="00C744F1"/>
    <w:rsid w:val="00C74593"/>
    <w:rsid w:val="00C747F4"/>
    <w:rsid w:val="00C7494E"/>
    <w:rsid w:val="00C749D8"/>
    <w:rsid w:val="00C74A39"/>
    <w:rsid w:val="00C74B33"/>
    <w:rsid w:val="00C74D06"/>
    <w:rsid w:val="00C74D9E"/>
    <w:rsid w:val="00C74F3F"/>
    <w:rsid w:val="00C74F78"/>
    <w:rsid w:val="00C74FF6"/>
    <w:rsid w:val="00C750A6"/>
    <w:rsid w:val="00C75185"/>
    <w:rsid w:val="00C7520F"/>
    <w:rsid w:val="00C75347"/>
    <w:rsid w:val="00C7539C"/>
    <w:rsid w:val="00C75464"/>
    <w:rsid w:val="00C755DE"/>
    <w:rsid w:val="00C75804"/>
    <w:rsid w:val="00C758F2"/>
    <w:rsid w:val="00C75A56"/>
    <w:rsid w:val="00C75B01"/>
    <w:rsid w:val="00C75B6A"/>
    <w:rsid w:val="00C75BB4"/>
    <w:rsid w:val="00C75E40"/>
    <w:rsid w:val="00C76170"/>
    <w:rsid w:val="00C761AC"/>
    <w:rsid w:val="00C761D8"/>
    <w:rsid w:val="00C761ED"/>
    <w:rsid w:val="00C762EC"/>
    <w:rsid w:val="00C7638B"/>
    <w:rsid w:val="00C763A3"/>
    <w:rsid w:val="00C764BD"/>
    <w:rsid w:val="00C76521"/>
    <w:rsid w:val="00C7652A"/>
    <w:rsid w:val="00C76588"/>
    <w:rsid w:val="00C76696"/>
    <w:rsid w:val="00C76720"/>
    <w:rsid w:val="00C7684F"/>
    <w:rsid w:val="00C76986"/>
    <w:rsid w:val="00C76DB7"/>
    <w:rsid w:val="00C76F29"/>
    <w:rsid w:val="00C770A4"/>
    <w:rsid w:val="00C77447"/>
    <w:rsid w:val="00C77517"/>
    <w:rsid w:val="00C77572"/>
    <w:rsid w:val="00C775C7"/>
    <w:rsid w:val="00C776F4"/>
    <w:rsid w:val="00C7775E"/>
    <w:rsid w:val="00C77863"/>
    <w:rsid w:val="00C779FC"/>
    <w:rsid w:val="00C77AA7"/>
    <w:rsid w:val="00C77AB0"/>
    <w:rsid w:val="00C77D88"/>
    <w:rsid w:val="00C77F36"/>
    <w:rsid w:val="00C77F96"/>
    <w:rsid w:val="00C77FC9"/>
    <w:rsid w:val="00C800A2"/>
    <w:rsid w:val="00C800D0"/>
    <w:rsid w:val="00C80270"/>
    <w:rsid w:val="00C802E3"/>
    <w:rsid w:val="00C803A0"/>
    <w:rsid w:val="00C803F9"/>
    <w:rsid w:val="00C8046B"/>
    <w:rsid w:val="00C8048F"/>
    <w:rsid w:val="00C804F9"/>
    <w:rsid w:val="00C8052A"/>
    <w:rsid w:val="00C8062A"/>
    <w:rsid w:val="00C8071C"/>
    <w:rsid w:val="00C80763"/>
    <w:rsid w:val="00C80D1B"/>
    <w:rsid w:val="00C80E77"/>
    <w:rsid w:val="00C80E84"/>
    <w:rsid w:val="00C80EC1"/>
    <w:rsid w:val="00C80F36"/>
    <w:rsid w:val="00C80FDB"/>
    <w:rsid w:val="00C810AB"/>
    <w:rsid w:val="00C8144B"/>
    <w:rsid w:val="00C81713"/>
    <w:rsid w:val="00C81725"/>
    <w:rsid w:val="00C81974"/>
    <w:rsid w:val="00C81AED"/>
    <w:rsid w:val="00C81CDA"/>
    <w:rsid w:val="00C81E58"/>
    <w:rsid w:val="00C81E7F"/>
    <w:rsid w:val="00C81F30"/>
    <w:rsid w:val="00C81FF7"/>
    <w:rsid w:val="00C82018"/>
    <w:rsid w:val="00C82224"/>
    <w:rsid w:val="00C823E8"/>
    <w:rsid w:val="00C8256C"/>
    <w:rsid w:val="00C8260D"/>
    <w:rsid w:val="00C82638"/>
    <w:rsid w:val="00C82B6C"/>
    <w:rsid w:val="00C82C75"/>
    <w:rsid w:val="00C82E0F"/>
    <w:rsid w:val="00C82F30"/>
    <w:rsid w:val="00C82F95"/>
    <w:rsid w:val="00C82FD9"/>
    <w:rsid w:val="00C83150"/>
    <w:rsid w:val="00C832A7"/>
    <w:rsid w:val="00C8332B"/>
    <w:rsid w:val="00C834D1"/>
    <w:rsid w:val="00C835FA"/>
    <w:rsid w:val="00C8366B"/>
    <w:rsid w:val="00C8370B"/>
    <w:rsid w:val="00C83721"/>
    <w:rsid w:val="00C83AD0"/>
    <w:rsid w:val="00C83BAF"/>
    <w:rsid w:val="00C83D8A"/>
    <w:rsid w:val="00C8403C"/>
    <w:rsid w:val="00C84088"/>
    <w:rsid w:val="00C84436"/>
    <w:rsid w:val="00C844FF"/>
    <w:rsid w:val="00C84604"/>
    <w:rsid w:val="00C847B8"/>
    <w:rsid w:val="00C84831"/>
    <w:rsid w:val="00C84927"/>
    <w:rsid w:val="00C8492E"/>
    <w:rsid w:val="00C84B29"/>
    <w:rsid w:val="00C84B68"/>
    <w:rsid w:val="00C84BEA"/>
    <w:rsid w:val="00C84C72"/>
    <w:rsid w:val="00C84CBC"/>
    <w:rsid w:val="00C84D90"/>
    <w:rsid w:val="00C84DE7"/>
    <w:rsid w:val="00C84E9F"/>
    <w:rsid w:val="00C84F8F"/>
    <w:rsid w:val="00C8503E"/>
    <w:rsid w:val="00C8515F"/>
    <w:rsid w:val="00C851A4"/>
    <w:rsid w:val="00C851F9"/>
    <w:rsid w:val="00C852F8"/>
    <w:rsid w:val="00C8530A"/>
    <w:rsid w:val="00C85311"/>
    <w:rsid w:val="00C85442"/>
    <w:rsid w:val="00C855BD"/>
    <w:rsid w:val="00C85659"/>
    <w:rsid w:val="00C85697"/>
    <w:rsid w:val="00C85788"/>
    <w:rsid w:val="00C857DE"/>
    <w:rsid w:val="00C85878"/>
    <w:rsid w:val="00C85879"/>
    <w:rsid w:val="00C858DE"/>
    <w:rsid w:val="00C85A95"/>
    <w:rsid w:val="00C85B8B"/>
    <w:rsid w:val="00C85BC6"/>
    <w:rsid w:val="00C85C4A"/>
    <w:rsid w:val="00C85E21"/>
    <w:rsid w:val="00C85E45"/>
    <w:rsid w:val="00C85EA5"/>
    <w:rsid w:val="00C860F1"/>
    <w:rsid w:val="00C86158"/>
    <w:rsid w:val="00C864A1"/>
    <w:rsid w:val="00C86729"/>
    <w:rsid w:val="00C86765"/>
    <w:rsid w:val="00C8676B"/>
    <w:rsid w:val="00C86961"/>
    <w:rsid w:val="00C86A8C"/>
    <w:rsid w:val="00C86ABB"/>
    <w:rsid w:val="00C86B1D"/>
    <w:rsid w:val="00C86BE2"/>
    <w:rsid w:val="00C86CF6"/>
    <w:rsid w:val="00C86D41"/>
    <w:rsid w:val="00C86D46"/>
    <w:rsid w:val="00C86E90"/>
    <w:rsid w:val="00C86FDC"/>
    <w:rsid w:val="00C8704A"/>
    <w:rsid w:val="00C872E9"/>
    <w:rsid w:val="00C87537"/>
    <w:rsid w:val="00C87723"/>
    <w:rsid w:val="00C8775F"/>
    <w:rsid w:val="00C878C0"/>
    <w:rsid w:val="00C87ABA"/>
    <w:rsid w:val="00C87D3E"/>
    <w:rsid w:val="00C87F8A"/>
    <w:rsid w:val="00C8CD2B"/>
    <w:rsid w:val="00C9018F"/>
    <w:rsid w:val="00C9024E"/>
    <w:rsid w:val="00C90291"/>
    <w:rsid w:val="00C90420"/>
    <w:rsid w:val="00C90997"/>
    <w:rsid w:val="00C909AC"/>
    <w:rsid w:val="00C90BEC"/>
    <w:rsid w:val="00C90C39"/>
    <w:rsid w:val="00C911D7"/>
    <w:rsid w:val="00C91342"/>
    <w:rsid w:val="00C9136D"/>
    <w:rsid w:val="00C91416"/>
    <w:rsid w:val="00C914CF"/>
    <w:rsid w:val="00C9150E"/>
    <w:rsid w:val="00C91605"/>
    <w:rsid w:val="00C91706"/>
    <w:rsid w:val="00C91773"/>
    <w:rsid w:val="00C918FB"/>
    <w:rsid w:val="00C91B21"/>
    <w:rsid w:val="00C91B8C"/>
    <w:rsid w:val="00C91BBC"/>
    <w:rsid w:val="00C91C36"/>
    <w:rsid w:val="00C91DEE"/>
    <w:rsid w:val="00C91E05"/>
    <w:rsid w:val="00C91E83"/>
    <w:rsid w:val="00C91F2C"/>
    <w:rsid w:val="00C92076"/>
    <w:rsid w:val="00C92155"/>
    <w:rsid w:val="00C92156"/>
    <w:rsid w:val="00C921AF"/>
    <w:rsid w:val="00C92245"/>
    <w:rsid w:val="00C9226B"/>
    <w:rsid w:val="00C924B2"/>
    <w:rsid w:val="00C924B7"/>
    <w:rsid w:val="00C92776"/>
    <w:rsid w:val="00C927F5"/>
    <w:rsid w:val="00C92833"/>
    <w:rsid w:val="00C928BE"/>
    <w:rsid w:val="00C92911"/>
    <w:rsid w:val="00C92E6B"/>
    <w:rsid w:val="00C92EDD"/>
    <w:rsid w:val="00C93203"/>
    <w:rsid w:val="00C933B6"/>
    <w:rsid w:val="00C93428"/>
    <w:rsid w:val="00C937A0"/>
    <w:rsid w:val="00C93BBF"/>
    <w:rsid w:val="00C93C25"/>
    <w:rsid w:val="00C93C74"/>
    <w:rsid w:val="00C93CC4"/>
    <w:rsid w:val="00C93D3D"/>
    <w:rsid w:val="00C93DA8"/>
    <w:rsid w:val="00C93DDC"/>
    <w:rsid w:val="00C93E45"/>
    <w:rsid w:val="00C93ED7"/>
    <w:rsid w:val="00C94047"/>
    <w:rsid w:val="00C941A3"/>
    <w:rsid w:val="00C943DA"/>
    <w:rsid w:val="00C94608"/>
    <w:rsid w:val="00C9490B"/>
    <w:rsid w:val="00C94A8C"/>
    <w:rsid w:val="00C94AF7"/>
    <w:rsid w:val="00C94B4B"/>
    <w:rsid w:val="00C94BFB"/>
    <w:rsid w:val="00C94D29"/>
    <w:rsid w:val="00C94E01"/>
    <w:rsid w:val="00C94EB4"/>
    <w:rsid w:val="00C94EFD"/>
    <w:rsid w:val="00C94F2F"/>
    <w:rsid w:val="00C950E5"/>
    <w:rsid w:val="00C9511C"/>
    <w:rsid w:val="00C95484"/>
    <w:rsid w:val="00C9548A"/>
    <w:rsid w:val="00C9570E"/>
    <w:rsid w:val="00C9571C"/>
    <w:rsid w:val="00C95A3C"/>
    <w:rsid w:val="00C95BA5"/>
    <w:rsid w:val="00C95BC3"/>
    <w:rsid w:val="00C95CF3"/>
    <w:rsid w:val="00C95E71"/>
    <w:rsid w:val="00C95E99"/>
    <w:rsid w:val="00C95F49"/>
    <w:rsid w:val="00C96228"/>
    <w:rsid w:val="00C96276"/>
    <w:rsid w:val="00C96373"/>
    <w:rsid w:val="00C966EB"/>
    <w:rsid w:val="00C96724"/>
    <w:rsid w:val="00C9673A"/>
    <w:rsid w:val="00C969A9"/>
    <w:rsid w:val="00C969DB"/>
    <w:rsid w:val="00C96BE7"/>
    <w:rsid w:val="00C96D81"/>
    <w:rsid w:val="00C96E16"/>
    <w:rsid w:val="00C96E6B"/>
    <w:rsid w:val="00C96F79"/>
    <w:rsid w:val="00C96FC2"/>
    <w:rsid w:val="00C970D9"/>
    <w:rsid w:val="00C97186"/>
    <w:rsid w:val="00C971F0"/>
    <w:rsid w:val="00C972D6"/>
    <w:rsid w:val="00C97314"/>
    <w:rsid w:val="00C973DD"/>
    <w:rsid w:val="00C97595"/>
    <w:rsid w:val="00C975E4"/>
    <w:rsid w:val="00C976BE"/>
    <w:rsid w:val="00C97A54"/>
    <w:rsid w:val="00C97D4B"/>
    <w:rsid w:val="00C97EDA"/>
    <w:rsid w:val="00C97F0F"/>
    <w:rsid w:val="00CA008A"/>
    <w:rsid w:val="00CA00CF"/>
    <w:rsid w:val="00CA0113"/>
    <w:rsid w:val="00CA01CB"/>
    <w:rsid w:val="00CA020E"/>
    <w:rsid w:val="00CA03C9"/>
    <w:rsid w:val="00CA044B"/>
    <w:rsid w:val="00CA0464"/>
    <w:rsid w:val="00CA04DF"/>
    <w:rsid w:val="00CA0737"/>
    <w:rsid w:val="00CA0890"/>
    <w:rsid w:val="00CA0A25"/>
    <w:rsid w:val="00CA0A2F"/>
    <w:rsid w:val="00CA0ABC"/>
    <w:rsid w:val="00CA0C10"/>
    <w:rsid w:val="00CA0C12"/>
    <w:rsid w:val="00CA0D42"/>
    <w:rsid w:val="00CA0F19"/>
    <w:rsid w:val="00CA0F58"/>
    <w:rsid w:val="00CA0FF8"/>
    <w:rsid w:val="00CA105B"/>
    <w:rsid w:val="00CA105C"/>
    <w:rsid w:val="00CA113F"/>
    <w:rsid w:val="00CA1184"/>
    <w:rsid w:val="00CA1245"/>
    <w:rsid w:val="00CA1246"/>
    <w:rsid w:val="00CA1273"/>
    <w:rsid w:val="00CA1305"/>
    <w:rsid w:val="00CA14AC"/>
    <w:rsid w:val="00CA14DE"/>
    <w:rsid w:val="00CA1571"/>
    <w:rsid w:val="00CA170B"/>
    <w:rsid w:val="00CA172E"/>
    <w:rsid w:val="00CA17BE"/>
    <w:rsid w:val="00CA19B1"/>
    <w:rsid w:val="00CA1B5F"/>
    <w:rsid w:val="00CA1B9C"/>
    <w:rsid w:val="00CA1BA6"/>
    <w:rsid w:val="00CA1C03"/>
    <w:rsid w:val="00CA1CCC"/>
    <w:rsid w:val="00CA1CDD"/>
    <w:rsid w:val="00CA1F3D"/>
    <w:rsid w:val="00CA1FFA"/>
    <w:rsid w:val="00CA2396"/>
    <w:rsid w:val="00CA2401"/>
    <w:rsid w:val="00CA2563"/>
    <w:rsid w:val="00CA2687"/>
    <w:rsid w:val="00CA2791"/>
    <w:rsid w:val="00CA28BA"/>
    <w:rsid w:val="00CA2B31"/>
    <w:rsid w:val="00CA2B79"/>
    <w:rsid w:val="00CA2C4C"/>
    <w:rsid w:val="00CA2C87"/>
    <w:rsid w:val="00CA2D29"/>
    <w:rsid w:val="00CA2D49"/>
    <w:rsid w:val="00CA312F"/>
    <w:rsid w:val="00CA31AB"/>
    <w:rsid w:val="00CA34DD"/>
    <w:rsid w:val="00CA351A"/>
    <w:rsid w:val="00CA353D"/>
    <w:rsid w:val="00CA3743"/>
    <w:rsid w:val="00CA3763"/>
    <w:rsid w:val="00CA37F8"/>
    <w:rsid w:val="00CA3953"/>
    <w:rsid w:val="00CA3B08"/>
    <w:rsid w:val="00CA3B62"/>
    <w:rsid w:val="00CA3D22"/>
    <w:rsid w:val="00CA3EC4"/>
    <w:rsid w:val="00CA3F5D"/>
    <w:rsid w:val="00CA41DA"/>
    <w:rsid w:val="00CA4388"/>
    <w:rsid w:val="00CA44CA"/>
    <w:rsid w:val="00CA44FF"/>
    <w:rsid w:val="00CA4625"/>
    <w:rsid w:val="00CA4662"/>
    <w:rsid w:val="00CA48C6"/>
    <w:rsid w:val="00CA4AA5"/>
    <w:rsid w:val="00CA4AFE"/>
    <w:rsid w:val="00CA4BBD"/>
    <w:rsid w:val="00CA4D0A"/>
    <w:rsid w:val="00CA4DA9"/>
    <w:rsid w:val="00CA4F33"/>
    <w:rsid w:val="00CA5274"/>
    <w:rsid w:val="00CA5355"/>
    <w:rsid w:val="00CA550C"/>
    <w:rsid w:val="00CA557C"/>
    <w:rsid w:val="00CA56CD"/>
    <w:rsid w:val="00CA57C5"/>
    <w:rsid w:val="00CA5916"/>
    <w:rsid w:val="00CA5944"/>
    <w:rsid w:val="00CA5965"/>
    <w:rsid w:val="00CA5ACC"/>
    <w:rsid w:val="00CA5AF6"/>
    <w:rsid w:val="00CA5BFA"/>
    <w:rsid w:val="00CA5CF8"/>
    <w:rsid w:val="00CA5EC3"/>
    <w:rsid w:val="00CA6159"/>
    <w:rsid w:val="00CA61AE"/>
    <w:rsid w:val="00CA62BD"/>
    <w:rsid w:val="00CA6451"/>
    <w:rsid w:val="00CA6502"/>
    <w:rsid w:val="00CA656E"/>
    <w:rsid w:val="00CA6684"/>
    <w:rsid w:val="00CA66A0"/>
    <w:rsid w:val="00CA67FA"/>
    <w:rsid w:val="00CA6807"/>
    <w:rsid w:val="00CA68AB"/>
    <w:rsid w:val="00CA68DB"/>
    <w:rsid w:val="00CA6A2B"/>
    <w:rsid w:val="00CA6AB5"/>
    <w:rsid w:val="00CA6BA1"/>
    <w:rsid w:val="00CA6C5D"/>
    <w:rsid w:val="00CA6DE4"/>
    <w:rsid w:val="00CA6E2C"/>
    <w:rsid w:val="00CA6F53"/>
    <w:rsid w:val="00CA70D5"/>
    <w:rsid w:val="00CA722F"/>
    <w:rsid w:val="00CA72DC"/>
    <w:rsid w:val="00CA7337"/>
    <w:rsid w:val="00CA762D"/>
    <w:rsid w:val="00CA766A"/>
    <w:rsid w:val="00CA76C6"/>
    <w:rsid w:val="00CA77AC"/>
    <w:rsid w:val="00CA7A89"/>
    <w:rsid w:val="00CA7B29"/>
    <w:rsid w:val="00CA7D73"/>
    <w:rsid w:val="00CA7D7A"/>
    <w:rsid w:val="00CA7DC5"/>
    <w:rsid w:val="00CA7DE8"/>
    <w:rsid w:val="00CA7F32"/>
    <w:rsid w:val="00CB002A"/>
    <w:rsid w:val="00CB024C"/>
    <w:rsid w:val="00CB0323"/>
    <w:rsid w:val="00CB0361"/>
    <w:rsid w:val="00CB05B8"/>
    <w:rsid w:val="00CB06A6"/>
    <w:rsid w:val="00CB0848"/>
    <w:rsid w:val="00CB09DC"/>
    <w:rsid w:val="00CB0CDC"/>
    <w:rsid w:val="00CB0CE5"/>
    <w:rsid w:val="00CB0EED"/>
    <w:rsid w:val="00CB10FA"/>
    <w:rsid w:val="00CB1136"/>
    <w:rsid w:val="00CB1193"/>
    <w:rsid w:val="00CB11E2"/>
    <w:rsid w:val="00CB1295"/>
    <w:rsid w:val="00CB12DD"/>
    <w:rsid w:val="00CB1336"/>
    <w:rsid w:val="00CB13F8"/>
    <w:rsid w:val="00CB1448"/>
    <w:rsid w:val="00CB145E"/>
    <w:rsid w:val="00CB14B0"/>
    <w:rsid w:val="00CB1579"/>
    <w:rsid w:val="00CB1639"/>
    <w:rsid w:val="00CB1656"/>
    <w:rsid w:val="00CB1686"/>
    <w:rsid w:val="00CB1708"/>
    <w:rsid w:val="00CB17E0"/>
    <w:rsid w:val="00CB18DA"/>
    <w:rsid w:val="00CB1A72"/>
    <w:rsid w:val="00CB1CE2"/>
    <w:rsid w:val="00CB1CF2"/>
    <w:rsid w:val="00CB21C8"/>
    <w:rsid w:val="00CB22D9"/>
    <w:rsid w:val="00CB2399"/>
    <w:rsid w:val="00CB23F9"/>
    <w:rsid w:val="00CB2445"/>
    <w:rsid w:val="00CB2763"/>
    <w:rsid w:val="00CB279F"/>
    <w:rsid w:val="00CB28D3"/>
    <w:rsid w:val="00CB29A5"/>
    <w:rsid w:val="00CB2A1E"/>
    <w:rsid w:val="00CB2B9D"/>
    <w:rsid w:val="00CB2CC7"/>
    <w:rsid w:val="00CB3347"/>
    <w:rsid w:val="00CB345B"/>
    <w:rsid w:val="00CB348A"/>
    <w:rsid w:val="00CB3589"/>
    <w:rsid w:val="00CB35AE"/>
    <w:rsid w:val="00CB36E8"/>
    <w:rsid w:val="00CB36EC"/>
    <w:rsid w:val="00CB3812"/>
    <w:rsid w:val="00CB3823"/>
    <w:rsid w:val="00CB39AF"/>
    <w:rsid w:val="00CB3D10"/>
    <w:rsid w:val="00CB3FAB"/>
    <w:rsid w:val="00CB3FDA"/>
    <w:rsid w:val="00CB402B"/>
    <w:rsid w:val="00CB4133"/>
    <w:rsid w:val="00CB41B3"/>
    <w:rsid w:val="00CB43D4"/>
    <w:rsid w:val="00CB44CF"/>
    <w:rsid w:val="00CB4528"/>
    <w:rsid w:val="00CB452A"/>
    <w:rsid w:val="00CB45CB"/>
    <w:rsid w:val="00CB45DE"/>
    <w:rsid w:val="00CB4627"/>
    <w:rsid w:val="00CB4639"/>
    <w:rsid w:val="00CB46CF"/>
    <w:rsid w:val="00CB473C"/>
    <w:rsid w:val="00CB486D"/>
    <w:rsid w:val="00CB4903"/>
    <w:rsid w:val="00CB4981"/>
    <w:rsid w:val="00CB4A88"/>
    <w:rsid w:val="00CB4D30"/>
    <w:rsid w:val="00CB4DAA"/>
    <w:rsid w:val="00CB4EB5"/>
    <w:rsid w:val="00CB4EF5"/>
    <w:rsid w:val="00CB4F1E"/>
    <w:rsid w:val="00CB526B"/>
    <w:rsid w:val="00CB54C5"/>
    <w:rsid w:val="00CB54E4"/>
    <w:rsid w:val="00CB55A9"/>
    <w:rsid w:val="00CB5649"/>
    <w:rsid w:val="00CB56E1"/>
    <w:rsid w:val="00CB5782"/>
    <w:rsid w:val="00CB5D44"/>
    <w:rsid w:val="00CB5EBF"/>
    <w:rsid w:val="00CB5F6B"/>
    <w:rsid w:val="00CB5FEF"/>
    <w:rsid w:val="00CB615A"/>
    <w:rsid w:val="00CB6167"/>
    <w:rsid w:val="00CB6479"/>
    <w:rsid w:val="00CB64BE"/>
    <w:rsid w:val="00CB67B0"/>
    <w:rsid w:val="00CB67F1"/>
    <w:rsid w:val="00CB69E6"/>
    <w:rsid w:val="00CB69FA"/>
    <w:rsid w:val="00CB6A20"/>
    <w:rsid w:val="00CB6A37"/>
    <w:rsid w:val="00CB6B3B"/>
    <w:rsid w:val="00CB6BB8"/>
    <w:rsid w:val="00CB6D6B"/>
    <w:rsid w:val="00CB6FB6"/>
    <w:rsid w:val="00CB70A5"/>
    <w:rsid w:val="00CB7121"/>
    <w:rsid w:val="00CB7306"/>
    <w:rsid w:val="00CB746E"/>
    <w:rsid w:val="00CB786A"/>
    <w:rsid w:val="00CB78EF"/>
    <w:rsid w:val="00CB7977"/>
    <w:rsid w:val="00CB7A31"/>
    <w:rsid w:val="00CB7C79"/>
    <w:rsid w:val="00CB7CD3"/>
    <w:rsid w:val="00CB7E99"/>
    <w:rsid w:val="00CB7FD8"/>
    <w:rsid w:val="00CB7FEF"/>
    <w:rsid w:val="00CC00A9"/>
    <w:rsid w:val="00CC01DF"/>
    <w:rsid w:val="00CC06AC"/>
    <w:rsid w:val="00CC070A"/>
    <w:rsid w:val="00CC07E6"/>
    <w:rsid w:val="00CC07E8"/>
    <w:rsid w:val="00CC0A20"/>
    <w:rsid w:val="00CC0A39"/>
    <w:rsid w:val="00CC0BD5"/>
    <w:rsid w:val="00CC0C0E"/>
    <w:rsid w:val="00CC0CAB"/>
    <w:rsid w:val="00CC0D24"/>
    <w:rsid w:val="00CC1247"/>
    <w:rsid w:val="00CC12D0"/>
    <w:rsid w:val="00CC140C"/>
    <w:rsid w:val="00CC1443"/>
    <w:rsid w:val="00CC1460"/>
    <w:rsid w:val="00CC17E4"/>
    <w:rsid w:val="00CC1A07"/>
    <w:rsid w:val="00CC1AEE"/>
    <w:rsid w:val="00CC1B6E"/>
    <w:rsid w:val="00CC1D2F"/>
    <w:rsid w:val="00CC1F7D"/>
    <w:rsid w:val="00CC22F2"/>
    <w:rsid w:val="00CC2363"/>
    <w:rsid w:val="00CC23E2"/>
    <w:rsid w:val="00CC2550"/>
    <w:rsid w:val="00CC2607"/>
    <w:rsid w:val="00CC2645"/>
    <w:rsid w:val="00CC284A"/>
    <w:rsid w:val="00CC2A3E"/>
    <w:rsid w:val="00CC2A71"/>
    <w:rsid w:val="00CC2ADC"/>
    <w:rsid w:val="00CC2B2E"/>
    <w:rsid w:val="00CC2C88"/>
    <w:rsid w:val="00CC2D68"/>
    <w:rsid w:val="00CC2E07"/>
    <w:rsid w:val="00CC2E94"/>
    <w:rsid w:val="00CC2F56"/>
    <w:rsid w:val="00CC3060"/>
    <w:rsid w:val="00CC3211"/>
    <w:rsid w:val="00CC343E"/>
    <w:rsid w:val="00CC345A"/>
    <w:rsid w:val="00CC34EA"/>
    <w:rsid w:val="00CC356F"/>
    <w:rsid w:val="00CC35E9"/>
    <w:rsid w:val="00CC36DF"/>
    <w:rsid w:val="00CC3724"/>
    <w:rsid w:val="00CC37BA"/>
    <w:rsid w:val="00CC38E8"/>
    <w:rsid w:val="00CC3997"/>
    <w:rsid w:val="00CC39FA"/>
    <w:rsid w:val="00CC3AAE"/>
    <w:rsid w:val="00CC3F9F"/>
    <w:rsid w:val="00CC40EF"/>
    <w:rsid w:val="00CC428C"/>
    <w:rsid w:val="00CC4297"/>
    <w:rsid w:val="00CC4298"/>
    <w:rsid w:val="00CC429E"/>
    <w:rsid w:val="00CC42D1"/>
    <w:rsid w:val="00CC4322"/>
    <w:rsid w:val="00CC436F"/>
    <w:rsid w:val="00CC44ED"/>
    <w:rsid w:val="00CC4516"/>
    <w:rsid w:val="00CC4660"/>
    <w:rsid w:val="00CC469B"/>
    <w:rsid w:val="00CC4703"/>
    <w:rsid w:val="00CC4788"/>
    <w:rsid w:val="00CC483E"/>
    <w:rsid w:val="00CC4ABD"/>
    <w:rsid w:val="00CC4ACD"/>
    <w:rsid w:val="00CC4B28"/>
    <w:rsid w:val="00CC4C2A"/>
    <w:rsid w:val="00CC4C4E"/>
    <w:rsid w:val="00CC4CB4"/>
    <w:rsid w:val="00CC4EA7"/>
    <w:rsid w:val="00CC4FE9"/>
    <w:rsid w:val="00CC512F"/>
    <w:rsid w:val="00CC56AB"/>
    <w:rsid w:val="00CC56BF"/>
    <w:rsid w:val="00CC5B18"/>
    <w:rsid w:val="00CC5B1C"/>
    <w:rsid w:val="00CC5B63"/>
    <w:rsid w:val="00CC5CA5"/>
    <w:rsid w:val="00CC5E3A"/>
    <w:rsid w:val="00CC5EE6"/>
    <w:rsid w:val="00CC5FE9"/>
    <w:rsid w:val="00CC5FF4"/>
    <w:rsid w:val="00CC6127"/>
    <w:rsid w:val="00CC6361"/>
    <w:rsid w:val="00CC641D"/>
    <w:rsid w:val="00CC69AF"/>
    <w:rsid w:val="00CC6A26"/>
    <w:rsid w:val="00CC6AB2"/>
    <w:rsid w:val="00CC6D73"/>
    <w:rsid w:val="00CC6DAA"/>
    <w:rsid w:val="00CC6DE8"/>
    <w:rsid w:val="00CC6ED5"/>
    <w:rsid w:val="00CC6F01"/>
    <w:rsid w:val="00CC6FD0"/>
    <w:rsid w:val="00CC7042"/>
    <w:rsid w:val="00CC70F2"/>
    <w:rsid w:val="00CC70FA"/>
    <w:rsid w:val="00CC712A"/>
    <w:rsid w:val="00CC7138"/>
    <w:rsid w:val="00CC72FF"/>
    <w:rsid w:val="00CC73A2"/>
    <w:rsid w:val="00CC74E4"/>
    <w:rsid w:val="00CC7528"/>
    <w:rsid w:val="00CC76E7"/>
    <w:rsid w:val="00CC7860"/>
    <w:rsid w:val="00CC7899"/>
    <w:rsid w:val="00CC7902"/>
    <w:rsid w:val="00CC7960"/>
    <w:rsid w:val="00CC7AE1"/>
    <w:rsid w:val="00CC7AF4"/>
    <w:rsid w:val="00CC7AFC"/>
    <w:rsid w:val="00CC7BC7"/>
    <w:rsid w:val="00CC7C58"/>
    <w:rsid w:val="00CC7CD8"/>
    <w:rsid w:val="00CC7DCE"/>
    <w:rsid w:val="00CC7F6F"/>
    <w:rsid w:val="00CC7F95"/>
    <w:rsid w:val="00CD036E"/>
    <w:rsid w:val="00CD03A8"/>
    <w:rsid w:val="00CD0527"/>
    <w:rsid w:val="00CD05D5"/>
    <w:rsid w:val="00CD05F3"/>
    <w:rsid w:val="00CD064F"/>
    <w:rsid w:val="00CD06B1"/>
    <w:rsid w:val="00CD0744"/>
    <w:rsid w:val="00CD084D"/>
    <w:rsid w:val="00CD0898"/>
    <w:rsid w:val="00CD09C4"/>
    <w:rsid w:val="00CD0E9F"/>
    <w:rsid w:val="00CD0EE7"/>
    <w:rsid w:val="00CD1048"/>
    <w:rsid w:val="00CD1119"/>
    <w:rsid w:val="00CD1180"/>
    <w:rsid w:val="00CD128E"/>
    <w:rsid w:val="00CD137A"/>
    <w:rsid w:val="00CD1460"/>
    <w:rsid w:val="00CD1655"/>
    <w:rsid w:val="00CD1890"/>
    <w:rsid w:val="00CD18E2"/>
    <w:rsid w:val="00CD1A5D"/>
    <w:rsid w:val="00CD1B19"/>
    <w:rsid w:val="00CD1BD7"/>
    <w:rsid w:val="00CD1C9A"/>
    <w:rsid w:val="00CD1E50"/>
    <w:rsid w:val="00CD1E9B"/>
    <w:rsid w:val="00CD2229"/>
    <w:rsid w:val="00CD2571"/>
    <w:rsid w:val="00CD269A"/>
    <w:rsid w:val="00CD272C"/>
    <w:rsid w:val="00CD283A"/>
    <w:rsid w:val="00CD28AD"/>
    <w:rsid w:val="00CD2ADD"/>
    <w:rsid w:val="00CD2EFF"/>
    <w:rsid w:val="00CD2F4B"/>
    <w:rsid w:val="00CD302E"/>
    <w:rsid w:val="00CD303B"/>
    <w:rsid w:val="00CD3134"/>
    <w:rsid w:val="00CD337A"/>
    <w:rsid w:val="00CD34CA"/>
    <w:rsid w:val="00CD386F"/>
    <w:rsid w:val="00CD38C9"/>
    <w:rsid w:val="00CD3962"/>
    <w:rsid w:val="00CD3B1E"/>
    <w:rsid w:val="00CD3D68"/>
    <w:rsid w:val="00CD3F61"/>
    <w:rsid w:val="00CD40BE"/>
    <w:rsid w:val="00CD4387"/>
    <w:rsid w:val="00CD441A"/>
    <w:rsid w:val="00CD4502"/>
    <w:rsid w:val="00CD4816"/>
    <w:rsid w:val="00CD48C0"/>
    <w:rsid w:val="00CD4978"/>
    <w:rsid w:val="00CD4989"/>
    <w:rsid w:val="00CD4AB3"/>
    <w:rsid w:val="00CD4B8B"/>
    <w:rsid w:val="00CD4DB2"/>
    <w:rsid w:val="00CD4E8D"/>
    <w:rsid w:val="00CD4FD5"/>
    <w:rsid w:val="00CD5095"/>
    <w:rsid w:val="00CD543D"/>
    <w:rsid w:val="00CD547C"/>
    <w:rsid w:val="00CD5492"/>
    <w:rsid w:val="00CD5575"/>
    <w:rsid w:val="00CD5606"/>
    <w:rsid w:val="00CD56AC"/>
    <w:rsid w:val="00CD59DC"/>
    <w:rsid w:val="00CD5A48"/>
    <w:rsid w:val="00CD5B2A"/>
    <w:rsid w:val="00CD5DE5"/>
    <w:rsid w:val="00CD5E12"/>
    <w:rsid w:val="00CD5EAE"/>
    <w:rsid w:val="00CD6124"/>
    <w:rsid w:val="00CD6147"/>
    <w:rsid w:val="00CD624E"/>
    <w:rsid w:val="00CD626A"/>
    <w:rsid w:val="00CD6499"/>
    <w:rsid w:val="00CD65C3"/>
    <w:rsid w:val="00CD6641"/>
    <w:rsid w:val="00CD67D0"/>
    <w:rsid w:val="00CD67F0"/>
    <w:rsid w:val="00CD6877"/>
    <w:rsid w:val="00CD6B13"/>
    <w:rsid w:val="00CD6D5B"/>
    <w:rsid w:val="00CD6DAC"/>
    <w:rsid w:val="00CD6DF5"/>
    <w:rsid w:val="00CD6FFA"/>
    <w:rsid w:val="00CD70CE"/>
    <w:rsid w:val="00CD719D"/>
    <w:rsid w:val="00CD743D"/>
    <w:rsid w:val="00CD74AC"/>
    <w:rsid w:val="00CD77C7"/>
    <w:rsid w:val="00CD783F"/>
    <w:rsid w:val="00CD786F"/>
    <w:rsid w:val="00CD792E"/>
    <w:rsid w:val="00CD7B3F"/>
    <w:rsid w:val="00CD7B99"/>
    <w:rsid w:val="00CD7CE4"/>
    <w:rsid w:val="00CD7EEC"/>
    <w:rsid w:val="00CD7F93"/>
    <w:rsid w:val="00CE00A4"/>
    <w:rsid w:val="00CE018D"/>
    <w:rsid w:val="00CE02A2"/>
    <w:rsid w:val="00CE038C"/>
    <w:rsid w:val="00CE04D5"/>
    <w:rsid w:val="00CE05AC"/>
    <w:rsid w:val="00CE0784"/>
    <w:rsid w:val="00CE07C5"/>
    <w:rsid w:val="00CE080B"/>
    <w:rsid w:val="00CE089E"/>
    <w:rsid w:val="00CE09AF"/>
    <w:rsid w:val="00CE0A4E"/>
    <w:rsid w:val="00CE0C4F"/>
    <w:rsid w:val="00CE0EB9"/>
    <w:rsid w:val="00CE0F51"/>
    <w:rsid w:val="00CE0FDF"/>
    <w:rsid w:val="00CE1041"/>
    <w:rsid w:val="00CE1045"/>
    <w:rsid w:val="00CE10C3"/>
    <w:rsid w:val="00CE1189"/>
    <w:rsid w:val="00CE121B"/>
    <w:rsid w:val="00CE13F5"/>
    <w:rsid w:val="00CE1444"/>
    <w:rsid w:val="00CE1521"/>
    <w:rsid w:val="00CE18B6"/>
    <w:rsid w:val="00CE1912"/>
    <w:rsid w:val="00CE19BF"/>
    <w:rsid w:val="00CE1B6D"/>
    <w:rsid w:val="00CE1C83"/>
    <w:rsid w:val="00CE1CCE"/>
    <w:rsid w:val="00CE1D14"/>
    <w:rsid w:val="00CE1FB2"/>
    <w:rsid w:val="00CE1FD2"/>
    <w:rsid w:val="00CE22AE"/>
    <w:rsid w:val="00CE23E0"/>
    <w:rsid w:val="00CE2560"/>
    <w:rsid w:val="00CE262E"/>
    <w:rsid w:val="00CE28EB"/>
    <w:rsid w:val="00CE2B15"/>
    <w:rsid w:val="00CE2B71"/>
    <w:rsid w:val="00CE2BCB"/>
    <w:rsid w:val="00CE2C16"/>
    <w:rsid w:val="00CE2C31"/>
    <w:rsid w:val="00CE2CAC"/>
    <w:rsid w:val="00CE2D9D"/>
    <w:rsid w:val="00CE2EC5"/>
    <w:rsid w:val="00CE2F24"/>
    <w:rsid w:val="00CE2FFF"/>
    <w:rsid w:val="00CE3085"/>
    <w:rsid w:val="00CE3146"/>
    <w:rsid w:val="00CE3195"/>
    <w:rsid w:val="00CE33EB"/>
    <w:rsid w:val="00CE37A1"/>
    <w:rsid w:val="00CE3806"/>
    <w:rsid w:val="00CE38B7"/>
    <w:rsid w:val="00CE3A71"/>
    <w:rsid w:val="00CE3A89"/>
    <w:rsid w:val="00CE3C82"/>
    <w:rsid w:val="00CE3D7D"/>
    <w:rsid w:val="00CE3E98"/>
    <w:rsid w:val="00CE415F"/>
    <w:rsid w:val="00CE434F"/>
    <w:rsid w:val="00CE43B7"/>
    <w:rsid w:val="00CE4673"/>
    <w:rsid w:val="00CE46F4"/>
    <w:rsid w:val="00CE472A"/>
    <w:rsid w:val="00CE4731"/>
    <w:rsid w:val="00CE489D"/>
    <w:rsid w:val="00CE4985"/>
    <w:rsid w:val="00CE4A2D"/>
    <w:rsid w:val="00CE4AB7"/>
    <w:rsid w:val="00CE4BD8"/>
    <w:rsid w:val="00CE4D66"/>
    <w:rsid w:val="00CE4F2F"/>
    <w:rsid w:val="00CE50F5"/>
    <w:rsid w:val="00CE525C"/>
    <w:rsid w:val="00CE53CC"/>
    <w:rsid w:val="00CE5792"/>
    <w:rsid w:val="00CE5850"/>
    <w:rsid w:val="00CE58D2"/>
    <w:rsid w:val="00CE59D1"/>
    <w:rsid w:val="00CE5AC1"/>
    <w:rsid w:val="00CE5BBC"/>
    <w:rsid w:val="00CE5C4D"/>
    <w:rsid w:val="00CE5EC3"/>
    <w:rsid w:val="00CE5F0E"/>
    <w:rsid w:val="00CE5F66"/>
    <w:rsid w:val="00CE6203"/>
    <w:rsid w:val="00CE62BD"/>
    <w:rsid w:val="00CE6397"/>
    <w:rsid w:val="00CE63E9"/>
    <w:rsid w:val="00CE648E"/>
    <w:rsid w:val="00CE64FE"/>
    <w:rsid w:val="00CE669D"/>
    <w:rsid w:val="00CE67E1"/>
    <w:rsid w:val="00CE6AD4"/>
    <w:rsid w:val="00CE6B36"/>
    <w:rsid w:val="00CE6C19"/>
    <w:rsid w:val="00CE6D18"/>
    <w:rsid w:val="00CE6D2A"/>
    <w:rsid w:val="00CE6D6C"/>
    <w:rsid w:val="00CE6DCF"/>
    <w:rsid w:val="00CE6E1E"/>
    <w:rsid w:val="00CE6E27"/>
    <w:rsid w:val="00CE6EBB"/>
    <w:rsid w:val="00CE71DF"/>
    <w:rsid w:val="00CE7241"/>
    <w:rsid w:val="00CE7271"/>
    <w:rsid w:val="00CE7425"/>
    <w:rsid w:val="00CE749C"/>
    <w:rsid w:val="00CE7648"/>
    <w:rsid w:val="00CE76A1"/>
    <w:rsid w:val="00CE7723"/>
    <w:rsid w:val="00CE77AE"/>
    <w:rsid w:val="00CE7842"/>
    <w:rsid w:val="00CE787F"/>
    <w:rsid w:val="00CE79A6"/>
    <w:rsid w:val="00CE7B31"/>
    <w:rsid w:val="00CE7D01"/>
    <w:rsid w:val="00CE7D18"/>
    <w:rsid w:val="00CE7D21"/>
    <w:rsid w:val="00CE7D8A"/>
    <w:rsid w:val="00CE7EFD"/>
    <w:rsid w:val="00CE7F3F"/>
    <w:rsid w:val="00CE7FA1"/>
    <w:rsid w:val="00CF0001"/>
    <w:rsid w:val="00CF0175"/>
    <w:rsid w:val="00CF0272"/>
    <w:rsid w:val="00CF02DF"/>
    <w:rsid w:val="00CF0311"/>
    <w:rsid w:val="00CF0358"/>
    <w:rsid w:val="00CF04FE"/>
    <w:rsid w:val="00CF05B9"/>
    <w:rsid w:val="00CF063B"/>
    <w:rsid w:val="00CF067E"/>
    <w:rsid w:val="00CF07C7"/>
    <w:rsid w:val="00CF07CC"/>
    <w:rsid w:val="00CF081D"/>
    <w:rsid w:val="00CF0825"/>
    <w:rsid w:val="00CF0A17"/>
    <w:rsid w:val="00CF0A27"/>
    <w:rsid w:val="00CF0B3E"/>
    <w:rsid w:val="00CF0C46"/>
    <w:rsid w:val="00CF0CB4"/>
    <w:rsid w:val="00CF0ED3"/>
    <w:rsid w:val="00CF11AB"/>
    <w:rsid w:val="00CF11B0"/>
    <w:rsid w:val="00CF1264"/>
    <w:rsid w:val="00CF12D1"/>
    <w:rsid w:val="00CF1364"/>
    <w:rsid w:val="00CF1432"/>
    <w:rsid w:val="00CF1585"/>
    <w:rsid w:val="00CF1613"/>
    <w:rsid w:val="00CF1627"/>
    <w:rsid w:val="00CF1699"/>
    <w:rsid w:val="00CF1709"/>
    <w:rsid w:val="00CF1881"/>
    <w:rsid w:val="00CF1B39"/>
    <w:rsid w:val="00CF1B3C"/>
    <w:rsid w:val="00CF1B50"/>
    <w:rsid w:val="00CF1CCB"/>
    <w:rsid w:val="00CF1D29"/>
    <w:rsid w:val="00CF1E0C"/>
    <w:rsid w:val="00CF1E96"/>
    <w:rsid w:val="00CF2008"/>
    <w:rsid w:val="00CF21B2"/>
    <w:rsid w:val="00CF21DC"/>
    <w:rsid w:val="00CF224A"/>
    <w:rsid w:val="00CF2270"/>
    <w:rsid w:val="00CF230A"/>
    <w:rsid w:val="00CF2334"/>
    <w:rsid w:val="00CF24CC"/>
    <w:rsid w:val="00CF26AD"/>
    <w:rsid w:val="00CF274B"/>
    <w:rsid w:val="00CF287D"/>
    <w:rsid w:val="00CF2924"/>
    <w:rsid w:val="00CF2A0A"/>
    <w:rsid w:val="00CF2B79"/>
    <w:rsid w:val="00CF2C8D"/>
    <w:rsid w:val="00CF2DC2"/>
    <w:rsid w:val="00CF2FA9"/>
    <w:rsid w:val="00CF3136"/>
    <w:rsid w:val="00CF3158"/>
    <w:rsid w:val="00CF3198"/>
    <w:rsid w:val="00CF31E5"/>
    <w:rsid w:val="00CF3212"/>
    <w:rsid w:val="00CF3251"/>
    <w:rsid w:val="00CF3374"/>
    <w:rsid w:val="00CF350C"/>
    <w:rsid w:val="00CF3545"/>
    <w:rsid w:val="00CF35BA"/>
    <w:rsid w:val="00CF35D6"/>
    <w:rsid w:val="00CF3B1C"/>
    <w:rsid w:val="00CF3BAF"/>
    <w:rsid w:val="00CF3D4D"/>
    <w:rsid w:val="00CF3DC3"/>
    <w:rsid w:val="00CF4284"/>
    <w:rsid w:val="00CF42C8"/>
    <w:rsid w:val="00CF4307"/>
    <w:rsid w:val="00CF464E"/>
    <w:rsid w:val="00CF493F"/>
    <w:rsid w:val="00CF4A1A"/>
    <w:rsid w:val="00CF4BD2"/>
    <w:rsid w:val="00CF4BE6"/>
    <w:rsid w:val="00CF4E5F"/>
    <w:rsid w:val="00CF4ED2"/>
    <w:rsid w:val="00CF4F66"/>
    <w:rsid w:val="00CF5006"/>
    <w:rsid w:val="00CF50AD"/>
    <w:rsid w:val="00CF5154"/>
    <w:rsid w:val="00CF52EF"/>
    <w:rsid w:val="00CF5470"/>
    <w:rsid w:val="00CF55A8"/>
    <w:rsid w:val="00CF5746"/>
    <w:rsid w:val="00CF5B24"/>
    <w:rsid w:val="00CF5CD3"/>
    <w:rsid w:val="00CF5E77"/>
    <w:rsid w:val="00CF5EC2"/>
    <w:rsid w:val="00CF5FFC"/>
    <w:rsid w:val="00CF6112"/>
    <w:rsid w:val="00CF6166"/>
    <w:rsid w:val="00CF61A9"/>
    <w:rsid w:val="00CF6315"/>
    <w:rsid w:val="00CF64B9"/>
    <w:rsid w:val="00CF65AC"/>
    <w:rsid w:val="00CF6615"/>
    <w:rsid w:val="00CF67D8"/>
    <w:rsid w:val="00CF690A"/>
    <w:rsid w:val="00CF6949"/>
    <w:rsid w:val="00CF694A"/>
    <w:rsid w:val="00CF698A"/>
    <w:rsid w:val="00CF6B3C"/>
    <w:rsid w:val="00CF6C69"/>
    <w:rsid w:val="00CF6C98"/>
    <w:rsid w:val="00CF6D4E"/>
    <w:rsid w:val="00CF6F30"/>
    <w:rsid w:val="00CF7055"/>
    <w:rsid w:val="00CF7076"/>
    <w:rsid w:val="00CF7078"/>
    <w:rsid w:val="00CF7114"/>
    <w:rsid w:val="00CF71A0"/>
    <w:rsid w:val="00CF7219"/>
    <w:rsid w:val="00CF7311"/>
    <w:rsid w:val="00CF73B6"/>
    <w:rsid w:val="00CF7425"/>
    <w:rsid w:val="00CF74C6"/>
    <w:rsid w:val="00CF789C"/>
    <w:rsid w:val="00CF78DA"/>
    <w:rsid w:val="00CF798A"/>
    <w:rsid w:val="00CF7A0B"/>
    <w:rsid w:val="00CF7C0B"/>
    <w:rsid w:val="00CF7C82"/>
    <w:rsid w:val="00CF7D86"/>
    <w:rsid w:val="00CF7D97"/>
    <w:rsid w:val="00CF7F6C"/>
    <w:rsid w:val="00CF7FA5"/>
    <w:rsid w:val="00D00040"/>
    <w:rsid w:val="00D0008D"/>
    <w:rsid w:val="00D000B0"/>
    <w:rsid w:val="00D000FC"/>
    <w:rsid w:val="00D00165"/>
    <w:rsid w:val="00D0016E"/>
    <w:rsid w:val="00D0032C"/>
    <w:rsid w:val="00D00516"/>
    <w:rsid w:val="00D00518"/>
    <w:rsid w:val="00D0052C"/>
    <w:rsid w:val="00D0058B"/>
    <w:rsid w:val="00D005C1"/>
    <w:rsid w:val="00D00635"/>
    <w:rsid w:val="00D00721"/>
    <w:rsid w:val="00D0091C"/>
    <w:rsid w:val="00D00ADA"/>
    <w:rsid w:val="00D00E65"/>
    <w:rsid w:val="00D00F29"/>
    <w:rsid w:val="00D00F47"/>
    <w:rsid w:val="00D01110"/>
    <w:rsid w:val="00D0142A"/>
    <w:rsid w:val="00D01471"/>
    <w:rsid w:val="00D015B0"/>
    <w:rsid w:val="00D01821"/>
    <w:rsid w:val="00D01964"/>
    <w:rsid w:val="00D0199F"/>
    <w:rsid w:val="00D01A63"/>
    <w:rsid w:val="00D01ABB"/>
    <w:rsid w:val="00D01B77"/>
    <w:rsid w:val="00D01BB2"/>
    <w:rsid w:val="00D01C20"/>
    <w:rsid w:val="00D01C88"/>
    <w:rsid w:val="00D01DC4"/>
    <w:rsid w:val="00D01DF6"/>
    <w:rsid w:val="00D01E1E"/>
    <w:rsid w:val="00D01EA8"/>
    <w:rsid w:val="00D01EAC"/>
    <w:rsid w:val="00D01FD2"/>
    <w:rsid w:val="00D020B8"/>
    <w:rsid w:val="00D021BA"/>
    <w:rsid w:val="00D021D6"/>
    <w:rsid w:val="00D021E0"/>
    <w:rsid w:val="00D0228C"/>
    <w:rsid w:val="00D02382"/>
    <w:rsid w:val="00D02392"/>
    <w:rsid w:val="00D023FB"/>
    <w:rsid w:val="00D0264F"/>
    <w:rsid w:val="00D0278C"/>
    <w:rsid w:val="00D0288F"/>
    <w:rsid w:val="00D0289B"/>
    <w:rsid w:val="00D028DF"/>
    <w:rsid w:val="00D02AEA"/>
    <w:rsid w:val="00D02CDB"/>
    <w:rsid w:val="00D02EC5"/>
    <w:rsid w:val="00D02FC8"/>
    <w:rsid w:val="00D0316C"/>
    <w:rsid w:val="00D03250"/>
    <w:rsid w:val="00D033F0"/>
    <w:rsid w:val="00D03498"/>
    <w:rsid w:val="00D0361B"/>
    <w:rsid w:val="00D036BF"/>
    <w:rsid w:val="00D03736"/>
    <w:rsid w:val="00D03865"/>
    <w:rsid w:val="00D038DB"/>
    <w:rsid w:val="00D0394B"/>
    <w:rsid w:val="00D03B1F"/>
    <w:rsid w:val="00D03C8E"/>
    <w:rsid w:val="00D03F2E"/>
    <w:rsid w:val="00D03F43"/>
    <w:rsid w:val="00D03F4F"/>
    <w:rsid w:val="00D03F7E"/>
    <w:rsid w:val="00D03FC5"/>
    <w:rsid w:val="00D04057"/>
    <w:rsid w:val="00D040CD"/>
    <w:rsid w:val="00D042F6"/>
    <w:rsid w:val="00D044E6"/>
    <w:rsid w:val="00D04550"/>
    <w:rsid w:val="00D0464A"/>
    <w:rsid w:val="00D04755"/>
    <w:rsid w:val="00D04797"/>
    <w:rsid w:val="00D0484D"/>
    <w:rsid w:val="00D0495F"/>
    <w:rsid w:val="00D04996"/>
    <w:rsid w:val="00D049E5"/>
    <w:rsid w:val="00D04A81"/>
    <w:rsid w:val="00D04A99"/>
    <w:rsid w:val="00D04AC2"/>
    <w:rsid w:val="00D04BB6"/>
    <w:rsid w:val="00D04C39"/>
    <w:rsid w:val="00D04ED4"/>
    <w:rsid w:val="00D051FB"/>
    <w:rsid w:val="00D0535A"/>
    <w:rsid w:val="00D05370"/>
    <w:rsid w:val="00D05377"/>
    <w:rsid w:val="00D053DB"/>
    <w:rsid w:val="00D0555E"/>
    <w:rsid w:val="00D05654"/>
    <w:rsid w:val="00D0580B"/>
    <w:rsid w:val="00D0584A"/>
    <w:rsid w:val="00D05997"/>
    <w:rsid w:val="00D05BB1"/>
    <w:rsid w:val="00D05D02"/>
    <w:rsid w:val="00D05F53"/>
    <w:rsid w:val="00D05F8F"/>
    <w:rsid w:val="00D060FC"/>
    <w:rsid w:val="00D061CC"/>
    <w:rsid w:val="00D06216"/>
    <w:rsid w:val="00D0630E"/>
    <w:rsid w:val="00D063C5"/>
    <w:rsid w:val="00D06553"/>
    <w:rsid w:val="00D0663C"/>
    <w:rsid w:val="00D06657"/>
    <w:rsid w:val="00D0672A"/>
    <w:rsid w:val="00D067BB"/>
    <w:rsid w:val="00D06854"/>
    <w:rsid w:val="00D06999"/>
    <w:rsid w:val="00D069D8"/>
    <w:rsid w:val="00D069EB"/>
    <w:rsid w:val="00D06C03"/>
    <w:rsid w:val="00D06CDD"/>
    <w:rsid w:val="00D06E2F"/>
    <w:rsid w:val="00D06F5F"/>
    <w:rsid w:val="00D06F7A"/>
    <w:rsid w:val="00D0717D"/>
    <w:rsid w:val="00D07270"/>
    <w:rsid w:val="00D07335"/>
    <w:rsid w:val="00D07351"/>
    <w:rsid w:val="00D075D1"/>
    <w:rsid w:val="00D0767B"/>
    <w:rsid w:val="00D07846"/>
    <w:rsid w:val="00D079FC"/>
    <w:rsid w:val="00D07AE0"/>
    <w:rsid w:val="00D07AEF"/>
    <w:rsid w:val="00D07CA5"/>
    <w:rsid w:val="00D07D5E"/>
    <w:rsid w:val="00D07F26"/>
    <w:rsid w:val="00D07F62"/>
    <w:rsid w:val="00D10026"/>
    <w:rsid w:val="00D10095"/>
    <w:rsid w:val="00D101F1"/>
    <w:rsid w:val="00D10229"/>
    <w:rsid w:val="00D1027E"/>
    <w:rsid w:val="00D103E2"/>
    <w:rsid w:val="00D10586"/>
    <w:rsid w:val="00D10790"/>
    <w:rsid w:val="00D10859"/>
    <w:rsid w:val="00D109B3"/>
    <w:rsid w:val="00D10B53"/>
    <w:rsid w:val="00D10BF0"/>
    <w:rsid w:val="00D10D89"/>
    <w:rsid w:val="00D10EA5"/>
    <w:rsid w:val="00D10ECF"/>
    <w:rsid w:val="00D10EFF"/>
    <w:rsid w:val="00D10F49"/>
    <w:rsid w:val="00D10F51"/>
    <w:rsid w:val="00D10F52"/>
    <w:rsid w:val="00D111A7"/>
    <w:rsid w:val="00D1120E"/>
    <w:rsid w:val="00D11230"/>
    <w:rsid w:val="00D11269"/>
    <w:rsid w:val="00D1138E"/>
    <w:rsid w:val="00D11446"/>
    <w:rsid w:val="00D11600"/>
    <w:rsid w:val="00D11A04"/>
    <w:rsid w:val="00D11A0C"/>
    <w:rsid w:val="00D11AF0"/>
    <w:rsid w:val="00D11B0B"/>
    <w:rsid w:val="00D11B85"/>
    <w:rsid w:val="00D11CDF"/>
    <w:rsid w:val="00D11E19"/>
    <w:rsid w:val="00D12188"/>
    <w:rsid w:val="00D121D7"/>
    <w:rsid w:val="00D12254"/>
    <w:rsid w:val="00D12433"/>
    <w:rsid w:val="00D124A8"/>
    <w:rsid w:val="00D12852"/>
    <w:rsid w:val="00D12A05"/>
    <w:rsid w:val="00D12A18"/>
    <w:rsid w:val="00D12B2D"/>
    <w:rsid w:val="00D12BE3"/>
    <w:rsid w:val="00D12CE9"/>
    <w:rsid w:val="00D12D0F"/>
    <w:rsid w:val="00D12FE3"/>
    <w:rsid w:val="00D130C6"/>
    <w:rsid w:val="00D130F1"/>
    <w:rsid w:val="00D13126"/>
    <w:rsid w:val="00D13147"/>
    <w:rsid w:val="00D131F2"/>
    <w:rsid w:val="00D132D6"/>
    <w:rsid w:val="00D134A8"/>
    <w:rsid w:val="00D1350A"/>
    <w:rsid w:val="00D1358C"/>
    <w:rsid w:val="00D1362D"/>
    <w:rsid w:val="00D13655"/>
    <w:rsid w:val="00D137D2"/>
    <w:rsid w:val="00D13850"/>
    <w:rsid w:val="00D138F6"/>
    <w:rsid w:val="00D1390D"/>
    <w:rsid w:val="00D139B5"/>
    <w:rsid w:val="00D13A23"/>
    <w:rsid w:val="00D13B04"/>
    <w:rsid w:val="00D13CC2"/>
    <w:rsid w:val="00D13CD0"/>
    <w:rsid w:val="00D13D5C"/>
    <w:rsid w:val="00D13D5F"/>
    <w:rsid w:val="00D13E00"/>
    <w:rsid w:val="00D13E3B"/>
    <w:rsid w:val="00D13E9A"/>
    <w:rsid w:val="00D1401C"/>
    <w:rsid w:val="00D14058"/>
    <w:rsid w:val="00D140BF"/>
    <w:rsid w:val="00D1418C"/>
    <w:rsid w:val="00D14457"/>
    <w:rsid w:val="00D14489"/>
    <w:rsid w:val="00D146EF"/>
    <w:rsid w:val="00D14918"/>
    <w:rsid w:val="00D1495F"/>
    <w:rsid w:val="00D149F1"/>
    <w:rsid w:val="00D14B3C"/>
    <w:rsid w:val="00D14B3E"/>
    <w:rsid w:val="00D14C3E"/>
    <w:rsid w:val="00D14D9A"/>
    <w:rsid w:val="00D14DE7"/>
    <w:rsid w:val="00D14DFB"/>
    <w:rsid w:val="00D14E46"/>
    <w:rsid w:val="00D15080"/>
    <w:rsid w:val="00D1514F"/>
    <w:rsid w:val="00D154F5"/>
    <w:rsid w:val="00D15513"/>
    <w:rsid w:val="00D15633"/>
    <w:rsid w:val="00D157B8"/>
    <w:rsid w:val="00D15B11"/>
    <w:rsid w:val="00D15B8F"/>
    <w:rsid w:val="00D15C76"/>
    <w:rsid w:val="00D15CC5"/>
    <w:rsid w:val="00D15D60"/>
    <w:rsid w:val="00D15F8F"/>
    <w:rsid w:val="00D160FE"/>
    <w:rsid w:val="00D1617A"/>
    <w:rsid w:val="00D16257"/>
    <w:rsid w:val="00D163FE"/>
    <w:rsid w:val="00D16566"/>
    <w:rsid w:val="00D1676A"/>
    <w:rsid w:val="00D16778"/>
    <w:rsid w:val="00D16986"/>
    <w:rsid w:val="00D16997"/>
    <w:rsid w:val="00D16B03"/>
    <w:rsid w:val="00D16D54"/>
    <w:rsid w:val="00D16E0F"/>
    <w:rsid w:val="00D16E21"/>
    <w:rsid w:val="00D16EC6"/>
    <w:rsid w:val="00D17053"/>
    <w:rsid w:val="00D171A2"/>
    <w:rsid w:val="00D171C7"/>
    <w:rsid w:val="00D17205"/>
    <w:rsid w:val="00D173B8"/>
    <w:rsid w:val="00D17436"/>
    <w:rsid w:val="00D17611"/>
    <w:rsid w:val="00D17621"/>
    <w:rsid w:val="00D176A8"/>
    <w:rsid w:val="00D176C2"/>
    <w:rsid w:val="00D176CA"/>
    <w:rsid w:val="00D1776A"/>
    <w:rsid w:val="00D17874"/>
    <w:rsid w:val="00D179D9"/>
    <w:rsid w:val="00D17BBD"/>
    <w:rsid w:val="00D17BD4"/>
    <w:rsid w:val="00D17CC9"/>
    <w:rsid w:val="00D17E20"/>
    <w:rsid w:val="00D17E6C"/>
    <w:rsid w:val="00D20196"/>
    <w:rsid w:val="00D20290"/>
    <w:rsid w:val="00D203B5"/>
    <w:rsid w:val="00D203F4"/>
    <w:rsid w:val="00D2044B"/>
    <w:rsid w:val="00D20588"/>
    <w:rsid w:val="00D2069F"/>
    <w:rsid w:val="00D206DE"/>
    <w:rsid w:val="00D20701"/>
    <w:rsid w:val="00D207F8"/>
    <w:rsid w:val="00D2084A"/>
    <w:rsid w:val="00D20929"/>
    <w:rsid w:val="00D20BB5"/>
    <w:rsid w:val="00D20BC3"/>
    <w:rsid w:val="00D20BC8"/>
    <w:rsid w:val="00D20C07"/>
    <w:rsid w:val="00D20C6E"/>
    <w:rsid w:val="00D20DDF"/>
    <w:rsid w:val="00D20E6E"/>
    <w:rsid w:val="00D21193"/>
    <w:rsid w:val="00D2142D"/>
    <w:rsid w:val="00D21430"/>
    <w:rsid w:val="00D21581"/>
    <w:rsid w:val="00D21596"/>
    <w:rsid w:val="00D2182C"/>
    <w:rsid w:val="00D2197D"/>
    <w:rsid w:val="00D21ABB"/>
    <w:rsid w:val="00D21B08"/>
    <w:rsid w:val="00D21C54"/>
    <w:rsid w:val="00D21D89"/>
    <w:rsid w:val="00D21E8D"/>
    <w:rsid w:val="00D22166"/>
    <w:rsid w:val="00D2229C"/>
    <w:rsid w:val="00D223E1"/>
    <w:rsid w:val="00D2240F"/>
    <w:rsid w:val="00D22A0D"/>
    <w:rsid w:val="00D22A2F"/>
    <w:rsid w:val="00D22A58"/>
    <w:rsid w:val="00D22AC6"/>
    <w:rsid w:val="00D22B03"/>
    <w:rsid w:val="00D22B06"/>
    <w:rsid w:val="00D22B27"/>
    <w:rsid w:val="00D22B57"/>
    <w:rsid w:val="00D22B65"/>
    <w:rsid w:val="00D22C19"/>
    <w:rsid w:val="00D22C83"/>
    <w:rsid w:val="00D22E71"/>
    <w:rsid w:val="00D22EE7"/>
    <w:rsid w:val="00D22F06"/>
    <w:rsid w:val="00D230C3"/>
    <w:rsid w:val="00D2318A"/>
    <w:rsid w:val="00D232FC"/>
    <w:rsid w:val="00D23320"/>
    <w:rsid w:val="00D233BC"/>
    <w:rsid w:val="00D233D2"/>
    <w:rsid w:val="00D234CA"/>
    <w:rsid w:val="00D2359A"/>
    <w:rsid w:val="00D23804"/>
    <w:rsid w:val="00D23984"/>
    <w:rsid w:val="00D23C3E"/>
    <w:rsid w:val="00D23D6F"/>
    <w:rsid w:val="00D23DE5"/>
    <w:rsid w:val="00D23E42"/>
    <w:rsid w:val="00D24066"/>
    <w:rsid w:val="00D24088"/>
    <w:rsid w:val="00D240BB"/>
    <w:rsid w:val="00D243C5"/>
    <w:rsid w:val="00D2448E"/>
    <w:rsid w:val="00D2468A"/>
    <w:rsid w:val="00D246D8"/>
    <w:rsid w:val="00D2474E"/>
    <w:rsid w:val="00D24762"/>
    <w:rsid w:val="00D24827"/>
    <w:rsid w:val="00D248B0"/>
    <w:rsid w:val="00D2491D"/>
    <w:rsid w:val="00D249E3"/>
    <w:rsid w:val="00D24D39"/>
    <w:rsid w:val="00D24D79"/>
    <w:rsid w:val="00D24D94"/>
    <w:rsid w:val="00D24F11"/>
    <w:rsid w:val="00D24FB2"/>
    <w:rsid w:val="00D250B9"/>
    <w:rsid w:val="00D25267"/>
    <w:rsid w:val="00D25269"/>
    <w:rsid w:val="00D252AB"/>
    <w:rsid w:val="00D254A6"/>
    <w:rsid w:val="00D254ED"/>
    <w:rsid w:val="00D25530"/>
    <w:rsid w:val="00D25669"/>
    <w:rsid w:val="00D2567B"/>
    <w:rsid w:val="00D2567D"/>
    <w:rsid w:val="00D256C3"/>
    <w:rsid w:val="00D256C7"/>
    <w:rsid w:val="00D257A9"/>
    <w:rsid w:val="00D2593A"/>
    <w:rsid w:val="00D25AA3"/>
    <w:rsid w:val="00D25AE6"/>
    <w:rsid w:val="00D25B81"/>
    <w:rsid w:val="00D25C01"/>
    <w:rsid w:val="00D25C03"/>
    <w:rsid w:val="00D25DF7"/>
    <w:rsid w:val="00D25F10"/>
    <w:rsid w:val="00D25FAE"/>
    <w:rsid w:val="00D260FE"/>
    <w:rsid w:val="00D26248"/>
    <w:rsid w:val="00D26395"/>
    <w:rsid w:val="00D26457"/>
    <w:rsid w:val="00D267F5"/>
    <w:rsid w:val="00D267F9"/>
    <w:rsid w:val="00D26862"/>
    <w:rsid w:val="00D26A12"/>
    <w:rsid w:val="00D26A2F"/>
    <w:rsid w:val="00D26A8B"/>
    <w:rsid w:val="00D26AFE"/>
    <w:rsid w:val="00D26BF7"/>
    <w:rsid w:val="00D26C9B"/>
    <w:rsid w:val="00D26DBE"/>
    <w:rsid w:val="00D26E21"/>
    <w:rsid w:val="00D26E57"/>
    <w:rsid w:val="00D26FCB"/>
    <w:rsid w:val="00D270D7"/>
    <w:rsid w:val="00D27309"/>
    <w:rsid w:val="00D274FA"/>
    <w:rsid w:val="00D2757E"/>
    <w:rsid w:val="00D27630"/>
    <w:rsid w:val="00D277A1"/>
    <w:rsid w:val="00D2784A"/>
    <w:rsid w:val="00D27A06"/>
    <w:rsid w:val="00D27C0B"/>
    <w:rsid w:val="00D27CDB"/>
    <w:rsid w:val="00D27D83"/>
    <w:rsid w:val="00D27DD3"/>
    <w:rsid w:val="00D27EE2"/>
    <w:rsid w:val="00D27F36"/>
    <w:rsid w:val="00D30036"/>
    <w:rsid w:val="00D301BB"/>
    <w:rsid w:val="00D301D3"/>
    <w:rsid w:val="00D301F2"/>
    <w:rsid w:val="00D3052A"/>
    <w:rsid w:val="00D30629"/>
    <w:rsid w:val="00D3078A"/>
    <w:rsid w:val="00D308CF"/>
    <w:rsid w:val="00D308D9"/>
    <w:rsid w:val="00D30ABD"/>
    <w:rsid w:val="00D30AD9"/>
    <w:rsid w:val="00D30C28"/>
    <w:rsid w:val="00D30D4F"/>
    <w:rsid w:val="00D30EA0"/>
    <w:rsid w:val="00D30FBD"/>
    <w:rsid w:val="00D30FFF"/>
    <w:rsid w:val="00D31065"/>
    <w:rsid w:val="00D31239"/>
    <w:rsid w:val="00D312B4"/>
    <w:rsid w:val="00D3135F"/>
    <w:rsid w:val="00D313D8"/>
    <w:rsid w:val="00D3142A"/>
    <w:rsid w:val="00D3153C"/>
    <w:rsid w:val="00D31625"/>
    <w:rsid w:val="00D3181D"/>
    <w:rsid w:val="00D31849"/>
    <w:rsid w:val="00D318E9"/>
    <w:rsid w:val="00D31BDF"/>
    <w:rsid w:val="00D31BEA"/>
    <w:rsid w:val="00D31DA0"/>
    <w:rsid w:val="00D31FB3"/>
    <w:rsid w:val="00D32493"/>
    <w:rsid w:val="00D325D0"/>
    <w:rsid w:val="00D32649"/>
    <w:rsid w:val="00D3265C"/>
    <w:rsid w:val="00D329BC"/>
    <w:rsid w:val="00D329CA"/>
    <w:rsid w:val="00D329D9"/>
    <w:rsid w:val="00D329DD"/>
    <w:rsid w:val="00D32A71"/>
    <w:rsid w:val="00D32AD5"/>
    <w:rsid w:val="00D32B1E"/>
    <w:rsid w:val="00D32D12"/>
    <w:rsid w:val="00D32D3F"/>
    <w:rsid w:val="00D3302A"/>
    <w:rsid w:val="00D33036"/>
    <w:rsid w:val="00D330D4"/>
    <w:rsid w:val="00D33162"/>
    <w:rsid w:val="00D3342A"/>
    <w:rsid w:val="00D3345F"/>
    <w:rsid w:val="00D33544"/>
    <w:rsid w:val="00D3380A"/>
    <w:rsid w:val="00D33AA8"/>
    <w:rsid w:val="00D33C58"/>
    <w:rsid w:val="00D33CB8"/>
    <w:rsid w:val="00D33D3B"/>
    <w:rsid w:val="00D34008"/>
    <w:rsid w:val="00D34089"/>
    <w:rsid w:val="00D341C5"/>
    <w:rsid w:val="00D34308"/>
    <w:rsid w:val="00D3448C"/>
    <w:rsid w:val="00D344CE"/>
    <w:rsid w:val="00D345F2"/>
    <w:rsid w:val="00D345F5"/>
    <w:rsid w:val="00D346B2"/>
    <w:rsid w:val="00D34929"/>
    <w:rsid w:val="00D34A5D"/>
    <w:rsid w:val="00D34BB3"/>
    <w:rsid w:val="00D34C86"/>
    <w:rsid w:val="00D34E69"/>
    <w:rsid w:val="00D34FD8"/>
    <w:rsid w:val="00D35005"/>
    <w:rsid w:val="00D35018"/>
    <w:rsid w:val="00D35050"/>
    <w:rsid w:val="00D35052"/>
    <w:rsid w:val="00D35291"/>
    <w:rsid w:val="00D35336"/>
    <w:rsid w:val="00D35344"/>
    <w:rsid w:val="00D35451"/>
    <w:rsid w:val="00D355FE"/>
    <w:rsid w:val="00D35619"/>
    <w:rsid w:val="00D3577D"/>
    <w:rsid w:val="00D3580F"/>
    <w:rsid w:val="00D35A2B"/>
    <w:rsid w:val="00D35A2E"/>
    <w:rsid w:val="00D35A6E"/>
    <w:rsid w:val="00D35CF5"/>
    <w:rsid w:val="00D35F80"/>
    <w:rsid w:val="00D360C3"/>
    <w:rsid w:val="00D3621B"/>
    <w:rsid w:val="00D36247"/>
    <w:rsid w:val="00D362E1"/>
    <w:rsid w:val="00D36376"/>
    <w:rsid w:val="00D36660"/>
    <w:rsid w:val="00D3677A"/>
    <w:rsid w:val="00D367FE"/>
    <w:rsid w:val="00D36AA5"/>
    <w:rsid w:val="00D36B79"/>
    <w:rsid w:val="00D36D37"/>
    <w:rsid w:val="00D36F67"/>
    <w:rsid w:val="00D37021"/>
    <w:rsid w:val="00D370A2"/>
    <w:rsid w:val="00D37140"/>
    <w:rsid w:val="00D371B5"/>
    <w:rsid w:val="00D371CB"/>
    <w:rsid w:val="00D372D6"/>
    <w:rsid w:val="00D372E9"/>
    <w:rsid w:val="00D37332"/>
    <w:rsid w:val="00D375E3"/>
    <w:rsid w:val="00D3767E"/>
    <w:rsid w:val="00D3790A"/>
    <w:rsid w:val="00D37CAE"/>
    <w:rsid w:val="00D37CD9"/>
    <w:rsid w:val="00D37D2D"/>
    <w:rsid w:val="00D37D38"/>
    <w:rsid w:val="00D37E47"/>
    <w:rsid w:val="00D37EE1"/>
    <w:rsid w:val="00D400E3"/>
    <w:rsid w:val="00D402B9"/>
    <w:rsid w:val="00D4037A"/>
    <w:rsid w:val="00D40428"/>
    <w:rsid w:val="00D40468"/>
    <w:rsid w:val="00D40494"/>
    <w:rsid w:val="00D40591"/>
    <w:rsid w:val="00D405CF"/>
    <w:rsid w:val="00D40611"/>
    <w:rsid w:val="00D40766"/>
    <w:rsid w:val="00D4078D"/>
    <w:rsid w:val="00D40A16"/>
    <w:rsid w:val="00D40AB7"/>
    <w:rsid w:val="00D40B83"/>
    <w:rsid w:val="00D40CD3"/>
    <w:rsid w:val="00D410EC"/>
    <w:rsid w:val="00D41181"/>
    <w:rsid w:val="00D411D3"/>
    <w:rsid w:val="00D413F3"/>
    <w:rsid w:val="00D413FF"/>
    <w:rsid w:val="00D414E9"/>
    <w:rsid w:val="00D415FF"/>
    <w:rsid w:val="00D416A0"/>
    <w:rsid w:val="00D41730"/>
    <w:rsid w:val="00D41863"/>
    <w:rsid w:val="00D418D4"/>
    <w:rsid w:val="00D41B55"/>
    <w:rsid w:val="00D41B60"/>
    <w:rsid w:val="00D41EE2"/>
    <w:rsid w:val="00D41FF4"/>
    <w:rsid w:val="00D422E1"/>
    <w:rsid w:val="00D42473"/>
    <w:rsid w:val="00D42903"/>
    <w:rsid w:val="00D42ACD"/>
    <w:rsid w:val="00D42EC7"/>
    <w:rsid w:val="00D42FD9"/>
    <w:rsid w:val="00D4307F"/>
    <w:rsid w:val="00D43163"/>
    <w:rsid w:val="00D4317C"/>
    <w:rsid w:val="00D432D4"/>
    <w:rsid w:val="00D43302"/>
    <w:rsid w:val="00D433C6"/>
    <w:rsid w:val="00D4348A"/>
    <w:rsid w:val="00D436F2"/>
    <w:rsid w:val="00D438A4"/>
    <w:rsid w:val="00D438B5"/>
    <w:rsid w:val="00D43A88"/>
    <w:rsid w:val="00D43CD2"/>
    <w:rsid w:val="00D43E0C"/>
    <w:rsid w:val="00D43EB4"/>
    <w:rsid w:val="00D43EE7"/>
    <w:rsid w:val="00D43FBF"/>
    <w:rsid w:val="00D4400A"/>
    <w:rsid w:val="00D441AD"/>
    <w:rsid w:val="00D444D8"/>
    <w:rsid w:val="00D44613"/>
    <w:rsid w:val="00D44666"/>
    <w:rsid w:val="00D4474F"/>
    <w:rsid w:val="00D44B53"/>
    <w:rsid w:val="00D44C2E"/>
    <w:rsid w:val="00D44C55"/>
    <w:rsid w:val="00D44C94"/>
    <w:rsid w:val="00D44E64"/>
    <w:rsid w:val="00D44EB7"/>
    <w:rsid w:val="00D450A9"/>
    <w:rsid w:val="00D4518C"/>
    <w:rsid w:val="00D45197"/>
    <w:rsid w:val="00D453DD"/>
    <w:rsid w:val="00D453EE"/>
    <w:rsid w:val="00D45521"/>
    <w:rsid w:val="00D45556"/>
    <w:rsid w:val="00D45610"/>
    <w:rsid w:val="00D45630"/>
    <w:rsid w:val="00D4569A"/>
    <w:rsid w:val="00D457F9"/>
    <w:rsid w:val="00D45940"/>
    <w:rsid w:val="00D45A74"/>
    <w:rsid w:val="00D45AFF"/>
    <w:rsid w:val="00D45C56"/>
    <w:rsid w:val="00D45CA8"/>
    <w:rsid w:val="00D45D4B"/>
    <w:rsid w:val="00D45D71"/>
    <w:rsid w:val="00D45E55"/>
    <w:rsid w:val="00D45E96"/>
    <w:rsid w:val="00D45E99"/>
    <w:rsid w:val="00D460D3"/>
    <w:rsid w:val="00D462A2"/>
    <w:rsid w:val="00D4631D"/>
    <w:rsid w:val="00D4651C"/>
    <w:rsid w:val="00D46646"/>
    <w:rsid w:val="00D46659"/>
    <w:rsid w:val="00D4680A"/>
    <w:rsid w:val="00D46B22"/>
    <w:rsid w:val="00D46C08"/>
    <w:rsid w:val="00D46C9C"/>
    <w:rsid w:val="00D46CD7"/>
    <w:rsid w:val="00D46EB4"/>
    <w:rsid w:val="00D46F09"/>
    <w:rsid w:val="00D46F35"/>
    <w:rsid w:val="00D46FBE"/>
    <w:rsid w:val="00D471F7"/>
    <w:rsid w:val="00D47205"/>
    <w:rsid w:val="00D472F6"/>
    <w:rsid w:val="00D47329"/>
    <w:rsid w:val="00D47443"/>
    <w:rsid w:val="00D4753F"/>
    <w:rsid w:val="00D47746"/>
    <w:rsid w:val="00D478B3"/>
    <w:rsid w:val="00D47947"/>
    <w:rsid w:val="00D47BA4"/>
    <w:rsid w:val="00D47BD9"/>
    <w:rsid w:val="00D47C82"/>
    <w:rsid w:val="00D47D44"/>
    <w:rsid w:val="00D47FDA"/>
    <w:rsid w:val="00D500F9"/>
    <w:rsid w:val="00D50145"/>
    <w:rsid w:val="00D5051C"/>
    <w:rsid w:val="00D505A6"/>
    <w:rsid w:val="00D50644"/>
    <w:rsid w:val="00D50755"/>
    <w:rsid w:val="00D50F74"/>
    <w:rsid w:val="00D50FC9"/>
    <w:rsid w:val="00D511AB"/>
    <w:rsid w:val="00D51713"/>
    <w:rsid w:val="00D51B10"/>
    <w:rsid w:val="00D51BF2"/>
    <w:rsid w:val="00D51CF0"/>
    <w:rsid w:val="00D51E13"/>
    <w:rsid w:val="00D51E26"/>
    <w:rsid w:val="00D51E74"/>
    <w:rsid w:val="00D52099"/>
    <w:rsid w:val="00D520CE"/>
    <w:rsid w:val="00D522CD"/>
    <w:rsid w:val="00D524CE"/>
    <w:rsid w:val="00D5252D"/>
    <w:rsid w:val="00D527F5"/>
    <w:rsid w:val="00D52A0C"/>
    <w:rsid w:val="00D52A40"/>
    <w:rsid w:val="00D52B60"/>
    <w:rsid w:val="00D52C1C"/>
    <w:rsid w:val="00D52ECD"/>
    <w:rsid w:val="00D52FB1"/>
    <w:rsid w:val="00D53020"/>
    <w:rsid w:val="00D530EA"/>
    <w:rsid w:val="00D5310B"/>
    <w:rsid w:val="00D53303"/>
    <w:rsid w:val="00D5330F"/>
    <w:rsid w:val="00D536E9"/>
    <w:rsid w:val="00D538E9"/>
    <w:rsid w:val="00D5396E"/>
    <w:rsid w:val="00D539B4"/>
    <w:rsid w:val="00D53BC8"/>
    <w:rsid w:val="00D53CA5"/>
    <w:rsid w:val="00D53CCE"/>
    <w:rsid w:val="00D53D74"/>
    <w:rsid w:val="00D54123"/>
    <w:rsid w:val="00D54280"/>
    <w:rsid w:val="00D542CA"/>
    <w:rsid w:val="00D54327"/>
    <w:rsid w:val="00D543D2"/>
    <w:rsid w:val="00D54423"/>
    <w:rsid w:val="00D544E6"/>
    <w:rsid w:val="00D544F0"/>
    <w:rsid w:val="00D5451D"/>
    <w:rsid w:val="00D547BA"/>
    <w:rsid w:val="00D54977"/>
    <w:rsid w:val="00D54B54"/>
    <w:rsid w:val="00D54B72"/>
    <w:rsid w:val="00D54C1A"/>
    <w:rsid w:val="00D54EB8"/>
    <w:rsid w:val="00D54F84"/>
    <w:rsid w:val="00D55021"/>
    <w:rsid w:val="00D55089"/>
    <w:rsid w:val="00D55177"/>
    <w:rsid w:val="00D552F3"/>
    <w:rsid w:val="00D55430"/>
    <w:rsid w:val="00D5581D"/>
    <w:rsid w:val="00D55AA9"/>
    <w:rsid w:val="00D55CA5"/>
    <w:rsid w:val="00D55D2A"/>
    <w:rsid w:val="00D55D4C"/>
    <w:rsid w:val="00D55D91"/>
    <w:rsid w:val="00D55E81"/>
    <w:rsid w:val="00D55F7A"/>
    <w:rsid w:val="00D55F8C"/>
    <w:rsid w:val="00D56097"/>
    <w:rsid w:val="00D561B8"/>
    <w:rsid w:val="00D561E3"/>
    <w:rsid w:val="00D563F5"/>
    <w:rsid w:val="00D56513"/>
    <w:rsid w:val="00D56657"/>
    <w:rsid w:val="00D566DF"/>
    <w:rsid w:val="00D568BA"/>
    <w:rsid w:val="00D5691E"/>
    <w:rsid w:val="00D569EB"/>
    <w:rsid w:val="00D56BA5"/>
    <w:rsid w:val="00D56BB6"/>
    <w:rsid w:val="00D56BF5"/>
    <w:rsid w:val="00D56D9B"/>
    <w:rsid w:val="00D56EC2"/>
    <w:rsid w:val="00D5726C"/>
    <w:rsid w:val="00D57376"/>
    <w:rsid w:val="00D573E0"/>
    <w:rsid w:val="00D574D3"/>
    <w:rsid w:val="00D576C1"/>
    <w:rsid w:val="00D5771E"/>
    <w:rsid w:val="00D57787"/>
    <w:rsid w:val="00D57962"/>
    <w:rsid w:val="00D5798F"/>
    <w:rsid w:val="00D579FD"/>
    <w:rsid w:val="00D57DE9"/>
    <w:rsid w:val="00D57E5D"/>
    <w:rsid w:val="00D60128"/>
    <w:rsid w:val="00D601AC"/>
    <w:rsid w:val="00D60218"/>
    <w:rsid w:val="00D6031A"/>
    <w:rsid w:val="00D6046D"/>
    <w:rsid w:val="00D60471"/>
    <w:rsid w:val="00D60629"/>
    <w:rsid w:val="00D606A1"/>
    <w:rsid w:val="00D606F6"/>
    <w:rsid w:val="00D60936"/>
    <w:rsid w:val="00D60B0A"/>
    <w:rsid w:val="00D60B64"/>
    <w:rsid w:val="00D60BF1"/>
    <w:rsid w:val="00D60C4C"/>
    <w:rsid w:val="00D60F5B"/>
    <w:rsid w:val="00D60FAE"/>
    <w:rsid w:val="00D61014"/>
    <w:rsid w:val="00D61028"/>
    <w:rsid w:val="00D6102B"/>
    <w:rsid w:val="00D61088"/>
    <w:rsid w:val="00D6110A"/>
    <w:rsid w:val="00D611EF"/>
    <w:rsid w:val="00D61225"/>
    <w:rsid w:val="00D612BF"/>
    <w:rsid w:val="00D6136D"/>
    <w:rsid w:val="00D61393"/>
    <w:rsid w:val="00D613BA"/>
    <w:rsid w:val="00D61761"/>
    <w:rsid w:val="00D61777"/>
    <w:rsid w:val="00D61861"/>
    <w:rsid w:val="00D61C00"/>
    <w:rsid w:val="00D61C0F"/>
    <w:rsid w:val="00D61EDC"/>
    <w:rsid w:val="00D61F7E"/>
    <w:rsid w:val="00D6208A"/>
    <w:rsid w:val="00D62125"/>
    <w:rsid w:val="00D621C4"/>
    <w:rsid w:val="00D62333"/>
    <w:rsid w:val="00D62395"/>
    <w:rsid w:val="00D623C6"/>
    <w:rsid w:val="00D624C1"/>
    <w:rsid w:val="00D62506"/>
    <w:rsid w:val="00D62531"/>
    <w:rsid w:val="00D625D0"/>
    <w:rsid w:val="00D62815"/>
    <w:rsid w:val="00D628AB"/>
    <w:rsid w:val="00D62A1E"/>
    <w:rsid w:val="00D62AAF"/>
    <w:rsid w:val="00D62ACE"/>
    <w:rsid w:val="00D62AF9"/>
    <w:rsid w:val="00D62BC8"/>
    <w:rsid w:val="00D62BDD"/>
    <w:rsid w:val="00D62D5E"/>
    <w:rsid w:val="00D62F69"/>
    <w:rsid w:val="00D6315F"/>
    <w:rsid w:val="00D63395"/>
    <w:rsid w:val="00D63590"/>
    <w:rsid w:val="00D638E9"/>
    <w:rsid w:val="00D63A64"/>
    <w:rsid w:val="00D63A99"/>
    <w:rsid w:val="00D63B81"/>
    <w:rsid w:val="00D63C60"/>
    <w:rsid w:val="00D63D98"/>
    <w:rsid w:val="00D64060"/>
    <w:rsid w:val="00D645DB"/>
    <w:rsid w:val="00D645EC"/>
    <w:rsid w:val="00D6475A"/>
    <w:rsid w:val="00D64786"/>
    <w:rsid w:val="00D64908"/>
    <w:rsid w:val="00D6490E"/>
    <w:rsid w:val="00D64C15"/>
    <w:rsid w:val="00D64E97"/>
    <w:rsid w:val="00D64FF5"/>
    <w:rsid w:val="00D6505E"/>
    <w:rsid w:val="00D65226"/>
    <w:rsid w:val="00D65382"/>
    <w:rsid w:val="00D653DB"/>
    <w:rsid w:val="00D6550E"/>
    <w:rsid w:val="00D656D0"/>
    <w:rsid w:val="00D6571C"/>
    <w:rsid w:val="00D657D7"/>
    <w:rsid w:val="00D65853"/>
    <w:rsid w:val="00D65942"/>
    <w:rsid w:val="00D65A0B"/>
    <w:rsid w:val="00D65A7F"/>
    <w:rsid w:val="00D65B36"/>
    <w:rsid w:val="00D65F19"/>
    <w:rsid w:val="00D65F9D"/>
    <w:rsid w:val="00D66153"/>
    <w:rsid w:val="00D661C8"/>
    <w:rsid w:val="00D66257"/>
    <w:rsid w:val="00D662CE"/>
    <w:rsid w:val="00D663AF"/>
    <w:rsid w:val="00D663B2"/>
    <w:rsid w:val="00D663FD"/>
    <w:rsid w:val="00D66400"/>
    <w:rsid w:val="00D66422"/>
    <w:rsid w:val="00D66688"/>
    <w:rsid w:val="00D66996"/>
    <w:rsid w:val="00D66E07"/>
    <w:rsid w:val="00D66EA8"/>
    <w:rsid w:val="00D66EE4"/>
    <w:rsid w:val="00D671C2"/>
    <w:rsid w:val="00D67360"/>
    <w:rsid w:val="00D675A8"/>
    <w:rsid w:val="00D675FA"/>
    <w:rsid w:val="00D6763C"/>
    <w:rsid w:val="00D676B5"/>
    <w:rsid w:val="00D676C1"/>
    <w:rsid w:val="00D676FE"/>
    <w:rsid w:val="00D67743"/>
    <w:rsid w:val="00D6776F"/>
    <w:rsid w:val="00D67810"/>
    <w:rsid w:val="00D679FE"/>
    <w:rsid w:val="00D67A4C"/>
    <w:rsid w:val="00D67C8D"/>
    <w:rsid w:val="00D67D3E"/>
    <w:rsid w:val="00D70108"/>
    <w:rsid w:val="00D701F3"/>
    <w:rsid w:val="00D702CD"/>
    <w:rsid w:val="00D70372"/>
    <w:rsid w:val="00D70438"/>
    <w:rsid w:val="00D70625"/>
    <w:rsid w:val="00D706C2"/>
    <w:rsid w:val="00D709E6"/>
    <w:rsid w:val="00D70B4F"/>
    <w:rsid w:val="00D70CBC"/>
    <w:rsid w:val="00D70E94"/>
    <w:rsid w:val="00D70FB7"/>
    <w:rsid w:val="00D71964"/>
    <w:rsid w:val="00D71B50"/>
    <w:rsid w:val="00D71C1D"/>
    <w:rsid w:val="00D71F75"/>
    <w:rsid w:val="00D720F1"/>
    <w:rsid w:val="00D7234D"/>
    <w:rsid w:val="00D723C0"/>
    <w:rsid w:val="00D724D4"/>
    <w:rsid w:val="00D724F0"/>
    <w:rsid w:val="00D7253D"/>
    <w:rsid w:val="00D725C1"/>
    <w:rsid w:val="00D725F8"/>
    <w:rsid w:val="00D728D8"/>
    <w:rsid w:val="00D72AA5"/>
    <w:rsid w:val="00D72ACB"/>
    <w:rsid w:val="00D72BA4"/>
    <w:rsid w:val="00D72D13"/>
    <w:rsid w:val="00D72E0C"/>
    <w:rsid w:val="00D72EF3"/>
    <w:rsid w:val="00D72FFE"/>
    <w:rsid w:val="00D73095"/>
    <w:rsid w:val="00D73108"/>
    <w:rsid w:val="00D73185"/>
    <w:rsid w:val="00D731E6"/>
    <w:rsid w:val="00D731FB"/>
    <w:rsid w:val="00D733CB"/>
    <w:rsid w:val="00D73437"/>
    <w:rsid w:val="00D737FA"/>
    <w:rsid w:val="00D73814"/>
    <w:rsid w:val="00D73929"/>
    <w:rsid w:val="00D73985"/>
    <w:rsid w:val="00D73AF6"/>
    <w:rsid w:val="00D73C63"/>
    <w:rsid w:val="00D73D06"/>
    <w:rsid w:val="00D73DAD"/>
    <w:rsid w:val="00D73ED2"/>
    <w:rsid w:val="00D740C1"/>
    <w:rsid w:val="00D7412D"/>
    <w:rsid w:val="00D74471"/>
    <w:rsid w:val="00D745F3"/>
    <w:rsid w:val="00D748C8"/>
    <w:rsid w:val="00D748D2"/>
    <w:rsid w:val="00D74965"/>
    <w:rsid w:val="00D74B6E"/>
    <w:rsid w:val="00D74C28"/>
    <w:rsid w:val="00D74C4D"/>
    <w:rsid w:val="00D74CBB"/>
    <w:rsid w:val="00D74CFB"/>
    <w:rsid w:val="00D74E5D"/>
    <w:rsid w:val="00D74E8D"/>
    <w:rsid w:val="00D74ED1"/>
    <w:rsid w:val="00D74F7B"/>
    <w:rsid w:val="00D74FEC"/>
    <w:rsid w:val="00D7522A"/>
    <w:rsid w:val="00D7535F"/>
    <w:rsid w:val="00D753DD"/>
    <w:rsid w:val="00D7544C"/>
    <w:rsid w:val="00D75722"/>
    <w:rsid w:val="00D75892"/>
    <w:rsid w:val="00D7593C"/>
    <w:rsid w:val="00D75A41"/>
    <w:rsid w:val="00D75AC5"/>
    <w:rsid w:val="00D75C91"/>
    <w:rsid w:val="00D75ED5"/>
    <w:rsid w:val="00D75EEC"/>
    <w:rsid w:val="00D75F00"/>
    <w:rsid w:val="00D760B4"/>
    <w:rsid w:val="00D760BF"/>
    <w:rsid w:val="00D7615A"/>
    <w:rsid w:val="00D7622B"/>
    <w:rsid w:val="00D7632B"/>
    <w:rsid w:val="00D76452"/>
    <w:rsid w:val="00D76469"/>
    <w:rsid w:val="00D7658D"/>
    <w:rsid w:val="00D765B7"/>
    <w:rsid w:val="00D76698"/>
    <w:rsid w:val="00D76748"/>
    <w:rsid w:val="00D76760"/>
    <w:rsid w:val="00D7680B"/>
    <w:rsid w:val="00D76860"/>
    <w:rsid w:val="00D76943"/>
    <w:rsid w:val="00D76946"/>
    <w:rsid w:val="00D76BB7"/>
    <w:rsid w:val="00D76CB9"/>
    <w:rsid w:val="00D76D0B"/>
    <w:rsid w:val="00D76D56"/>
    <w:rsid w:val="00D76E20"/>
    <w:rsid w:val="00D76E5B"/>
    <w:rsid w:val="00D76FBE"/>
    <w:rsid w:val="00D76FF6"/>
    <w:rsid w:val="00D770CC"/>
    <w:rsid w:val="00D77111"/>
    <w:rsid w:val="00D77234"/>
    <w:rsid w:val="00D7759B"/>
    <w:rsid w:val="00D77781"/>
    <w:rsid w:val="00D7796D"/>
    <w:rsid w:val="00D779D4"/>
    <w:rsid w:val="00D77C82"/>
    <w:rsid w:val="00D77CC7"/>
    <w:rsid w:val="00D77D0D"/>
    <w:rsid w:val="00D77F46"/>
    <w:rsid w:val="00D77FDB"/>
    <w:rsid w:val="00D8000D"/>
    <w:rsid w:val="00D80188"/>
    <w:rsid w:val="00D8018E"/>
    <w:rsid w:val="00D80397"/>
    <w:rsid w:val="00D803F9"/>
    <w:rsid w:val="00D80588"/>
    <w:rsid w:val="00D80608"/>
    <w:rsid w:val="00D807F3"/>
    <w:rsid w:val="00D80856"/>
    <w:rsid w:val="00D808D8"/>
    <w:rsid w:val="00D80934"/>
    <w:rsid w:val="00D8098D"/>
    <w:rsid w:val="00D80A22"/>
    <w:rsid w:val="00D80AD7"/>
    <w:rsid w:val="00D80BE5"/>
    <w:rsid w:val="00D80C18"/>
    <w:rsid w:val="00D80D3E"/>
    <w:rsid w:val="00D80D75"/>
    <w:rsid w:val="00D80E3C"/>
    <w:rsid w:val="00D80F49"/>
    <w:rsid w:val="00D80FFA"/>
    <w:rsid w:val="00D810AF"/>
    <w:rsid w:val="00D81104"/>
    <w:rsid w:val="00D81236"/>
    <w:rsid w:val="00D812BE"/>
    <w:rsid w:val="00D812C2"/>
    <w:rsid w:val="00D8134A"/>
    <w:rsid w:val="00D8136E"/>
    <w:rsid w:val="00D8139E"/>
    <w:rsid w:val="00D8143D"/>
    <w:rsid w:val="00D81561"/>
    <w:rsid w:val="00D81574"/>
    <w:rsid w:val="00D815EF"/>
    <w:rsid w:val="00D8162E"/>
    <w:rsid w:val="00D817C3"/>
    <w:rsid w:val="00D818CE"/>
    <w:rsid w:val="00D81B25"/>
    <w:rsid w:val="00D81BEA"/>
    <w:rsid w:val="00D81C2A"/>
    <w:rsid w:val="00D81D2C"/>
    <w:rsid w:val="00D81FFC"/>
    <w:rsid w:val="00D82170"/>
    <w:rsid w:val="00D82272"/>
    <w:rsid w:val="00D82485"/>
    <w:rsid w:val="00D82809"/>
    <w:rsid w:val="00D82A55"/>
    <w:rsid w:val="00D82BA0"/>
    <w:rsid w:val="00D82BDC"/>
    <w:rsid w:val="00D82FEA"/>
    <w:rsid w:val="00D8319C"/>
    <w:rsid w:val="00D8343C"/>
    <w:rsid w:val="00D8343E"/>
    <w:rsid w:val="00D834DC"/>
    <w:rsid w:val="00D834E9"/>
    <w:rsid w:val="00D83862"/>
    <w:rsid w:val="00D83A05"/>
    <w:rsid w:val="00D83A69"/>
    <w:rsid w:val="00D83C77"/>
    <w:rsid w:val="00D83E6F"/>
    <w:rsid w:val="00D84178"/>
    <w:rsid w:val="00D84289"/>
    <w:rsid w:val="00D842AA"/>
    <w:rsid w:val="00D843E5"/>
    <w:rsid w:val="00D84473"/>
    <w:rsid w:val="00D845A9"/>
    <w:rsid w:val="00D84A3C"/>
    <w:rsid w:val="00D84B15"/>
    <w:rsid w:val="00D84CC7"/>
    <w:rsid w:val="00D84D8D"/>
    <w:rsid w:val="00D84DB8"/>
    <w:rsid w:val="00D84F80"/>
    <w:rsid w:val="00D850AF"/>
    <w:rsid w:val="00D85252"/>
    <w:rsid w:val="00D852A2"/>
    <w:rsid w:val="00D852EF"/>
    <w:rsid w:val="00D85393"/>
    <w:rsid w:val="00D85424"/>
    <w:rsid w:val="00D85488"/>
    <w:rsid w:val="00D85539"/>
    <w:rsid w:val="00D855C8"/>
    <w:rsid w:val="00D8565F"/>
    <w:rsid w:val="00D856A4"/>
    <w:rsid w:val="00D85846"/>
    <w:rsid w:val="00D8598E"/>
    <w:rsid w:val="00D859ED"/>
    <w:rsid w:val="00D85A37"/>
    <w:rsid w:val="00D85AAF"/>
    <w:rsid w:val="00D85AD8"/>
    <w:rsid w:val="00D85AF7"/>
    <w:rsid w:val="00D85C12"/>
    <w:rsid w:val="00D85C55"/>
    <w:rsid w:val="00D85DE1"/>
    <w:rsid w:val="00D85E57"/>
    <w:rsid w:val="00D85F7C"/>
    <w:rsid w:val="00D863E4"/>
    <w:rsid w:val="00D86578"/>
    <w:rsid w:val="00D865BC"/>
    <w:rsid w:val="00D866AC"/>
    <w:rsid w:val="00D868F5"/>
    <w:rsid w:val="00D86941"/>
    <w:rsid w:val="00D86AB2"/>
    <w:rsid w:val="00D86AF0"/>
    <w:rsid w:val="00D86B48"/>
    <w:rsid w:val="00D86BAE"/>
    <w:rsid w:val="00D86CE6"/>
    <w:rsid w:val="00D86D9A"/>
    <w:rsid w:val="00D86DD5"/>
    <w:rsid w:val="00D86F77"/>
    <w:rsid w:val="00D86F9E"/>
    <w:rsid w:val="00D86FCC"/>
    <w:rsid w:val="00D87011"/>
    <w:rsid w:val="00D8706D"/>
    <w:rsid w:val="00D8715F"/>
    <w:rsid w:val="00D872F4"/>
    <w:rsid w:val="00D873FC"/>
    <w:rsid w:val="00D8750B"/>
    <w:rsid w:val="00D8764A"/>
    <w:rsid w:val="00D878DA"/>
    <w:rsid w:val="00D879EF"/>
    <w:rsid w:val="00D87B0B"/>
    <w:rsid w:val="00D87B62"/>
    <w:rsid w:val="00D87CC3"/>
    <w:rsid w:val="00D87D07"/>
    <w:rsid w:val="00D87D74"/>
    <w:rsid w:val="00D87DDC"/>
    <w:rsid w:val="00D900F8"/>
    <w:rsid w:val="00D90272"/>
    <w:rsid w:val="00D902A3"/>
    <w:rsid w:val="00D903BA"/>
    <w:rsid w:val="00D90556"/>
    <w:rsid w:val="00D90564"/>
    <w:rsid w:val="00D905C2"/>
    <w:rsid w:val="00D9061C"/>
    <w:rsid w:val="00D909B1"/>
    <w:rsid w:val="00D909E2"/>
    <w:rsid w:val="00D90B3E"/>
    <w:rsid w:val="00D90F18"/>
    <w:rsid w:val="00D9102F"/>
    <w:rsid w:val="00D91154"/>
    <w:rsid w:val="00D911C5"/>
    <w:rsid w:val="00D916D8"/>
    <w:rsid w:val="00D918AE"/>
    <w:rsid w:val="00D918AF"/>
    <w:rsid w:val="00D91A13"/>
    <w:rsid w:val="00D91A2B"/>
    <w:rsid w:val="00D91AE6"/>
    <w:rsid w:val="00D91CE2"/>
    <w:rsid w:val="00D91D1B"/>
    <w:rsid w:val="00D91D72"/>
    <w:rsid w:val="00D91E43"/>
    <w:rsid w:val="00D91EA6"/>
    <w:rsid w:val="00D91F48"/>
    <w:rsid w:val="00D920BE"/>
    <w:rsid w:val="00D92250"/>
    <w:rsid w:val="00D922D1"/>
    <w:rsid w:val="00D9239E"/>
    <w:rsid w:val="00D92488"/>
    <w:rsid w:val="00D92525"/>
    <w:rsid w:val="00D92721"/>
    <w:rsid w:val="00D927EB"/>
    <w:rsid w:val="00D92A56"/>
    <w:rsid w:val="00D92B66"/>
    <w:rsid w:val="00D92BBB"/>
    <w:rsid w:val="00D92C13"/>
    <w:rsid w:val="00D92CC9"/>
    <w:rsid w:val="00D92D8C"/>
    <w:rsid w:val="00D92E82"/>
    <w:rsid w:val="00D92F57"/>
    <w:rsid w:val="00D9315F"/>
    <w:rsid w:val="00D93364"/>
    <w:rsid w:val="00D93518"/>
    <w:rsid w:val="00D93598"/>
    <w:rsid w:val="00D93631"/>
    <w:rsid w:val="00D93799"/>
    <w:rsid w:val="00D93A9C"/>
    <w:rsid w:val="00D93ADC"/>
    <w:rsid w:val="00D93C1E"/>
    <w:rsid w:val="00D93D05"/>
    <w:rsid w:val="00D93E0E"/>
    <w:rsid w:val="00D93FAC"/>
    <w:rsid w:val="00D93FFB"/>
    <w:rsid w:val="00D9414E"/>
    <w:rsid w:val="00D94200"/>
    <w:rsid w:val="00D942D3"/>
    <w:rsid w:val="00D94360"/>
    <w:rsid w:val="00D943AF"/>
    <w:rsid w:val="00D945C9"/>
    <w:rsid w:val="00D94639"/>
    <w:rsid w:val="00D94664"/>
    <w:rsid w:val="00D94789"/>
    <w:rsid w:val="00D948E4"/>
    <w:rsid w:val="00D94970"/>
    <w:rsid w:val="00D94CDA"/>
    <w:rsid w:val="00D94D6D"/>
    <w:rsid w:val="00D94DE4"/>
    <w:rsid w:val="00D94FF1"/>
    <w:rsid w:val="00D9517E"/>
    <w:rsid w:val="00D95290"/>
    <w:rsid w:val="00D952E5"/>
    <w:rsid w:val="00D95354"/>
    <w:rsid w:val="00D953AA"/>
    <w:rsid w:val="00D95676"/>
    <w:rsid w:val="00D956E5"/>
    <w:rsid w:val="00D9574D"/>
    <w:rsid w:val="00D958B7"/>
    <w:rsid w:val="00D959CD"/>
    <w:rsid w:val="00D95A16"/>
    <w:rsid w:val="00D95A48"/>
    <w:rsid w:val="00D95AE6"/>
    <w:rsid w:val="00D95B3A"/>
    <w:rsid w:val="00D95B90"/>
    <w:rsid w:val="00D95D48"/>
    <w:rsid w:val="00D95EAE"/>
    <w:rsid w:val="00D95F7D"/>
    <w:rsid w:val="00D95FB8"/>
    <w:rsid w:val="00D960FD"/>
    <w:rsid w:val="00D961D1"/>
    <w:rsid w:val="00D963CD"/>
    <w:rsid w:val="00D96770"/>
    <w:rsid w:val="00D967BE"/>
    <w:rsid w:val="00D967FF"/>
    <w:rsid w:val="00D969FF"/>
    <w:rsid w:val="00D96A93"/>
    <w:rsid w:val="00D96BF1"/>
    <w:rsid w:val="00D96D27"/>
    <w:rsid w:val="00D96D41"/>
    <w:rsid w:val="00D96E7C"/>
    <w:rsid w:val="00D9708D"/>
    <w:rsid w:val="00D97202"/>
    <w:rsid w:val="00D9731E"/>
    <w:rsid w:val="00D97353"/>
    <w:rsid w:val="00D974B6"/>
    <w:rsid w:val="00D974FF"/>
    <w:rsid w:val="00D9756F"/>
    <w:rsid w:val="00D978A2"/>
    <w:rsid w:val="00D97A90"/>
    <w:rsid w:val="00D97D6D"/>
    <w:rsid w:val="00D97E4F"/>
    <w:rsid w:val="00D97ED1"/>
    <w:rsid w:val="00D97FF3"/>
    <w:rsid w:val="00DA0022"/>
    <w:rsid w:val="00DA0323"/>
    <w:rsid w:val="00DA03A9"/>
    <w:rsid w:val="00DA068E"/>
    <w:rsid w:val="00DA07FF"/>
    <w:rsid w:val="00DA0843"/>
    <w:rsid w:val="00DA09DE"/>
    <w:rsid w:val="00DA0A90"/>
    <w:rsid w:val="00DA0BD9"/>
    <w:rsid w:val="00DA0D8F"/>
    <w:rsid w:val="00DA0F55"/>
    <w:rsid w:val="00DA0F66"/>
    <w:rsid w:val="00DA0FD4"/>
    <w:rsid w:val="00DA1185"/>
    <w:rsid w:val="00DA12FF"/>
    <w:rsid w:val="00DA13A4"/>
    <w:rsid w:val="00DA1905"/>
    <w:rsid w:val="00DA19AD"/>
    <w:rsid w:val="00DA19D7"/>
    <w:rsid w:val="00DA19ED"/>
    <w:rsid w:val="00DA1A0A"/>
    <w:rsid w:val="00DA1A75"/>
    <w:rsid w:val="00DA1B88"/>
    <w:rsid w:val="00DA1BD1"/>
    <w:rsid w:val="00DA1D7A"/>
    <w:rsid w:val="00DA1F6A"/>
    <w:rsid w:val="00DA1FBC"/>
    <w:rsid w:val="00DA2541"/>
    <w:rsid w:val="00DA2563"/>
    <w:rsid w:val="00DA256D"/>
    <w:rsid w:val="00DA2702"/>
    <w:rsid w:val="00DA2942"/>
    <w:rsid w:val="00DA29A2"/>
    <w:rsid w:val="00DA2A8F"/>
    <w:rsid w:val="00DA2AC8"/>
    <w:rsid w:val="00DA2AF8"/>
    <w:rsid w:val="00DA2C2E"/>
    <w:rsid w:val="00DA2C8E"/>
    <w:rsid w:val="00DA2D3E"/>
    <w:rsid w:val="00DA2D67"/>
    <w:rsid w:val="00DA2E2E"/>
    <w:rsid w:val="00DA2EBC"/>
    <w:rsid w:val="00DA2ECD"/>
    <w:rsid w:val="00DA31C0"/>
    <w:rsid w:val="00DA3251"/>
    <w:rsid w:val="00DA3267"/>
    <w:rsid w:val="00DA32A0"/>
    <w:rsid w:val="00DA359D"/>
    <w:rsid w:val="00DA3663"/>
    <w:rsid w:val="00DA36D7"/>
    <w:rsid w:val="00DA370C"/>
    <w:rsid w:val="00DA388A"/>
    <w:rsid w:val="00DA3B47"/>
    <w:rsid w:val="00DA3C28"/>
    <w:rsid w:val="00DA3C44"/>
    <w:rsid w:val="00DA3D8C"/>
    <w:rsid w:val="00DA3FAA"/>
    <w:rsid w:val="00DA40C6"/>
    <w:rsid w:val="00DA411D"/>
    <w:rsid w:val="00DA4418"/>
    <w:rsid w:val="00DA44DE"/>
    <w:rsid w:val="00DA4566"/>
    <w:rsid w:val="00DA463E"/>
    <w:rsid w:val="00DA4A44"/>
    <w:rsid w:val="00DA4B14"/>
    <w:rsid w:val="00DA4CA5"/>
    <w:rsid w:val="00DA4F69"/>
    <w:rsid w:val="00DA4F82"/>
    <w:rsid w:val="00DA50ED"/>
    <w:rsid w:val="00DA5198"/>
    <w:rsid w:val="00DA51D9"/>
    <w:rsid w:val="00DA5349"/>
    <w:rsid w:val="00DA53C0"/>
    <w:rsid w:val="00DA53E2"/>
    <w:rsid w:val="00DA5492"/>
    <w:rsid w:val="00DA569A"/>
    <w:rsid w:val="00DA573F"/>
    <w:rsid w:val="00DA5743"/>
    <w:rsid w:val="00DA5857"/>
    <w:rsid w:val="00DA5929"/>
    <w:rsid w:val="00DA5AF2"/>
    <w:rsid w:val="00DA5BBD"/>
    <w:rsid w:val="00DA5CB6"/>
    <w:rsid w:val="00DA5CD6"/>
    <w:rsid w:val="00DA5D78"/>
    <w:rsid w:val="00DA5E7D"/>
    <w:rsid w:val="00DA5EBF"/>
    <w:rsid w:val="00DA604C"/>
    <w:rsid w:val="00DA60F3"/>
    <w:rsid w:val="00DA6217"/>
    <w:rsid w:val="00DA623F"/>
    <w:rsid w:val="00DA642C"/>
    <w:rsid w:val="00DA64D8"/>
    <w:rsid w:val="00DA6729"/>
    <w:rsid w:val="00DA67B0"/>
    <w:rsid w:val="00DA69D2"/>
    <w:rsid w:val="00DA69FF"/>
    <w:rsid w:val="00DA6A99"/>
    <w:rsid w:val="00DA6C4C"/>
    <w:rsid w:val="00DA6C65"/>
    <w:rsid w:val="00DA6C76"/>
    <w:rsid w:val="00DA6DC5"/>
    <w:rsid w:val="00DA6E07"/>
    <w:rsid w:val="00DA6E16"/>
    <w:rsid w:val="00DA6E33"/>
    <w:rsid w:val="00DA6E85"/>
    <w:rsid w:val="00DA6ECC"/>
    <w:rsid w:val="00DA6FEB"/>
    <w:rsid w:val="00DA70C8"/>
    <w:rsid w:val="00DA7198"/>
    <w:rsid w:val="00DA72C5"/>
    <w:rsid w:val="00DA72DF"/>
    <w:rsid w:val="00DA7353"/>
    <w:rsid w:val="00DA742F"/>
    <w:rsid w:val="00DA74AA"/>
    <w:rsid w:val="00DA74C8"/>
    <w:rsid w:val="00DA75A9"/>
    <w:rsid w:val="00DA762E"/>
    <w:rsid w:val="00DA7713"/>
    <w:rsid w:val="00DA79B2"/>
    <w:rsid w:val="00DA7A42"/>
    <w:rsid w:val="00DA7B0E"/>
    <w:rsid w:val="00DA7B9D"/>
    <w:rsid w:val="00DA7C80"/>
    <w:rsid w:val="00DA7D7E"/>
    <w:rsid w:val="00DA7E1D"/>
    <w:rsid w:val="00DA7E32"/>
    <w:rsid w:val="00DB0065"/>
    <w:rsid w:val="00DB01AF"/>
    <w:rsid w:val="00DB0380"/>
    <w:rsid w:val="00DB04E7"/>
    <w:rsid w:val="00DB056D"/>
    <w:rsid w:val="00DB0647"/>
    <w:rsid w:val="00DB0671"/>
    <w:rsid w:val="00DB08DF"/>
    <w:rsid w:val="00DB0990"/>
    <w:rsid w:val="00DB09CF"/>
    <w:rsid w:val="00DB0A04"/>
    <w:rsid w:val="00DB0A51"/>
    <w:rsid w:val="00DB0BBB"/>
    <w:rsid w:val="00DB0CCC"/>
    <w:rsid w:val="00DB0D8D"/>
    <w:rsid w:val="00DB0DAB"/>
    <w:rsid w:val="00DB0E1F"/>
    <w:rsid w:val="00DB0F48"/>
    <w:rsid w:val="00DB0FF6"/>
    <w:rsid w:val="00DB1001"/>
    <w:rsid w:val="00DB11C7"/>
    <w:rsid w:val="00DB1232"/>
    <w:rsid w:val="00DB1273"/>
    <w:rsid w:val="00DB1350"/>
    <w:rsid w:val="00DB139D"/>
    <w:rsid w:val="00DB1745"/>
    <w:rsid w:val="00DB1751"/>
    <w:rsid w:val="00DB17D7"/>
    <w:rsid w:val="00DB19FF"/>
    <w:rsid w:val="00DB1A83"/>
    <w:rsid w:val="00DB1BE5"/>
    <w:rsid w:val="00DB1CA6"/>
    <w:rsid w:val="00DB1EF0"/>
    <w:rsid w:val="00DB20C0"/>
    <w:rsid w:val="00DB20EA"/>
    <w:rsid w:val="00DB216E"/>
    <w:rsid w:val="00DB25B4"/>
    <w:rsid w:val="00DB28F8"/>
    <w:rsid w:val="00DB29E0"/>
    <w:rsid w:val="00DB2AF3"/>
    <w:rsid w:val="00DB2BB4"/>
    <w:rsid w:val="00DB2DD7"/>
    <w:rsid w:val="00DB3014"/>
    <w:rsid w:val="00DB3386"/>
    <w:rsid w:val="00DB342A"/>
    <w:rsid w:val="00DB350F"/>
    <w:rsid w:val="00DB3759"/>
    <w:rsid w:val="00DB38ED"/>
    <w:rsid w:val="00DB38F6"/>
    <w:rsid w:val="00DB3967"/>
    <w:rsid w:val="00DB3972"/>
    <w:rsid w:val="00DB3A4F"/>
    <w:rsid w:val="00DB3AAC"/>
    <w:rsid w:val="00DB3B6E"/>
    <w:rsid w:val="00DB3C2B"/>
    <w:rsid w:val="00DB3C51"/>
    <w:rsid w:val="00DB3C77"/>
    <w:rsid w:val="00DB3D83"/>
    <w:rsid w:val="00DB3F76"/>
    <w:rsid w:val="00DB3FEA"/>
    <w:rsid w:val="00DB4090"/>
    <w:rsid w:val="00DB40B5"/>
    <w:rsid w:val="00DB42CF"/>
    <w:rsid w:val="00DB4454"/>
    <w:rsid w:val="00DB455C"/>
    <w:rsid w:val="00DB46B6"/>
    <w:rsid w:val="00DB4760"/>
    <w:rsid w:val="00DB4A40"/>
    <w:rsid w:val="00DB4AB1"/>
    <w:rsid w:val="00DB4B58"/>
    <w:rsid w:val="00DB4B64"/>
    <w:rsid w:val="00DB4C71"/>
    <w:rsid w:val="00DB4D65"/>
    <w:rsid w:val="00DB4E49"/>
    <w:rsid w:val="00DB4EBC"/>
    <w:rsid w:val="00DB4FB8"/>
    <w:rsid w:val="00DB52E0"/>
    <w:rsid w:val="00DB55D9"/>
    <w:rsid w:val="00DB56BF"/>
    <w:rsid w:val="00DB587B"/>
    <w:rsid w:val="00DB58CF"/>
    <w:rsid w:val="00DB58DB"/>
    <w:rsid w:val="00DB58E3"/>
    <w:rsid w:val="00DB58F4"/>
    <w:rsid w:val="00DB59D5"/>
    <w:rsid w:val="00DB59F7"/>
    <w:rsid w:val="00DB5A52"/>
    <w:rsid w:val="00DB5AE6"/>
    <w:rsid w:val="00DB5B66"/>
    <w:rsid w:val="00DB5CCD"/>
    <w:rsid w:val="00DB5D87"/>
    <w:rsid w:val="00DB5E06"/>
    <w:rsid w:val="00DB5E8D"/>
    <w:rsid w:val="00DB5F12"/>
    <w:rsid w:val="00DB5F2F"/>
    <w:rsid w:val="00DB6058"/>
    <w:rsid w:val="00DB609B"/>
    <w:rsid w:val="00DB6166"/>
    <w:rsid w:val="00DB61EA"/>
    <w:rsid w:val="00DB62C0"/>
    <w:rsid w:val="00DB6392"/>
    <w:rsid w:val="00DB63B5"/>
    <w:rsid w:val="00DB63C7"/>
    <w:rsid w:val="00DB63E9"/>
    <w:rsid w:val="00DB64E0"/>
    <w:rsid w:val="00DB668E"/>
    <w:rsid w:val="00DB66C0"/>
    <w:rsid w:val="00DB66FA"/>
    <w:rsid w:val="00DB6807"/>
    <w:rsid w:val="00DB6933"/>
    <w:rsid w:val="00DB6976"/>
    <w:rsid w:val="00DB6BD1"/>
    <w:rsid w:val="00DB6C31"/>
    <w:rsid w:val="00DB6DCD"/>
    <w:rsid w:val="00DB6E5D"/>
    <w:rsid w:val="00DB6F62"/>
    <w:rsid w:val="00DB7084"/>
    <w:rsid w:val="00DB72C9"/>
    <w:rsid w:val="00DB72E9"/>
    <w:rsid w:val="00DB72F4"/>
    <w:rsid w:val="00DB759E"/>
    <w:rsid w:val="00DB7845"/>
    <w:rsid w:val="00DB7891"/>
    <w:rsid w:val="00DB78BC"/>
    <w:rsid w:val="00DB7A13"/>
    <w:rsid w:val="00DB7B81"/>
    <w:rsid w:val="00DB7C90"/>
    <w:rsid w:val="00DB7FE6"/>
    <w:rsid w:val="00DC0422"/>
    <w:rsid w:val="00DC0489"/>
    <w:rsid w:val="00DC04F2"/>
    <w:rsid w:val="00DC0750"/>
    <w:rsid w:val="00DC075F"/>
    <w:rsid w:val="00DC07AE"/>
    <w:rsid w:val="00DC0818"/>
    <w:rsid w:val="00DC08AC"/>
    <w:rsid w:val="00DC09A5"/>
    <w:rsid w:val="00DC0A19"/>
    <w:rsid w:val="00DC0A5D"/>
    <w:rsid w:val="00DC0B39"/>
    <w:rsid w:val="00DC0C3F"/>
    <w:rsid w:val="00DC0C71"/>
    <w:rsid w:val="00DC0CA5"/>
    <w:rsid w:val="00DC0CEF"/>
    <w:rsid w:val="00DC0DD8"/>
    <w:rsid w:val="00DC0E88"/>
    <w:rsid w:val="00DC0F5B"/>
    <w:rsid w:val="00DC10BA"/>
    <w:rsid w:val="00DC1212"/>
    <w:rsid w:val="00DC1255"/>
    <w:rsid w:val="00DC12EA"/>
    <w:rsid w:val="00DC1399"/>
    <w:rsid w:val="00DC14DE"/>
    <w:rsid w:val="00DC15C2"/>
    <w:rsid w:val="00DC1605"/>
    <w:rsid w:val="00DC160E"/>
    <w:rsid w:val="00DC1810"/>
    <w:rsid w:val="00DC1A0B"/>
    <w:rsid w:val="00DC1A33"/>
    <w:rsid w:val="00DC1B83"/>
    <w:rsid w:val="00DC1B96"/>
    <w:rsid w:val="00DC1C70"/>
    <w:rsid w:val="00DC1CCC"/>
    <w:rsid w:val="00DC1D94"/>
    <w:rsid w:val="00DC1E78"/>
    <w:rsid w:val="00DC1FA3"/>
    <w:rsid w:val="00DC2095"/>
    <w:rsid w:val="00DC20D6"/>
    <w:rsid w:val="00DC231C"/>
    <w:rsid w:val="00DC2448"/>
    <w:rsid w:val="00DC24E4"/>
    <w:rsid w:val="00DC2507"/>
    <w:rsid w:val="00DC2652"/>
    <w:rsid w:val="00DC267D"/>
    <w:rsid w:val="00DC270D"/>
    <w:rsid w:val="00DC275C"/>
    <w:rsid w:val="00DC2BD8"/>
    <w:rsid w:val="00DC2BEA"/>
    <w:rsid w:val="00DC2C81"/>
    <w:rsid w:val="00DC2D50"/>
    <w:rsid w:val="00DC2D76"/>
    <w:rsid w:val="00DC2FE0"/>
    <w:rsid w:val="00DC30C6"/>
    <w:rsid w:val="00DC3107"/>
    <w:rsid w:val="00DC320B"/>
    <w:rsid w:val="00DC322C"/>
    <w:rsid w:val="00DC333C"/>
    <w:rsid w:val="00DC3397"/>
    <w:rsid w:val="00DC341A"/>
    <w:rsid w:val="00DC39DE"/>
    <w:rsid w:val="00DC3A17"/>
    <w:rsid w:val="00DC3A86"/>
    <w:rsid w:val="00DC3ADE"/>
    <w:rsid w:val="00DC3B3C"/>
    <w:rsid w:val="00DC3B52"/>
    <w:rsid w:val="00DC3CAF"/>
    <w:rsid w:val="00DC3EDA"/>
    <w:rsid w:val="00DC3FD4"/>
    <w:rsid w:val="00DC3FEE"/>
    <w:rsid w:val="00DC42DE"/>
    <w:rsid w:val="00DC4328"/>
    <w:rsid w:val="00DC447C"/>
    <w:rsid w:val="00DC44AA"/>
    <w:rsid w:val="00DC44B8"/>
    <w:rsid w:val="00DC44D7"/>
    <w:rsid w:val="00DC4518"/>
    <w:rsid w:val="00DC47DC"/>
    <w:rsid w:val="00DC484B"/>
    <w:rsid w:val="00DC4898"/>
    <w:rsid w:val="00DC48B6"/>
    <w:rsid w:val="00DC4A72"/>
    <w:rsid w:val="00DC4B7A"/>
    <w:rsid w:val="00DC4B84"/>
    <w:rsid w:val="00DC4CA9"/>
    <w:rsid w:val="00DC4EB8"/>
    <w:rsid w:val="00DC4F04"/>
    <w:rsid w:val="00DC51D0"/>
    <w:rsid w:val="00DC5272"/>
    <w:rsid w:val="00DC5282"/>
    <w:rsid w:val="00DC5628"/>
    <w:rsid w:val="00DC5745"/>
    <w:rsid w:val="00DC59FA"/>
    <w:rsid w:val="00DC5B18"/>
    <w:rsid w:val="00DC5B2C"/>
    <w:rsid w:val="00DC5B2F"/>
    <w:rsid w:val="00DC5C3F"/>
    <w:rsid w:val="00DC5C57"/>
    <w:rsid w:val="00DC5D19"/>
    <w:rsid w:val="00DC5E3C"/>
    <w:rsid w:val="00DC5FE1"/>
    <w:rsid w:val="00DC5FF7"/>
    <w:rsid w:val="00DC5FFD"/>
    <w:rsid w:val="00DC6009"/>
    <w:rsid w:val="00DC602E"/>
    <w:rsid w:val="00DC60A6"/>
    <w:rsid w:val="00DC60D6"/>
    <w:rsid w:val="00DC6104"/>
    <w:rsid w:val="00DC6256"/>
    <w:rsid w:val="00DC629E"/>
    <w:rsid w:val="00DC6447"/>
    <w:rsid w:val="00DC654A"/>
    <w:rsid w:val="00DC6641"/>
    <w:rsid w:val="00DC6719"/>
    <w:rsid w:val="00DC69BF"/>
    <w:rsid w:val="00DC6A2C"/>
    <w:rsid w:val="00DC6C6D"/>
    <w:rsid w:val="00DC6CBD"/>
    <w:rsid w:val="00DC6D28"/>
    <w:rsid w:val="00DC6D3A"/>
    <w:rsid w:val="00DC6E9B"/>
    <w:rsid w:val="00DC7067"/>
    <w:rsid w:val="00DC706F"/>
    <w:rsid w:val="00DC712A"/>
    <w:rsid w:val="00DC7380"/>
    <w:rsid w:val="00DC73A5"/>
    <w:rsid w:val="00DC752A"/>
    <w:rsid w:val="00DC75C2"/>
    <w:rsid w:val="00DC75EC"/>
    <w:rsid w:val="00DC760C"/>
    <w:rsid w:val="00DC763C"/>
    <w:rsid w:val="00DC7720"/>
    <w:rsid w:val="00DC794C"/>
    <w:rsid w:val="00DC7993"/>
    <w:rsid w:val="00DC79B8"/>
    <w:rsid w:val="00DC7A67"/>
    <w:rsid w:val="00DC7A77"/>
    <w:rsid w:val="00DC7BBA"/>
    <w:rsid w:val="00DD024D"/>
    <w:rsid w:val="00DD02FE"/>
    <w:rsid w:val="00DD03D6"/>
    <w:rsid w:val="00DD0424"/>
    <w:rsid w:val="00DD0439"/>
    <w:rsid w:val="00DD05A2"/>
    <w:rsid w:val="00DD0745"/>
    <w:rsid w:val="00DD089D"/>
    <w:rsid w:val="00DD092B"/>
    <w:rsid w:val="00DD0B02"/>
    <w:rsid w:val="00DD0C97"/>
    <w:rsid w:val="00DD0D98"/>
    <w:rsid w:val="00DD0E6B"/>
    <w:rsid w:val="00DD0ED5"/>
    <w:rsid w:val="00DD10BC"/>
    <w:rsid w:val="00DD1122"/>
    <w:rsid w:val="00DD1283"/>
    <w:rsid w:val="00DD14F2"/>
    <w:rsid w:val="00DD184D"/>
    <w:rsid w:val="00DD1854"/>
    <w:rsid w:val="00DD1980"/>
    <w:rsid w:val="00DD1BB1"/>
    <w:rsid w:val="00DD1C53"/>
    <w:rsid w:val="00DD1C6F"/>
    <w:rsid w:val="00DD1D1C"/>
    <w:rsid w:val="00DD1D6A"/>
    <w:rsid w:val="00DD1DA6"/>
    <w:rsid w:val="00DD1DF2"/>
    <w:rsid w:val="00DD20AE"/>
    <w:rsid w:val="00DD2207"/>
    <w:rsid w:val="00DD2459"/>
    <w:rsid w:val="00DD25DF"/>
    <w:rsid w:val="00DD2740"/>
    <w:rsid w:val="00DD27DE"/>
    <w:rsid w:val="00DD2857"/>
    <w:rsid w:val="00DD2984"/>
    <w:rsid w:val="00DD2DB1"/>
    <w:rsid w:val="00DD2E32"/>
    <w:rsid w:val="00DD2E39"/>
    <w:rsid w:val="00DD30E7"/>
    <w:rsid w:val="00DD33B0"/>
    <w:rsid w:val="00DD340D"/>
    <w:rsid w:val="00DD343F"/>
    <w:rsid w:val="00DD34A1"/>
    <w:rsid w:val="00DD35D6"/>
    <w:rsid w:val="00DD3838"/>
    <w:rsid w:val="00DD3B5E"/>
    <w:rsid w:val="00DD3FC2"/>
    <w:rsid w:val="00DD3FE9"/>
    <w:rsid w:val="00DD41B0"/>
    <w:rsid w:val="00DD424B"/>
    <w:rsid w:val="00DD42F3"/>
    <w:rsid w:val="00DD43C3"/>
    <w:rsid w:val="00DD444B"/>
    <w:rsid w:val="00DD4467"/>
    <w:rsid w:val="00DD4811"/>
    <w:rsid w:val="00DD48C7"/>
    <w:rsid w:val="00DD4BD0"/>
    <w:rsid w:val="00DD4DA5"/>
    <w:rsid w:val="00DD4F97"/>
    <w:rsid w:val="00DD5054"/>
    <w:rsid w:val="00DD50EE"/>
    <w:rsid w:val="00DD51FB"/>
    <w:rsid w:val="00DD535A"/>
    <w:rsid w:val="00DD54DD"/>
    <w:rsid w:val="00DD5634"/>
    <w:rsid w:val="00DD570F"/>
    <w:rsid w:val="00DD59C3"/>
    <w:rsid w:val="00DD59EB"/>
    <w:rsid w:val="00DD5B3F"/>
    <w:rsid w:val="00DD5B8E"/>
    <w:rsid w:val="00DD5E2F"/>
    <w:rsid w:val="00DD5F44"/>
    <w:rsid w:val="00DD5FCA"/>
    <w:rsid w:val="00DD601B"/>
    <w:rsid w:val="00DD6093"/>
    <w:rsid w:val="00DD6124"/>
    <w:rsid w:val="00DD628C"/>
    <w:rsid w:val="00DD6318"/>
    <w:rsid w:val="00DD63A8"/>
    <w:rsid w:val="00DD67CC"/>
    <w:rsid w:val="00DD67DA"/>
    <w:rsid w:val="00DD6895"/>
    <w:rsid w:val="00DD68A9"/>
    <w:rsid w:val="00DD694A"/>
    <w:rsid w:val="00DD697D"/>
    <w:rsid w:val="00DD6AC6"/>
    <w:rsid w:val="00DD6D61"/>
    <w:rsid w:val="00DD6D94"/>
    <w:rsid w:val="00DD6DE2"/>
    <w:rsid w:val="00DD6E30"/>
    <w:rsid w:val="00DD6EBB"/>
    <w:rsid w:val="00DD6FEB"/>
    <w:rsid w:val="00DD70FB"/>
    <w:rsid w:val="00DD72F3"/>
    <w:rsid w:val="00DD7740"/>
    <w:rsid w:val="00DD7A1E"/>
    <w:rsid w:val="00DD7AE7"/>
    <w:rsid w:val="00DD7D79"/>
    <w:rsid w:val="00DD7DB5"/>
    <w:rsid w:val="00DD7DDF"/>
    <w:rsid w:val="00DD7FB8"/>
    <w:rsid w:val="00DD7FD8"/>
    <w:rsid w:val="00DE02AC"/>
    <w:rsid w:val="00DE02C6"/>
    <w:rsid w:val="00DE031B"/>
    <w:rsid w:val="00DE03A6"/>
    <w:rsid w:val="00DE043C"/>
    <w:rsid w:val="00DE0495"/>
    <w:rsid w:val="00DE04A8"/>
    <w:rsid w:val="00DE06C5"/>
    <w:rsid w:val="00DE07C6"/>
    <w:rsid w:val="00DE0C12"/>
    <w:rsid w:val="00DE0C3B"/>
    <w:rsid w:val="00DE0CB3"/>
    <w:rsid w:val="00DE0F1B"/>
    <w:rsid w:val="00DE0F5C"/>
    <w:rsid w:val="00DE0F8B"/>
    <w:rsid w:val="00DE1033"/>
    <w:rsid w:val="00DE107F"/>
    <w:rsid w:val="00DE111C"/>
    <w:rsid w:val="00DE1155"/>
    <w:rsid w:val="00DE12BD"/>
    <w:rsid w:val="00DE159D"/>
    <w:rsid w:val="00DE1840"/>
    <w:rsid w:val="00DE18DE"/>
    <w:rsid w:val="00DE18EE"/>
    <w:rsid w:val="00DE194E"/>
    <w:rsid w:val="00DE19D6"/>
    <w:rsid w:val="00DE1C51"/>
    <w:rsid w:val="00DE1E42"/>
    <w:rsid w:val="00DE1EED"/>
    <w:rsid w:val="00DE1FAD"/>
    <w:rsid w:val="00DE2203"/>
    <w:rsid w:val="00DE231E"/>
    <w:rsid w:val="00DE234E"/>
    <w:rsid w:val="00DE241B"/>
    <w:rsid w:val="00DE2504"/>
    <w:rsid w:val="00DE2505"/>
    <w:rsid w:val="00DE258E"/>
    <w:rsid w:val="00DE25CF"/>
    <w:rsid w:val="00DE282A"/>
    <w:rsid w:val="00DE295C"/>
    <w:rsid w:val="00DE2994"/>
    <w:rsid w:val="00DE2A3D"/>
    <w:rsid w:val="00DE2A93"/>
    <w:rsid w:val="00DE2AB6"/>
    <w:rsid w:val="00DE2C3F"/>
    <w:rsid w:val="00DE2CCC"/>
    <w:rsid w:val="00DE2D08"/>
    <w:rsid w:val="00DE2E0C"/>
    <w:rsid w:val="00DE2E43"/>
    <w:rsid w:val="00DE2E8C"/>
    <w:rsid w:val="00DE2F11"/>
    <w:rsid w:val="00DE2FB2"/>
    <w:rsid w:val="00DE3002"/>
    <w:rsid w:val="00DE30A5"/>
    <w:rsid w:val="00DE3166"/>
    <w:rsid w:val="00DE31B4"/>
    <w:rsid w:val="00DE32F9"/>
    <w:rsid w:val="00DE340C"/>
    <w:rsid w:val="00DE3522"/>
    <w:rsid w:val="00DE3539"/>
    <w:rsid w:val="00DE374E"/>
    <w:rsid w:val="00DE379E"/>
    <w:rsid w:val="00DE3855"/>
    <w:rsid w:val="00DE39FF"/>
    <w:rsid w:val="00DE3D40"/>
    <w:rsid w:val="00DE3D50"/>
    <w:rsid w:val="00DE3F1E"/>
    <w:rsid w:val="00DE4215"/>
    <w:rsid w:val="00DE434C"/>
    <w:rsid w:val="00DE4398"/>
    <w:rsid w:val="00DE4580"/>
    <w:rsid w:val="00DE45D3"/>
    <w:rsid w:val="00DE46DA"/>
    <w:rsid w:val="00DE470A"/>
    <w:rsid w:val="00DE473F"/>
    <w:rsid w:val="00DE47BE"/>
    <w:rsid w:val="00DE491C"/>
    <w:rsid w:val="00DE49D9"/>
    <w:rsid w:val="00DE4AB5"/>
    <w:rsid w:val="00DE4D51"/>
    <w:rsid w:val="00DE4DD4"/>
    <w:rsid w:val="00DE4E3C"/>
    <w:rsid w:val="00DE4F75"/>
    <w:rsid w:val="00DE4FAD"/>
    <w:rsid w:val="00DE4FE6"/>
    <w:rsid w:val="00DE5039"/>
    <w:rsid w:val="00DE5040"/>
    <w:rsid w:val="00DE5067"/>
    <w:rsid w:val="00DE518D"/>
    <w:rsid w:val="00DE51DF"/>
    <w:rsid w:val="00DE528A"/>
    <w:rsid w:val="00DE5294"/>
    <w:rsid w:val="00DE5317"/>
    <w:rsid w:val="00DE5359"/>
    <w:rsid w:val="00DE5442"/>
    <w:rsid w:val="00DE5630"/>
    <w:rsid w:val="00DE5833"/>
    <w:rsid w:val="00DE5A18"/>
    <w:rsid w:val="00DE5A8F"/>
    <w:rsid w:val="00DE5AC7"/>
    <w:rsid w:val="00DE5D12"/>
    <w:rsid w:val="00DE5DE2"/>
    <w:rsid w:val="00DE5E83"/>
    <w:rsid w:val="00DE643D"/>
    <w:rsid w:val="00DE6590"/>
    <w:rsid w:val="00DE69C7"/>
    <w:rsid w:val="00DE6A66"/>
    <w:rsid w:val="00DE6B76"/>
    <w:rsid w:val="00DE6B9B"/>
    <w:rsid w:val="00DE6C01"/>
    <w:rsid w:val="00DE6D8B"/>
    <w:rsid w:val="00DE6FF5"/>
    <w:rsid w:val="00DE7080"/>
    <w:rsid w:val="00DE7084"/>
    <w:rsid w:val="00DE70D7"/>
    <w:rsid w:val="00DE7230"/>
    <w:rsid w:val="00DE7263"/>
    <w:rsid w:val="00DE72F7"/>
    <w:rsid w:val="00DE74E6"/>
    <w:rsid w:val="00DE753B"/>
    <w:rsid w:val="00DE7A0B"/>
    <w:rsid w:val="00DE7A1C"/>
    <w:rsid w:val="00DE7C3F"/>
    <w:rsid w:val="00DE7D11"/>
    <w:rsid w:val="00DE7D34"/>
    <w:rsid w:val="00DE7DFF"/>
    <w:rsid w:val="00DE7E62"/>
    <w:rsid w:val="00DE7F0F"/>
    <w:rsid w:val="00DE7F5F"/>
    <w:rsid w:val="00DF0074"/>
    <w:rsid w:val="00DF0198"/>
    <w:rsid w:val="00DF0217"/>
    <w:rsid w:val="00DF024B"/>
    <w:rsid w:val="00DF0254"/>
    <w:rsid w:val="00DF02B2"/>
    <w:rsid w:val="00DF0455"/>
    <w:rsid w:val="00DF0481"/>
    <w:rsid w:val="00DF066D"/>
    <w:rsid w:val="00DF0682"/>
    <w:rsid w:val="00DF08EE"/>
    <w:rsid w:val="00DF0AF5"/>
    <w:rsid w:val="00DF0B41"/>
    <w:rsid w:val="00DF0CA8"/>
    <w:rsid w:val="00DF0DA3"/>
    <w:rsid w:val="00DF0DFC"/>
    <w:rsid w:val="00DF0E4E"/>
    <w:rsid w:val="00DF0E87"/>
    <w:rsid w:val="00DF0F52"/>
    <w:rsid w:val="00DF12A5"/>
    <w:rsid w:val="00DF1354"/>
    <w:rsid w:val="00DF135B"/>
    <w:rsid w:val="00DF1756"/>
    <w:rsid w:val="00DF1807"/>
    <w:rsid w:val="00DF18AA"/>
    <w:rsid w:val="00DF1AD1"/>
    <w:rsid w:val="00DF1B08"/>
    <w:rsid w:val="00DF1C15"/>
    <w:rsid w:val="00DF1DD7"/>
    <w:rsid w:val="00DF205F"/>
    <w:rsid w:val="00DF208A"/>
    <w:rsid w:val="00DF21B0"/>
    <w:rsid w:val="00DF2374"/>
    <w:rsid w:val="00DF23F2"/>
    <w:rsid w:val="00DF23FE"/>
    <w:rsid w:val="00DF243C"/>
    <w:rsid w:val="00DF2575"/>
    <w:rsid w:val="00DF26A6"/>
    <w:rsid w:val="00DF26B7"/>
    <w:rsid w:val="00DF2A3B"/>
    <w:rsid w:val="00DF2CF1"/>
    <w:rsid w:val="00DF2D54"/>
    <w:rsid w:val="00DF2D99"/>
    <w:rsid w:val="00DF2F65"/>
    <w:rsid w:val="00DF3040"/>
    <w:rsid w:val="00DF321B"/>
    <w:rsid w:val="00DF32A7"/>
    <w:rsid w:val="00DF37E5"/>
    <w:rsid w:val="00DF3813"/>
    <w:rsid w:val="00DF38DD"/>
    <w:rsid w:val="00DF390D"/>
    <w:rsid w:val="00DF3B23"/>
    <w:rsid w:val="00DF3B97"/>
    <w:rsid w:val="00DF3C1D"/>
    <w:rsid w:val="00DF3C36"/>
    <w:rsid w:val="00DF3C59"/>
    <w:rsid w:val="00DF3C91"/>
    <w:rsid w:val="00DF3DFE"/>
    <w:rsid w:val="00DF3E44"/>
    <w:rsid w:val="00DF40CE"/>
    <w:rsid w:val="00DF4108"/>
    <w:rsid w:val="00DF4164"/>
    <w:rsid w:val="00DF417E"/>
    <w:rsid w:val="00DF41DC"/>
    <w:rsid w:val="00DF41F2"/>
    <w:rsid w:val="00DF42F4"/>
    <w:rsid w:val="00DF4353"/>
    <w:rsid w:val="00DF439D"/>
    <w:rsid w:val="00DF443F"/>
    <w:rsid w:val="00DF47D3"/>
    <w:rsid w:val="00DF482F"/>
    <w:rsid w:val="00DF495D"/>
    <w:rsid w:val="00DF4AFF"/>
    <w:rsid w:val="00DF4BC8"/>
    <w:rsid w:val="00DF4BE7"/>
    <w:rsid w:val="00DF4C43"/>
    <w:rsid w:val="00DF4CD9"/>
    <w:rsid w:val="00DF4DE2"/>
    <w:rsid w:val="00DF50C9"/>
    <w:rsid w:val="00DF50E0"/>
    <w:rsid w:val="00DF511B"/>
    <w:rsid w:val="00DF5135"/>
    <w:rsid w:val="00DF5169"/>
    <w:rsid w:val="00DF51D6"/>
    <w:rsid w:val="00DF531B"/>
    <w:rsid w:val="00DF5622"/>
    <w:rsid w:val="00DF56DB"/>
    <w:rsid w:val="00DF5711"/>
    <w:rsid w:val="00DF574D"/>
    <w:rsid w:val="00DF5886"/>
    <w:rsid w:val="00DF5A00"/>
    <w:rsid w:val="00DF5A56"/>
    <w:rsid w:val="00DF5BA5"/>
    <w:rsid w:val="00DF5BFB"/>
    <w:rsid w:val="00DF5D05"/>
    <w:rsid w:val="00DF5F8E"/>
    <w:rsid w:val="00DF6093"/>
    <w:rsid w:val="00DF610D"/>
    <w:rsid w:val="00DF6187"/>
    <w:rsid w:val="00DF623E"/>
    <w:rsid w:val="00DF628F"/>
    <w:rsid w:val="00DF638C"/>
    <w:rsid w:val="00DF63AA"/>
    <w:rsid w:val="00DF63DD"/>
    <w:rsid w:val="00DF652A"/>
    <w:rsid w:val="00DF65B0"/>
    <w:rsid w:val="00DF6635"/>
    <w:rsid w:val="00DF670E"/>
    <w:rsid w:val="00DF67A4"/>
    <w:rsid w:val="00DF6ABF"/>
    <w:rsid w:val="00DF6BBA"/>
    <w:rsid w:val="00DF6C20"/>
    <w:rsid w:val="00DF6CD6"/>
    <w:rsid w:val="00DF6D7E"/>
    <w:rsid w:val="00DF6FCE"/>
    <w:rsid w:val="00DF707F"/>
    <w:rsid w:val="00DF70E1"/>
    <w:rsid w:val="00DF713F"/>
    <w:rsid w:val="00DF740A"/>
    <w:rsid w:val="00DF761B"/>
    <w:rsid w:val="00DF7623"/>
    <w:rsid w:val="00DF775C"/>
    <w:rsid w:val="00DF78DD"/>
    <w:rsid w:val="00DF7934"/>
    <w:rsid w:val="00DF7A37"/>
    <w:rsid w:val="00DF7A92"/>
    <w:rsid w:val="00DF7AA0"/>
    <w:rsid w:val="00DF7BFE"/>
    <w:rsid w:val="00DF7C36"/>
    <w:rsid w:val="00DF7D32"/>
    <w:rsid w:val="00DF7DD4"/>
    <w:rsid w:val="00DF7E46"/>
    <w:rsid w:val="00DF7E94"/>
    <w:rsid w:val="00DF7ED1"/>
    <w:rsid w:val="00DF7ED6"/>
    <w:rsid w:val="00E00009"/>
    <w:rsid w:val="00E00021"/>
    <w:rsid w:val="00E00064"/>
    <w:rsid w:val="00E0027E"/>
    <w:rsid w:val="00E00373"/>
    <w:rsid w:val="00E00477"/>
    <w:rsid w:val="00E0050E"/>
    <w:rsid w:val="00E00515"/>
    <w:rsid w:val="00E00583"/>
    <w:rsid w:val="00E005E0"/>
    <w:rsid w:val="00E0067F"/>
    <w:rsid w:val="00E00726"/>
    <w:rsid w:val="00E00812"/>
    <w:rsid w:val="00E00895"/>
    <w:rsid w:val="00E009AC"/>
    <w:rsid w:val="00E009CA"/>
    <w:rsid w:val="00E00C82"/>
    <w:rsid w:val="00E00D34"/>
    <w:rsid w:val="00E00FC9"/>
    <w:rsid w:val="00E00FFE"/>
    <w:rsid w:val="00E010D5"/>
    <w:rsid w:val="00E012A3"/>
    <w:rsid w:val="00E01595"/>
    <w:rsid w:val="00E0159B"/>
    <w:rsid w:val="00E015C0"/>
    <w:rsid w:val="00E015EE"/>
    <w:rsid w:val="00E0167E"/>
    <w:rsid w:val="00E01774"/>
    <w:rsid w:val="00E019F0"/>
    <w:rsid w:val="00E01A2A"/>
    <w:rsid w:val="00E01A7E"/>
    <w:rsid w:val="00E01BB9"/>
    <w:rsid w:val="00E01C04"/>
    <w:rsid w:val="00E01C54"/>
    <w:rsid w:val="00E01C75"/>
    <w:rsid w:val="00E01C7E"/>
    <w:rsid w:val="00E01E45"/>
    <w:rsid w:val="00E020A4"/>
    <w:rsid w:val="00E022C0"/>
    <w:rsid w:val="00E023F4"/>
    <w:rsid w:val="00E02522"/>
    <w:rsid w:val="00E0254B"/>
    <w:rsid w:val="00E02661"/>
    <w:rsid w:val="00E026F9"/>
    <w:rsid w:val="00E02787"/>
    <w:rsid w:val="00E02845"/>
    <w:rsid w:val="00E02AB0"/>
    <w:rsid w:val="00E02D23"/>
    <w:rsid w:val="00E03142"/>
    <w:rsid w:val="00E0314C"/>
    <w:rsid w:val="00E0327D"/>
    <w:rsid w:val="00E034D4"/>
    <w:rsid w:val="00E0355A"/>
    <w:rsid w:val="00E035F5"/>
    <w:rsid w:val="00E0363E"/>
    <w:rsid w:val="00E03838"/>
    <w:rsid w:val="00E03A97"/>
    <w:rsid w:val="00E03B0B"/>
    <w:rsid w:val="00E03B61"/>
    <w:rsid w:val="00E03B8B"/>
    <w:rsid w:val="00E03B99"/>
    <w:rsid w:val="00E03BC0"/>
    <w:rsid w:val="00E03BF4"/>
    <w:rsid w:val="00E03C2C"/>
    <w:rsid w:val="00E03C56"/>
    <w:rsid w:val="00E03D03"/>
    <w:rsid w:val="00E03E16"/>
    <w:rsid w:val="00E03E9C"/>
    <w:rsid w:val="00E0402B"/>
    <w:rsid w:val="00E040D8"/>
    <w:rsid w:val="00E040F3"/>
    <w:rsid w:val="00E04144"/>
    <w:rsid w:val="00E041BC"/>
    <w:rsid w:val="00E043BB"/>
    <w:rsid w:val="00E04523"/>
    <w:rsid w:val="00E04839"/>
    <w:rsid w:val="00E04999"/>
    <w:rsid w:val="00E04B17"/>
    <w:rsid w:val="00E04F10"/>
    <w:rsid w:val="00E04F21"/>
    <w:rsid w:val="00E05013"/>
    <w:rsid w:val="00E050A2"/>
    <w:rsid w:val="00E052AC"/>
    <w:rsid w:val="00E05392"/>
    <w:rsid w:val="00E053B1"/>
    <w:rsid w:val="00E053F5"/>
    <w:rsid w:val="00E05440"/>
    <w:rsid w:val="00E0546E"/>
    <w:rsid w:val="00E05530"/>
    <w:rsid w:val="00E05619"/>
    <w:rsid w:val="00E056BE"/>
    <w:rsid w:val="00E056CA"/>
    <w:rsid w:val="00E05718"/>
    <w:rsid w:val="00E05784"/>
    <w:rsid w:val="00E05991"/>
    <w:rsid w:val="00E05A08"/>
    <w:rsid w:val="00E05A41"/>
    <w:rsid w:val="00E05AC2"/>
    <w:rsid w:val="00E05B9A"/>
    <w:rsid w:val="00E05BE1"/>
    <w:rsid w:val="00E05BE3"/>
    <w:rsid w:val="00E05DD0"/>
    <w:rsid w:val="00E05FAA"/>
    <w:rsid w:val="00E06034"/>
    <w:rsid w:val="00E0627C"/>
    <w:rsid w:val="00E062A1"/>
    <w:rsid w:val="00E063D6"/>
    <w:rsid w:val="00E06409"/>
    <w:rsid w:val="00E064BC"/>
    <w:rsid w:val="00E066FE"/>
    <w:rsid w:val="00E06D37"/>
    <w:rsid w:val="00E06E2E"/>
    <w:rsid w:val="00E06F2B"/>
    <w:rsid w:val="00E06FA0"/>
    <w:rsid w:val="00E070A3"/>
    <w:rsid w:val="00E07108"/>
    <w:rsid w:val="00E0753B"/>
    <w:rsid w:val="00E07555"/>
    <w:rsid w:val="00E075A1"/>
    <w:rsid w:val="00E075E0"/>
    <w:rsid w:val="00E075F3"/>
    <w:rsid w:val="00E07679"/>
    <w:rsid w:val="00E07747"/>
    <w:rsid w:val="00E078C0"/>
    <w:rsid w:val="00E0799C"/>
    <w:rsid w:val="00E07A59"/>
    <w:rsid w:val="00E07B1A"/>
    <w:rsid w:val="00E07CB0"/>
    <w:rsid w:val="00E100CF"/>
    <w:rsid w:val="00E10357"/>
    <w:rsid w:val="00E10361"/>
    <w:rsid w:val="00E105EE"/>
    <w:rsid w:val="00E1079A"/>
    <w:rsid w:val="00E1084A"/>
    <w:rsid w:val="00E1085D"/>
    <w:rsid w:val="00E108F5"/>
    <w:rsid w:val="00E10955"/>
    <w:rsid w:val="00E10CD7"/>
    <w:rsid w:val="00E10D6C"/>
    <w:rsid w:val="00E10E4D"/>
    <w:rsid w:val="00E10E83"/>
    <w:rsid w:val="00E10F60"/>
    <w:rsid w:val="00E10FC2"/>
    <w:rsid w:val="00E11197"/>
    <w:rsid w:val="00E1123C"/>
    <w:rsid w:val="00E1128E"/>
    <w:rsid w:val="00E11294"/>
    <w:rsid w:val="00E11594"/>
    <w:rsid w:val="00E1166F"/>
    <w:rsid w:val="00E11676"/>
    <w:rsid w:val="00E116E8"/>
    <w:rsid w:val="00E1179A"/>
    <w:rsid w:val="00E117AB"/>
    <w:rsid w:val="00E117B1"/>
    <w:rsid w:val="00E11CFF"/>
    <w:rsid w:val="00E11FA7"/>
    <w:rsid w:val="00E12138"/>
    <w:rsid w:val="00E122E2"/>
    <w:rsid w:val="00E123F3"/>
    <w:rsid w:val="00E1246D"/>
    <w:rsid w:val="00E12601"/>
    <w:rsid w:val="00E126DC"/>
    <w:rsid w:val="00E126ED"/>
    <w:rsid w:val="00E1286B"/>
    <w:rsid w:val="00E1296E"/>
    <w:rsid w:val="00E129D1"/>
    <w:rsid w:val="00E12AF0"/>
    <w:rsid w:val="00E12D0A"/>
    <w:rsid w:val="00E12D14"/>
    <w:rsid w:val="00E1306D"/>
    <w:rsid w:val="00E130A3"/>
    <w:rsid w:val="00E1318C"/>
    <w:rsid w:val="00E131BF"/>
    <w:rsid w:val="00E13265"/>
    <w:rsid w:val="00E13411"/>
    <w:rsid w:val="00E134D8"/>
    <w:rsid w:val="00E134E7"/>
    <w:rsid w:val="00E135B8"/>
    <w:rsid w:val="00E1366A"/>
    <w:rsid w:val="00E138B7"/>
    <w:rsid w:val="00E13950"/>
    <w:rsid w:val="00E13BFB"/>
    <w:rsid w:val="00E13CB5"/>
    <w:rsid w:val="00E13CBE"/>
    <w:rsid w:val="00E13D10"/>
    <w:rsid w:val="00E13F9D"/>
    <w:rsid w:val="00E13FCB"/>
    <w:rsid w:val="00E1452C"/>
    <w:rsid w:val="00E14720"/>
    <w:rsid w:val="00E147F7"/>
    <w:rsid w:val="00E14899"/>
    <w:rsid w:val="00E148A5"/>
    <w:rsid w:val="00E14985"/>
    <w:rsid w:val="00E149BB"/>
    <w:rsid w:val="00E149D3"/>
    <w:rsid w:val="00E14A3E"/>
    <w:rsid w:val="00E14AF1"/>
    <w:rsid w:val="00E14B74"/>
    <w:rsid w:val="00E14C35"/>
    <w:rsid w:val="00E14C56"/>
    <w:rsid w:val="00E14CA8"/>
    <w:rsid w:val="00E14D83"/>
    <w:rsid w:val="00E14DE7"/>
    <w:rsid w:val="00E14DEE"/>
    <w:rsid w:val="00E14E4A"/>
    <w:rsid w:val="00E14F16"/>
    <w:rsid w:val="00E14FC1"/>
    <w:rsid w:val="00E15000"/>
    <w:rsid w:val="00E15052"/>
    <w:rsid w:val="00E150CA"/>
    <w:rsid w:val="00E1514D"/>
    <w:rsid w:val="00E152C9"/>
    <w:rsid w:val="00E1544A"/>
    <w:rsid w:val="00E1548D"/>
    <w:rsid w:val="00E1556A"/>
    <w:rsid w:val="00E1557B"/>
    <w:rsid w:val="00E15602"/>
    <w:rsid w:val="00E15623"/>
    <w:rsid w:val="00E156AD"/>
    <w:rsid w:val="00E156D7"/>
    <w:rsid w:val="00E159B5"/>
    <w:rsid w:val="00E15A91"/>
    <w:rsid w:val="00E15A9B"/>
    <w:rsid w:val="00E15AA7"/>
    <w:rsid w:val="00E15ABD"/>
    <w:rsid w:val="00E15B0E"/>
    <w:rsid w:val="00E15DCC"/>
    <w:rsid w:val="00E15ED9"/>
    <w:rsid w:val="00E15EFC"/>
    <w:rsid w:val="00E1602C"/>
    <w:rsid w:val="00E16039"/>
    <w:rsid w:val="00E16044"/>
    <w:rsid w:val="00E161BD"/>
    <w:rsid w:val="00E162CD"/>
    <w:rsid w:val="00E1646E"/>
    <w:rsid w:val="00E1653B"/>
    <w:rsid w:val="00E165BC"/>
    <w:rsid w:val="00E165DE"/>
    <w:rsid w:val="00E165E2"/>
    <w:rsid w:val="00E1667D"/>
    <w:rsid w:val="00E166BF"/>
    <w:rsid w:val="00E16754"/>
    <w:rsid w:val="00E167B7"/>
    <w:rsid w:val="00E168AE"/>
    <w:rsid w:val="00E16A38"/>
    <w:rsid w:val="00E16A59"/>
    <w:rsid w:val="00E16AA4"/>
    <w:rsid w:val="00E16AB4"/>
    <w:rsid w:val="00E16D94"/>
    <w:rsid w:val="00E16D9D"/>
    <w:rsid w:val="00E16DCF"/>
    <w:rsid w:val="00E16FF8"/>
    <w:rsid w:val="00E1713A"/>
    <w:rsid w:val="00E171AB"/>
    <w:rsid w:val="00E17206"/>
    <w:rsid w:val="00E17228"/>
    <w:rsid w:val="00E17230"/>
    <w:rsid w:val="00E172F9"/>
    <w:rsid w:val="00E1763E"/>
    <w:rsid w:val="00E17740"/>
    <w:rsid w:val="00E178A8"/>
    <w:rsid w:val="00E17A18"/>
    <w:rsid w:val="00E17A41"/>
    <w:rsid w:val="00E17B54"/>
    <w:rsid w:val="00E17C16"/>
    <w:rsid w:val="00E200AA"/>
    <w:rsid w:val="00E20214"/>
    <w:rsid w:val="00E202A3"/>
    <w:rsid w:val="00E205A7"/>
    <w:rsid w:val="00E205B2"/>
    <w:rsid w:val="00E207D2"/>
    <w:rsid w:val="00E20AC4"/>
    <w:rsid w:val="00E20B0B"/>
    <w:rsid w:val="00E20B96"/>
    <w:rsid w:val="00E20F0D"/>
    <w:rsid w:val="00E20FC6"/>
    <w:rsid w:val="00E2112D"/>
    <w:rsid w:val="00E21196"/>
    <w:rsid w:val="00E21246"/>
    <w:rsid w:val="00E21260"/>
    <w:rsid w:val="00E212D7"/>
    <w:rsid w:val="00E21373"/>
    <w:rsid w:val="00E2154B"/>
    <w:rsid w:val="00E2156F"/>
    <w:rsid w:val="00E21634"/>
    <w:rsid w:val="00E2185E"/>
    <w:rsid w:val="00E21999"/>
    <w:rsid w:val="00E21A1F"/>
    <w:rsid w:val="00E21A63"/>
    <w:rsid w:val="00E21B01"/>
    <w:rsid w:val="00E21C4B"/>
    <w:rsid w:val="00E21D92"/>
    <w:rsid w:val="00E21F39"/>
    <w:rsid w:val="00E220C2"/>
    <w:rsid w:val="00E220EC"/>
    <w:rsid w:val="00E221C2"/>
    <w:rsid w:val="00E22249"/>
    <w:rsid w:val="00E2226B"/>
    <w:rsid w:val="00E222A0"/>
    <w:rsid w:val="00E22570"/>
    <w:rsid w:val="00E227CB"/>
    <w:rsid w:val="00E227D5"/>
    <w:rsid w:val="00E229EC"/>
    <w:rsid w:val="00E22A52"/>
    <w:rsid w:val="00E22B6E"/>
    <w:rsid w:val="00E22F86"/>
    <w:rsid w:val="00E2324B"/>
    <w:rsid w:val="00E2330F"/>
    <w:rsid w:val="00E233F6"/>
    <w:rsid w:val="00E23519"/>
    <w:rsid w:val="00E23575"/>
    <w:rsid w:val="00E235D4"/>
    <w:rsid w:val="00E2386C"/>
    <w:rsid w:val="00E239F8"/>
    <w:rsid w:val="00E23B24"/>
    <w:rsid w:val="00E23BAE"/>
    <w:rsid w:val="00E23BC9"/>
    <w:rsid w:val="00E23D18"/>
    <w:rsid w:val="00E23D3A"/>
    <w:rsid w:val="00E23E83"/>
    <w:rsid w:val="00E23F30"/>
    <w:rsid w:val="00E24101"/>
    <w:rsid w:val="00E2411E"/>
    <w:rsid w:val="00E24263"/>
    <w:rsid w:val="00E242BE"/>
    <w:rsid w:val="00E24348"/>
    <w:rsid w:val="00E243B6"/>
    <w:rsid w:val="00E24564"/>
    <w:rsid w:val="00E248A3"/>
    <w:rsid w:val="00E248AA"/>
    <w:rsid w:val="00E24A05"/>
    <w:rsid w:val="00E24B21"/>
    <w:rsid w:val="00E24D26"/>
    <w:rsid w:val="00E24DC3"/>
    <w:rsid w:val="00E24E3E"/>
    <w:rsid w:val="00E2504F"/>
    <w:rsid w:val="00E25076"/>
    <w:rsid w:val="00E2507C"/>
    <w:rsid w:val="00E25171"/>
    <w:rsid w:val="00E2521F"/>
    <w:rsid w:val="00E2523E"/>
    <w:rsid w:val="00E252EC"/>
    <w:rsid w:val="00E2533C"/>
    <w:rsid w:val="00E2537C"/>
    <w:rsid w:val="00E25453"/>
    <w:rsid w:val="00E2551F"/>
    <w:rsid w:val="00E25569"/>
    <w:rsid w:val="00E258DF"/>
    <w:rsid w:val="00E259B3"/>
    <w:rsid w:val="00E25B6E"/>
    <w:rsid w:val="00E25C0B"/>
    <w:rsid w:val="00E25D87"/>
    <w:rsid w:val="00E25F97"/>
    <w:rsid w:val="00E26017"/>
    <w:rsid w:val="00E26085"/>
    <w:rsid w:val="00E26155"/>
    <w:rsid w:val="00E2619F"/>
    <w:rsid w:val="00E26215"/>
    <w:rsid w:val="00E26254"/>
    <w:rsid w:val="00E264BE"/>
    <w:rsid w:val="00E264CA"/>
    <w:rsid w:val="00E26735"/>
    <w:rsid w:val="00E26C65"/>
    <w:rsid w:val="00E26D49"/>
    <w:rsid w:val="00E26D8A"/>
    <w:rsid w:val="00E26D8F"/>
    <w:rsid w:val="00E26DAE"/>
    <w:rsid w:val="00E26DD6"/>
    <w:rsid w:val="00E26E4F"/>
    <w:rsid w:val="00E26ED6"/>
    <w:rsid w:val="00E26F30"/>
    <w:rsid w:val="00E27151"/>
    <w:rsid w:val="00E27302"/>
    <w:rsid w:val="00E273FF"/>
    <w:rsid w:val="00E27407"/>
    <w:rsid w:val="00E274A3"/>
    <w:rsid w:val="00E2761A"/>
    <w:rsid w:val="00E276DE"/>
    <w:rsid w:val="00E27733"/>
    <w:rsid w:val="00E277E0"/>
    <w:rsid w:val="00E2786E"/>
    <w:rsid w:val="00E27913"/>
    <w:rsid w:val="00E27933"/>
    <w:rsid w:val="00E2794B"/>
    <w:rsid w:val="00E279E8"/>
    <w:rsid w:val="00E27A18"/>
    <w:rsid w:val="00E27BCC"/>
    <w:rsid w:val="00E27D64"/>
    <w:rsid w:val="00E27D8F"/>
    <w:rsid w:val="00E27E6B"/>
    <w:rsid w:val="00E27ECB"/>
    <w:rsid w:val="00E27ED4"/>
    <w:rsid w:val="00E27EFB"/>
    <w:rsid w:val="00E27F9F"/>
    <w:rsid w:val="00E27FC6"/>
    <w:rsid w:val="00E30206"/>
    <w:rsid w:val="00E30535"/>
    <w:rsid w:val="00E30839"/>
    <w:rsid w:val="00E30870"/>
    <w:rsid w:val="00E30B9B"/>
    <w:rsid w:val="00E30C82"/>
    <w:rsid w:val="00E30D2D"/>
    <w:rsid w:val="00E30DB9"/>
    <w:rsid w:val="00E30E2A"/>
    <w:rsid w:val="00E30E6A"/>
    <w:rsid w:val="00E30E9C"/>
    <w:rsid w:val="00E30F69"/>
    <w:rsid w:val="00E30FCA"/>
    <w:rsid w:val="00E3105F"/>
    <w:rsid w:val="00E31083"/>
    <w:rsid w:val="00E31186"/>
    <w:rsid w:val="00E311CF"/>
    <w:rsid w:val="00E31226"/>
    <w:rsid w:val="00E31235"/>
    <w:rsid w:val="00E312AF"/>
    <w:rsid w:val="00E31448"/>
    <w:rsid w:val="00E31565"/>
    <w:rsid w:val="00E31637"/>
    <w:rsid w:val="00E317D2"/>
    <w:rsid w:val="00E31974"/>
    <w:rsid w:val="00E31997"/>
    <w:rsid w:val="00E31B19"/>
    <w:rsid w:val="00E31CDC"/>
    <w:rsid w:val="00E31DF6"/>
    <w:rsid w:val="00E31DFF"/>
    <w:rsid w:val="00E31E45"/>
    <w:rsid w:val="00E31EFD"/>
    <w:rsid w:val="00E31FBA"/>
    <w:rsid w:val="00E32021"/>
    <w:rsid w:val="00E320C2"/>
    <w:rsid w:val="00E320C8"/>
    <w:rsid w:val="00E32256"/>
    <w:rsid w:val="00E32494"/>
    <w:rsid w:val="00E324A1"/>
    <w:rsid w:val="00E32565"/>
    <w:rsid w:val="00E325DA"/>
    <w:rsid w:val="00E325DE"/>
    <w:rsid w:val="00E326CA"/>
    <w:rsid w:val="00E32875"/>
    <w:rsid w:val="00E3289F"/>
    <w:rsid w:val="00E328AC"/>
    <w:rsid w:val="00E32B1B"/>
    <w:rsid w:val="00E32D76"/>
    <w:rsid w:val="00E32DBA"/>
    <w:rsid w:val="00E32FED"/>
    <w:rsid w:val="00E330BB"/>
    <w:rsid w:val="00E330C9"/>
    <w:rsid w:val="00E3327D"/>
    <w:rsid w:val="00E332FA"/>
    <w:rsid w:val="00E33522"/>
    <w:rsid w:val="00E335C6"/>
    <w:rsid w:val="00E33653"/>
    <w:rsid w:val="00E3371C"/>
    <w:rsid w:val="00E3374D"/>
    <w:rsid w:val="00E3377E"/>
    <w:rsid w:val="00E337FF"/>
    <w:rsid w:val="00E33824"/>
    <w:rsid w:val="00E3383F"/>
    <w:rsid w:val="00E33A7E"/>
    <w:rsid w:val="00E33F39"/>
    <w:rsid w:val="00E33FC0"/>
    <w:rsid w:val="00E3422B"/>
    <w:rsid w:val="00E34250"/>
    <w:rsid w:val="00E34358"/>
    <w:rsid w:val="00E34409"/>
    <w:rsid w:val="00E3449D"/>
    <w:rsid w:val="00E34984"/>
    <w:rsid w:val="00E3498F"/>
    <w:rsid w:val="00E34A36"/>
    <w:rsid w:val="00E34AED"/>
    <w:rsid w:val="00E34B50"/>
    <w:rsid w:val="00E34D3F"/>
    <w:rsid w:val="00E35073"/>
    <w:rsid w:val="00E350A6"/>
    <w:rsid w:val="00E3517C"/>
    <w:rsid w:val="00E35472"/>
    <w:rsid w:val="00E3550B"/>
    <w:rsid w:val="00E3553F"/>
    <w:rsid w:val="00E35595"/>
    <w:rsid w:val="00E3565A"/>
    <w:rsid w:val="00E35C58"/>
    <w:rsid w:val="00E35D40"/>
    <w:rsid w:val="00E35DF0"/>
    <w:rsid w:val="00E35E9B"/>
    <w:rsid w:val="00E35EC2"/>
    <w:rsid w:val="00E35ECF"/>
    <w:rsid w:val="00E35FDD"/>
    <w:rsid w:val="00E3608B"/>
    <w:rsid w:val="00E363B4"/>
    <w:rsid w:val="00E364E3"/>
    <w:rsid w:val="00E366BF"/>
    <w:rsid w:val="00E3688E"/>
    <w:rsid w:val="00E36AAC"/>
    <w:rsid w:val="00E36AD3"/>
    <w:rsid w:val="00E36D7C"/>
    <w:rsid w:val="00E36E72"/>
    <w:rsid w:val="00E3708E"/>
    <w:rsid w:val="00E370DB"/>
    <w:rsid w:val="00E37214"/>
    <w:rsid w:val="00E372FF"/>
    <w:rsid w:val="00E373BE"/>
    <w:rsid w:val="00E37454"/>
    <w:rsid w:val="00E374D3"/>
    <w:rsid w:val="00E37668"/>
    <w:rsid w:val="00E376DE"/>
    <w:rsid w:val="00E377D5"/>
    <w:rsid w:val="00E37824"/>
    <w:rsid w:val="00E37A65"/>
    <w:rsid w:val="00E37B39"/>
    <w:rsid w:val="00E37B69"/>
    <w:rsid w:val="00E37BD3"/>
    <w:rsid w:val="00E37C34"/>
    <w:rsid w:val="00E37CE7"/>
    <w:rsid w:val="00E37E50"/>
    <w:rsid w:val="00E37EE5"/>
    <w:rsid w:val="00E37F2C"/>
    <w:rsid w:val="00E4002C"/>
    <w:rsid w:val="00E400DE"/>
    <w:rsid w:val="00E40103"/>
    <w:rsid w:val="00E4016A"/>
    <w:rsid w:val="00E40263"/>
    <w:rsid w:val="00E40296"/>
    <w:rsid w:val="00E40312"/>
    <w:rsid w:val="00E403D1"/>
    <w:rsid w:val="00E40407"/>
    <w:rsid w:val="00E404A9"/>
    <w:rsid w:val="00E4051D"/>
    <w:rsid w:val="00E40539"/>
    <w:rsid w:val="00E405F7"/>
    <w:rsid w:val="00E407D6"/>
    <w:rsid w:val="00E408DB"/>
    <w:rsid w:val="00E40B88"/>
    <w:rsid w:val="00E40BD1"/>
    <w:rsid w:val="00E40C21"/>
    <w:rsid w:val="00E40C80"/>
    <w:rsid w:val="00E40D2B"/>
    <w:rsid w:val="00E40DF7"/>
    <w:rsid w:val="00E4108F"/>
    <w:rsid w:val="00E410AC"/>
    <w:rsid w:val="00E410DC"/>
    <w:rsid w:val="00E410F8"/>
    <w:rsid w:val="00E41100"/>
    <w:rsid w:val="00E41117"/>
    <w:rsid w:val="00E4116C"/>
    <w:rsid w:val="00E4135F"/>
    <w:rsid w:val="00E41378"/>
    <w:rsid w:val="00E4159C"/>
    <w:rsid w:val="00E4171F"/>
    <w:rsid w:val="00E41908"/>
    <w:rsid w:val="00E41A17"/>
    <w:rsid w:val="00E41A5A"/>
    <w:rsid w:val="00E41ACB"/>
    <w:rsid w:val="00E41D3E"/>
    <w:rsid w:val="00E41E97"/>
    <w:rsid w:val="00E42137"/>
    <w:rsid w:val="00E42209"/>
    <w:rsid w:val="00E42276"/>
    <w:rsid w:val="00E4260C"/>
    <w:rsid w:val="00E4277A"/>
    <w:rsid w:val="00E428F5"/>
    <w:rsid w:val="00E42904"/>
    <w:rsid w:val="00E429DD"/>
    <w:rsid w:val="00E42AA8"/>
    <w:rsid w:val="00E42CBC"/>
    <w:rsid w:val="00E42DFA"/>
    <w:rsid w:val="00E42F28"/>
    <w:rsid w:val="00E43051"/>
    <w:rsid w:val="00E43128"/>
    <w:rsid w:val="00E4318F"/>
    <w:rsid w:val="00E43304"/>
    <w:rsid w:val="00E434B9"/>
    <w:rsid w:val="00E436D8"/>
    <w:rsid w:val="00E437B3"/>
    <w:rsid w:val="00E43964"/>
    <w:rsid w:val="00E43B0A"/>
    <w:rsid w:val="00E43B38"/>
    <w:rsid w:val="00E43B5F"/>
    <w:rsid w:val="00E43CE9"/>
    <w:rsid w:val="00E43D69"/>
    <w:rsid w:val="00E43DC4"/>
    <w:rsid w:val="00E43E26"/>
    <w:rsid w:val="00E43E2C"/>
    <w:rsid w:val="00E43E4D"/>
    <w:rsid w:val="00E44039"/>
    <w:rsid w:val="00E4430A"/>
    <w:rsid w:val="00E44318"/>
    <w:rsid w:val="00E443B2"/>
    <w:rsid w:val="00E4448B"/>
    <w:rsid w:val="00E444AE"/>
    <w:rsid w:val="00E445CF"/>
    <w:rsid w:val="00E44747"/>
    <w:rsid w:val="00E447EB"/>
    <w:rsid w:val="00E447F6"/>
    <w:rsid w:val="00E448F8"/>
    <w:rsid w:val="00E44C02"/>
    <w:rsid w:val="00E44C18"/>
    <w:rsid w:val="00E44DA9"/>
    <w:rsid w:val="00E44E4F"/>
    <w:rsid w:val="00E44EB8"/>
    <w:rsid w:val="00E451B9"/>
    <w:rsid w:val="00E45221"/>
    <w:rsid w:val="00E454C5"/>
    <w:rsid w:val="00E4551B"/>
    <w:rsid w:val="00E45731"/>
    <w:rsid w:val="00E45797"/>
    <w:rsid w:val="00E457AB"/>
    <w:rsid w:val="00E458F8"/>
    <w:rsid w:val="00E45A67"/>
    <w:rsid w:val="00E45B72"/>
    <w:rsid w:val="00E45BEE"/>
    <w:rsid w:val="00E45C21"/>
    <w:rsid w:val="00E45C87"/>
    <w:rsid w:val="00E45D6B"/>
    <w:rsid w:val="00E45E11"/>
    <w:rsid w:val="00E45F3F"/>
    <w:rsid w:val="00E45F59"/>
    <w:rsid w:val="00E45F7F"/>
    <w:rsid w:val="00E46052"/>
    <w:rsid w:val="00E461B0"/>
    <w:rsid w:val="00E4627B"/>
    <w:rsid w:val="00E463A0"/>
    <w:rsid w:val="00E46428"/>
    <w:rsid w:val="00E465C6"/>
    <w:rsid w:val="00E46666"/>
    <w:rsid w:val="00E467DC"/>
    <w:rsid w:val="00E467FE"/>
    <w:rsid w:val="00E4696C"/>
    <w:rsid w:val="00E469C4"/>
    <w:rsid w:val="00E46AA5"/>
    <w:rsid w:val="00E46B36"/>
    <w:rsid w:val="00E46B7A"/>
    <w:rsid w:val="00E46C21"/>
    <w:rsid w:val="00E46C88"/>
    <w:rsid w:val="00E46D03"/>
    <w:rsid w:val="00E46E35"/>
    <w:rsid w:val="00E4708A"/>
    <w:rsid w:val="00E47244"/>
    <w:rsid w:val="00E4727B"/>
    <w:rsid w:val="00E472EB"/>
    <w:rsid w:val="00E4735A"/>
    <w:rsid w:val="00E4740C"/>
    <w:rsid w:val="00E475B9"/>
    <w:rsid w:val="00E4767E"/>
    <w:rsid w:val="00E4779A"/>
    <w:rsid w:val="00E47912"/>
    <w:rsid w:val="00E479DB"/>
    <w:rsid w:val="00E47A57"/>
    <w:rsid w:val="00E47B6D"/>
    <w:rsid w:val="00E47EF6"/>
    <w:rsid w:val="00E47FD3"/>
    <w:rsid w:val="00E50241"/>
    <w:rsid w:val="00E50823"/>
    <w:rsid w:val="00E50922"/>
    <w:rsid w:val="00E5098A"/>
    <w:rsid w:val="00E50AA5"/>
    <w:rsid w:val="00E50C3D"/>
    <w:rsid w:val="00E50CD2"/>
    <w:rsid w:val="00E50D7E"/>
    <w:rsid w:val="00E51071"/>
    <w:rsid w:val="00E511E5"/>
    <w:rsid w:val="00E51206"/>
    <w:rsid w:val="00E51253"/>
    <w:rsid w:val="00E5166C"/>
    <w:rsid w:val="00E517D5"/>
    <w:rsid w:val="00E518A2"/>
    <w:rsid w:val="00E51944"/>
    <w:rsid w:val="00E519AF"/>
    <w:rsid w:val="00E51B16"/>
    <w:rsid w:val="00E51B67"/>
    <w:rsid w:val="00E51C79"/>
    <w:rsid w:val="00E51D78"/>
    <w:rsid w:val="00E51DC9"/>
    <w:rsid w:val="00E51F41"/>
    <w:rsid w:val="00E52015"/>
    <w:rsid w:val="00E5207F"/>
    <w:rsid w:val="00E520F7"/>
    <w:rsid w:val="00E5215A"/>
    <w:rsid w:val="00E522AB"/>
    <w:rsid w:val="00E52309"/>
    <w:rsid w:val="00E523B0"/>
    <w:rsid w:val="00E52593"/>
    <w:rsid w:val="00E526FE"/>
    <w:rsid w:val="00E52908"/>
    <w:rsid w:val="00E52A1C"/>
    <w:rsid w:val="00E52A40"/>
    <w:rsid w:val="00E52A4E"/>
    <w:rsid w:val="00E52AC7"/>
    <w:rsid w:val="00E52BF7"/>
    <w:rsid w:val="00E52E25"/>
    <w:rsid w:val="00E52E73"/>
    <w:rsid w:val="00E52E8A"/>
    <w:rsid w:val="00E52F43"/>
    <w:rsid w:val="00E5318C"/>
    <w:rsid w:val="00E5337D"/>
    <w:rsid w:val="00E533A1"/>
    <w:rsid w:val="00E53448"/>
    <w:rsid w:val="00E5374A"/>
    <w:rsid w:val="00E537CA"/>
    <w:rsid w:val="00E53829"/>
    <w:rsid w:val="00E538F4"/>
    <w:rsid w:val="00E53900"/>
    <w:rsid w:val="00E53931"/>
    <w:rsid w:val="00E5396B"/>
    <w:rsid w:val="00E53A24"/>
    <w:rsid w:val="00E53B4A"/>
    <w:rsid w:val="00E53BE1"/>
    <w:rsid w:val="00E53C7F"/>
    <w:rsid w:val="00E53CAB"/>
    <w:rsid w:val="00E53CF0"/>
    <w:rsid w:val="00E53F97"/>
    <w:rsid w:val="00E54019"/>
    <w:rsid w:val="00E54192"/>
    <w:rsid w:val="00E5424D"/>
    <w:rsid w:val="00E5427C"/>
    <w:rsid w:val="00E54340"/>
    <w:rsid w:val="00E544AF"/>
    <w:rsid w:val="00E5458E"/>
    <w:rsid w:val="00E54715"/>
    <w:rsid w:val="00E5474C"/>
    <w:rsid w:val="00E548DC"/>
    <w:rsid w:val="00E5497F"/>
    <w:rsid w:val="00E549F3"/>
    <w:rsid w:val="00E54B07"/>
    <w:rsid w:val="00E54B1C"/>
    <w:rsid w:val="00E54DB8"/>
    <w:rsid w:val="00E54E3F"/>
    <w:rsid w:val="00E55022"/>
    <w:rsid w:val="00E551C3"/>
    <w:rsid w:val="00E5528D"/>
    <w:rsid w:val="00E5537D"/>
    <w:rsid w:val="00E555D8"/>
    <w:rsid w:val="00E5564B"/>
    <w:rsid w:val="00E55852"/>
    <w:rsid w:val="00E55889"/>
    <w:rsid w:val="00E55892"/>
    <w:rsid w:val="00E55940"/>
    <w:rsid w:val="00E55BBE"/>
    <w:rsid w:val="00E55C98"/>
    <w:rsid w:val="00E55CA5"/>
    <w:rsid w:val="00E55EAC"/>
    <w:rsid w:val="00E56040"/>
    <w:rsid w:val="00E56158"/>
    <w:rsid w:val="00E56528"/>
    <w:rsid w:val="00E5677D"/>
    <w:rsid w:val="00E567AE"/>
    <w:rsid w:val="00E567BD"/>
    <w:rsid w:val="00E568DF"/>
    <w:rsid w:val="00E5694D"/>
    <w:rsid w:val="00E5697A"/>
    <w:rsid w:val="00E56DD6"/>
    <w:rsid w:val="00E56EAC"/>
    <w:rsid w:val="00E57173"/>
    <w:rsid w:val="00E57227"/>
    <w:rsid w:val="00E57268"/>
    <w:rsid w:val="00E57357"/>
    <w:rsid w:val="00E573E8"/>
    <w:rsid w:val="00E5767E"/>
    <w:rsid w:val="00E576AB"/>
    <w:rsid w:val="00E5784A"/>
    <w:rsid w:val="00E57964"/>
    <w:rsid w:val="00E57ADC"/>
    <w:rsid w:val="00E57B81"/>
    <w:rsid w:val="00E57D13"/>
    <w:rsid w:val="00E57EB9"/>
    <w:rsid w:val="00E57EC1"/>
    <w:rsid w:val="00E57F70"/>
    <w:rsid w:val="00E600D8"/>
    <w:rsid w:val="00E60107"/>
    <w:rsid w:val="00E6016A"/>
    <w:rsid w:val="00E60252"/>
    <w:rsid w:val="00E602B0"/>
    <w:rsid w:val="00E602E2"/>
    <w:rsid w:val="00E6030E"/>
    <w:rsid w:val="00E6058E"/>
    <w:rsid w:val="00E605BE"/>
    <w:rsid w:val="00E6062C"/>
    <w:rsid w:val="00E607A3"/>
    <w:rsid w:val="00E607CC"/>
    <w:rsid w:val="00E60815"/>
    <w:rsid w:val="00E60980"/>
    <w:rsid w:val="00E60987"/>
    <w:rsid w:val="00E609C1"/>
    <w:rsid w:val="00E60BB6"/>
    <w:rsid w:val="00E60D47"/>
    <w:rsid w:val="00E60DF5"/>
    <w:rsid w:val="00E60F57"/>
    <w:rsid w:val="00E60F94"/>
    <w:rsid w:val="00E60FAC"/>
    <w:rsid w:val="00E61198"/>
    <w:rsid w:val="00E61299"/>
    <w:rsid w:val="00E61475"/>
    <w:rsid w:val="00E6150E"/>
    <w:rsid w:val="00E61678"/>
    <w:rsid w:val="00E61893"/>
    <w:rsid w:val="00E61901"/>
    <w:rsid w:val="00E61B73"/>
    <w:rsid w:val="00E61BE8"/>
    <w:rsid w:val="00E61C32"/>
    <w:rsid w:val="00E61C4E"/>
    <w:rsid w:val="00E61D7F"/>
    <w:rsid w:val="00E61DFD"/>
    <w:rsid w:val="00E61EB9"/>
    <w:rsid w:val="00E61ED6"/>
    <w:rsid w:val="00E6209B"/>
    <w:rsid w:val="00E62267"/>
    <w:rsid w:val="00E62397"/>
    <w:rsid w:val="00E62417"/>
    <w:rsid w:val="00E62566"/>
    <w:rsid w:val="00E6256E"/>
    <w:rsid w:val="00E626E2"/>
    <w:rsid w:val="00E62882"/>
    <w:rsid w:val="00E62A55"/>
    <w:rsid w:val="00E62ACF"/>
    <w:rsid w:val="00E62B3A"/>
    <w:rsid w:val="00E62DFF"/>
    <w:rsid w:val="00E630AD"/>
    <w:rsid w:val="00E63317"/>
    <w:rsid w:val="00E63471"/>
    <w:rsid w:val="00E63752"/>
    <w:rsid w:val="00E63977"/>
    <w:rsid w:val="00E63A77"/>
    <w:rsid w:val="00E63A81"/>
    <w:rsid w:val="00E63DA9"/>
    <w:rsid w:val="00E63DFF"/>
    <w:rsid w:val="00E63E85"/>
    <w:rsid w:val="00E6404B"/>
    <w:rsid w:val="00E6404F"/>
    <w:rsid w:val="00E6448D"/>
    <w:rsid w:val="00E64492"/>
    <w:rsid w:val="00E64496"/>
    <w:rsid w:val="00E644F4"/>
    <w:rsid w:val="00E64534"/>
    <w:rsid w:val="00E645A2"/>
    <w:rsid w:val="00E6463A"/>
    <w:rsid w:val="00E64B55"/>
    <w:rsid w:val="00E64B77"/>
    <w:rsid w:val="00E64C4E"/>
    <w:rsid w:val="00E64C5B"/>
    <w:rsid w:val="00E64E17"/>
    <w:rsid w:val="00E64E3C"/>
    <w:rsid w:val="00E65126"/>
    <w:rsid w:val="00E6512A"/>
    <w:rsid w:val="00E65178"/>
    <w:rsid w:val="00E653ED"/>
    <w:rsid w:val="00E6552C"/>
    <w:rsid w:val="00E658D4"/>
    <w:rsid w:val="00E65907"/>
    <w:rsid w:val="00E65933"/>
    <w:rsid w:val="00E65A34"/>
    <w:rsid w:val="00E65AA7"/>
    <w:rsid w:val="00E65C51"/>
    <w:rsid w:val="00E65C72"/>
    <w:rsid w:val="00E65C7A"/>
    <w:rsid w:val="00E65C83"/>
    <w:rsid w:val="00E65CD6"/>
    <w:rsid w:val="00E65D47"/>
    <w:rsid w:val="00E65DB0"/>
    <w:rsid w:val="00E65DFC"/>
    <w:rsid w:val="00E65EAA"/>
    <w:rsid w:val="00E660B4"/>
    <w:rsid w:val="00E66183"/>
    <w:rsid w:val="00E66428"/>
    <w:rsid w:val="00E665F4"/>
    <w:rsid w:val="00E6678C"/>
    <w:rsid w:val="00E66AE1"/>
    <w:rsid w:val="00E66B15"/>
    <w:rsid w:val="00E66D76"/>
    <w:rsid w:val="00E66DFB"/>
    <w:rsid w:val="00E67078"/>
    <w:rsid w:val="00E67095"/>
    <w:rsid w:val="00E670DB"/>
    <w:rsid w:val="00E6716D"/>
    <w:rsid w:val="00E671DE"/>
    <w:rsid w:val="00E6728C"/>
    <w:rsid w:val="00E6745C"/>
    <w:rsid w:val="00E67630"/>
    <w:rsid w:val="00E67674"/>
    <w:rsid w:val="00E6772E"/>
    <w:rsid w:val="00E67A27"/>
    <w:rsid w:val="00E67AA1"/>
    <w:rsid w:val="00E67AB2"/>
    <w:rsid w:val="00E67B75"/>
    <w:rsid w:val="00E67C20"/>
    <w:rsid w:val="00E67CBC"/>
    <w:rsid w:val="00E67DAC"/>
    <w:rsid w:val="00E67DF2"/>
    <w:rsid w:val="00E67DF9"/>
    <w:rsid w:val="00E67E89"/>
    <w:rsid w:val="00E67EEA"/>
    <w:rsid w:val="00E67F90"/>
    <w:rsid w:val="00E700A9"/>
    <w:rsid w:val="00E7015D"/>
    <w:rsid w:val="00E7021E"/>
    <w:rsid w:val="00E703EA"/>
    <w:rsid w:val="00E705BF"/>
    <w:rsid w:val="00E7063D"/>
    <w:rsid w:val="00E70653"/>
    <w:rsid w:val="00E70665"/>
    <w:rsid w:val="00E7070B"/>
    <w:rsid w:val="00E70829"/>
    <w:rsid w:val="00E708BF"/>
    <w:rsid w:val="00E709E2"/>
    <w:rsid w:val="00E70A12"/>
    <w:rsid w:val="00E70A72"/>
    <w:rsid w:val="00E70C45"/>
    <w:rsid w:val="00E70D6C"/>
    <w:rsid w:val="00E70F71"/>
    <w:rsid w:val="00E7108A"/>
    <w:rsid w:val="00E711C3"/>
    <w:rsid w:val="00E7123B"/>
    <w:rsid w:val="00E7128C"/>
    <w:rsid w:val="00E712CB"/>
    <w:rsid w:val="00E713B6"/>
    <w:rsid w:val="00E714C4"/>
    <w:rsid w:val="00E715C2"/>
    <w:rsid w:val="00E71718"/>
    <w:rsid w:val="00E717CA"/>
    <w:rsid w:val="00E7199F"/>
    <w:rsid w:val="00E71C14"/>
    <w:rsid w:val="00E71C36"/>
    <w:rsid w:val="00E71D6C"/>
    <w:rsid w:val="00E71DE1"/>
    <w:rsid w:val="00E71E36"/>
    <w:rsid w:val="00E71F65"/>
    <w:rsid w:val="00E720CC"/>
    <w:rsid w:val="00E720FE"/>
    <w:rsid w:val="00E72128"/>
    <w:rsid w:val="00E721FB"/>
    <w:rsid w:val="00E72429"/>
    <w:rsid w:val="00E72509"/>
    <w:rsid w:val="00E72512"/>
    <w:rsid w:val="00E7259E"/>
    <w:rsid w:val="00E725DE"/>
    <w:rsid w:val="00E7263E"/>
    <w:rsid w:val="00E727BB"/>
    <w:rsid w:val="00E7281D"/>
    <w:rsid w:val="00E729C7"/>
    <w:rsid w:val="00E72A8A"/>
    <w:rsid w:val="00E72A8E"/>
    <w:rsid w:val="00E72A95"/>
    <w:rsid w:val="00E72BA7"/>
    <w:rsid w:val="00E72BD1"/>
    <w:rsid w:val="00E72BEA"/>
    <w:rsid w:val="00E72DA6"/>
    <w:rsid w:val="00E72E86"/>
    <w:rsid w:val="00E72EC2"/>
    <w:rsid w:val="00E72FB3"/>
    <w:rsid w:val="00E7300A"/>
    <w:rsid w:val="00E73257"/>
    <w:rsid w:val="00E732F2"/>
    <w:rsid w:val="00E7334F"/>
    <w:rsid w:val="00E7350E"/>
    <w:rsid w:val="00E73571"/>
    <w:rsid w:val="00E735E0"/>
    <w:rsid w:val="00E73647"/>
    <w:rsid w:val="00E736CB"/>
    <w:rsid w:val="00E7375A"/>
    <w:rsid w:val="00E7379B"/>
    <w:rsid w:val="00E73846"/>
    <w:rsid w:val="00E73977"/>
    <w:rsid w:val="00E73A3A"/>
    <w:rsid w:val="00E73AB7"/>
    <w:rsid w:val="00E73E19"/>
    <w:rsid w:val="00E73ED2"/>
    <w:rsid w:val="00E7401B"/>
    <w:rsid w:val="00E74073"/>
    <w:rsid w:val="00E74109"/>
    <w:rsid w:val="00E7419D"/>
    <w:rsid w:val="00E7428D"/>
    <w:rsid w:val="00E74307"/>
    <w:rsid w:val="00E74311"/>
    <w:rsid w:val="00E743CD"/>
    <w:rsid w:val="00E7446F"/>
    <w:rsid w:val="00E744B8"/>
    <w:rsid w:val="00E7459C"/>
    <w:rsid w:val="00E7468E"/>
    <w:rsid w:val="00E7483E"/>
    <w:rsid w:val="00E749C9"/>
    <w:rsid w:val="00E74B17"/>
    <w:rsid w:val="00E74C2E"/>
    <w:rsid w:val="00E74D04"/>
    <w:rsid w:val="00E74D50"/>
    <w:rsid w:val="00E750C5"/>
    <w:rsid w:val="00E75107"/>
    <w:rsid w:val="00E7524F"/>
    <w:rsid w:val="00E752E2"/>
    <w:rsid w:val="00E75389"/>
    <w:rsid w:val="00E7541E"/>
    <w:rsid w:val="00E754B4"/>
    <w:rsid w:val="00E7550C"/>
    <w:rsid w:val="00E75584"/>
    <w:rsid w:val="00E756D1"/>
    <w:rsid w:val="00E75702"/>
    <w:rsid w:val="00E75745"/>
    <w:rsid w:val="00E75772"/>
    <w:rsid w:val="00E757D9"/>
    <w:rsid w:val="00E7585D"/>
    <w:rsid w:val="00E75869"/>
    <w:rsid w:val="00E758A5"/>
    <w:rsid w:val="00E758F5"/>
    <w:rsid w:val="00E75925"/>
    <w:rsid w:val="00E75968"/>
    <w:rsid w:val="00E7598A"/>
    <w:rsid w:val="00E759D6"/>
    <w:rsid w:val="00E759DC"/>
    <w:rsid w:val="00E75BC8"/>
    <w:rsid w:val="00E75C65"/>
    <w:rsid w:val="00E75D1D"/>
    <w:rsid w:val="00E75D78"/>
    <w:rsid w:val="00E75E1E"/>
    <w:rsid w:val="00E75E21"/>
    <w:rsid w:val="00E75E84"/>
    <w:rsid w:val="00E75F21"/>
    <w:rsid w:val="00E75FA0"/>
    <w:rsid w:val="00E75FC7"/>
    <w:rsid w:val="00E76002"/>
    <w:rsid w:val="00E7601F"/>
    <w:rsid w:val="00E76042"/>
    <w:rsid w:val="00E7612D"/>
    <w:rsid w:val="00E7621B"/>
    <w:rsid w:val="00E763C5"/>
    <w:rsid w:val="00E76937"/>
    <w:rsid w:val="00E76B91"/>
    <w:rsid w:val="00E76BCA"/>
    <w:rsid w:val="00E76C1A"/>
    <w:rsid w:val="00E76C4B"/>
    <w:rsid w:val="00E76D1B"/>
    <w:rsid w:val="00E76E86"/>
    <w:rsid w:val="00E77137"/>
    <w:rsid w:val="00E774FE"/>
    <w:rsid w:val="00E77500"/>
    <w:rsid w:val="00E775A7"/>
    <w:rsid w:val="00E7777A"/>
    <w:rsid w:val="00E77963"/>
    <w:rsid w:val="00E77970"/>
    <w:rsid w:val="00E77A1F"/>
    <w:rsid w:val="00E77A3B"/>
    <w:rsid w:val="00E77A64"/>
    <w:rsid w:val="00E77B8A"/>
    <w:rsid w:val="00E77CCB"/>
    <w:rsid w:val="00E77E14"/>
    <w:rsid w:val="00E77E94"/>
    <w:rsid w:val="00E77EA7"/>
    <w:rsid w:val="00E77F87"/>
    <w:rsid w:val="00E8003A"/>
    <w:rsid w:val="00E8004D"/>
    <w:rsid w:val="00E8035E"/>
    <w:rsid w:val="00E803EF"/>
    <w:rsid w:val="00E805E8"/>
    <w:rsid w:val="00E80751"/>
    <w:rsid w:val="00E807A8"/>
    <w:rsid w:val="00E80996"/>
    <w:rsid w:val="00E80BF9"/>
    <w:rsid w:val="00E80CC3"/>
    <w:rsid w:val="00E80E0C"/>
    <w:rsid w:val="00E80EF3"/>
    <w:rsid w:val="00E80FC0"/>
    <w:rsid w:val="00E810D5"/>
    <w:rsid w:val="00E811A2"/>
    <w:rsid w:val="00E812A5"/>
    <w:rsid w:val="00E81395"/>
    <w:rsid w:val="00E81447"/>
    <w:rsid w:val="00E815C1"/>
    <w:rsid w:val="00E81783"/>
    <w:rsid w:val="00E81856"/>
    <w:rsid w:val="00E8185C"/>
    <w:rsid w:val="00E81896"/>
    <w:rsid w:val="00E818DB"/>
    <w:rsid w:val="00E819AA"/>
    <w:rsid w:val="00E81F2A"/>
    <w:rsid w:val="00E81F40"/>
    <w:rsid w:val="00E82115"/>
    <w:rsid w:val="00E82186"/>
    <w:rsid w:val="00E821A5"/>
    <w:rsid w:val="00E82499"/>
    <w:rsid w:val="00E8252C"/>
    <w:rsid w:val="00E8253D"/>
    <w:rsid w:val="00E825A5"/>
    <w:rsid w:val="00E82645"/>
    <w:rsid w:val="00E828BB"/>
    <w:rsid w:val="00E82933"/>
    <w:rsid w:val="00E82955"/>
    <w:rsid w:val="00E829B5"/>
    <w:rsid w:val="00E82BE5"/>
    <w:rsid w:val="00E82D9B"/>
    <w:rsid w:val="00E82EAB"/>
    <w:rsid w:val="00E82EB2"/>
    <w:rsid w:val="00E82ED1"/>
    <w:rsid w:val="00E8303D"/>
    <w:rsid w:val="00E83182"/>
    <w:rsid w:val="00E83188"/>
    <w:rsid w:val="00E83248"/>
    <w:rsid w:val="00E83257"/>
    <w:rsid w:val="00E83362"/>
    <w:rsid w:val="00E8336C"/>
    <w:rsid w:val="00E83466"/>
    <w:rsid w:val="00E836CC"/>
    <w:rsid w:val="00E83A5C"/>
    <w:rsid w:val="00E83C2B"/>
    <w:rsid w:val="00E83C89"/>
    <w:rsid w:val="00E83DDC"/>
    <w:rsid w:val="00E83EFB"/>
    <w:rsid w:val="00E83FC8"/>
    <w:rsid w:val="00E840BB"/>
    <w:rsid w:val="00E842AE"/>
    <w:rsid w:val="00E843BC"/>
    <w:rsid w:val="00E84647"/>
    <w:rsid w:val="00E846E1"/>
    <w:rsid w:val="00E8475A"/>
    <w:rsid w:val="00E8489A"/>
    <w:rsid w:val="00E848C1"/>
    <w:rsid w:val="00E84961"/>
    <w:rsid w:val="00E84B62"/>
    <w:rsid w:val="00E84C07"/>
    <w:rsid w:val="00E84CA1"/>
    <w:rsid w:val="00E84CCE"/>
    <w:rsid w:val="00E84DDD"/>
    <w:rsid w:val="00E84DF9"/>
    <w:rsid w:val="00E84F28"/>
    <w:rsid w:val="00E85013"/>
    <w:rsid w:val="00E850F5"/>
    <w:rsid w:val="00E8520F"/>
    <w:rsid w:val="00E852E4"/>
    <w:rsid w:val="00E853E1"/>
    <w:rsid w:val="00E8543A"/>
    <w:rsid w:val="00E859A2"/>
    <w:rsid w:val="00E859D5"/>
    <w:rsid w:val="00E859D8"/>
    <w:rsid w:val="00E859F1"/>
    <w:rsid w:val="00E85A32"/>
    <w:rsid w:val="00E85A98"/>
    <w:rsid w:val="00E85BA5"/>
    <w:rsid w:val="00E85D50"/>
    <w:rsid w:val="00E85F8C"/>
    <w:rsid w:val="00E86179"/>
    <w:rsid w:val="00E861CE"/>
    <w:rsid w:val="00E861E0"/>
    <w:rsid w:val="00E86505"/>
    <w:rsid w:val="00E86629"/>
    <w:rsid w:val="00E867DE"/>
    <w:rsid w:val="00E867F7"/>
    <w:rsid w:val="00E868AC"/>
    <w:rsid w:val="00E86986"/>
    <w:rsid w:val="00E86DAB"/>
    <w:rsid w:val="00E86DAF"/>
    <w:rsid w:val="00E86E9E"/>
    <w:rsid w:val="00E86EA2"/>
    <w:rsid w:val="00E870D3"/>
    <w:rsid w:val="00E87157"/>
    <w:rsid w:val="00E872C0"/>
    <w:rsid w:val="00E874A0"/>
    <w:rsid w:val="00E87500"/>
    <w:rsid w:val="00E87557"/>
    <w:rsid w:val="00E87675"/>
    <w:rsid w:val="00E877C5"/>
    <w:rsid w:val="00E878DC"/>
    <w:rsid w:val="00E87DE8"/>
    <w:rsid w:val="00E87EFB"/>
    <w:rsid w:val="00E87F48"/>
    <w:rsid w:val="00E9014C"/>
    <w:rsid w:val="00E90210"/>
    <w:rsid w:val="00E902E8"/>
    <w:rsid w:val="00E90350"/>
    <w:rsid w:val="00E905CF"/>
    <w:rsid w:val="00E9075C"/>
    <w:rsid w:val="00E907AE"/>
    <w:rsid w:val="00E908E1"/>
    <w:rsid w:val="00E90B64"/>
    <w:rsid w:val="00E90BE1"/>
    <w:rsid w:val="00E90D6E"/>
    <w:rsid w:val="00E90F66"/>
    <w:rsid w:val="00E910AD"/>
    <w:rsid w:val="00E910BA"/>
    <w:rsid w:val="00E916BC"/>
    <w:rsid w:val="00E919B6"/>
    <w:rsid w:val="00E91A75"/>
    <w:rsid w:val="00E91C53"/>
    <w:rsid w:val="00E91F2C"/>
    <w:rsid w:val="00E91F5D"/>
    <w:rsid w:val="00E92135"/>
    <w:rsid w:val="00E922DF"/>
    <w:rsid w:val="00E92410"/>
    <w:rsid w:val="00E92463"/>
    <w:rsid w:val="00E92470"/>
    <w:rsid w:val="00E9281D"/>
    <w:rsid w:val="00E92838"/>
    <w:rsid w:val="00E928CD"/>
    <w:rsid w:val="00E92A0C"/>
    <w:rsid w:val="00E92A18"/>
    <w:rsid w:val="00E92AC6"/>
    <w:rsid w:val="00E92B07"/>
    <w:rsid w:val="00E92B50"/>
    <w:rsid w:val="00E92C17"/>
    <w:rsid w:val="00E92C2D"/>
    <w:rsid w:val="00E92C7A"/>
    <w:rsid w:val="00E92CCA"/>
    <w:rsid w:val="00E92D06"/>
    <w:rsid w:val="00E92DD6"/>
    <w:rsid w:val="00E92E2B"/>
    <w:rsid w:val="00E92E32"/>
    <w:rsid w:val="00E92F56"/>
    <w:rsid w:val="00E931EF"/>
    <w:rsid w:val="00E93245"/>
    <w:rsid w:val="00E9324B"/>
    <w:rsid w:val="00E93277"/>
    <w:rsid w:val="00E932DA"/>
    <w:rsid w:val="00E9340A"/>
    <w:rsid w:val="00E93534"/>
    <w:rsid w:val="00E9355B"/>
    <w:rsid w:val="00E93603"/>
    <w:rsid w:val="00E93605"/>
    <w:rsid w:val="00E9377E"/>
    <w:rsid w:val="00E938DF"/>
    <w:rsid w:val="00E93B09"/>
    <w:rsid w:val="00E93D26"/>
    <w:rsid w:val="00E93D48"/>
    <w:rsid w:val="00E93EA9"/>
    <w:rsid w:val="00E93F70"/>
    <w:rsid w:val="00E94107"/>
    <w:rsid w:val="00E94343"/>
    <w:rsid w:val="00E94442"/>
    <w:rsid w:val="00E9444F"/>
    <w:rsid w:val="00E944E1"/>
    <w:rsid w:val="00E946A5"/>
    <w:rsid w:val="00E9491F"/>
    <w:rsid w:val="00E9493F"/>
    <w:rsid w:val="00E94951"/>
    <w:rsid w:val="00E94DE4"/>
    <w:rsid w:val="00E95191"/>
    <w:rsid w:val="00E9525E"/>
    <w:rsid w:val="00E953A2"/>
    <w:rsid w:val="00E954D9"/>
    <w:rsid w:val="00E95635"/>
    <w:rsid w:val="00E95741"/>
    <w:rsid w:val="00E957C3"/>
    <w:rsid w:val="00E95885"/>
    <w:rsid w:val="00E95D67"/>
    <w:rsid w:val="00E95DA6"/>
    <w:rsid w:val="00E95DE4"/>
    <w:rsid w:val="00E95E0C"/>
    <w:rsid w:val="00E960C0"/>
    <w:rsid w:val="00E9619C"/>
    <w:rsid w:val="00E9620E"/>
    <w:rsid w:val="00E9622A"/>
    <w:rsid w:val="00E96304"/>
    <w:rsid w:val="00E9635E"/>
    <w:rsid w:val="00E963A8"/>
    <w:rsid w:val="00E96467"/>
    <w:rsid w:val="00E9657C"/>
    <w:rsid w:val="00E966B2"/>
    <w:rsid w:val="00E96776"/>
    <w:rsid w:val="00E9680E"/>
    <w:rsid w:val="00E96881"/>
    <w:rsid w:val="00E968AB"/>
    <w:rsid w:val="00E969D0"/>
    <w:rsid w:val="00E96B30"/>
    <w:rsid w:val="00E96BC5"/>
    <w:rsid w:val="00E96C4D"/>
    <w:rsid w:val="00E96CB8"/>
    <w:rsid w:val="00E96CEC"/>
    <w:rsid w:val="00E96DAC"/>
    <w:rsid w:val="00E96FBD"/>
    <w:rsid w:val="00E97056"/>
    <w:rsid w:val="00E9708E"/>
    <w:rsid w:val="00E97351"/>
    <w:rsid w:val="00E974F6"/>
    <w:rsid w:val="00E975F2"/>
    <w:rsid w:val="00E97600"/>
    <w:rsid w:val="00E97742"/>
    <w:rsid w:val="00E977BE"/>
    <w:rsid w:val="00E977C7"/>
    <w:rsid w:val="00E9783B"/>
    <w:rsid w:val="00E97903"/>
    <w:rsid w:val="00E97914"/>
    <w:rsid w:val="00E979CF"/>
    <w:rsid w:val="00E97A57"/>
    <w:rsid w:val="00E97B33"/>
    <w:rsid w:val="00E97B85"/>
    <w:rsid w:val="00E97BB1"/>
    <w:rsid w:val="00E97BFE"/>
    <w:rsid w:val="00E97D07"/>
    <w:rsid w:val="00E97D1D"/>
    <w:rsid w:val="00EA00AD"/>
    <w:rsid w:val="00EA0103"/>
    <w:rsid w:val="00EA0168"/>
    <w:rsid w:val="00EA029D"/>
    <w:rsid w:val="00EA02E3"/>
    <w:rsid w:val="00EA02F6"/>
    <w:rsid w:val="00EA035D"/>
    <w:rsid w:val="00EA036B"/>
    <w:rsid w:val="00EA047F"/>
    <w:rsid w:val="00EA0493"/>
    <w:rsid w:val="00EA049F"/>
    <w:rsid w:val="00EA0674"/>
    <w:rsid w:val="00EA0981"/>
    <w:rsid w:val="00EA0A64"/>
    <w:rsid w:val="00EA0B14"/>
    <w:rsid w:val="00EA0C11"/>
    <w:rsid w:val="00EA0D59"/>
    <w:rsid w:val="00EA0E5A"/>
    <w:rsid w:val="00EA0F7B"/>
    <w:rsid w:val="00EA100A"/>
    <w:rsid w:val="00EA10E2"/>
    <w:rsid w:val="00EA10EE"/>
    <w:rsid w:val="00EA1159"/>
    <w:rsid w:val="00EA1162"/>
    <w:rsid w:val="00EA151A"/>
    <w:rsid w:val="00EA1577"/>
    <w:rsid w:val="00EA1753"/>
    <w:rsid w:val="00EA187E"/>
    <w:rsid w:val="00EA19EC"/>
    <w:rsid w:val="00EA1A60"/>
    <w:rsid w:val="00EA1A64"/>
    <w:rsid w:val="00EA1A79"/>
    <w:rsid w:val="00EA1BA0"/>
    <w:rsid w:val="00EA1C4B"/>
    <w:rsid w:val="00EA1CFD"/>
    <w:rsid w:val="00EA1D0D"/>
    <w:rsid w:val="00EA1E63"/>
    <w:rsid w:val="00EA1F2A"/>
    <w:rsid w:val="00EA1FF2"/>
    <w:rsid w:val="00EA202F"/>
    <w:rsid w:val="00EA2267"/>
    <w:rsid w:val="00EA22DE"/>
    <w:rsid w:val="00EA2326"/>
    <w:rsid w:val="00EA242A"/>
    <w:rsid w:val="00EA24B8"/>
    <w:rsid w:val="00EA2527"/>
    <w:rsid w:val="00EA25E4"/>
    <w:rsid w:val="00EA266B"/>
    <w:rsid w:val="00EA266F"/>
    <w:rsid w:val="00EA26C2"/>
    <w:rsid w:val="00EA2806"/>
    <w:rsid w:val="00EA282A"/>
    <w:rsid w:val="00EA2847"/>
    <w:rsid w:val="00EA2943"/>
    <w:rsid w:val="00EA2A14"/>
    <w:rsid w:val="00EA2D6A"/>
    <w:rsid w:val="00EA2DBD"/>
    <w:rsid w:val="00EA2DBE"/>
    <w:rsid w:val="00EA2E22"/>
    <w:rsid w:val="00EA2E97"/>
    <w:rsid w:val="00EA2EC2"/>
    <w:rsid w:val="00EA2FA2"/>
    <w:rsid w:val="00EA2FED"/>
    <w:rsid w:val="00EA31C3"/>
    <w:rsid w:val="00EA3210"/>
    <w:rsid w:val="00EA327C"/>
    <w:rsid w:val="00EA3388"/>
    <w:rsid w:val="00EA3492"/>
    <w:rsid w:val="00EA3623"/>
    <w:rsid w:val="00EA363F"/>
    <w:rsid w:val="00EA3826"/>
    <w:rsid w:val="00EA388D"/>
    <w:rsid w:val="00EA38DB"/>
    <w:rsid w:val="00EA3949"/>
    <w:rsid w:val="00EA39A0"/>
    <w:rsid w:val="00EA3A4E"/>
    <w:rsid w:val="00EA3C2B"/>
    <w:rsid w:val="00EA3C98"/>
    <w:rsid w:val="00EA3CF9"/>
    <w:rsid w:val="00EA3D03"/>
    <w:rsid w:val="00EA3EB1"/>
    <w:rsid w:val="00EA3FC4"/>
    <w:rsid w:val="00EA418A"/>
    <w:rsid w:val="00EA421E"/>
    <w:rsid w:val="00EA4307"/>
    <w:rsid w:val="00EA43F9"/>
    <w:rsid w:val="00EA4683"/>
    <w:rsid w:val="00EA4840"/>
    <w:rsid w:val="00EA48A5"/>
    <w:rsid w:val="00EA4965"/>
    <w:rsid w:val="00EA4C90"/>
    <w:rsid w:val="00EA4D1F"/>
    <w:rsid w:val="00EA4E87"/>
    <w:rsid w:val="00EA4FE6"/>
    <w:rsid w:val="00EA508C"/>
    <w:rsid w:val="00EA5216"/>
    <w:rsid w:val="00EA5322"/>
    <w:rsid w:val="00EA53A7"/>
    <w:rsid w:val="00EA53D2"/>
    <w:rsid w:val="00EA5511"/>
    <w:rsid w:val="00EA5672"/>
    <w:rsid w:val="00EA58A9"/>
    <w:rsid w:val="00EA5914"/>
    <w:rsid w:val="00EA5973"/>
    <w:rsid w:val="00EA5A43"/>
    <w:rsid w:val="00EA5B0C"/>
    <w:rsid w:val="00EA5B5F"/>
    <w:rsid w:val="00EA5CAF"/>
    <w:rsid w:val="00EA5D48"/>
    <w:rsid w:val="00EA5DAC"/>
    <w:rsid w:val="00EA5E48"/>
    <w:rsid w:val="00EA5FA7"/>
    <w:rsid w:val="00EA6010"/>
    <w:rsid w:val="00EA6181"/>
    <w:rsid w:val="00EA624F"/>
    <w:rsid w:val="00EA631B"/>
    <w:rsid w:val="00EA6449"/>
    <w:rsid w:val="00EA64F6"/>
    <w:rsid w:val="00EA6C39"/>
    <w:rsid w:val="00EA6CDF"/>
    <w:rsid w:val="00EA76F8"/>
    <w:rsid w:val="00EA7805"/>
    <w:rsid w:val="00EA7921"/>
    <w:rsid w:val="00EA799B"/>
    <w:rsid w:val="00EA7A52"/>
    <w:rsid w:val="00EA7A5F"/>
    <w:rsid w:val="00EA7B7F"/>
    <w:rsid w:val="00EA7CF0"/>
    <w:rsid w:val="00EA7DBD"/>
    <w:rsid w:val="00EB02A5"/>
    <w:rsid w:val="00EB058E"/>
    <w:rsid w:val="00EB0656"/>
    <w:rsid w:val="00EB09B2"/>
    <w:rsid w:val="00EB0BFF"/>
    <w:rsid w:val="00EB0C15"/>
    <w:rsid w:val="00EB0DE9"/>
    <w:rsid w:val="00EB0F4B"/>
    <w:rsid w:val="00EB10F8"/>
    <w:rsid w:val="00EB114F"/>
    <w:rsid w:val="00EB1153"/>
    <w:rsid w:val="00EB1198"/>
    <w:rsid w:val="00EB11EB"/>
    <w:rsid w:val="00EB134D"/>
    <w:rsid w:val="00EB13A6"/>
    <w:rsid w:val="00EB13D2"/>
    <w:rsid w:val="00EB1408"/>
    <w:rsid w:val="00EB1507"/>
    <w:rsid w:val="00EB1531"/>
    <w:rsid w:val="00EB15E5"/>
    <w:rsid w:val="00EB173C"/>
    <w:rsid w:val="00EB1754"/>
    <w:rsid w:val="00EB1837"/>
    <w:rsid w:val="00EB190C"/>
    <w:rsid w:val="00EB1957"/>
    <w:rsid w:val="00EB1A7B"/>
    <w:rsid w:val="00EB1C6D"/>
    <w:rsid w:val="00EB1CCD"/>
    <w:rsid w:val="00EB1F48"/>
    <w:rsid w:val="00EB20C8"/>
    <w:rsid w:val="00EB2268"/>
    <w:rsid w:val="00EB2597"/>
    <w:rsid w:val="00EB26B6"/>
    <w:rsid w:val="00EB29C5"/>
    <w:rsid w:val="00EB2A4F"/>
    <w:rsid w:val="00EB2B19"/>
    <w:rsid w:val="00EB2D3D"/>
    <w:rsid w:val="00EB2DC2"/>
    <w:rsid w:val="00EB2E2A"/>
    <w:rsid w:val="00EB2EA2"/>
    <w:rsid w:val="00EB31AC"/>
    <w:rsid w:val="00EB33B1"/>
    <w:rsid w:val="00EB3477"/>
    <w:rsid w:val="00EB3671"/>
    <w:rsid w:val="00EB386A"/>
    <w:rsid w:val="00EB38B7"/>
    <w:rsid w:val="00EB396C"/>
    <w:rsid w:val="00EB3A07"/>
    <w:rsid w:val="00EB3C3A"/>
    <w:rsid w:val="00EB3C69"/>
    <w:rsid w:val="00EB3C87"/>
    <w:rsid w:val="00EB3CEF"/>
    <w:rsid w:val="00EB3D3B"/>
    <w:rsid w:val="00EB3D63"/>
    <w:rsid w:val="00EB3EF4"/>
    <w:rsid w:val="00EB3F34"/>
    <w:rsid w:val="00EB3F59"/>
    <w:rsid w:val="00EB4153"/>
    <w:rsid w:val="00EB41DA"/>
    <w:rsid w:val="00EB4340"/>
    <w:rsid w:val="00EB4352"/>
    <w:rsid w:val="00EB4556"/>
    <w:rsid w:val="00EB459C"/>
    <w:rsid w:val="00EB4685"/>
    <w:rsid w:val="00EB477C"/>
    <w:rsid w:val="00EB4843"/>
    <w:rsid w:val="00EB4E9B"/>
    <w:rsid w:val="00EB4EA1"/>
    <w:rsid w:val="00EB4FA7"/>
    <w:rsid w:val="00EB5257"/>
    <w:rsid w:val="00EB53CE"/>
    <w:rsid w:val="00EB55D6"/>
    <w:rsid w:val="00EB55E0"/>
    <w:rsid w:val="00EB55FC"/>
    <w:rsid w:val="00EB5799"/>
    <w:rsid w:val="00EB5803"/>
    <w:rsid w:val="00EB5955"/>
    <w:rsid w:val="00EB5B64"/>
    <w:rsid w:val="00EB5BF1"/>
    <w:rsid w:val="00EB5C22"/>
    <w:rsid w:val="00EB5D32"/>
    <w:rsid w:val="00EB5E2F"/>
    <w:rsid w:val="00EB6090"/>
    <w:rsid w:val="00EB619C"/>
    <w:rsid w:val="00EB6320"/>
    <w:rsid w:val="00EB63CA"/>
    <w:rsid w:val="00EB64CF"/>
    <w:rsid w:val="00EB673C"/>
    <w:rsid w:val="00EB6834"/>
    <w:rsid w:val="00EB68B2"/>
    <w:rsid w:val="00EB6A55"/>
    <w:rsid w:val="00EB6B31"/>
    <w:rsid w:val="00EB6DB8"/>
    <w:rsid w:val="00EB6FB5"/>
    <w:rsid w:val="00EB70E5"/>
    <w:rsid w:val="00EB71A4"/>
    <w:rsid w:val="00EB7237"/>
    <w:rsid w:val="00EB733E"/>
    <w:rsid w:val="00EB7642"/>
    <w:rsid w:val="00EB76C6"/>
    <w:rsid w:val="00EB77BE"/>
    <w:rsid w:val="00EB7A2F"/>
    <w:rsid w:val="00EB7A4D"/>
    <w:rsid w:val="00EB7D78"/>
    <w:rsid w:val="00EB7F5B"/>
    <w:rsid w:val="00EB7F5E"/>
    <w:rsid w:val="00EB7FFD"/>
    <w:rsid w:val="00EC0026"/>
    <w:rsid w:val="00EC006C"/>
    <w:rsid w:val="00EC0122"/>
    <w:rsid w:val="00EC0173"/>
    <w:rsid w:val="00EC023C"/>
    <w:rsid w:val="00EC03E8"/>
    <w:rsid w:val="00EC05F6"/>
    <w:rsid w:val="00EC06BF"/>
    <w:rsid w:val="00EC09E2"/>
    <w:rsid w:val="00EC0A3B"/>
    <w:rsid w:val="00EC0A89"/>
    <w:rsid w:val="00EC0B6B"/>
    <w:rsid w:val="00EC0B80"/>
    <w:rsid w:val="00EC0C5D"/>
    <w:rsid w:val="00EC0C65"/>
    <w:rsid w:val="00EC0CBB"/>
    <w:rsid w:val="00EC0CC9"/>
    <w:rsid w:val="00EC0EF2"/>
    <w:rsid w:val="00EC0F48"/>
    <w:rsid w:val="00EC10DF"/>
    <w:rsid w:val="00EC1116"/>
    <w:rsid w:val="00EC1206"/>
    <w:rsid w:val="00EC1257"/>
    <w:rsid w:val="00EC154C"/>
    <w:rsid w:val="00EC1551"/>
    <w:rsid w:val="00EC1593"/>
    <w:rsid w:val="00EC16C5"/>
    <w:rsid w:val="00EC18D2"/>
    <w:rsid w:val="00EC1B68"/>
    <w:rsid w:val="00EC1CDC"/>
    <w:rsid w:val="00EC1E06"/>
    <w:rsid w:val="00EC1EA7"/>
    <w:rsid w:val="00EC2189"/>
    <w:rsid w:val="00EC23A8"/>
    <w:rsid w:val="00EC23AD"/>
    <w:rsid w:val="00EC2491"/>
    <w:rsid w:val="00EC24BA"/>
    <w:rsid w:val="00EC252D"/>
    <w:rsid w:val="00EC26A6"/>
    <w:rsid w:val="00EC26C7"/>
    <w:rsid w:val="00EC27B6"/>
    <w:rsid w:val="00EC27E2"/>
    <w:rsid w:val="00EC2942"/>
    <w:rsid w:val="00EC2996"/>
    <w:rsid w:val="00EC3157"/>
    <w:rsid w:val="00EC31EB"/>
    <w:rsid w:val="00EC336C"/>
    <w:rsid w:val="00EC3419"/>
    <w:rsid w:val="00EC34A0"/>
    <w:rsid w:val="00EC34C5"/>
    <w:rsid w:val="00EC3573"/>
    <w:rsid w:val="00EC357C"/>
    <w:rsid w:val="00EC365B"/>
    <w:rsid w:val="00EC380E"/>
    <w:rsid w:val="00EC38D4"/>
    <w:rsid w:val="00EC3981"/>
    <w:rsid w:val="00EC39C2"/>
    <w:rsid w:val="00EC3AAA"/>
    <w:rsid w:val="00EC3B37"/>
    <w:rsid w:val="00EC3E9C"/>
    <w:rsid w:val="00EC3F87"/>
    <w:rsid w:val="00EC4148"/>
    <w:rsid w:val="00EC4196"/>
    <w:rsid w:val="00EC4594"/>
    <w:rsid w:val="00EC45AE"/>
    <w:rsid w:val="00EC468A"/>
    <w:rsid w:val="00EC4700"/>
    <w:rsid w:val="00EC48C2"/>
    <w:rsid w:val="00EC4B60"/>
    <w:rsid w:val="00EC4B81"/>
    <w:rsid w:val="00EC4D10"/>
    <w:rsid w:val="00EC4D2C"/>
    <w:rsid w:val="00EC4D33"/>
    <w:rsid w:val="00EC4D9A"/>
    <w:rsid w:val="00EC4F0D"/>
    <w:rsid w:val="00EC529F"/>
    <w:rsid w:val="00EC56B6"/>
    <w:rsid w:val="00EC56DD"/>
    <w:rsid w:val="00EC5772"/>
    <w:rsid w:val="00EC5784"/>
    <w:rsid w:val="00EC57CC"/>
    <w:rsid w:val="00EC580F"/>
    <w:rsid w:val="00EC581D"/>
    <w:rsid w:val="00EC59F6"/>
    <w:rsid w:val="00EC5A42"/>
    <w:rsid w:val="00EC5B2B"/>
    <w:rsid w:val="00EC5C3D"/>
    <w:rsid w:val="00EC5D99"/>
    <w:rsid w:val="00EC5E58"/>
    <w:rsid w:val="00EC5E6D"/>
    <w:rsid w:val="00EC5E6E"/>
    <w:rsid w:val="00EC5F6C"/>
    <w:rsid w:val="00EC5FAA"/>
    <w:rsid w:val="00EC603F"/>
    <w:rsid w:val="00EC6086"/>
    <w:rsid w:val="00EC63D7"/>
    <w:rsid w:val="00EC65D7"/>
    <w:rsid w:val="00EC65D8"/>
    <w:rsid w:val="00EC666C"/>
    <w:rsid w:val="00EC6713"/>
    <w:rsid w:val="00EC6756"/>
    <w:rsid w:val="00EC69D4"/>
    <w:rsid w:val="00EC69E4"/>
    <w:rsid w:val="00EC6A26"/>
    <w:rsid w:val="00EC6AD7"/>
    <w:rsid w:val="00EC6C95"/>
    <w:rsid w:val="00EC70A3"/>
    <w:rsid w:val="00EC7118"/>
    <w:rsid w:val="00EC734D"/>
    <w:rsid w:val="00EC7452"/>
    <w:rsid w:val="00EC75B0"/>
    <w:rsid w:val="00EC760D"/>
    <w:rsid w:val="00EC76ED"/>
    <w:rsid w:val="00EC7776"/>
    <w:rsid w:val="00EC78D8"/>
    <w:rsid w:val="00EC79F9"/>
    <w:rsid w:val="00EC7B16"/>
    <w:rsid w:val="00EC7BA4"/>
    <w:rsid w:val="00EC7BA7"/>
    <w:rsid w:val="00EC7F4F"/>
    <w:rsid w:val="00ED016C"/>
    <w:rsid w:val="00ED0324"/>
    <w:rsid w:val="00ED041E"/>
    <w:rsid w:val="00ED0570"/>
    <w:rsid w:val="00ED059E"/>
    <w:rsid w:val="00ED0717"/>
    <w:rsid w:val="00ED0838"/>
    <w:rsid w:val="00ED093B"/>
    <w:rsid w:val="00ED0AAB"/>
    <w:rsid w:val="00ED0C94"/>
    <w:rsid w:val="00ED0EAF"/>
    <w:rsid w:val="00ED0FE0"/>
    <w:rsid w:val="00ED103C"/>
    <w:rsid w:val="00ED1340"/>
    <w:rsid w:val="00ED1394"/>
    <w:rsid w:val="00ED13B6"/>
    <w:rsid w:val="00ED140E"/>
    <w:rsid w:val="00ED1464"/>
    <w:rsid w:val="00ED14BD"/>
    <w:rsid w:val="00ED150C"/>
    <w:rsid w:val="00ED1670"/>
    <w:rsid w:val="00ED167A"/>
    <w:rsid w:val="00ED199C"/>
    <w:rsid w:val="00ED1A44"/>
    <w:rsid w:val="00ED1AA2"/>
    <w:rsid w:val="00ED1BF1"/>
    <w:rsid w:val="00ED1FAD"/>
    <w:rsid w:val="00ED2056"/>
    <w:rsid w:val="00ED2059"/>
    <w:rsid w:val="00ED2148"/>
    <w:rsid w:val="00ED21A5"/>
    <w:rsid w:val="00ED21DD"/>
    <w:rsid w:val="00ED221E"/>
    <w:rsid w:val="00ED22CA"/>
    <w:rsid w:val="00ED2414"/>
    <w:rsid w:val="00ED2464"/>
    <w:rsid w:val="00ED24AA"/>
    <w:rsid w:val="00ED279D"/>
    <w:rsid w:val="00ED27C3"/>
    <w:rsid w:val="00ED2ABF"/>
    <w:rsid w:val="00ED2DA1"/>
    <w:rsid w:val="00ED2F96"/>
    <w:rsid w:val="00ED2FD9"/>
    <w:rsid w:val="00ED3026"/>
    <w:rsid w:val="00ED3123"/>
    <w:rsid w:val="00ED3169"/>
    <w:rsid w:val="00ED31D2"/>
    <w:rsid w:val="00ED3223"/>
    <w:rsid w:val="00ED327F"/>
    <w:rsid w:val="00ED3558"/>
    <w:rsid w:val="00ED356F"/>
    <w:rsid w:val="00ED35C9"/>
    <w:rsid w:val="00ED368D"/>
    <w:rsid w:val="00ED36C8"/>
    <w:rsid w:val="00ED3769"/>
    <w:rsid w:val="00ED37C0"/>
    <w:rsid w:val="00ED3863"/>
    <w:rsid w:val="00ED392F"/>
    <w:rsid w:val="00ED3C59"/>
    <w:rsid w:val="00ED3E43"/>
    <w:rsid w:val="00ED402F"/>
    <w:rsid w:val="00ED40CD"/>
    <w:rsid w:val="00ED40D0"/>
    <w:rsid w:val="00ED40F0"/>
    <w:rsid w:val="00ED4231"/>
    <w:rsid w:val="00ED4282"/>
    <w:rsid w:val="00ED4303"/>
    <w:rsid w:val="00ED43B1"/>
    <w:rsid w:val="00ED4418"/>
    <w:rsid w:val="00ED4877"/>
    <w:rsid w:val="00ED48A6"/>
    <w:rsid w:val="00ED4958"/>
    <w:rsid w:val="00ED495B"/>
    <w:rsid w:val="00ED4A68"/>
    <w:rsid w:val="00ED4A9A"/>
    <w:rsid w:val="00ED4EEE"/>
    <w:rsid w:val="00ED5055"/>
    <w:rsid w:val="00ED50E7"/>
    <w:rsid w:val="00ED51D8"/>
    <w:rsid w:val="00ED5357"/>
    <w:rsid w:val="00ED53F6"/>
    <w:rsid w:val="00ED5474"/>
    <w:rsid w:val="00ED5523"/>
    <w:rsid w:val="00ED5691"/>
    <w:rsid w:val="00ED56FB"/>
    <w:rsid w:val="00ED572C"/>
    <w:rsid w:val="00ED57B5"/>
    <w:rsid w:val="00ED5812"/>
    <w:rsid w:val="00ED585E"/>
    <w:rsid w:val="00ED598C"/>
    <w:rsid w:val="00ED59AB"/>
    <w:rsid w:val="00ED59BB"/>
    <w:rsid w:val="00ED5B52"/>
    <w:rsid w:val="00ED5C15"/>
    <w:rsid w:val="00ED5C69"/>
    <w:rsid w:val="00ED5D32"/>
    <w:rsid w:val="00ED5D35"/>
    <w:rsid w:val="00ED5FE3"/>
    <w:rsid w:val="00ED6492"/>
    <w:rsid w:val="00ED663C"/>
    <w:rsid w:val="00ED6768"/>
    <w:rsid w:val="00ED6779"/>
    <w:rsid w:val="00ED6904"/>
    <w:rsid w:val="00ED6908"/>
    <w:rsid w:val="00ED69FE"/>
    <w:rsid w:val="00ED6A4F"/>
    <w:rsid w:val="00ED6AAD"/>
    <w:rsid w:val="00ED6C0F"/>
    <w:rsid w:val="00ED6C1F"/>
    <w:rsid w:val="00ED6CC2"/>
    <w:rsid w:val="00ED6F28"/>
    <w:rsid w:val="00ED6F66"/>
    <w:rsid w:val="00ED7176"/>
    <w:rsid w:val="00ED73B5"/>
    <w:rsid w:val="00ED7495"/>
    <w:rsid w:val="00ED74C8"/>
    <w:rsid w:val="00ED7524"/>
    <w:rsid w:val="00ED76CB"/>
    <w:rsid w:val="00ED7766"/>
    <w:rsid w:val="00ED77E9"/>
    <w:rsid w:val="00ED783F"/>
    <w:rsid w:val="00ED7866"/>
    <w:rsid w:val="00ED7868"/>
    <w:rsid w:val="00ED7A07"/>
    <w:rsid w:val="00ED7A62"/>
    <w:rsid w:val="00ED7BE6"/>
    <w:rsid w:val="00ED7C3B"/>
    <w:rsid w:val="00ED7E72"/>
    <w:rsid w:val="00ED7EE1"/>
    <w:rsid w:val="00ED7F3E"/>
    <w:rsid w:val="00EE04DA"/>
    <w:rsid w:val="00EE07BD"/>
    <w:rsid w:val="00EE07F5"/>
    <w:rsid w:val="00EE0922"/>
    <w:rsid w:val="00EE0BD3"/>
    <w:rsid w:val="00EE0C16"/>
    <w:rsid w:val="00EE0E7D"/>
    <w:rsid w:val="00EE0F5B"/>
    <w:rsid w:val="00EE0F5F"/>
    <w:rsid w:val="00EE1069"/>
    <w:rsid w:val="00EE1113"/>
    <w:rsid w:val="00EE1140"/>
    <w:rsid w:val="00EE1178"/>
    <w:rsid w:val="00EE1333"/>
    <w:rsid w:val="00EE1364"/>
    <w:rsid w:val="00EE1368"/>
    <w:rsid w:val="00EE13B6"/>
    <w:rsid w:val="00EE1662"/>
    <w:rsid w:val="00EE16DF"/>
    <w:rsid w:val="00EE1773"/>
    <w:rsid w:val="00EE1981"/>
    <w:rsid w:val="00EE1C09"/>
    <w:rsid w:val="00EE1EFF"/>
    <w:rsid w:val="00EE1FE7"/>
    <w:rsid w:val="00EE216F"/>
    <w:rsid w:val="00EE21E5"/>
    <w:rsid w:val="00EE21E6"/>
    <w:rsid w:val="00EE2318"/>
    <w:rsid w:val="00EE2340"/>
    <w:rsid w:val="00EE23EF"/>
    <w:rsid w:val="00EE2456"/>
    <w:rsid w:val="00EE274A"/>
    <w:rsid w:val="00EE27A0"/>
    <w:rsid w:val="00EE27BC"/>
    <w:rsid w:val="00EE2800"/>
    <w:rsid w:val="00EE283D"/>
    <w:rsid w:val="00EE2949"/>
    <w:rsid w:val="00EE2B19"/>
    <w:rsid w:val="00EE2E50"/>
    <w:rsid w:val="00EE2E85"/>
    <w:rsid w:val="00EE2F4E"/>
    <w:rsid w:val="00EE2F55"/>
    <w:rsid w:val="00EE2F63"/>
    <w:rsid w:val="00EE2F9B"/>
    <w:rsid w:val="00EE3100"/>
    <w:rsid w:val="00EE3173"/>
    <w:rsid w:val="00EE3265"/>
    <w:rsid w:val="00EE3286"/>
    <w:rsid w:val="00EE32E5"/>
    <w:rsid w:val="00EE351D"/>
    <w:rsid w:val="00EE357A"/>
    <w:rsid w:val="00EE3760"/>
    <w:rsid w:val="00EE379D"/>
    <w:rsid w:val="00EE39A8"/>
    <w:rsid w:val="00EE39CB"/>
    <w:rsid w:val="00EE3A44"/>
    <w:rsid w:val="00EE3B18"/>
    <w:rsid w:val="00EE3B3A"/>
    <w:rsid w:val="00EE3B5C"/>
    <w:rsid w:val="00EE3C5F"/>
    <w:rsid w:val="00EE3CD2"/>
    <w:rsid w:val="00EE3D6A"/>
    <w:rsid w:val="00EE3F14"/>
    <w:rsid w:val="00EE43F3"/>
    <w:rsid w:val="00EE43F8"/>
    <w:rsid w:val="00EE46F4"/>
    <w:rsid w:val="00EE491C"/>
    <w:rsid w:val="00EE4934"/>
    <w:rsid w:val="00EE4949"/>
    <w:rsid w:val="00EE49C3"/>
    <w:rsid w:val="00EE4AA1"/>
    <w:rsid w:val="00EE4EA6"/>
    <w:rsid w:val="00EE4F10"/>
    <w:rsid w:val="00EE4F82"/>
    <w:rsid w:val="00EE5018"/>
    <w:rsid w:val="00EE5060"/>
    <w:rsid w:val="00EE510F"/>
    <w:rsid w:val="00EE5309"/>
    <w:rsid w:val="00EE531D"/>
    <w:rsid w:val="00EE54C1"/>
    <w:rsid w:val="00EE55B5"/>
    <w:rsid w:val="00EE5629"/>
    <w:rsid w:val="00EE577E"/>
    <w:rsid w:val="00EE58BE"/>
    <w:rsid w:val="00EE5949"/>
    <w:rsid w:val="00EE5A0A"/>
    <w:rsid w:val="00EE5A44"/>
    <w:rsid w:val="00EE5A62"/>
    <w:rsid w:val="00EE5CE2"/>
    <w:rsid w:val="00EE5D1A"/>
    <w:rsid w:val="00EE5D4F"/>
    <w:rsid w:val="00EE5D6A"/>
    <w:rsid w:val="00EE5EC1"/>
    <w:rsid w:val="00EE61E0"/>
    <w:rsid w:val="00EE6333"/>
    <w:rsid w:val="00EE6340"/>
    <w:rsid w:val="00EE635A"/>
    <w:rsid w:val="00EE63D1"/>
    <w:rsid w:val="00EE66BF"/>
    <w:rsid w:val="00EE6881"/>
    <w:rsid w:val="00EE6960"/>
    <w:rsid w:val="00EE6973"/>
    <w:rsid w:val="00EE6B15"/>
    <w:rsid w:val="00EE6BCB"/>
    <w:rsid w:val="00EE6C0A"/>
    <w:rsid w:val="00EE6C94"/>
    <w:rsid w:val="00EE6CA0"/>
    <w:rsid w:val="00EE6D2C"/>
    <w:rsid w:val="00EE6F92"/>
    <w:rsid w:val="00EE7202"/>
    <w:rsid w:val="00EE72FF"/>
    <w:rsid w:val="00EE73C7"/>
    <w:rsid w:val="00EE744C"/>
    <w:rsid w:val="00EE757C"/>
    <w:rsid w:val="00EE7629"/>
    <w:rsid w:val="00EE76D8"/>
    <w:rsid w:val="00EE7728"/>
    <w:rsid w:val="00EE78AC"/>
    <w:rsid w:val="00EE7942"/>
    <w:rsid w:val="00EE7947"/>
    <w:rsid w:val="00EE7A85"/>
    <w:rsid w:val="00EE7B75"/>
    <w:rsid w:val="00EE7B76"/>
    <w:rsid w:val="00EE7C13"/>
    <w:rsid w:val="00EE7CBD"/>
    <w:rsid w:val="00EE7D3E"/>
    <w:rsid w:val="00EE7DE6"/>
    <w:rsid w:val="00EE7F54"/>
    <w:rsid w:val="00EF008B"/>
    <w:rsid w:val="00EF00FE"/>
    <w:rsid w:val="00EF034A"/>
    <w:rsid w:val="00EF03C7"/>
    <w:rsid w:val="00EF03D7"/>
    <w:rsid w:val="00EF0406"/>
    <w:rsid w:val="00EF0751"/>
    <w:rsid w:val="00EF0766"/>
    <w:rsid w:val="00EF092E"/>
    <w:rsid w:val="00EF0952"/>
    <w:rsid w:val="00EF0A7D"/>
    <w:rsid w:val="00EF0BFE"/>
    <w:rsid w:val="00EF0CC5"/>
    <w:rsid w:val="00EF0CD3"/>
    <w:rsid w:val="00EF0D8B"/>
    <w:rsid w:val="00EF0E69"/>
    <w:rsid w:val="00EF0FDC"/>
    <w:rsid w:val="00EF1285"/>
    <w:rsid w:val="00EF13A5"/>
    <w:rsid w:val="00EF1433"/>
    <w:rsid w:val="00EF1529"/>
    <w:rsid w:val="00EF17E3"/>
    <w:rsid w:val="00EF18F8"/>
    <w:rsid w:val="00EF1916"/>
    <w:rsid w:val="00EF1962"/>
    <w:rsid w:val="00EF199C"/>
    <w:rsid w:val="00EF19E2"/>
    <w:rsid w:val="00EF1B68"/>
    <w:rsid w:val="00EF1BA2"/>
    <w:rsid w:val="00EF1C40"/>
    <w:rsid w:val="00EF1C60"/>
    <w:rsid w:val="00EF1D02"/>
    <w:rsid w:val="00EF1D66"/>
    <w:rsid w:val="00EF1D89"/>
    <w:rsid w:val="00EF1E75"/>
    <w:rsid w:val="00EF1ED0"/>
    <w:rsid w:val="00EF2494"/>
    <w:rsid w:val="00EF24FF"/>
    <w:rsid w:val="00EF2569"/>
    <w:rsid w:val="00EF267D"/>
    <w:rsid w:val="00EF26E8"/>
    <w:rsid w:val="00EF2732"/>
    <w:rsid w:val="00EF2879"/>
    <w:rsid w:val="00EF2899"/>
    <w:rsid w:val="00EF2AE7"/>
    <w:rsid w:val="00EF2B92"/>
    <w:rsid w:val="00EF2BBB"/>
    <w:rsid w:val="00EF2C0D"/>
    <w:rsid w:val="00EF2D4A"/>
    <w:rsid w:val="00EF3108"/>
    <w:rsid w:val="00EF3354"/>
    <w:rsid w:val="00EF3419"/>
    <w:rsid w:val="00EF3443"/>
    <w:rsid w:val="00EF36CC"/>
    <w:rsid w:val="00EF373A"/>
    <w:rsid w:val="00EF37B0"/>
    <w:rsid w:val="00EF386F"/>
    <w:rsid w:val="00EF3B8D"/>
    <w:rsid w:val="00EF3C12"/>
    <w:rsid w:val="00EF3C72"/>
    <w:rsid w:val="00EF3CA8"/>
    <w:rsid w:val="00EF3CB9"/>
    <w:rsid w:val="00EF3D71"/>
    <w:rsid w:val="00EF3DF8"/>
    <w:rsid w:val="00EF3E02"/>
    <w:rsid w:val="00EF3FA7"/>
    <w:rsid w:val="00EF4373"/>
    <w:rsid w:val="00EF440A"/>
    <w:rsid w:val="00EF4534"/>
    <w:rsid w:val="00EF454E"/>
    <w:rsid w:val="00EF4776"/>
    <w:rsid w:val="00EF47E7"/>
    <w:rsid w:val="00EF498B"/>
    <w:rsid w:val="00EF49A8"/>
    <w:rsid w:val="00EF4B9E"/>
    <w:rsid w:val="00EF4D60"/>
    <w:rsid w:val="00EF4D6A"/>
    <w:rsid w:val="00EF4D79"/>
    <w:rsid w:val="00EF4DA5"/>
    <w:rsid w:val="00EF4F3A"/>
    <w:rsid w:val="00EF50A6"/>
    <w:rsid w:val="00EF50C3"/>
    <w:rsid w:val="00EF5128"/>
    <w:rsid w:val="00EF5328"/>
    <w:rsid w:val="00EF5492"/>
    <w:rsid w:val="00EF5537"/>
    <w:rsid w:val="00EF572D"/>
    <w:rsid w:val="00EF5839"/>
    <w:rsid w:val="00EF595C"/>
    <w:rsid w:val="00EF5B0E"/>
    <w:rsid w:val="00EF5B19"/>
    <w:rsid w:val="00EF5B31"/>
    <w:rsid w:val="00EF5B8E"/>
    <w:rsid w:val="00EF5BBD"/>
    <w:rsid w:val="00EF5C17"/>
    <w:rsid w:val="00EF5D5C"/>
    <w:rsid w:val="00EF5DFA"/>
    <w:rsid w:val="00EF5E0C"/>
    <w:rsid w:val="00EF5E1F"/>
    <w:rsid w:val="00EF5E2B"/>
    <w:rsid w:val="00EF6175"/>
    <w:rsid w:val="00EF623E"/>
    <w:rsid w:val="00EF635A"/>
    <w:rsid w:val="00EF648E"/>
    <w:rsid w:val="00EF64C0"/>
    <w:rsid w:val="00EF657D"/>
    <w:rsid w:val="00EF66C4"/>
    <w:rsid w:val="00EF66F8"/>
    <w:rsid w:val="00EF678A"/>
    <w:rsid w:val="00EF6797"/>
    <w:rsid w:val="00EF6CF7"/>
    <w:rsid w:val="00EF6FB9"/>
    <w:rsid w:val="00EF7024"/>
    <w:rsid w:val="00EF70AC"/>
    <w:rsid w:val="00EF72F9"/>
    <w:rsid w:val="00EF7403"/>
    <w:rsid w:val="00EF7466"/>
    <w:rsid w:val="00EF7803"/>
    <w:rsid w:val="00EF78B8"/>
    <w:rsid w:val="00EF7A02"/>
    <w:rsid w:val="00EF7A24"/>
    <w:rsid w:val="00EF7A47"/>
    <w:rsid w:val="00F00031"/>
    <w:rsid w:val="00F001AE"/>
    <w:rsid w:val="00F00209"/>
    <w:rsid w:val="00F0054C"/>
    <w:rsid w:val="00F0055F"/>
    <w:rsid w:val="00F00752"/>
    <w:rsid w:val="00F0088E"/>
    <w:rsid w:val="00F008DB"/>
    <w:rsid w:val="00F00A49"/>
    <w:rsid w:val="00F00AF1"/>
    <w:rsid w:val="00F00B39"/>
    <w:rsid w:val="00F00BE7"/>
    <w:rsid w:val="00F00C29"/>
    <w:rsid w:val="00F00FAB"/>
    <w:rsid w:val="00F01117"/>
    <w:rsid w:val="00F01184"/>
    <w:rsid w:val="00F011CA"/>
    <w:rsid w:val="00F011F1"/>
    <w:rsid w:val="00F01459"/>
    <w:rsid w:val="00F0150E"/>
    <w:rsid w:val="00F016F8"/>
    <w:rsid w:val="00F01740"/>
    <w:rsid w:val="00F01B1D"/>
    <w:rsid w:val="00F01E22"/>
    <w:rsid w:val="00F01E3F"/>
    <w:rsid w:val="00F01EF4"/>
    <w:rsid w:val="00F01F46"/>
    <w:rsid w:val="00F0202B"/>
    <w:rsid w:val="00F02040"/>
    <w:rsid w:val="00F022B1"/>
    <w:rsid w:val="00F022BB"/>
    <w:rsid w:val="00F022E4"/>
    <w:rsid w:val="00F023B6"/>
    <w:rsid w:val="00F02624"/>
    <w:rsid w:val="00F028E5"/>
    <w:rsid w:val="00F0292A"/>
    <w:rsid w:val="00F02B81"/>
    <w:rsid w:val="00F02C09"/>
    <w:rsid w:val="00F02C9F"/>
    <w:rsid w:val="00F02DB8"/>
    <w:rsid w:val="00F0301C"/>
    <w:rsid w:val="00F03029"/>
    <w:rsid w:val="00F030C8"/>
    <w:rsid w:val="00F0316C"/>
    <w:rsid w:val="00F031F6"/>
    <w:rsid w:val="00F03320"/>
    <w:rsid w:val="00F03379"/>
    <w:rsid w:val="00F03727"/>
    <w:rsid w:val="00F03AD9"/>
    <w:rsid w:val="00F03B5E"/>
    <w:rsid w:val="00F03C66"/>
    <w:rsid w:val="00F03C95"/>
    <w:rsid w:val="00F03E3C"/>
    <w:rsid w:val="00F03EAB"/>
    <w:rsid w:val="00F03F44"/>
    <w:rsid w:val="00F04101"/>
    <w:rsid w:val="00F04113"/>
    <w:rsid w:val="00F04280"/>
    <w:rsid w:val="00F042B7"/>
    <w:rsid w:val="00F04404"/>
    <w:rsid w:val="00F04406"/>
    <w:rsid w:val="00F04529"/>
    <w:rsid w:val="00F045B6"/>
    <w:rsid w:val="00F046F3"/>
    <w:rsid w:val="00F046F6"/>
    <w:rsid w:val="00F04B88"/>
    <w:rsid w:val="00F04C6A"/>
    <w:rsid w:val="00F04E3D"/>
    <w:rsid w:val="00F04FA2"/>
    <w:rsid w:val="00F04FE2"/>
    <w:rsid w:val="00F0503D"/>
    <w:rsid w:val="00F0529C"/>
    <w:rsid w:val="00F05389"/>
    <w:rsid w:val="00F05467"/>
    <w:rsid w:val="00F0566A"/>
    <w:rsid w:val="00F056AE"/>
    <w:rsid w:val="00F058AA"/>
    <w:rsid w:val="00F058D7"/>
    <w:rsid w:val="00F0595F"/>
    <w:rsid w:val="00F059F5"/>
    <w:rsid w:val="00F05A3B"/>
    <w:rsid w:val="00F05F79"/>
    <w:rsid w:val="00F05FB7"/>
    <w:rsid w:val="00F05FD4"/>
    <w:rsid w:val="00F060E3"/>
    <w:rsid w:val="00F060FA"/>
    <w:rsid w:val="00F0619D"/>
    <w:rsid w:val="00F062C6"/>
    <w:rsid w:val="00F06322"/>
    <w:rsid w:val="00F06345"/>
    <w:rsid w:val="00F06489"/>
    <w:rsid w:val="00F064E4"/>
    <w:rsid w:val="00F067AB"/>
    <w:rsid w:val="00F06897"/>
    <w:rsid w:val="00F06A83"/>
    <w:rsid w:val="00F06C86"/>
    <w:rsid w:val="00F06F37"/>
    <w:rsid w:val="00F070E0"/>
    <w:rsid w:val="00F07191"/>
    <w:rsid w:val="00F071FB"/>
    <w:rsid w:val="00F0722E"/>
    <w:rsid w:val="00F073FA"/>
    <w:rsid w:val="00F0759B"/>
    <w:rsid w:val="00F07629"/>
    <w:rsid w:val="00F0765A"/>
    <w:rsid w:val="00F076B5"/>
    <w:rsid w:val="00F076FD"/>
    <w:rsid w:val="00F07714"/>
    <w:rsid w:val="00F0782F"/>
    <w:rsid w:val="00F078B8"/>
    <w:rsid w:val="00F07935"/>
    <w:rsid w:val="00F079A2"/>
    <w:rsid w:val="00F07E65"/>
    <w:rsid w:val="00F07EA1"/>
    <w:rsid w:val="00F07F28"/>
    <w:rsid w:val="00F07F88"/>
    <w:rsid w:val="00F1049A"/>
    <w:rsid w:val="00F105A9"/>
    <w:rsid w:val="00F10671"/>
    <w:rsid w:val="00F106B2"/>
    <w:rsid w:val="00F10921"/>
    <w:rsid w:val="00F10994"/>
    <w:rsid w:val="00F10C10"/>
    <w:rsid w:val="00F10D5C"/>
    <w:rsid w:val="00F10D8F"/>
    <w:rsid w:val="00F10DE0"/>
    <w:rsid w:val="00F11091"/>
    <w:rsid w:val="00F111C1"/>
    <w:rsid w:val="00F111C2"/>
    <w:rsid w:val="00F11258"/>
    <w:rsid w:val="00F11267"/>
    <w:rsid w:val="00F1139C"/>
    <w:rsid w:val="00F1145B"/>
    <w:rsid w:val="00F114B7"/>
    <w:rsid w:val="00F114C2"/>
    <w:rsid w:val="00F11568"/>
    <w:rsid w:val="00F116FA"/>
    <w:rsid w:val="00F11700"/>
    <w:rsid w:val="00F1188D"/>
    <w:rsid w:val="00F118AB"/>
    <w:rsid w:val="00F11997"/>
    <w:rsid w:val="00F119B6"/>
    <w:rsid w:val="00F11A10"/>
    <w:rsid w:val="00F11BD1"/>
    <w:rsid w:val="00F11F20"/>
    <w:rsid w:val="00F11F5F"/>
    <w:rsid w:val="00F11FD7"/>
    <w:rsid w:val="00F11FFA"/>
    <w:rsid w:val="00F1216B"/>
    <w:rsid w:val="00F1218E"/>
    <w:rsid w:val="00F122B1"/>
    <w:rsid w:val="00F12495"/>
    <w:rsid w:val="00F125AA"/>
    <w:rsid w:val="00F125EE"/>
    <w:rsid w:val="00F127A0"/>
    <w:rsid w:val="00F127D6"/>
    <w:rsid w:val="00F1284B"/>
    <w:rsid w:val="00F12883"/>
    <w:rsid w:val="00F12B0D"/>
    <w:rsid w:val="00F12C0D"/>
    <w:rsid w:val="00F12DB4"/>
    <w:rsid w:val="00F12DDD"/>
    <w:rsid w:val="00F12E87"/>
    <w:rsid w:val="00F12F50"/>
    <w:rsid w:val="00F12F8C"/>
    <w:rsid w:val="00F13048"/>
    <w:rsid w:val="00F13088"/>
    <w:rsid w:val="00F131E1"/>
    <w:rsid w:val="00F131FA"/>
    <w:rsid w:val="00F13266"/>
    <w:rsid w:val="00F13289"/>
    <w:rsid w:val="00F132AB"/>
    <w:rsid w:val="00F132DD"/>
    <w:rsid w:val="00F13302"/>
    <w:rsid w:val="00F1335F"/>
    <w:rsid w:val="00F133E6"/>
    <w:rsid w:val="00F13547"/>
    <w:rsid w:val="00F1367A"/>
    <w:rsid w:val="00F139E0"/>
    <w:rsid w:val="00F13AD0"/>
    <w:rsid w:val="00F13D98"/>
    <w:rsid w:val="00F13DC7"/>
    <w:rsid w:val="00F13DF6"/>
    <w:rsid w:val="00F13E1B"/>
    <w:rsid w:val="00F13F9D"/>
    <w:rsid w:val="00F13FF6"/>
    <w:rsid w:val="00F14203"/>
    <w:rsid w:val="00F142C8"/>
    <w:rsid w:val="00F142D8"/>
    <w:rsid w:val="00F14377"/>
    <w:rsid w:val="00F144D8"/>
    <w:rsid w:val="00F14562"/>
    <w:rsid w:val="00F1466A"/>
    <w:rsid w:val="00F1498E"/>
    <w:rsid w:val="00F14B18"/>
    <w:rsid w:val="00F14DA3"/>
    <w:rsid w:val="00F14E34"/>
    <w:rsid w:val="00F14E9F"/>
    <w:rsid w:val="00F14EBF"/>
    <w:rsid w:val="00F14FEF"/>
    <w:rsid w:val="00F1539F"/>
    <w:rsid w:val="00F153D4"/>
    <w:rsid w:val="00F153F0"/>
    <w:rsid w:val="00F156B0"/>
    <w:rsid w:val="00F156F7"/>
    <w:rsid w:val="00F15723"/>
    <w:rsid w:val="00F15763"/>
    <w:rsid w:val="00F158DC"/>
    <w:rsid w:val="00F15947"/>
    <w:rsid w:val="00F159A2"/>
    <w:rsid w:val="00F15A57"/>
    <w:rsid w:val="00F15B67"/>
    <w:rsid w:val="00F15C8D"/>
    <w:rsid w:val="00F15CDD"/>
    <w:rsid w:val="00F15E3C"/>
    <w:rsid w:val="00F15E75"/>
    <w:rsid w:val="00F15F30"/>
    <w:rsid w:val="00F15FCA"/>
    <w:rsid w:val="00F16271"/>
    <w:rsid w:val="00F162BC"/>
    <w:rsid w:val="00F16628"/>
    <w:rsid w:val="00F1667B"/>
    <w:rsid w:val="00F16771"/>
    <w:rsid w:val="00F16ADF"/>
    <w:rsid w:val="00F16CCB"/>
    <w:rsid w:val="00F16DAD"/>
    <w:rsid w:val="00F16E27"/>
    <w:rsid w:val="00F16E81"/>
    <w:rsid w:val="00F16F60"/>
    <w:rsid w:val="00F16F6A"/>
    <w:rsid w:val="00F17056"/>
    <w:rsid w:val="00F17105"/>
    <w:rsid w:val="00F17155"/>
    <w:rsid w:val="00F1727C"/>
    <w:rsid w:val="00F172BD"/>
    <w:rsid w:val="00F17363"/>
    <w:rsid w:val="00F173FE"/>
    <w:rsid w:val="00F174F0"/>
    <w:rsid w:val="00F17527"/>
    <w:rsid w:val="00F175CB"/>
    <w:rsid w:val="00F17732"/>
    <w:rsid w:val="00F17772"/>
    <w:rsid w:val="00F177CA"/>
    <w:rsid w:val="00F178C4"/>
    <w:rsid w:val="00F17A6D"/>
    <w:rsid w:val="00F17BCF"/>
    <w:rsid w:val="00F17D9A"/>
    <w:rsid w:val="00F17DC2"/>
    <w:rsid w:val="00F17F46"/>
    <w:rsid w:val="00F203C6"/>
    <w:rsid w:val="00F203FD"/>
    <w:rsid w:val="00F20490"/>
    <w:rsid w:val="00F204E1"/>
    <w:rsid w:val="00F20565"/>
    <w:rsid w:val="00F2058D"/>
    <w:rsid w:val="00F20769"/>
    <w:rsid w:val="00F2087B"/>
    <w:rsid w:val="00F20AC7"/>
    <w:rsid w:val="00F20B90"/>
    <w:rsid w:val="00F20B9E"/>
    <w:rsid w:val="00F20D27"/>
    <w:rsid w:val="00F21032"/>
    <w:rsid w:val="00F211B2"/>
    <w:rsid w:val="00F212F3"/>
    <w:rsid w:val="00F21404"/>
    <w:rsid w:val="00F21449"/>
    <w:rsid w:val="00F21553"/>
    <w:rsid w:val="00F215DE"/>
    <w:rsid w:val="00F215EE"/>
    <w:rsid w:val="00F2164E"/>
    <w:rsid w:val="00F217D0"/>
    <w:rsid w:val="00F218FF"/>
    <w:rsid w:val="00F2197D"/>
    <w:rsid w:val="00F21A84"/>
    <w:rsid w:val="00F21A93"/>
    <w:rsid w:val="00F21AA8"/>
    <w:rsid w:val="00F21C72"/>
    <w:rsid w:val="00F21CD2"/>
    <w:rsid w:val="00F21D29"/>
    <w:rsid w:val="00F21EB6"/>
    <w:rsid w:val="00F21FE9"/>
    <w:rsid w:val="00F22083"/>
    <w:rsid w:val="00F220BC"/>
    <w:rsid w:val="00F220D8"/>
    <w:rsid w:val="00F2210A"/>
    <w:rsid w:val="00F22149"/>
    <w:rsid w:val="00F2224D"/>
    <w:rsid w:val="00F2239A"/>
    <w:rsid w:val="00F22464"/>
    <w:rsid w:val="00F22573"/>
    <w:rsid w:val="00F226CB"/>
    <w:rsid w:val="00F2280E"/>
    <w:rsid w:val="00F22891"/>
    <w:rsid w:val="00F228D6"/>
    <w:rsid w:val="00F22A4B"/>
    <w:rsid w:val="00F22A75"/>
    <w:rsid w:val="00F22AF2"/>
    <w:rsid w:val="00F22E3D"/>
    <w:rsid w:val="00F22EC2"/>
    <w:rsid w:val="00F22FED"/>
    <w:rsid w:val="00F23129"/>
    <w:rsid w:val="00F234AB"/>
    <w:rsid w:val="00F234CE"/>
    <w:rsid w:val="00F236CE"/>
    <w:rsid w:val="00F23728"/>
    <w:rsid w:val="00F2395C"/>
    <w:rsid w:val="00F23978"/>
    <w:rsid w:val="00F239C6"/>
    <w:rsid w:val="00F23C5B"/>
    <w:rsid w:val="00F23DC8"/>
    <w:rsid w:val="00F23F4D"/>
    <w:rsid w:val="00F2408A"/>
    <w:rsid w:val="00F240B2"/>
    <w:rsid w:val="00F2410F"/>
    <w:rsid w:val="00F2427F"/>
    <w:rsid w:val="00F242E1"/>
    <w:rsid w:val="00F244AE"/>
    <w:rsid w:val="00F24526"/>
    <w:rsid w:val="00F24567"/>
    <w:rsid w:val="00F246F5"/>
    <w:rsid w:val="00F2471A"/>
    <w:rsid w:val="00F24776"/>
    <w:rsid w:val="00F2479A"/>
    <w:rsid w:val="00F24B57"/>
    <w:rsid w:val="00F24B76"/>
    <w:rsid w:val="00F24BFE"/>
    <w:rsid w:val="00F24CC7"/>
    <w:rsid w:val="00F24CCC"/>
    <w:rsid w:val="00F24EF1"/>
    <w:rsid w:val="00F24FFB"/>
    <w:rsid w:val="00F2506C"/>
    <w:rsid w:val="00F25120"/>
    <w:rsid w:val="00F25191"/>
    <w:rsid w:val="00F252B5"/>
    <w:rsid w:val="00F25348"/>
    <w:rsid w:val="00F2536E"/>
    <w:rsid w:val="00F25375"/>
    <w:rsid w:val="00F25451"/>
    <w:rsid w:val="00F25473"/>
    <w:rsid w:val="00F2551B"/>
    <w:rsid w:val="00F25630"/>
    <w:rsid w:val="00F25793"/>
    <w:rsid w:val="00F2585E"/>
    <w:rsid w:val="00F2586C"/>
    <w:rsid w:val="00F258BD"/>
    <w:rsid w:val="00F259C4"/>
    <w:rsid w:val="00F25A36"/>
    <w:rsid w:val="00F25B54"/>
    <w:rsid w:val="00F25C16"/>
    <w:rsid w:val="00F25C7E"/>
    <w:rsid w:val="00F25E72"/>
    <w:rsid w:val="00F25F3E"/>
    <w:rsid w:val="00F261A6"/>
    <w:rsid w:val="00F26254"/>
    <w:rsid w:val="00F262C0"/>
    <w:rsid w:val="00F26350"/>
    <w:rsid w:val="00F263BE"/>
    <w:rsid w:val="00F26490"/>
    <w:rsid w:val="00F2653A"/>
    <w:rsid w:val="00F2653F"/>
    <w:rsid w:val="00F265C2"/>
    <w:rsid w:val="00F26614"/>
    <w:rsid w:val="00F26641"/>
    <w:rsid w:val="00F26649"/>
    <w:rsid w:val="00F26824"/>
    <w:rsid w:val="00F26A9F"/>
    <w:rsid w:val="00F26AEB"/>
    <w:rsid w:val="00F26AFB"/>
    <w:rsid w:val="00F26B0F"/>
    <w:rsid w:val="00F26C84"/>
    <w:rsid w:val="00F26D0B"/>
    <w:rsid w:val="00F26D84"/>
    <w:rsid w:val="00F26DA0"/>
    <w:rsid w:val="00F26EED"/>
    <w:rsid w:val="00F26FA3"/>
    <w:rsid w:val="00F2713E"/>
    <w:rsid w:val="00F2716F"/>
    <w:rsid w:val="00F272E9"/>
    <w:rsid w:val="00F27501"/>
    <w:rsid w:val="00F27796"/>
    <w:rsid w:val="00F279A4"/>
    <w:rsid w:val="00F27A86"/>
    <w:rsid w:val="00F27C87"/>
    <w:rsid w:val="00F27CAB"/>
    <w:rsid w:val="00F27D07"/>
    <w:rsid w:val="00F27DCA"/>
    <w:rsid w:val="00F27F02"/>
    <w:rsid w:val="00F27F11"/>
    <w:rsid w:val="00F3003F"/>
    <w:rsid w:val="00F30058"/>
    <w:rsid w:val="00F300D2"/>
    <w:rsid w:val="00F30251"/>
    <w:rsid w:val="00F30477"/>
    <w:rsid w:val="00F304D3"/>
    <w:rsid w:val="00F306A6"/>
    <w:rsid w:val="00F30725"/>
    <w:rsid w:val="00F30773"/>
    <w:rsid w:val="00F3095B"/>
    <w:rsid w:val="00F309AE"/>
    <w:rsid w:val="00F30B99"/>
    <w:rsid w:val="00F30B9B"/>
    <w:rsid w:val="00F30C3C"/>
    <w:rsid w:val="00F30E5F"/>
    <w:rsid w:val="00F30F16"/>
    <w:rsid w:val="00F31039"/>
    <w:rsid w:val="00F310A7"/>
    <w:rsid w:val="00F31167"/>
    <w:rsid w:val="00F3145B"/>
    <w:rsid w:val="00F316E5"/>
    <w:rsid w:val="00F317EA"/>
    <w:rsid w:val="00F318D7"/>
    <w:rsid w:val="00F31ABF"/>
    <w:rsid w:val="00F31C10"/>
    <w:rsid w:val="00F31C32"/>
    <w:rsid w:val="00F31C5F"/>
    <w:rsid w:val="00F31D2E"/>
    <w:rsid w:val="00F31D3A"/>
    <w:rsid w:val="00F31FBC"/>
    <w:rsid w:val="00F321C3"/>
    <w:rsid w:val="00F32232"/>
    <w:rsid w:val="00F3233A"/>
    <w:rsid w:val="00F323B3"/>
    <w:rsid w:val="00F3250F"/>
    <w:rsid w:val="00F325FD"/>
    <w:rsid w:val="00F32791"/>
    <w:rsid w:val="00F327A4"/>
    <w:rsid w:val="00F327AE"/>
    <w:rsid w:val="00F329CA"/>
    <w:rsid w:val="00F32AA1"/>
    <w:rsid w:val="00F32C16"/>
    <w:rsid w:val="00F32C26"/>
    <w:rsid w:val="00F32CF4"/>
    <w:rsid w:val="00F32DD4"/>
    <w:rsid w:val="00F32E2F"/>
    <w:rsid w:val="00F32F3E"/>
    <w:rsid w:val="00F32FBE"/>
    <w:rsid w:val="00F331E8"/>
    <w:rsid w:val="00F333A6"/>
    <w:rsid w:val="00F333C9"/>
    <w:rsid w:val="00F3342A"/>
    <w:rsid w:val="00F335BA"/>
    <w:rsid w:val="00F33628"/>
    <w:rsid w:val="00F3371C"/>
    <w:rsid w:val="00F338E1"/>
    <w:rsid w:val="00F33AE1"/>
    <w:rsid w:val="00F33C2F"/>
    <w:rsid w:val="00F33C7B"/>
    <w:rsid w:val="00F33D29"/>
    <w:rsid w:val="00F33DA5"/>
    <w:rsid w:val="00F33E36"/>
    <w:rsid w:val="00F33EE4"/>
    <w:rsid w:val="00F33F0B"/>
    <w:rsid w:val="00F33FAE"/>
    <w:rsid w:val="00F3441F"/>
    <w:rsid w:val="00F3442F"/>
    <w:rsid w:val="00F3444F"/>
    <w:rsid w:val="00F3448E"/>
    <w:rsid w:val="00F34707"/>
    <w:rsid w:val="00F34766"/>
    <w:rsid w:val="00F347FD"/>
    <w:rsid w:val="00F348FA"/>
    <w:rsid w:val="00F34ABF"/>
    <w:rsid w:val="00F34B5E"/>
    <w:rsid w:val="00F34DAA"/>
    <w:rsid w:val="00F34ED5"/>
    <w:rsid w:val="00F34F50"/>
    <w:rsid w:val="00F35202"/>
    <w:rsid w:val="00F35287"/>
    <w:rsid w:val="00F352CF"/>
    <w:rsid w:val="00F353E5"/>
    <w:rsid w:val="00F354B4"/>
    <w:rsid w:val="00F3558F"/>
    <w:rsid w:val="00F356FC"/>
    <w:rsid w:val="00F35B24"/>
    <w:rsid w:val="00F35B47"/>
    <w:rsid w:val="00F35B9A"/>
    <w:rsid w:val="00F35C7F"/>
    <w:rsid w:val="00F35E5B"/>
    <w:rsid w:val="00F35FB8"/>
    <w:rsid w:val="00F35FF6"/>
    <w:rsid w:val="00F363B8"/>
    <w:rsid w:val="00F36405"/>
    <w:rsid w:val="00F36475"/>
    <w:rsid w:val="00F36639"/>
    <w:rsid w:val="00F366A2"/>
    <w:rsid w:val="00F36737"/>
    <w:rsid w:val="00F368D5"/>
    <w:rsid w:val="00F36A22"/>
    <w:rsid w:val="00F36AFA"/>
    <w:rsid w:val="00F36D98"/>
    <w:rsid w:val="00F36DFD"/>
    <w:rsid w:val="00F36EA0"/>
    <w:rsid w:val="00F37125"/>
    <w:rsid w:val="00F3718A"/>
    <w:rsid w:val="00F3718C"/>
    <w:rsid w:val="00F37195"/>
    <w:rsid w:val="00F371D7"/>
    <w:rsid w:val="00F37337"/>
    <w:rsid w:val="00F373AC"/>
    <w:rsid w:val="00F37403"/>
    <w:rsid w:val="00F374F7"/>
    <w:rsid w:val="00F37581"/>
    <w:rsid w:val="00F37653"/>
    <w:rsid w:val="00F376B7"/>
    <w:rsid w:val="00F37789"/>
    <w:rsid w:val="00F377B1"/>
    <w:rsid w:val="00F37998"/>
    <w:rsid w:val="00F37A03"/>
    <w:rsid w:val="00F37AB0"/>
    <w:rsid w:val="00F37B56"/>
    <w:rsid w:val="00F37BC1"/>
    <w:rsid w:val="00F37C84"/>
    <w:rsid w:val="00F37C9D"/>
    <w:rsid w:val="00F37EDA"/>
    <w:rsid w:val="00F37F6F"/>
    <w:rsid w:val="00F40027"/>
    <w:rsid w:val="00F40137"/>
    <w:rsid w:val="00F401A3"/>
    <w:rsid w:val="00F401E8"/>
    <w:rsid w:val="00F4050C"/>
    <w:rsid w:val="00F40615"/>
    <w:rsid w:val="00F406A0"/>
    <w:rsid w:val="00F406E7"/>
    <w:rsid w:val="00F4079D"/>
    <w:rsid w:val="00F40822"/>
    <w:rsid w:val="00F408FD"/>
    <w:rsid w:val="00F40940"/>
    <w:rsid w:val="00F40BD3"/>
    <w:rsid w:val="00F40C0C"/>
    <w:rsid w:val="00F40D81"/>
    <w:rsid w:val="00F40DB9"/>
    <w:rsid w:val="00F40DCD"/>
    <w:rsid w:val="00F40E16"/>
    <w:rsid w:val="00F40F34"/>
    <w:rsid w:val="00F411DC"/>
    <w:rsid w:val="00F41304"/>
    <w:rsid w:val="00F4143F"/>
    <w:rsid w:val="00F41492"/>
    <w:rsid w:val="00F41514"/>
    <w:rsid w:val="00F41516"/>
    <w:rsid w:val="00F41645"/>
    <w:rsid w:val="00F4173D"/>
    <w:rsid w:val="00F4174C"/>
    <w:rsid w:val="00F4189B"/>
    <w:rsid w:val="00F419A5"/>
    <w:rsid w:val="00F419A6"/>
    <w:rsid w:val="00F41D03"/>
    <w:rsid w:val="00F41D0B"/>
    <w:rsid w:val="00F41EB5"/>
    <w:rsid w:val="00F41EB7"/>
    <w:rsid w:val="00F41EFE"/>
    <w:rsid w:val="00F41F4B"/>
    <w:rsid w:val="00F41FF6"/>
    <w:rsid w:val="00F42054"/>
    <w:rsid w:val="00F422DC"/>
    <w:rsid w:val="00F42561"/>
    <w:rsid w:val="00F42818"/>
    <w:rsid w:val="00F428D9"/>
    <w:rsid w:val="00F42912"/>
    <w:rsid w:val="00F42A15"/>
    <w:rsid w:val="00F42A3F"/>
    <w:rsid w:val="00F42AB5"/>
    <w:rsid w:val="00F42B1E"/>
    <w:rsid w:val="00F42C51"/>
    <w:rsid w:val="00F42CB1"/>
    <w:rsid w:val="00F42D5D"/>
    <w:rsid w:val="00F42DC7"/>
    <w:rsid w:val="00F43157"/>
    <w:rsid w:val="00F43257"/>
    <w:rsid w:val="00F432AC"/>
    <w:rsid w:val="00F433F3"/>
    <w:rsid w:val="00F43A08"/>
    <w:rsid w:val="00F43A8A"/>
    <w:rsid w:val="00F43C4B"/>
    <w:rsid w:val="00F43D4A"/>
    <w:rsid w:val="00F43E74"/>
    <w:rsid w:val="00F43F70"/>
    <w:rsid w:val="00F44050"/>
    <w:rsid w:val="00F44071"/>
    <w:rsid w:val="00F440C0"/>
    <w:rsid w:val="00F444E4"/>
    <w:rsid w:val="00F44513"/>
    <w:rsid w:val="00F4452D"/>
    <w:rsid w:val="00F44568"/>
    <w:rsid w:val="00F44587"/>
    <w:rsid w:val="00F446E3"/>
    <w:rsid w:val="00F4474B"/>
    <w:rsid w:val="00F448A4"/>
    <w:rsid w:val="00F448D2"/>
    <w:rsid w:val="00F44942"/>
    <w:rsid w:val="00F4498C"/>
    <w:rsid w:val="00F44A7E"/>
    <w:rsid w:val="00F44A8A"/>
    <w:rsid w:val="00F44B31"/>
    <w:rsid w:val="00F44C7A"/>
    <w:rsid w:val="00F44D4C"/>
    <w:rsid w:val="00F44E3F"/>
    <w:rsid w:val="00F44F00"/>
    <w:rsid w:val="00F44F17"/>
    <w:rsid w:val="00F44F1C"/>
    <w:rsid w:val="00F45016"/>
    <w:rsid w:val="00F451F2"/>
    <w:rsid w:val="00F4529D"/>
    <w:rsid w:val="00F452FF"/>
    <w:rsid w:val="00F45310"/>
    <w:rsid w:val="00F45451"/>
    <w:rsid w:val="00F454D1"/>
    <w:rsid w:val="00F455BF"/>
    <w:rsid w:val="00F456C6"/>
    <w:rsid w:val="00F45780"/>
    <w:rsid w:val="00F457A0"/>
    <w:rsid w:val="00F45805"/>
    <w:rsid w:val="00F45997"/>
    <w:rsid w:val="00F4599F"/>
    <w:rsid w:val="00F45C2E"/>
    <w:rsid w:val="00F45D46"/>
    <w:rsid w:val="00F45E14"/>
    <w:rsid w:val="00F460E5"/>
    <w:rsid w:val="00F46100"/>
    <w:rsid w:val="00F46125"/>
    <w:rsid w:val="00F462FD"/>
    <w:rsid w:val="00F464B7"/>
    <w:rsid w:val="00F46530"/>
    <w:rsid w:val="00F46679"/>
    <w:rsid w:val="00F4667D"/>
    <w:rsid w:val="00F467B9"/>
    <w:rsid w:val="00F467F4"/>
    <w:rsid w:val="00F467FA"/>
    <w:rsid w:val="00F46831"/>
    <w:rsid w:val="00F46844"/>
    <w:rsid w:val="00F4689F"/>
    <w:rsid w:val="00F468A6"/>
    <w:rsid w:val="00F468E2"/>
    <w:rsid w:val="00F46A10"/>
    <w:rsid w:val="00F46C8C"/>
    <w:rsid w:val="00F46CDC"/>
    <w:rsid w:val="00F46D6A"/>
    <w:rsid w:val="00F46DEB"/>
    <w:rsid w:val="00F46F8B"/>
    <w:rsid w:val="00F4708D"/>
    <w:rsid w:val="00F472F6"/>
    <w:rsid w:val="00F47525"/>
    <w:rsid w:val="00F4774F"/>
    <w:rsid w:val="00F47776"/>
    <w:rsid w:val="00F477AD"/>
    <w:rsid w:val="00F478A5"/>
    <w:rsid w:val="00F47BD5"/>
    <w:rsid w:val="00F47ECC"/>
    <w:rsid w:val="00F5008B"/>
    <w:rsid w:val="00F5018B"/>
    <w:rsid w:val="00F501BD"/>
    <w:rsid w:val="00F503B5"/>
    <w:rsid w:val="00F5043D"/>
    <w:rsid w:val="00F50498"/>
    <w:rsid w:val="00F505EF"/>
    <w:rsid w:val="00F50601"/>
    <w:rsid w:val="00F50717"/>
    <w:rsid w:val="00F50831"/>
    <w:rsid w:val="00F50ABD"/>
    <w:rsid w:val="00F50B4C"/>
    <w:rsid w:val="00F50B6F"/>
    <w:rsid w:val="00F50C22"/>
    <w:rsid w:val="00F50C57"/>
    <w:rsid w:val="00F50CB9"/>
    <w:rsid w:val="00F50D4A"/>
    <w:rsid w:val="00F50D6C"/>
    <w:rsid w:val="00F50F7E"/>
    <w:rsid w:val="00F50FA2"/>
    <w:rsid w:val="00F51127"/>
    <w:rsid w:val="00F51272"/>
    <w:rsid w:val="00F51332"/>
    <w:rsid w:val="00F51427"/>
    <w:rsid w:val="00F514B7"/>
    <w:rsid w:val="00F51763"/>
    <w:rsid w:val="00F51AB3"/>
    <w:rsid w:val="00F51C4F"/>
    <w:rsid w:val="00F51C56"/>
    <w:rsid w:val="00F51D12"/>
    <w:rsid w:val="00F51E49"/>
    <w:rsid w:val="00F51F40"/>
    <w:rsid w:val="00F52258"/>
    <w:rsid w:val="00F522B4"/>
    <w:rsid w:val="00F523A4"/>
    <w:rsid w:val="00F523EF"/>
    <w:rsid w:val="00F52518"/>
    <w:rsid w:val="00F5274C"/>
    <w:rsid w:val="00F528F6"/>
    <w:rsid w:val="00F52922"/>
    <w:rsid w:val="00F52A43"/>
    <w:rsid w:val="00F52B87"/>
    <w:rsid w:val="00F52E13"/>
    <w:rsid w:val="00F5303F"/>
    <w:rsid w:val="00F5304F"/>
    <w:rsid w:val="00F5319A"/>
    <w:rsid w:val="00F5323F"/>
    <w:rsid w:val="00F533D8"/>
    <w:rsid w:val="00F534AA"/>
    <w:rsid w:val="00F5354E"/>
    <w:rsid w:val="00F53570"/>
    <w:rsid w:val="00F53832"/>
    <w:rsid w:val="00F538D9"/>
    <w:rsid w:val="00F53A9F"/>
    <w:rsid w:val="00F53ACA"/>
    <w:rsid w:val="00F53B4A"/>
    <w:rsid w:val="00F53CD0"/>
    <w:rsid w:val="00F53D94"/>
    <w:rsid w:val="00F53F76"/>
    <w:rsid w:val="00F53FF7"/>
    <w:rsid w:val="00F5404E"/>
    <w:rsid w:val="00F543BA"/>
    <w:rsid w:val="00F545A8"/>
    <w:rsid w:val="00F54607"/>
    <w:rsid w:val="00F5483D"/>
    <w:rsid w:val="00F54A3C"/>
    <w:rsid w:val="00F54C39"/>
    <w:rsid w:val="00F54C96"/>
    <w:rsid w:val="00F54D3B"/>
    <w:rsid w:val="00F54E61"/>
    <w:rsid w:val="00F551B4"/>
    <w:rsid w:val="00F552D0"/>
    <w:rsid w:val="00F55498"/>
    <w:rsid w:val="00F555D2"/>
    <w:rsid w:val="00F556A5"/>
    <w:rsid w:val="00F55733"/>
    <w:rsid w:val="00F55823"/>
    <w:rsid w:val="00F55AE1"/>
    <w:rsid w:val="00F55AFE"/>
    <w:rsid w:val="00F55B68"/>
    <w:rsid w:val="00F55CC5"/>
    <w:rsid w:val="00F55D4D"/>
    <w:rsid w:val="00F5601A"/>
    <w:rsid w:val="00F56104"/>
    <w:rsid w:val="00F5613B"/>
    <w:rsid w:val="00F5614D"/>
    <w:rsid w:val="00F56161"/>
    <w:rsid w:val="00F5632E"/>
    <w:rsid w:val="00F5639C"/>
    <w:rsid w:val="00F56402"/>
    <w:rsid w:val="00F56492"/>
    <w:rsid w:val="00F56508"/>
    <w:rsid w:val="00F568E4"/>
    <w:rsid w:val="00F568FE"/>
    <w:rsid w:val="00F569D8"/>
    <w:rsid w:val="00F569E8"/>
    <w:rsid w:val="00F56A0F"/>
    <w:rsid w:val="00F56B9D"/>
    <w:rsid w:val="00F56BA1"/>
    <w:rsid w:val="00F56BB2"/>
    <w:rsid w:val="00F56C11"/>
    <w:rsid w:val="00F56EE3"/>
    <w:rsid w:val="00F56F50"/>
    <w:rsid w:val="00F57087"/>
    <w:rsid w:val="00F5710E"/>
    <w:rsid w:val="00F57150"/>
    <w:rsid w:val="00F57360"/>
    <w:rsid w:val="00F57369"/>
    <w:rsid w:val="00F574B5"/>
    <w:rsid w:val="00F57668"/>
    <w:rsid w:val="00F57916"/>
    <w:rsid w:val="00F57971"/>
    <w:rsid w:val="00F57978"/>
    <w:rsid w:val="00F57BDA"/>
    <w:rsid w:val="00F57BFF"/>
    <w:rsid w:val="00F57DBE"/>
    <w:rsid w:val="00F57EFE"/>
    <w:rsid w:val="00F57F44"/>
    <w:rsid w:val="00F57F6C"/>
    <w:rsid w:val="00F60035"/>
    <w:rsid w:val="00F6005E"/>
    <w:rsid w:val="00F600DA"/>
    <w:rsid w:val="00F60102"/>
    <w:rsid w:val="00F60159"/>
    <w:rsid w:val="00F6022B"/>
    <w:rsid w:val="00F6038A"/>
    <w:rsid w:val="00F6039B"/>
    <w:rsid w:val="00F6058E"/>
    <w:rsid w:val="00F605C2"/>
    <w:rsid w:val="00F60844"/>
    <w:rsid w:val="00F60847"/>
    <w:rsid w:val="00F608C6"/>
    <w:rsid w:val="00F6098C"/>
    <w:rsid w:val="00F609BB"/>
    <w:rsid w:val="00F60A8A"/>
    <w:rsid w:val="00F60B67"/>
    <w:rsid w:val="00F60BA3"/>
    <w:rsid w:val="00F60CCF"/>
    <w:rsid w:val="00F60D5B"/>
    <w:rsid w:val="00F60F74"/>
    <w:rsid w:val="00F6101A"/>
    <w:rsid w:val="00F6101E"/>
    <w:rsid w:val="00F6140E"/>
    <w:rsid w:val="00F615CC"/>
    <w:rsid w:val="00F61688"/>
    <w:rsid w:val="00F6169A"/>
    <w:rsid w:val="00F61B29"/>
    <w:rsid w:val="00F61CBF"/>
    <w:rsid w:val="00F61D10"/>
    <w:rsid w:val="00F61DFA"/>
    <w:rsid w:val="00F61E2D"/>
    <w:rsid w:val="00F61E78"/>
    <w:rsid w:val="00F61E94"/>
    <w:rsid w:val="00F61F61"/>
    <w:rsid w:val="00F61FA2"/>
    <w:rsid w:val="00F61FD0"/>
    <w:rsid w:val="00F621DE"/>
    <w:rsid w:val="00F62255"/>
    <w:rsid w:val="00F622B9"/>
    <w:rsid w:val="00F6234D"/>
    <w:rsid w:val="00F6263A"/>
    <w:rsid w:val="00F6265C"/>
    <w:rsid w:val="00F626E2"/>
    <w:rsid w:val="00F626EE"/>
    <w:rsid w:val="00F62839"/>
    <w:rsid w:val="00F6283C"/>
    <w:rsid w:val="00F6290C"/>
    <w:rsid w:val="00F62944"/>
    <w:rsid w:val="00F629AA"/>
    <w:rsid w:val="00F62AAA"/>
    <w:rsid w:val="00F62C3F"/>
    <w:rsid w:val="00F62CB9"/>
    <w:rsid w:val="00F62CF8"/>
    <w:rsid w:val="00F62DA4"/>
    <w:rsid w:val="00F62E09"/>
    <w:rsid w:val="00F62E46"/>
    <w:rsid w:val="00F6303D"/>
    <w:rsid w:val="00F630DC"/>
    <w:rsid w:val="00F6312C"/>
    <w:rsid w:val="00F631E6"/>
    <w:rsid w:val="00F6343F"/>
    <w:rsid w:val="00F634F7"/>
    <w:rsid w:val="00F637CF"/>
    <w:rsid w:val="00F63A03"/>
    <w:rsid w:val="00F63C36"/>
    <w:rsid w:val="00F63C66"/>
    <w:rsid w:val="00F63D09"/>
    <w:rsid w:val="00F63DA5"/>
    <w:rsid w:val="00F63ECF"/>
    <w:rsid w:val="00F63F20"/>
    <w:rsid w:val="00F63FF7"/>
    <w:rsid w:val="00F6405E"/>
    <w:rsid w:val="00F64104"/>
    <w:rsid w:val="00F64120"/>
    <w:rsid w:val="00F64253"/>
    <w:rsid w:val="00F64522"/>
    <w:rsid w:val="00F645B6"/>
    <w:rsid w:val="00F64694"/>
    <w:rsid w:val="00F646E2"/>
    <w:rsid w:val="00F649AB"/>
    <w:rsid w:val="00F64A51"/>
    <w:rsid w:val="00F64AEC"/>
    <w:rsid w:val="00F64C38"/>
    <w:rsid w:val="00F64C67"/>
    <w:rsid w:val="00F64CB0"/>
    <w:rsid w:val="00F64CB7"/>
    <w:rsid w:val="00F64D4A"/>
    <w:rsid w:val="00F64F4E"/>
    <w:rsid w:val="00F6501D"/>
    <w:rsid w:val="00F651C8"/>
    <w:rsid w:val="00F651CD"/>
    <w:rsid w:val="00F653B8"/>
    <w:rsid w:val="00F653CD"/>
    <w:rsid w:val="00F65466"/>
    <w:rsid w:val="00F65476"/>
    <w:rsid w:val="00F654D2"/>
    <w:rsid w:val="00F657AF"/>
    <w:rsid w:val="00F65BAB"/>
    <w:rsid w:val="00F65FA6"/>
    <w:rsid w:val="00F66018"/>
    <w:rsid w:val="00F660F2"/>
    <w:rsid w:val="00F6645F"/>
    <w:rsid w:val="00F6648B"/>
    <w:rsid w:val="00F664E7"/>
    <w:rsid w:val="00F66620"/>
    <w:rsid w:val="00F668D8"/>
    <w:rsid w:val="00F66BDB"/>
    <w:rsid w:val="00F66E69"/>
    <w:rsid w:val="00F66F31"/>
    <w:rsid w:val="00F67283"/>
    <w:rsid w:val="00F673CD"/>
    <w:rsid w:val="00F67602"/>
    <w:rsid w:val="00F6773F"/>
    <w:rsid w:val="00F67827"/>
    <w:rsid w:val="00F6789A"/>
    <w:rsid w:val="00F67A0B"/>
    <w:rsid w:val="00F67A2C"/>
    <w:rsid w:val="00F67BA6"/>
    <w:rsid w:val="00F67BC1"/>
    <w:rsid w:val="00F67E0E"/>
    <w:rsid w:val="00F67E58"/>
    <w:rsid w:val="00F67F6A"/>
    <w:rsid w:val="00F701F6"/>
    <w:rsid w:val="00F70254"/>
    <w:rsid w:val="00F702F2"/>
    <w:rsid w:val="00F703E9"/>
    <w:rsid w:val="00F70495"/>
    <w:rsid w:val="00F704FE"/>
    <w:rsid w:val="00F70547"/>
    <w:rsid w:val="00F706A5"/>
    <w:rsid w:val="00F706DC"/>
    <w:rsid w:val="00F70711"/>
    <w:rsid w:val="00F70893"/>
    <w:rsid w:val="00F709BD"/>
    <w:rsid w:val="00F70B13"/>
    <w:rsid w:val="00F70B68"/>
    <w:rsid w:val="00F70B7A"/>
    <w:rsid w:val="00F70C92"/>
    <w:rsid w:val="00F70D1B"/>
    <w:rsid w:val="00F70DA9"/>
    <w:rsid w:val="00F70DE7"/>
    <w:rsid w:val="00F70F30"/>
    <w:rsid w:val="00F7100C"/>
    <w:rsid w:val="00F71020"/>
    <w:rsid w:val="00F71350"/>
    <w:rsid w:val="00F7135C"/>
    <w:rsid w:val="00F715A2"/>
    <w:rsid w:val="00F7168A"/>
    <w:rsid w:val="00F71691"/>
    <w:rsid w:val="00F71758"/>
    <w:rsid w:val="00F7178A"/>
    <w:rsid w:val="00F717F6"/>
    <w:rsid w:val="00F71967"/>
    <w:rsid w:val="00F71995"/>
    <w:rsid w:val="00F71A44"/>
    <w:rsid w:val="00F71A53"/>
    <w:rsid w:val="00F71CFB"/>
    <w:rsid w:val="00F72046"/>
    <w:rsid w:val="00F72085"/>
    <w:rsid w:val="00F7228C"/>
    <w:rsid w:val="00F722B1"/>
    <w:rsid w:val="00F722EF"/>
    <w:rsid w:val="00F72363"/>
    <w:rsid w:val="00F724B0"/>
    <w:rsid w:val="00F724D2"/>
    <w:rsid w:val="00F72648"/>
    <w:rsid w:val="00F72652"/>
    <w:rsid w:val="00F7287B"/>
    <w:rsid w:val="00F72B09"/>
    <w:rsid w:val="00F72C24"/>
    <w:rsid w:val="00F72C37"/>
    <w:rsid w:val="00F72C57"/>
    <w:rsid w:val="00F72E26"/>
    <w:rsid w:val="00F72E46"/>
    <w:rsid w:val="00F72E59"/>
    <w:rsid w:val="00F72EF6"/>
    <w:rsid w:val="00F7319B"/>
    <w:rsid w:val="00F73261"/>
    <w:rsid w:val="00F732BA"/>
    <w:rsid w:val="00F73346"/>
    <w:rsid w:val="00F73418"/>
    <w:rsid w:val="00F734AC"/>
    <w:rsid w:val="00F735D4"/>
    <w:rsid w:val="00F736AC"/>
    <w:rsid w:val="00F7377A"/>
    <w:rsid w:val="00F73B1C"/>
    <w:rsid w:val="00F73B9A"/>
    <w:rsid w:val="00F73BF6"/>
    <w:rsid w:val="00F73CC2"/>
    <w:rsid w:val="00F73D05"/>
    <w:rsid w:val="00F73D0B"/>
    <w:rsid w:val="00F73D90"/>
    <w:rsid w:val="00F73DA3"/>
    <w:rsid w:val="00F73E26"/>
    <w:rsid w:val="00F73F14"/>
    <w:rsid w:val="00F74487"/>
    <w:rsid w:val="00F74496"/>
    <w:rsid w:val="00F7452D"/>
    <w:rsid w:val="00F745A3"/>
    <w:rsid w:val="00F74624"/>
    <w:rsid w:val="00F746C8"/>
    <w:rsid w:val="00F746F6"/>
    <w:rsid w:val="00F7470F"/>
    <w:rsid w:val="00F74BE0"/>
    <w:rsid w:val="00F74D2F"/>
    <w:rsid w:val="00F74DAA"/>
    <w:rsid w:val="00F74E10"/>
    <w:rsid w:val="00F74E40"/>
    <w:rsid w:val="00F74E48"/>
    <w:rsid w:val="00F74EF0"/>
    <w:rsid w:val="00F74F99"/>
    <w:rsid w:val="00F75148"/>
    <w:rsid w:val="00F751E1"/>
    <w:rsid w:val="00F7529D"/>
    <w:rsid w:val="00F7535F"/>
    <w:rsid w:val="00F75378"/>
    <w:rsid w:val="00F75429"/>
    <w:rsid w:val="00F75602"/>
    <w:rsid w:val="00F7595E"/>
    <w:rsid w:val="00F75B26"/>
    <w:rsid w:val="00F75C0C"/>
    <w:rsid w:val="00F75C13"/>
    <w:rsid w:val="00F75CA7"/>
    <w:rsid w:val="00F75CBE"/>
    <w:rsid w:val="00F75F5C"/>
    <w:rsid w:val="00F75FB4"/>
    <w:rsid w:val="00F76011"/>
    <w:rsid w:val="00F7629B"/>
    <w:rsid w:val="00F764BA"/>
    <w:rsid w:val="00F7652B"/>
    <w:rsid w:val="00F765BC"/>
    <w:rsid w:val="00F7667E"/>
    <w:rsid w:val="00F767A4"/>
    <w:rsid w:val="00F769B5"/>
    <w:rsid w:val="00F76A0A"/>
    <w:rsid w:val="00F76D3D"/>
    <w:rsid w:val="00F76FBB"/>
    <w:rsid w:val="00F7706F"/>
    <w:rsid w:val="00F771DA"/>
    <w:rsid w:val="00F7722D"/>
    <w:rsid w:val="00F772E0"/>
    <w:rsid w:val="00F77346"/>
    <w:rsid w:val="00F773BC"/>
    <w:rsid w:val="00F7761F"/>
    <w:rsid w:val="00F7766F"/>
    <w:rsid w:val="00F7778B"/>
    <w:rsid w:val="00F777FE"/>
    <w:rsid w:val="00F77893"/>
    <w:rsid w:val="00F778A5"/>
    <w:rsid w:val="00F77A17"/>
    <w:rsid w:val="00F77B00"/>
    <w:rsid w:val="00F77B8A"/>
    <w:rsid w:val="00F77BD7"/>
    <w:rsid w:val="00F77BFB"/>
    <w:rsid w:val="00F77C17"/>
    <w:rsid w:val="00F77CA9"/>
    <w:rsid w:val="00F77EF1"/>
    <w:rsid w:val="00F8015F"/>
    <w:rsid w:val="00F801F3"/>
    <w:rsid w:val="00F803CA"/>
    <w:rsid w:val="00F80483"/>
    <w:rsid w:val="00F8050E"/>
    <w:rsid w:val="00F80707"/>
    <w:rsid w:val="00F807F2"/>
    <w:rsid w:val="00F8086F"/>
    <w:rsid w:val="00F808E2"/>
    <w:rsid w:val="00F80A46"/>
    <w:rsid w:val="00F80D07"/>
    <w:rsid w:val="00F80D79"/>
    <w:rsid w:val="00F8102D"/>
    <w:rsid w:val="00F81051"/>
    <w:rsid w:val="00F8119D"/>
    <w:rsid w:val="00F812B6"/>
    <w:rsid w:val="00F81476"/>
    <w:rsid w:val="00F81483"/>
    <w:rsid w:val="00F8154E"/>
    <w:rsid w:val="00F8156B"/>
    <w:rsid w:val="00F815B1"/>
    <w:rsid w:val="00F81639"/>
    <w:rsid w:val="00F8167B"/>
    <w:rsid w:val="00F81754"/>
    <w:rsid w:val="00F8194B"/>
    <w:rsid w:val="00F819B4"/>
    <w:rsid w:val="00F81A93"/>
    <w:rsid w:val="00F81BC1"/>
    <w:rsid w:val="00F81CE5"/>
    <w:rsid w:val="00F81D01"/>
    <w:rsid w:val="00F81E74"/>
    <w:rsid w:val="00F81E98"/>
    <w:rsid w:val="00F82051"/>
    <w:rsid w:val="00F82107"/>
    <w:rsid w:val="00F8228A"/>
    <w:rsid w:val="00F822F4"/>
    <w:rsid w:val="00F82399"/>
    <w:rsid w:val="00F8260E"/>
    <w:rsid w:val="00F82660"/>
    <w:rsid w:val="00F8273F"/>
    <w:rsid w:val="00F827AC"/>
    <w:rsid w:val="00F82842"/>
    <w:rsid w:val="00F82BEE"/>
    <w:rsid w:val="00F82CF3"/>
    <w:rsid w:val="00F82D45"/>
    <w:rsid w:val="00F82E13"/>
    <w:rsid w:val="00F82F4D"/>
    <w:rsid w:val="00F82FDC"/>
    <w:rsid w:val="00F831DF"/>
    <w:rsid w:val="00F833C7"/>
    <w:rsid w:val="00F833E6"/>
    <w:rsid w:val="00F83507"/>
    <w:rsid w:val="00F83669"/>
    <w:rsid w:val="00F83726"/>
    <w:rsid w:val="00F8375E"/>
    <w:rsid w:val="00F839E4"/>
    <w:rsid w:val="00F83A20"/>
    <w:rsid w:val="00F83A25"/>
    <w:rsid w:val="00F83DF6"/>
    <w:rsid w:val="00F83FE3"/>
    <w:rsid w:val="00F83FFC"/>
    <w:rsid w:val="00F840E9"/>
    <w:rsid w:val="00F844BC"/>
    <w:rsid w:val="00F8450E"/>
    <w:rsid w:val="00F846BA"/>
    <w:rsid w:val="00F8478D"/>
    <w:rsid w:val="00F84802"/>
    <w:rsid w:val="00F84821"/>
    <w:rsid w:val="00F84901"/>
    <w:rsid w:val="00F8498B"/>
    <w:rsid w:val="00F84A05"/>
    <w:rsid w:val="00F84CAF"/>
    <w:rsid w:val="00F84CD9"/>
    <w:rsid w:val="00F84D38"/>
    <w:rsid w:val="00F85078"/>
    <w:rsid w:val="00F85257"/>
    <w:rsid w:val="00F85313"/>
    <w:rsid w:val="00F85330"/>
    <w:rsid w:val="00F85740"/>
    <w:rsid w:val="00F858EF"/>
    <w:rsid w:val="00F859F0"/>
    <w:rsid w:val="00F85B20"/>
    <w:rsid w:val="00F85F0F"/>
    <w:rsid w:val="00F86080"/>
    <w:rsid w:val="00F8634C"/>
    <w:rsid w:val="00F863AD"/>
    <w:rsid w:val="00F864EE"/>
    <w:rsid w:val="00F8662A"/>
    <w:rsid w:val="00F86826"/>
    <w:rsid w:val="00F8686B"/>
    <w:rsid w:val="00F86A0B"/>
    <w:rsid w:val="00F86B28"/>
    <w:rsid w:val="00F86D2B"/>
    <w:rsid w:val="00F86D98"/>
    <w:rsid w:val="00F86E68"/>
    <w:rsid w:val="00F86E70"/>
    <w:rsid w:val="00F86EBB"/>
    <w:rsid w:val="00F86F2E"/>
    <w:rsid w:val="00F86F70"/>
    <w:rsid w:val="00F86FB6"/>
    <w:rsid w:val="00F8701B"/>
    <w:rsid w:val="00F87087"/>
    <w:rsid w:val="00F870F4"/>
    <w:rsid w:val="00F87175"/>
    <w:rsid w:val="00F871B1"/>
    <w:rsid w:val="00F8727B"/>
    <w:rsid w:val="00F873BD"/>
    <w:rsid w:val="00F87432"/>
    <w:rsid w:val="00F87662"/>
    <w:rsid w:val="00F87670"/>
    <w:rsid w:val="00F876B5"/>
    <w:rsid w:val="00F8778C"/>
    <w:rsid w:val="00F878DE"/>
    <w:rsid w:val="00F87924"/>
    <w:rsid w:val="00F87983"/>
    <w:rsid w:val="00F87A6B"/>
    <w:rsid w:val="00F87AB0"/>
    <w:rsid w:val="00F87CE1"/>
    <w:rsid w:val="00F87CE2"/>
    <w:rsid w:val="00F87D2E"/>
    <w:rsid w:val="00F87E3D"/>
    <w:rsid w:val="00F87F8B"/>
    <w:rsid w:val="00F87FB0"/>
    <w:rsid w:val="00F87FD7"/>
    <w:rsid w:val="00F9000A"/>
    <w:rsid w:val="00F90127"/>
    <w:rsid w:val="00F9021B"/>
    <w:rsid w:val="00F9038F"/>
    <w:rsid w:val="00F90557"/>
    <w:rsid w:val="00F90563"/>
    <w:rsid w:val="00F9068B"/>
    <w:rsid w:val="00F90974"/>
    <w:rsid w:val="00F909C8"/>
    <w:rsid w:val="00F90A63"/>
    <w:rsid w:val="00F90C7C"/>
    <w:rsid w:val="00F90CEC"/>
    <w:rsid w:val="00F90D04"/>
    <w:rsid w:val="00F90DD5"/>
    <w:rsid w:val="00F90FC2"/>
    <w:rsid w:val="00F90FD7"/>
    <w:rsid w:val="00F9106F"/>
    <w:rsid w:val="00F9116F"/>
    <w:rsid w:val="00F91373"/>
    <w:rsid w:val="00F914C5"/>
    <w:rsid w:val="00F9154B"/>
    <w:rsid w:val="00F915D0"/>
    <w:rsid w:val="00F91742"/>
    <w:rsid w:val="00F9176A"/>
    <w:rsid w:val="00F91771"/>
    <w:rsid w:val="00F9180E"/>
    <w:rsid w:val="00F9183D"/>
    <w:rsid w:val="00F91883"/>
    <w:rsid w:val="00F918ED"/>
    <w:rsid w:val="00F918F1"/>
    <w:rsid w:val="00F919DF"/>
    <w:rsid w:val="00F91A29"/>
    <w:rsid w:val="00F91A54"/>
    <w:rsid w:val="00F91A8F"/>
    <w:rsid w:val="00F91DA7"/>
    <w:rsid w:val="00F91DAD"/>
    <w:rsid w:val="00F91DD3"/>
    <w:rsid w:val="00F92032"/>
    <w:rsid w:val="00F92071"/>
    <w:rsid w:val="00F920C1"/>
    <w:rsid w:val="00F924FA"/>
    <w:rsid w:val="00F9263D"/>
    <w:rsid w:val="00F927AB"/>
    <w:rsid w:val="00F928D8"/>
    <w:rsid w:val="00F9295B"/>
    <w:rsid w:val="00F92B1A"/>
    <w:rsid w:val="00F92B1B"/>
    <w:rsid w:val="00F92C2D"/>
    <w:rsid w:val="00F92C72"/>
    <w:rsid w:val="00F92E7B"/>
    <w:rsid w:val="00F92FA1"/>
    <w:rsid w:val="00F92FE1"/>
    <w:rsid w:val="00F930EB"/>
    <w:rsid w:val="00F931D9"/>
    <w:rsid w:val="00F931DF"/>
    <w:rsid w:val="00F9321A"/>
    <w:rsid w:val="00F933E6"/>
    <w:rsid w:val="00F93409"/>
    <w:rsid w:val="00F934C0"/>
    <w:rsid w:val="00F935C2"/>
    <w:rsid w:val="00F937DB"/>
    <w:rsid w:val="00F93838"/>
    <w:rsid w:val="00F939D6"/>
    <w:rsid w:val="00F93A05"/>
    <w:rsid w:val="00F93B10"/>
    <w:rsid w:val="00F93C5A"/>
    <w:rsid w:val="00F93D5F"/>
    <w:rsid w:val="00F93E95"/>
    <w:rsid w:val="00F93F53"/>
    <w:rsid w:val="00F9402D"/>
    <w:rsid w:val="00F9405B"/>
    <w:rsid w:val="00F94153"/>
    <w:rsid w:val="00F941AE"/>
    <w:rsid w:val="00F941C1"/>
    <w:rsid w:val="00F941D7"/>
    <w:rsid w:val="00F942BE"/>
    <w:rsid w:val="00F943F0"/>
    <w:rsid w:val="00F94555"/>
    <w:rsid w:val="00F9462D"/>
    <w:rsid w:val="00F9468E"/>
    <w:rsid w:val="00F946D8"/>
    <w:rsid w:val="00F94722"/>
    <w:rsid w:val="00F94730"/>
    <w:rsid w:val="00F94A39"/>
    <w:rsid w:val="00F94B2D"/>
    <w:rsid w:val="00F94BCA"/>
    <w:rsid w:val="00F94C02"/>
    <w:rsid w:val="00F94D13"/>
    <w:rsid w:val="00F94EC5"/>
    <w:rsid w:val="00F94FBA"/>
    <w:rsid w:val="00F94FC5"/>
    <w:rsid w:val="00F95051"/>
    <w:rsid w:val="00F95052"/>
    <w:rsid w:val="00F9506D"/>
    <w:rsid w:val="00F9506F"/>
    <w:rsid w:val="00F9507D"/>
    <w:rsid w:val="00F950D6"/>
    <w:rsid w:val="00F951D6"/>
    <w:rsid w:val="00F9520E"/>
    <w:rsid w:val="00F952D8"/>
    <w:rsid w:val="00F95334"/>
    <w:rsid w:val="00F95368"/>
    <w:rsid w:val="00F9544C"/>
    <w:rsid w:val="00F9560F"/>
    <w:rsid w:val="00F956A3"/>
    <w:rsid w:val="00F956D1"/>
    <w:rsid w:val="00F95790"/>
    <w:rsid w:val="00F959C5"/>
    <w:rsid w:val="00F95A02"/>
    <w:rsid w:val="00F95A8F"/>
    <w:rsid w:val="00F95C1B"/>
    <w:rsid w:val="00F95C99"/>
    <w:rsid w:val="00F95F67"/>
    <w:rsid w:val="00F96012"/>
    <w:rsid w:val="00F9603A"/>
    <w:rsid w:val="00F96108"/>
    <w:rsid w:val="00F96130"/>
    <w:rsid w:val="00F9641B"/>
    <w:rsid w:val="00F964E5"/>
    <w:rsid w:val="00F96694"/>
    <w:rsid w:val="00F96730"/>
    <w:rsid w:val="00F9677E"/>
    <w:rsid w:val="00F96885"/>
    <w:rsid w:val="00F96981"/>
    <w:rsid w:val="00F96AB5"/>
    <w:rsid w:val="00F96B27"/>
    <w:rsid w:val="00F96C76"/>
    <w:rsid w:val="00F96CA1"/>
    <w:rsid w:val="00F96DF7"/>
    <w:rsid w:val="00F96EA7"/>
    <w:rsid w:val="00F971BE"/>
    <w:rsid w:val="00F9745B"/>
    <w:rsid w:val="00F974BE"/>
    <w:rsid w:val="00F974ED"/>
    <w:rsid w:val="00F97686"/>
    <w:rsid w:val="00F9768A"/>
    <w:rsid w:val="00F97717"/>
    <w:rsid w:val="00F97776"/>
    <w:rsid w:val="00F979B2"/>
    <w:rsid w:val="00F97EA8"/>
    <w:rsid w:val="00F97F60"/>
    <w:rsid w:val="00FA007B"/>
    <w:rsid w:val="00FA0204"/>
    <w:rsid w:val="00FA025B"/>
    <w:rsid w:val="00FA03B3"/>
    <w:rsid w:val="00FA04F0"/>
    <w:rsid w:val="00FA05CC"/>
    <w:rsid w:val="00FA06D4"/>
    <w:rsid w:val="00FA080C"/>
    <w:rsid w:val="00FA0860"/>
    <w:rsid w:val="00FA0872"/>
    <w:rsid w:val="00FA09C6"/>
    <w:rsid w:val="00FA0A00"/>
    <w:rsid w:val="00FA0B50"/>
    <w:rsid w:val="00FA0CB8"/>
    <w:rsid w:val="00FA0D5D"/>
    <w:rsid w:val="00FA0E7B"/>
    <w:rsid w:val="00FA116C"/>
    <w:rsid w:val="00FA128A"/>
    <w:rsid w:val="00FA13CB"/>
    <w:rsid w:val="00FA1458"/>
    <w:rsid w:val="00FA15EB"/>
    <w:rsid w:val="00FA1666"/>
    <w:rsid w:val="00FA1734"/>
    <w:rsid w:val="00FA1801"/>
    <w:rsid w:val="00FA18EC"/>
    <w:rsid w:val="00FA1916"/>
    <w:rsid w:val="00FA1B34"/>
    <w:rsid w:val="00FA1D2B"/>
    <w:rsid w:val="00FA1D7E"/>
    <w:rsid w:val="00FA1DFA"/>
    <w:rsid w:val="00FA2010"/>
    <w:rsid w:val="00FA22CF"/>
    <w:rsid w:val="00FA237F"/>
    <w:rsid w:val="00FA258B"/>
    <w:rsid w:val="00FA2636"/>
    <w:rsid w:val="00FA2697"/>
    <w:rsid w:val="00FA270B"/>
    <w:rsid w:val="00FA2736"/>
    <w:rsid w:val="00FA27F9"/>
    <w:rsid w:val="00FA27FF"/>
    <w:rsid w:val="00FA2967"/>
    <w:rsid w:val="00FA2C09"/>
    <w:rsid w:val="00FA2C5E"/>
    <w:rsid w:val="00FA2E1A"/>
    <w:rsid w:val="00FA2E40"/>
    <w:rsid w:val="00FA2EB5"/>
    <w:rsid w:val="00FA3095"/>
    <w:rsid w:val="00FA3106"/>
    <w:rsid w:val="00FA3214"/>
    <w:rsid w:val="00FA3333"/>
    <w:rsid w:val="00FA3342"/>
    <w:rsid w:val="00FA33A7"/>
    <w:rsid w:val="00FA363C"/>
    <w:rsid w:val="00FA389A"/>
    <w:rsid w:val="00FA3A7A"/>
    <w:rsid w:val="00FA3A8A"/>
    <w:rsid w:val="00FA3E13"/>
    <w:rsid w:val="00FA3E72"/>
    <w:rsid w:val="00FA3ECF"/>
    <w:rsid w:val="00FA4043"/>
    <w:rsid w:val="00FA413A"/>
    <w:rsid w:val="00FA42C1"/>
    <w:rsid w:val="00FA4303"/>
    <w:rsid w:val="00FA4323"/>
    <w:rsid w:val="00FA4359"/>
    <w:rsid w:val="00FA4382"/>
    <w:rsid w:val="00FA43B7"/>
    <w:rsid w:val="00FA45B0"/>
    <w:rsid w:val="00FA471C"/>
    <w:rsid w:val="00FA4779"/>
    <w:rsid w:val="00FA48DF"/>
    <w:rsid w:val="00FA498A"/>
    <w:rsid w:val="00FA499A"/>
    <w:rsid w:val="00FA4A36"/>
    <w:rsid w:val="00FA4CA3"/>
    <w:rsid w:val="00FA4DD3"/>
    <w:rsid w:val="00FA4DDB"/>
    <w:rsid w:val="00FA4EA5"/>
    <w:rsid w:val="00FA5126"/>
    <w:rsid w:val="00FA538B"/>
    <w:rsid w:val="00FA55BA"/>
    <w:rsid w:val="00FA56B3"/>
    <w:rsid w:val="00FA59E8"/>
    <w:rsid w:val="00FA59F8"/>
    <w:rsid w:val="00FA5B58"/>
    <w:rsid w:val="00FA5B90"/>
    <w:rsid w:val="00FA5BD1"/>
    <w:rsid w:val="00FA5EA4"/>
    <w:rsid w:val="00FA5F03"/>
    <w:rsid w:val="00FA6083"/>
    <w:rsid w:val="00FA60BB"/>
    <w:rsid w:val="00FA6297"/>
    <w:rsid w:val="00FA63D4"/>
    <w:rsid w:val="00FA647A"/>
    <w:rsid w:val="00FA6506"/>
    <w:rsid w:val="00FA650E"/>
    <w:rsid w:val="00FA6556"/>
    <w:rsid w:val="00FA65C9"/>
    <w:rsid w:val="00FA660E"/>
    <w:rsid w:val="00FA6766"/>
    <w:rsid w:val="00FA68D4"/>
    <w:rsid w:val="00FA690C"/>
    <w:rsid w:val="00FA69C8"/>
    <w:rsid w:val="00FA6B25"/>
    <w:rsid w:val="00FA6E62"/>
    <w:rsid w:val="00FA70B5"/>
    <w:rsid w:val="00FA70BF"/>
    <w:rsid w:val="00FA72EC"/>
    <w:rsid w:val="00FA734A"/>
    <w:rsid w:val="00FA7535"/>
    <w:rsid w:val="00FA75D4"/>
    <w:rsid w:val="00FA7756"/>
    <w:rsid w:val="00FA779C"/>
    <w:rsid w:val="00FA7889"/>
    <w:rsid w:val="00FA797C"/>
    <w:rsid w:val="00FA79EE"/>
    <w:rsid w:val="00FA7BB8"/>
    <w:rsid w:val="00FA7BDF"/>
    <w:rsid w:val="00FA7C2E"/>
    <w:rsid w:val="00FA7D73"/>
    <w:rsid w:val="00FA7EAB"/>
    <w:rsid w:val="00FB00CA"/>
    <w:rsid w:val="00FB00D8"/>
    <w:rsid w:val="00FB01F1"/>
    <w:rsid w:val="00FB02A7"/>
    <w:rsid w:val="00FB035D"/>
    <w:rsid w:val="00FB03CE"/>
    <w:rsid w:val="00FB0574"/>
    <w:rsid w:val="00FB06A4"/>
    <w:rsid w:val="00FB06BB"/>
    <w:rsid w:val="00FB0783"/>
    <w:rsid w:val="00FB09FB"/>
    <w:rsid w:val="00FB0A1A"/>
    <w:rsid w:val="00FB0A5C"/>
    <w:rsid w:val="00FB0BB6"/>
    <w:rsid w:val="00FB0C14"/>
    <w:rsid w:val="00FB0C15"/>
    <w:rsid w:val="00FB0C9C"/>
    <w:rsid w:val="00FB0D92"/>
    <w:rsid w:val="00FB0E14"/>
    <w:rsid w:val="00FB0EB5"/>
    <w:rsid w:val="00FB1067"/>
    <w:rsid w:val="00FB116C"/>
    <w:rsid w:val="00FB1284"/>
    <w:rsid w:val="00FB13C2"/>
    <w:rsid w:val="00FB16A4"/>
    <w:rsid w:val="00FB16DA"/>
    <w:rsid w:val="00FB18BC"/>
    <w:rsid w:val="00FB18BE"/>
    <w:rsid w:val="00FB1906"/>
    <w:rsid w:val="00FB1911"/>
    <w:rsid w:val="00FB1ACE"/>
    <w:rsid w:val="00FB1B53"/>
    <w:rsid w:val="00FB1BAD"/>
    <w:rsid w:val="00FB1C04"/>
    <w:rsid w:val="00FB1DE1"/>
    <w:rsid w:val="00FB1E24"/>
    <w:rsid w:val="00FB1F8F"/>
    <w:rsid w:val="00FB21AF"/>
    <w:rsid w:val="00FB21FC"/>
    <w:rsid w:val="00FB2248"/>
    <w:rsid w:val="00FB2273"/>
    <w:rsid w:val="00FB233D"/>
    <w:rsid w:val="00FB254A"/>
    <w:rsid w:val="00FB2666"/>
    <w:rsid w:val="00FB266C"/>
    <w:rsid w:val="00FB27D9"/>
    <w:rsid w:val="00FB2AE3"/>
    <w:rsid w:val="00FB2B4E"/>
    <w:rsid w:val="00FB2C81"/>
    <w:rsid w:val="00FB2D7A"/>
    <w:rsid w:val="00FB301A"/>
    <w:rsid w:val="00FB3143"/>
    <w:rsid w:val="00FB3596"/>
    <w:rsid w:val="00FB35AD"/>
    <w:rsid w:val="00FB373D"/>
    <w:rsid w:val="00FB3870"/>
    <w:rsid w:val="00FB390B"/>
    <w:rsid w:val="00FB392A"/>
    <w:rsid w:val="00FB3977"/>
    <w:rsid w:val="00FB3A0E"/>
    <w:rsid w:val="00FB3AE1"/>
    <w:rsid w:val="00FB3BDF"/>
    <w:rsid w:val="00FB3E19"/>
    <w:rsid w:val="00FB4016"/>
    <w:rsid w:val="00FB40D0"/>
    <w:rsid w:val="00FB433D"/>
    <w:rsid w:val="00FB4378"/>
    <w:rsid w:val="00FB4385"/>
    <w:rsid w:val="00FB451B"/>
    <w:rsid w:val="00FB4562"/>
    <w:rsid w:val="00FB45AC"/>
    <w:rsid w:val="00FB45D6"/>
    <w:rsid w:val="00FB460A"/>
    <w:rsid w:val="00FB46DA"/>
    <w:rsid w:val="00FB4796"/>
    <w:rsid w:val="00FB48D7"/>
    <w:rsid w:val="00FB4908"/>
    <w:rsid w:val="00FB4A6B"/>
    <w:rsid w:val="00FB4C45"/>
    <w:rsid w:val="00FB4EFE"/>
    <w:rsid w:val="00FB4F00"/>
    <w:rsid w:val="00FB4F73"/>
    <w:rsid w:val="00FB4FBA"/>
    <w:rsid w:val="00FB4FD6"/>
    <w:rsid w:val="00FB508D"/>
    <w:rsid w:val="00FB51E4"/>
    <w:rsid w:val="00FB52D4"/>
    <w:rsid w:val="00FB536A"/>
    <w:rsid w:val="00FB5538"/>
    <w:rsid w:val="00FB55F2"/>
    <w:rsid w:val="00FB562B"/>
    <w:rsid w:val="00FB566A"/>
    <w:rsid w:val="00FB5831"/>
    <w:rsid w:val="00FB59E1"/>
    <w:rsid w:val="00FB5B1C"/>
    <w:rsid w:val="00FB5CAB"/>
    <w:rsid w:val="00FB5CFA"/>
    <w:rsid w:val="00FB5F2B"/>
    <w:rsid w:val="00FB5F99"/>
    <w:rsid w:val="00FB60E2"/>
    <w:rsid w:val="00FB62BF"/>
    <w:rsid w:val="00FB6302"/>
    <w:rsid w:val="00FB6318"/>
    <w:rsid w:val="00FB63EF"/>
    <w:rsid w:val="00FB6413"/>
    <w:rsid w:val="00FB6424"/>
    <w:rsid w:val="00FB6512"/>
    <w:rsid w:val="00FB6573"/>
    <w:rsid w:val="00FB6B97"/>
    <w:rsid w:val="00FB6F3C"/>
    <w:rsid w:val="00FB700F"/>
    <w:rsid w:val="00FB71EF"/>
    <w:rsid w:val="00FB71F7"/>
    <w:rsid w:val="00FB7242"/>
    <w:rsid w:val="00FB749C"/>
    <w:rsid w:val="00FB74E5"/>
    <w:rsid w:val="00FB7893"/>
    <w:rsid w:val="00FB7904"/>
    <w:rsid w:val="00FB79CF"/>
    <w:rsid w:val="00FB7A5C"/>
    <w:rsid w:val="00FB7BD9"/>
    <w:rsid w:val="00FB7CB6"/>
    <w:rsid w:val="00FB7CE6"/>
    <w:rsid w:val="00FB7D01"/>
    <w:rsid w:val="00FB7DDC"/>
    <w:rsid w:val="00FB7E9D"/>
    <w:rsid w:val="00FC002A"/>
    <w:rsid w:val="00FC00D9"/>
    <w:rsid w:val="00FC025B"/>
    <w:rsid w:val="00FC026D"/>
    <w:rsid w:val="00FC05F5"/>
    <w:rsid w:val="00FC0651"/>
    <w:rsid w:val="00FC065B"/>
    <w:rsid w:val="00FC06A7"/>
    <w:rsid w:val="00FC0767"/>
    <w:rsid w:val="00FC086E"/>
    <w:rsid w:val="00FC08A8"/>
    <w:rsid w:val="00FC0982"/>
    <w:rsid w:val="00FC0C01"/>
    <w:rsid w:val="00FC0DD7"/>
    <w:rsid w:val="00FC0ECC"/>
    <w:rsid w:val="00FC0F0F"/>
    <w:rsid w:val="00FC0FC7"/>
    <w:rsid w:val="00FC100E"/>
    <w:rsid w:val="00FC11D9"/>
    <w:rsid w:val="00FC1337"/>
    <w:rsid w:val="00FC1591"/>
    <w:rsid w:val="00FC15BE"/>
    <w:rsid w:val="00FC15ED"/>
    <w:rsid w:val="00FC1712"/>
    <w:rsid w:val="00FC172D"/>
    <w:rsid w:val="00FC1761"/>
    <w:rsid w:val="00FC17C3"/>
    <w:rsid w:val="00FC19DA"/>
    <w:rsid w:val="00FC1A63"/>
    <w:rsid w:val="00FC1AA9"/>
    <w:rsid w:val="00FC1ADD"/>
    <w:rsid w:val="00FC1AF3"/>
    <w:rsid w:val="00FC1B77"/>
    <w:rsid w:val="00FC1E58"/>
    <w:rsid w:val="00FC1E60"/>
    <w:rsid w:val="00FC1E9B"/>
    <w:rsid w:val="00FC2044"/>
    <w:rsid w:val="00FC2128"/>
    <w:rsid w:val="00FC22D7"/>
    <w:rsid w:val="00FC234D"/>
    <w:rsid w:val="00FC27F4"/>
    <w:rsid w:val="00FC2806"/>
    <w:rsid w:val="00FC2BA4"/>
    <w:rsid w:val="00FC2C22"/>
    <w:rsid w:val="00FC2D26"/>
    <w:rsid w:val="00FC2D7A"/>
    <w:rsid w:val="00FC2DA3"/>
    <w:rsid w:val="00FC2E6D"/>
    <w:rsid w:val="00FC3033"/>
    <w:rsid w:val="00FC305D"/>
    <w:rsid w:val="00FC30A4"/>
    <w:rsid w:val="00FC31BA"/>
    <w:rsid w:val="00FC3259"/>
    <w:rsid w:val="00FC33E0"/>
    <w:rsid w:val="00FC35D7"/>
    <w:rsid w:val="00FC3618"/>
    <w:rsid w:val="00FC3723"/>
    <w:rsid w:val="00FC37CC"/>
    <w:rsid w:val="00FC37F0"/>
    <w:rsid w:val="00FC38E7"/>
    <w:rsid w:val="00FC396A"/>
    <w:rsid w:val="00FC39D2"/>
    <w:rsid w:val="00FC3C30"/>
    <w:rsid w:val="00FC3D49"/>
    <w:rsid w:val="00FC4053"/>
    <w:rsid w:val="00FC40B2"/>
    <w:rsid w:val="00FC4100"/>
    <w:rsid w:val="00FC419C"/>
    <w:rsid w:val="00FC428C"/>
    <w:rsid w:val="00FC42F5"/>
    <w:rsid w:val="00FC457C"/>
    <w:rsid w:val="00FC4663"/>
    <w:rsid w:val="00FC46FE"/>
    <w:rsid w:val="00FC4817"/>
    <w:rsid w:val="00FC48A0"/>
    <w:rsid w:val="00FC4C2C"/>
    <w:rsid w:val="00FC4D76"/>
    <w:rsid w:val="00FC4E2A"/>
    <w:rsid w:val="00FC4EA6"/>
    <w:rsid w:val="00FC50EC"/>
    <w:rsid w:val="00FC57A7"/>
    <w:rsid w:val="00FC57AF"/>
    <w:rsid w:val="00FC57CF"/>
    <w:rsid w:val="00FC58C8"/>
    <w:rsid w:val="00FC596A"/>
    <w:rsid w:val="00FC5C6C"/>
    <w:rsid w:val="00FC5E21"/>
    <w:rsid w:val="00FC5E87"/>
    <w:rsid w:val="00FC6090"/>
    <w:rsid w:val="00FC60E0"/>
    <w:rsid w:val="00FC6172"/>
    <w:rsid w:val="00FC61DD"/>
    <w:rsid w:val="00FC62F5"/>
    <w:rsid w:val="00FC64B7"/>
    <w:rsid w:val="00FC6506"/>
    <w:rsid w:val="00FC6802"/>
    <w:rsid w:val="00FC6811"/>
    <w:rsid w:val="00FC6876"/>
    <w:rsid w:val="00FC6975"/>
    <w:rsid w:val="00FC69D4"/>
    <w:rsid w:val="00FC6A92"/>
    <w:rsid w:val="00FC6AD6"/>
    <w:rsid w:val="00FC6BF7"/>
    <w:rsid w:val="00FC6C86"/>
    <w:rsid w:val="00FC6D2A"/>
    <w:rsid w:val="00FC6D2C"/>
    <w:rsid w:val="00FC768B"/>
    <w:rsid w:val="00FC7775"/>
    <w:rsid w:val="00FC77E0"/>
    <w:rsid w:val="00FC78D0"/>
    <w:rsid w:val="00FC792B"/>
    <w:rsid w:val="00FC796B"/>
    <w:rsid w:val="00FC79B8"/>
    <w:rsid w:val="00FC7BB0"/>
    <w:rsid w:val="00FC7C07"/>
    <w:rsid w:val="00FC7C09"/>
    <w:rsid w:val="00FC7C26"/>
    <w:rsid w:val="00FC7CA9"/>
    <w:rsid w:val="00FC7CF4"/>
    <w:rsid w:val="00FC7D8F"/>
    <w:rsid w:val="00FD004D"/>
    <w:rsid w:val="00FD0055"/>
    <w:rsid w:val="00FD00CC"/>
    <w:rsid w:val="00FD00DA"/>
    <w:rsid w:val="00FD010D"/>
    <w:rsid w:val="00FD027F"/>
    <w:rsid w:val="00FD02B4"/>
    <w:rsid w:val="00FD0348"/>
    <w:rsid w:val="00FD0484"/>
    <w:rsid w:val="00FD04CF"/>
    <w:rsid w:val="00FD05EC"/>
    <w:rsid w:val="00FD061B"/>
    <w:rsid w:val="00FD0AD2"/>
    <w:rsid w:val="00FD0B82"/>
    <w:rsid w:val="00FD0BBB"/>
    <w:rsid w:val="00FD0DE8"/>
    <w:rsid w:val="00FD0E02"/>
    <w:rsid w:val="00FD10D4"/>
    <w:rsid w:val="00FD1103"/>
    <w:rsid w:val="00FD11F4"/>
    <w:rsid w:val="00FD12D1"/>
    <w:rsid w:val="00FD133B"/>
    <w:rsid w:val="00FD1366"/>
    <w:rsid w:val="00FD144C"/>
    <w:rsid w:val="00FD1535"/>
    <w:rsid w:val="00FD178B"/>
    <w:rsid w:val="00FD184F"/>
    <w:rsid w:val="00FD1876"/>
    <w:rsid w:val="00FD1921"/>
    <w:rsid w:val="00FD19DB"/>
    <w:rsid w:val="00FD19E6"/>
    <w:rsid w:val="00FD1E36"/>
    <w:rsid w:val="00FD1EE8"/>
    <w:rsid w:val="00FD1F26"/>
    <w:rsid w:val="00FD21D4"/>
    <w:rsid w:val="00FD22B5"/>
    <w:rsid w:val="00FD23D9"/>
    <w:rsid w:val="00FD2414"/>
    <w:rsid w:val="00FD24EB"/>
    <w:rsid w:val="00FD256B"/>
    <w:rsid w:val="00FD25E9"/>
    <w:rsid w:val="00FD26F1"/>
    <w:rsid w:val="00FD27B9"/>
    <w:rsid w:val="00FD2A55"/>
    <w:rsid w:val="00FD2C49"/>
    <w:rsid w:val="00FD2CFB"/>
    <w:rsid w:val="00FD2D1D"/>
    <w:rsid w:val="00FD2D66"/>
    <w:rsid w:val="00FD2DC0"/>
    <w:rsid w:val="00FD2E70"/>
    <w:rsid w:val="00FD2F1E"/>
    <w:rsid w:val="00FD3048"/>
    <w:rsid w:val="00FD328C"/>
    <w:rsid w:val="00FD3304"/>
    <w:rsid w:val="00FD374A"/>
    <w:rsid w:val="00FD3824"/>
    <w:rsid w:val="00FD39BD"/>
    <w:rsid w:val="00FD3BD6"/>
    <w:rsid w:val="00FD3CA4"/>
    <w:rsid w:val="00FD3E99"/>
    <w:rsid w:val="00FD3EE6"/>
    <w:rsid w:val="00FD3F45"/>
    <w:rsid w:val="00FD4139"/>
    <w:rsid w:val="00FD42DE"/>
    <w:rsid w:val="00FD4461"/>
    <w:rsid w:val="00FD45E2"/>
    <w:rsid w:val="00FD4671"/>
    <w:rsid w:val="00FD4787"/>
    <w:rsid w:val="00FD47DF"/>
    <w:rsid w:val="00FD4990"/>
    <w:rsid w:val="00FD4A3E"/>
    <w:rsid w:val="00FD4BE8"/>
    <w:rsid w:val="00FD4DFB"/>
    <w:rsid w:val="00FD4E4C"/>
    <w:rsid w:val="00FD4E4D"/>
    <w:rsid w:val="00FD4F5D"/>
    <w:rsid w:val="00FD4FEB"/>
    <w:rsid w:val="00FD5026"/>
    <w:rsid w:val="00FD5100"/>
    <w:rsid w:val="00FD51D1"/>
    <w:rsid w:val="00FD51FF"/>
    <w:rsid w:val="00FD52CF"/>
    <w:rsid w:val="00FD530B"/>
    <w:rsid w:val="00FD55B7"/>
    <w:rsid w:val="00FD565E"/>
    <w:rsid w:val="00FD581E"/>
    <w:rsid w:val="00FD5852"/>
    <w:rsid w:val="00FD59E7"/>
    <w:rsid w:val="00FD5CDA"/>
    <w:rsid w:val="00FD5E24"/>
    <w:rsid w:val="00FD5FB2"/>
    <w:rsid w:val="00FD5FE4"/>
    <w:rsid w:val="00FD610C"/>
    <w:rsid w:val="00FD613D"/>
    <w:rsid w:val="00FD64BC"/>
    <w:rsid w:val="00FD64ED"/>
    <w:rsid w:val="00FD6553"/>
    <w:rsid w:val="00FD6772"/>
    <w:rsid w:val="00FD683C"/>
    <w:rsid w:val="00FD6A62"/>
    <w:rsid w:val="00FD6AFB"/>
    <w:rsid w:val="00FD6D6F"/>
    <w:rsid w:val="00FD71CF"/>
    <w:rsid w:val="00FD7249"/>
    <w:rsid w:val="00FD7342"/>
    <w:rsid w:val="00FD7375"/>
    <w:rsid w:val="00FD7432"/>
    <w:rsid w:val="00FD7461"/>
    <w:rsid w:val="00FD7529"/>
    <w:rsid w:val="00FD75BF"/>
    <w:rsid w:val="00FD78A6"/>
    <w:rsid w:val="00FD78D9"/>
    <w:rsid w:val="00FD79BE"/>
    <w:rsid w:val="00FD7A37"/>
    <w:rsid w:val="00FD7A77"/>
    <w:rsid w:val="00FD7AA9"/>
    <w:rsid w:val="00FD7B7F"/>
    <w:rsid w:val="00FD7B8E"/>
    <w:rsid w:val="00FD7E47"/>
    <w:rsid w:val="00FD7EC5"/>
    <w:rsid w:val="00FD7FAD"/>
    <w:rsid w:val="00FE0113"/>
    <w:rsid w:val="00FE0266"/>
    <w:rsid w:val="00FE03ED"/>
    <w:rsid w:val="00FE0426"/>
    <w:rsid w:val="00FE0466"/>
    <w:rsid w:val="00FE0630"/>
    <w:rsid w:val="00FE06A1"/>
    <w:rsid w:val="00FE06A3"/>
    <w:rsid w:val="00FE091E"/>
    <w:rsid w:val="00FE0A44"/>
    <w:rsid w:val="00FE0AAB"/>
    <w:rsid w:val="00FE0B81"/>
    <w:rsid w:val="00FE0BC0"/>
    <w:rsid w:val="00FE0CCA"/>
    <w:rsid w:val="00FE0D55"/>
    <w:rsid w:val="00FE0D5A"/>
    <w:rsid w:val="00FE0D71"/>
    <w:rsid w:val="00FE0E19"/>
    <w:rsid w:val="00FE0F7E"/>
    <w:rsid w:val="00FE10D4"/>
    <w:rsid w:val="00FE110D"/>
    <w:rsid w:val="00FE11F5"/>
    <w:rsid w:val="00FE12E0"/>
    <w:rsid w:val="00FE150F"/>
    <w:rsid w:val="00FE15ED"/>
    <w:rsid w:val="00FE1610"/>
    <w:rsid w:val="00FE165B"/>
    <w:rsid w:val="00FE16CF"/>
    <w:rsid w:val="00FE1710"/>
    <w:rsid w:val="00FE1746"/>
    <w:rsid w:val="00FE1945"/>
    <w:rsid w:val="00FE1B37"/>
    <w:rsid w:val="00FE1B3F"/>
    <w:rsid w:val="00FE1C72"/>
    <w:rsid w:val="00FE1C80"/>
    <w:rsid w:val="00FE1D3F"/>
    <w:rsid w:val="00FE1E6B"/>
    <w:rsid w:val="00FE206A"/>
    <w:rsid w:val="00FE210C"/>
    <w:rsid w:val="00FE2379"/>
    <w:rsid w:val="00FE23E4"/>
    <w:rsid w:val="00FE2462"/>
    <w:rsid w:val="00FE2665"/>
    <w:rsid w:val="00FE272C"/>
    <w:rsid w:val="00FE27C5"/>
    <w:rsid w:val="00FE2805"/>
    <w:rsid w:val="00FE294F"/>
    <w:rsid w:val="00FE29B9"/>
    <w:rsid w:val="00FE2AF4"/>
    <w:rsid w:val="00FE2B59"/>
    <w:rsid w:val="00FE2BF4"/>
    <w:rsid w:val="00FE2F45"/>
    <w:rsid w:val="00FE2F7F"/>
    <w:rsid w:val="00FE3213"/>
    <w:rsid w:val="00FE3373"/>
    <w:rsid w:val="00FE349A"/>
    <w:rsid w:val="00FE358B"/>
    <w:rsid w:val="00FE3742"/>
    <w:rsid w:val="00FE37D8"/>
    <w:rsid w:val="00FE3832"/>
    <w:rsid w:val="00FE3884"/>
    <w:rsid w:val="00FE390B"/>
    <w:rsid w:val="00FE3B51"/>
    <w:rsid w:val="00FE3BD2"/>
    <w:rsid w:val="00FE3C40"/>
    <w:rsid w:val="00FE3C44"/>
    <w:rsid w:val="00FE3C6D"/>
    <w:rsid w:val="00FE3DC7"/>
    <w:rsid w:val="00FE3DE3"/>
    <w:rsid w:val="00FE3DF6"/>
    <w:rsid w:val="00FE3F04"/>
    <w:rsid w:val="00FE3F46"/>
    <w:rsid w:val="00FE3FDF"/>
    <w:rsid w:val="00FE430C"/>
    <w:rsid w:val="00FE4358"/>
    <w:rsid w:val="00FE4585"/>
    <w:rsid w:val="00FE4609"/>
    <w:rsid w:val="00FE470D"/>
    <w:rsid w:val="00FE495A"/>
    <w:rsid w:val="00FE49AB"/>
    <w:rsid w:val="00FE4ABC"/>
    <w:rsid w:val="00FE51DD"/>
    <w:rsid w:val="00FE541B"/>
    <w:rsid w:val="00FE544C"/>
    <w:rsid w:val="00FE5490"/>
    <w:rsid w:val="00FE5607"/>
    <w:rsid w:val="00FE5660"/>
    <w:rsid w:val="00FE5723"/>
    <w:rsid w:val="00FE5899"/>
    <w:rsid w:val="00FE5A28"/>
    <w:rsid w:val="00FE5B31"/>
    <w:rsid w:val="00FE5C05"/>
    <w:rsid w:val="00FE5CA1"/>
    <w:rsid w:val="00FE5CDE"/>
    <w:rsid w:val="00FE5DBF"/>
    <w:rsid w:val="00FE5E2A"/>
    <w:rsid w:val="00FE5EBC"/>
    <w:rsid w:val="00FE5F00"/>
    <w:rsid w:val="00FE623E"/>
    <w:rsid w:val="00FE634D"/>
    <w:rsid w:val="00FE638D"/>
    <w:rsid w:val="00FE646C"/>
    <w:rsid w:val="00FE6502"/>
    <w:rsid w:val="00FE6642"/>
    <w:rsid w:val="00FE66C2"/>
    <w:rsid w:val="00FE67D4"/>
    <w:rsid w:val="00FE6959"/>
    <w:rsid w:val="00FE6A7C"/>
    <w:rsid w:val="00FE6ABA"/>
    <w:rsid w:val="00FE6BC4"/>
    <w:rsid w:val="00FE6C67"/>
    <w:rsid w:val="00FE6E67"/>
    <w:rsid w:val="00FE6F5F"/>
    <w:rsid w:val="00FE6F97"/>
    <w:rsid w:val="00FE70BD"/>
    <w:rsid w:val="00FE7131"/>
    <w:rsid w:val="00FE727C"/>
    <w:rsid w:val="00FE7319"/>
    <w:rsid w:val="00FE7334"/>
    <w:rsid w:val="00FE75B7"/>
    <w:rsid w:val="00FE77D5"/>
    <w:rsid w:val="00FE78D5"/>
    <w:rsid w:val="00FE792F"/>
    <w:rsid w:val="00FE7982"/>
    <w:rsid w:val="00FE7B27"/>
    <w:rsid w:val="00FE7DFF"/>
    <w:rsid w:val="00FE7E1F"/>
    <w:rsid w:val="00FE7E35"/>
    <w:rsid w:val="00FE7E50"/>
    <w:rsid w:val="00FF0023"/>
    <w:rsid w:val="00FF0055"/>
    <w:rsid w:val="00FF0130"/>
    <w:rsid w:val="00FF0238"/>
    <w:rsid w:val="00FF04CC"/>
    <w:rsid w:val="00FF05A2"/>
    <w:rsid w:val="00FF066B"/>
    <w:rsid w:val="00FF076A"/>
    <w:rsid w:val="00FF0791"/>
    <w:rsid w:val="00FF086A"/>
    <w:rsid w:val="00FF087A"/>
    <w:rsid w:val="00FF08DD"/>
    <w:rsid w:val="00FF0988"/>
    <w:rsid w:val="00FF0A43"/>
    <w:rsid w:val="00FF0ACB"/>
    <w:rsid w:val="00FF0BE7"/>
    <w:rsid w:val="00FF0C94"/>
    <w:rsid w:val="00FF0D04"/>
    <w:rsid w:val="00FF0DB5"/>
    <w:rsid w:val="00FF0DC1"/>
    <w:rsid w:val="00FF0F0F"/>
    <w:rsid w:val="00FF109C"/>
    <w:rsid w:val="00FF1147"/>
    <w:rsid w:val="00FF11CE"/>
    <w:rsid w:val="00FF1298"/>
    <w:rsid w:val="00FF13D1"/>
    <w:rsid w:val="00FF146F"/>
    <w:rsid w:val="00FF1640"/>
    <w:rsid w:val="00FF1666"/>
    <w:rsid w:val="00FF16C4"/>
    <w:rsid w:val="00FF1704"/>
    <w:rsid w:val="00FF17D3"/>
    <w:rsid w:val="00FF1812"/>
    <w:rsid w:val="00FF1993"/>
    <w:rsid w:val="00FF1A6C"/>
    <w:rsid w:val="00FF1A84"/>
    <w:rsid w:val="00FF1A8F"/>
    <w:rsid w:val="00FF1BD4"/>
    <w:rsid w:val="00FF1C56"/>
    <w:rsid w:val="00FF1CF1"/>
    <w:rsid w:val="00FF1E64"/>
    <w:rsid w:val="00FF1E82"/>
    <w:rsid w:val="00FF1FA3"/>
    <w:rsid w:val="00FF201E"/>
    <w:rsid w:val="00FF213D"/>
    <w:rsid w:val="00FF21BE"/>
    <w:rsid w:val="00FF21D1"/>
    <w:rsid w:val="00FF2479"/>
    <w:rsid w:val="00FF2492"/>
    <w:rsid w:val="00FF2512"/>
    <w:rsid w:val="00FF2715"/>
    <w:rsid w:val="00FF2792"/>
    <w:rsid w:val="00FF2975"/>
    <w:rsid w:val="00FF2A38"/>
    <w:rsid w:val="00FF2AE7"/>
    <w:rsid w:val="00FF2BE7"/>
    <w:rsid w:val="00FF2BF8"/>
    <w:rsid w:val="00FF2D06"/>
    <w:rsid w:val="00FF33B3"/>
    <w:rsid w:val="00FF3405"/>
    <w:rsid w:val="00FF3449"/>
    <w:rsid w:val="00FF35B3"/>
    <w:rsid w:val="00FF35BF"/>
    <w:rsid w:val="00FF3747"/>
    <w:rsid w:val="00FF38F4"/>
    <w:rsid w:val="00FF39A3"/>
    <w:rsid w:val="00FF3C16"/>
    <w:rsid w:val="00FF3E2C"/>
    <w:rsid w:val="00FF3F2B"/>
    <w:rsid w:val="00FF3FB4"/>
    <w:rsid w:val="00FF4083"/>
    <w:rsid w:val="00FF40CE"/>
    <w:rsid w:val="00FF41CD"/>
    <w:rsid w:val="00FF41DB"/>
    <w:rsid w:val="00FF4209"/>
    <w:rsid w:val="00FF4277"/>
    <w:rsid w:val="00FF4426"/>
    <w:rsid w:val="00FF4520"/>
    <w:rsid w:val="00FF456A"/>
    <w:rsid w:val="00FF45F1"/>
    <w:rsid w:val="00FF465B"/>
    <w:rsid w:val="00FF4764"/>
    <w:rsid w:val="00FF478C"/>
    <w:rsid w:val="00FF47D4"/>
    <w:rsid w:val="00FF48DC"/>
    <w:rsid w:val="00FF4901"/>
    <w:rsid w:val="00FF4950"/>
    <w:rsid w:val="00FF49F7"/>
    <w:rsid w:val="00FF4A79"/>
    <w:rsid w:val="00FF4C17"/>
    <w:rsid w:val="00FF4F42"/>
    <w:rsid w:val="00FF4F58"/>
    <w:rsid w:val="00FF4F9E"/>
    <w:rsid w:val="00FF5112"/>
    <w:rsid w:val="00FF5133"/>
    <w:rsid w:val="00FF519D"/>
    <w:rsid w:val="00FF526C"/>
    <w:rsid w:val="00FF52EC"/>
    <w:rsid w:val="00FF5355"/>
    <w:rsid w:val="00FF5383"/>
    <w:rsid w:val="00FF542D"/>
    <w:rsid w:val="00FF5688"/>
    <w:rsid w:val="00FF5781"/>
    <w:rsid w:val="00FF5864"/>
    <w:rsid w:val="00FF5910"/>
    <w:rsid w:val="00FF5A41"/>
    <w:rsid w:val="00FF5CE9"/>
    <w:rsid w:val="00FF5FC7"/>
    <w:rsid w:val="00FF61AA"/>
    <w:rsid w:val="00FF61C4"/>
    <w:rsid w:val="00FF6227"/>
    <w:rsid w:val="00FF6378"/>
    <w:rsid w:val="00FF655E"/>
    <w:rsid w:val="00FF66A8"/>
    <w:rsid w:val="00FF66E5"/>
    <w:rsid w:val="00FF681F"/>
    <w:rsid w:val="00FF6854"/>
    <w:rsid w:val="00FF68F2"/>
    <w:rsid w:val="00FF6A7C"/>
    <w:rsid w:val="00FF6ACB"/>
    <w:rsid w:val="00FF6B39"/>
    <w:rsid w:val="00FF6BC5"/>
    <w:rsid w:val="00FF6BD0"/>
    <w:rsid w:val="00FF6C01"/>
    <w:rsid w:val="00FF6DD9"/>
    <w:rsid w:val="00FF6E3F"/>
    <w:rsid w:val="00FF6FAD"/>
    <w:rsid w:val="00FF6FB7"/>
    <w:rsid w:val="00FF7040"/>
    <w:rsid w:val="00FF7085"/>
    <w:rsid w:val="00FF72A3"/>
    <w:rsid w:val="00FF73AD"/>
    <w:rsid w:val="00FF7412"/>
    <w:rsid w:val="00FF7486"/>
    <w:rsid w:val="00FF7562"/>
    <w:rsid w:val="00FF76E6"/>
    <w:rsid w:val="00FF76EB"/>
    <w:rsid w:val="00FF7938"/>
    <w:rsid w:val="00FF79CE"/>
    <w:rsid w:val="00FF7AC9"/>
    <w:rsid w:val="00FF7B1E"/>
    <w:rsid w:val="00FF7B29"/>
    <w:rsid w:val="00FF7CBE"/>
    <w:rsid w:val="00FF7D4E"/>
    <w:rsid w:val="00FF7E79"/>
    <w:rsid w:val="00FF7EFA"/>
    <w:rsid w:val="00FF7F5E"/>
    <w:rsid w:val="0104D2DA"/>
    <w:rsid w:val="0129D331"/>
    <w:rsid w:val="0142959F"/>
    <w:rsid w:val="016C988A"/>
    <w:rsid w:val="01F85A60"/>
    <w:rsid w:val="020DE835"/>
    <w:rsid w:val="021FB6F9"/>
    <w:rsid w:val="0232CB67"/>
    <w:rsid w:val="0268CC73"/>
    <w:rsid w:val="027F7AF9"/>
    <w:rsid w:val="02AEE365"/>
    <w:rsid w:val="02BEAC8F"/>
    <w:rsid w:val="02E82B52"/>
    <w:rsid w:val="03241260"/>
    <w:rsid w:val="038DB041"/>
    <w:rsid w:val="039C8147"/>
    <w:rsid w:val="03B92509"/>
    <w:rsid w:val="03DD167B"/>
    <w:rsid w:val="03E892FB"/>
    <w:rsid w:val="046D2DC2"/>
    <w:rsid w:val="047C1B18"/>
    <w:rsid w:val="04BCA604"/>
    <w:rsid w:val="04DAB6EF"/>
    <w:rsid w:val="05217E6A"/>
    <w:rsid w:val="053273C3"/>
    <w:rsid w:val="05720449"/>
    <w:rsid w:val="05A29742"/>
    <w:rsid w:val="05AF68F5"/>
    <w:rsid w:val="05CFABAB"/>
    <w:rsid w:val="05E2F7E2"/>
    <w:rsid w:val="061005C1"/>
    <w:rsid w:val="061B14D0"/>
    <w:rsid w:val="065833DA"/>
    <w:rsid w:val="067473FC"/>
    <w:rsid w:val="06773C71"/>
    <w:rsid w:val="0696E6C6"/>
    <w:rsid w:val="06B30848"/>
    <w:rsid w:val="06EBBC9C"/>
    <w:rsid w:val="07146F38"/>
    <w:rsid w:val="07361009"/>
    <w:rsid w:val="0755C8A5"/>
    <w:rsid w:val="079D75DB"/>
    <w:rsid w:val="07DEE4D7"/>
    <w:rsid w:val="08068A51"/>
    <w:rsid w:val="081884B8"/>
    <w:rsid w:val="08304828"/>
    <w:rsid w:val="0832F224"/>
    <w:rsid w:val="08740583"/>
    <w:rsid w:val="0877DDAF"/>
    <w:rsid w:val="0892B89C"/>
    <w:rsid w:val="091DDBC7"/>
    <w:rsid w:val="09284719"/>
    <w:rsid w:val="093C597F"/>
    <w:rsid w:val="0972C287"/>
    <w:rsid w:val="098FBB58"/>
    <w:rsid w:val="09AD3E1D"/>
    <w:rsid w:val="09C1455A"/>
    <w:rsid w:val="09DDF4F3"/>
    <w:rsid w:val="09DED14F"/>
    <w:rsid w:val="09FD528E"/>
    <w:rsid w:val="0A148718"/>
    <w:rsid w:val="0A64AEE0"/>
    <w:rsid w:val="0A69D687"/>
    <w:rsid w:val="0A6EE99A"/>
    <w:rsid w:val="0A9040EA"/>
    <w:rsid w:val="0AB2AF1F"/>
    <w:rsid w:val="0AB54C67"/>
    <w:rsid w:val="0ABFA384"/>
    <w:rsid w:val="0AD382CD"/>
    <w:rsid w:val="0AE06B5D"/>
    <w:rsid w:val="0B18DAAD"/>
    <w:rsid w:val="0B25C6FD"/>
    <w:rsid w:val="0B5AB882"/>
    <w:rsid w:val="0B649B44"/>
    <w:rsid w:val="0B756025"/>
    <w:rsid w:val="0B76E227"/>
    <w:rsid w:val="0B87B1C5"/>
    <w:rsid w:val="0BA39566"/>
    <w:rsid w:val="0BA617B9"/>
    <w:rsid w:val="0BAD7B1B"/>
    <w:rsid w:val="0BDF1A6A"/>
    <w:rsid w:val="0BE6A1AC"/>
    <w:rsid w:val="0BE725D3"/>
    <w:rsid w:val="0BF71335"/>
    <w:rsid w:val="0BFDACAD"/>
    <w:rsid w:val="0BFE6FE5"/>
    <w:rsid w:val="0C349FB5"/>
    <w:rsid w:val="0C5B66D8"/>
    <w:rsid w:val="0C62A6FC"/>
    <w:rsid w:val="0C64BEB7"/>
    <w:rsid w:val="0C664B81"/>
    <w:rsid w:val="0C6E4556"/>
    <w:rsid w:val="0C9C122E"/>
    <w:rsid w:val="0CB0712C"/>
    <w:rsid w:val="0D1A1320"/>
    <w:rsid w:val="0D34E808"/>
    <w:rsid w:val="0D7D4F48"/>
    <w:rsid w:val="0D945225"/>
    <w:rsid w:val="0DB776AC"/>
    <w:rsid w:val="0DC1E72B"/>
    <w:rsid w:val="0E05E502"/>
    <w:rsid w:val="0E1DC72C"/>
    <w:rsid w:val="0E5767E6"/>
    <w:rsid w:val="0EB25E81"/>
    <w:rsid w:val="0ECEC883"/>
    <w:rsid w:val="0F0A0FE7"/>
    <w:rsid w:val="0F17C049"/>
    <w:rsid w:val="0F384616"/>
    <w:rsid w:val="0F59E581"/>
    <w:rsid w:val="0F63260A"/>
    <w:rsid w:val="0F6EEA59"/>
    <w:rsid w:val="0F849E6F"/>
    <w:rsid w:val="0F87C1B7"/>
    <w:rsid w:val="0F955C74"/>
    <w:rsid w:val="0FE93E40"/>
    <w:rsid w:val="10211529"/>
    <w:rsid w:val="1021B698"/>
    <w:rsid w:val="10496038"/>
    <w:rsid w:val="10A7E06F"/>
    <w:rsid w:val="10B02090"/>
    <w:rsid w:val="10EEC57C"/>
    <w:rsid w:val="11170A3D"/>
    <w:rsid w:val="116E3F6F"/>
    <w:rsid w:val="1197FD5D"/>
    <w:rsid w:val="11A184A9"/>
    <w:rsid w:val="11A213A4"/>
    <w:rsid w:val="11C79837"/>
    <w:rsid w:val="120FA5DD"/>
    <w:rsid w:val="1217D946"/>
    <w:rsid w:val="1253C271"/>
    <w:rsid w:val="1268CD74"/>
    <w:rsid w:val="128AA8AA"/>
    <w:rsid w:val="12C88BB9"/>
    <w:rsid w:val="131C5BC5"/>
    <w:rsid w:val="13AA3F06"/>
    <w:rsid w:val="13B51297"/>
    <w:rsid w:val="13E9D4C1"/>
    <w:rsid w:val="1402C3D2"/>
    <w:rsid w:val="1430DC6E"/>
    <w:rsid w:val="14A40B8C"/>
    <w:rsid w:val="14C1287F"/>
    <w:rsid w:val="14D6642F"/>
    <w:rsid w:val="14FBCF65"/>
    <w:rsid w:val="152FF420"/>
    <w:rsid w:val="1549CEA8"/>
    <w:rsid w:val="158A2DDD"/>
    <w:rsid w:val="1593D8E6"/>
    <w:rsid w:val="15BE8108"/>
    <w:rsid w:val="15CBEC87"/>
    <w:rsid w:val="15CECC52"/>
    <w:rsid w:val="15D6C99F"/>
    <w:rsid w:val="1628E288"/>
    <w:rsid w:val="162E6A78"/>
    <w:rsid w:val="1641990A"/>
    <w:rsid w:val="16529E1F"/>
    <w:rsid w:val="165AA6F5"/>
    <w:rsid w:val="167D0D9E"/>
    <w:rsid w:val="16B3A580"/>
    <w:rsid w:val="16D95547"/>
    <w:rsid w:val="16EEB032"/>
    <w:rsid w:val="16FD2AF5"/>
    <w:rsid w:val="171290E6"/>
    <w:rsid w:val="17400399"/>
    <w:rsid w:val="174B79B1"/>
    <w:rsid w:val="179BA321"/>
    <w:rsid w:val="17CB2691"/>
    <w:rsid w:val="17E8C79D"/>
    <w:rsid w:val="17FB709C"/>
    <w:rsid w:val="184B5144"/>
    <w:rsid w:val="18A6D6FE"/>
    <w:rsid w:val="18BBFF87"/>
    <w:rsid w:val="18D22B67"/>
    <w:rsid w:val="1905B12F"/>
    <w:rsid w:val="19302FB3"/>
    <w:rsid w:val="194E503F"/>
    <w:rsid w:val="1969D4C8"/>
    <w:rsid w:val="19AEFE80"/>
    <w:rsid w:val="19C1D658"/>
    <w:rsid w:val="19DCBBFB"/>
    <w:rsid w:val="19DE5A72"/>
    <w:rsid w:val="19E40583"/>
    <w:rsid w:val="19E988E8"/>
    <w:rsid w:val="1A25774C"/>
    <w:rsid w:val="1A296D12"/>
    <w:rsid w:val="1A40F1C9"/>
    <w:rsid w:val="1A46466C"/>
    <w:rsid w:val="1A5252FC"/>
    <w:rsid w:val="1A970CAE"/>
    <w:rsid w:val="1AAE2E20"/>
    <w:rsid w:val="1AC0E466"/>
    <w:rsid w:val="1AC951FA"/>
    <w:rsid w:val="1B324851"/>
    <w:rsid w:val="1B4289E8"/>
    <w:rsid w:val="1B80533B"/>
    <w:rsid w:val="1B9C7A28"/>
    <w:rsid w:val="1BB64615"/>
    <w:rsid w:val="1C0F00AA"/>
    <w:rsid w:val="1C75C60C"/>
    <w:rsid w:val="1C83B414"/>
    <w:rsid w:val="1C8D3B63"/>
    <w:rsid w:val="1C91C0C6"/>
    <w:rsid w:val="1CBA1627"/>
    <w:rsid w:val="1CBBD4B9"/>
    <w:rsid w:val="1D01AD55"/>
    <w:rsid w:val="1D06BB6E"/>
    <w:rsid w:val="1D0F6256"/>
    <w:rsid w:val="1D76A3B4"/>
    <w:rsid w:val="1DA80638"/>
    <w:rsid w:val="1DC6EACE"/>
    <w:rsid w:val="1DF3E215"/>
    <w:rsid w:val="1DFB9A21"/>
    <w:rsid w:val="1DFC92DA"/>
    <w:rsid w:val="1E0BE393"/>
    <w:rsid w:val="1E472D29"/>
    <w:rsid w:val="1E6BA484"/>
    <w:rsid w:val="1E7EF66D"/>
    <w:rsid w:val="1E925762"/>
    <w:rsid w:val="1EDC8732"/>
    <w:rsid w:val="1EF30806"/>
    <w:rsid w:val="1F248CC7"/>
    <w:rsid w:val="1F329361"/>
    <w:rsid w:val="1F47F7F0"/>
    <w:rsid w:val="1F503969"/>
    <w:rsid w:val="1F650914"/>
    <w:rsid w:val="1F913CC9"/>
    <w:rsid w:val="1F9BF1D3"/>
    <w:rsid w:val="1FA0EFE3"/>
    <w:rsid w:val="1FC01208"/>
    <w:rsid w:val="1FC31709"/>
    <w:rsid w:val="1FD53EFB"/>
    <w:rsid w:val="1FF055CA"/>
    <w:rsid w:val="1FFBD8F9"/>
    <w:rsid w:val="2009DDE1"/>
    <w:rsid w:val="202E4590"/>
    <w:rsid w:val="20501110"/>
    <w:rsid w:val="2069D996"/>
    <w:rsid w:val="208E6664"/>
    <w:rsid w:val="20BF311B"/>
    <w:rsid w:val="20DD5181"/>
    <w:rsid w:val="216BEC78"/>
    <w:rsid w:val="2170906F"/>
    <w:rsid w:val="218BE756"/>
    <w:rsid w:val="2239C52A"/>
    <w:rsid w:val="226A5665"/>
    <w:rsid w:val="22787CA5"/>
    <w:rsid w:val="22F77FCD"/>
    <w:rsid w:val="2337530E"/>
    <w:rsid w:val="23A79820"/>
    <w:rsid w:val="23BB4610"/>
    <w:rsid w:val="23BF2817"/>
    <w:rsid w:val="23EE96BC"/>
    <w:rsid w:val="23F849A8"/>
    <w:rsid w:val="23FE4A1D"/>
    <w:rsid w:val="2421F94C"/>
    <w:rsid w:val="24266548"/>
    <w:rsid w:val="243A9571"/>
    <w:rsid w:val="2468B721"/>
    <w:rsid w:val="2489C11B"/>
    <w:rsid w:val="24D0B065"/>
    <w:rsid w:val="24ECE29B"/>
    <w:rsid w:val="2515821A"/>
    <w:rsid w:val="251B8EF3"/>
    <w:rsid w:val="254963D5"/>
    <w:rsid w:val="25612BC3"/>
    <w:rsid w:val="257331BB"/>
    <w:rsid w:val="25933174"/>
    <w:rsid w:val="2594C8C4"/>
    <w:rsid w:val="25A89288"/>
    <w:rsid w:val="25C4A71A"/>
    <w:rsid w:val="260F8DA5"/>
    <w:rsid w:val="2619621A"/>
    <w:rsid w:val="262DF063"/>
    <w:rsid w:val="2635F78B"/>
    <w:rsid w:val="26701B09"/>
    <w:rsid w:val="26966EBA"/>
    <w:rsid w:val="26BAD9E3"/>
    <w:rsid w:val="2733FC76"/>
    <w:rsid w:val="27583F7D"/>
    <w:rsid w:val="2791A347"/>
    <w:rsid w:val="27CBF197"/>
    <w:rsid w:val="27E6EB5A"/>
    <w:rsid w:val="28198C2C"/>
    <w:rsid w:val="28985650"/>
    <w:rsid w:val="28A261D9"/>
    <w:rsid w:val="28B0AFC3"/>
    <w:rsid w:val="28B23579"/>
    <w:rsid w:val="28BF0900"/>
    <w:rsid w:val="28DE73B9"/>
    <w:rsid w:val="28FD680B"/>
    <w:rsid w:val="2911987A"/>
    <w:rsid w:val="29471D2B"/>
    <w:rsid w:val="296AFE2A"/>
    <w:rsid w:val="29A9BC2E"/>
    <w:rsid w:val="29CA1D0A"/>
    <w:rsid w:val="29DE3F37"/>
    <w:rsid w:val="29E05EDC"/>
    <w:rsid w:val="29EBA35A"/>
    <w:rsid w:val="29F94AF1"/>
    <w:rsid w:val="2A09F55B"/>
    <w:rsid w:val="2A1431B4"/>
    <w:rsid w:val="2A19B2EA"/>
    <w:rsid w:val="2A1E75CB"/>
    <w:rsid w:val="2A34F50D"/>
    <w:rsid w:val="2A3C2724"/>
    <w:rsid w:val="2A7439DA"/>
    <w:rsid w:val="2A84D6E0"/>
    <w:rsid w:val="2A8AD5D0"/>
    <w:rsid w:val="2A9C3518"/>
    <w:rsid w:val="2AB4C838"/>
    <w:rsid w:val="2B252CBD"/>
    <w:rsid w:val="2B28C291"/>
    <w:rsid w:val="2B67ECBC"/>
    <w:rsid w:val="2B7CB32F"/>
    <w:rsid w:val="2B82D738"/>
    <w:rsid w:val="2B84A840"/>
    <w:rsid w:val="2B9EFAFF"/>
    <w:rsid w:val="2BA58462"/>
    <w:rsid w:val="2BAA38EE"/>
    <w:rsid w:val="2BB93561"/>
    <w:rsid w:val="2BC80BC9"/>
    <w:rsid w:val="2BEAE9D1"/>
    <w:rsid w:val="2BFB2B26"/>
    <w:rsid w:val="2C1FD233"/>
    <w:rsid w:val="2C1FE058"/>
    <w:rsid w:val="2C8BC8D1"/>
    <w:rsid w:val="2CD73A36"/>
    <w:rsid w:val="2CF6F3DC"/>
    <w:rsid w:val="2D2F5CA3"/>
    <w:rsid w:val="2D350090"/>
    <w:rsid w:val="2D3BF68C"/>
    <w:rsid w:val="2D4F3F5B"/>
    <w:rsid w:val="2D723616"/>
    <w:rsid w:val="2D796ABF"/>
    <w:rsid w:val="2D891107"/>
    <w:rsid w:val="2DAE7809"/>
    <w:rsid w:val="2DCB9DB1"/>
    <w:rsid w:val="2DD68E2B"/>
    <w:rsid w:val="2DEC4F69"/>
    <w:rsid w:val="2DED60D5"/>
    <w:rsid w:val="2E0CEFAD"/>
    <w:rsid w:val="2E6345A1"/>
    <w:rsid w:val="2EC76267"/>
    <w:rsid w:val="2EE2E9A1"/>
    <w:rsid w:val="2F1523BB"/>
    <w:rsid w:val="2F4079BB"/>
    <w:rsid w:val="2F48F318"/>
    <w:rsid w:val="2F681BEA"/>
    <w:rsid w:val="2F747F77"/>
    <w:rsid w:val="2F8AD6A8"/>
    <w:rsid w:val="2F919C07"/>
    <w:rsid w:val="2FABD35C"/>
    <w:rsid w:val="2FFCF6D3"/>
    <w:rsid w:val="301BC2E9"/>
    <w:rsid w:val="30535573"/>
    <w:rsid w:val="3098EBA7"/>
    <w:rsid w:val="30BA9578"/>
    <w:rsid w:val="30C9D352"/>
    <w:rsid w:val="30D3C36E"/>
    <w:rsid w:val="30D435B9"/>
    <w:rsid w:val="30EC91CA"/>
    <w:rsid w:val="310AAA8A"/>
    <w:rsid w:val="31246BD8"/>
    <w:rsid w:val="31628291"/>
    <w:rsid w:val="3163E446"/>
    <w:rsid w:val="3187054C"/>
    <w:rsid w:val="319BA259"/>
    <w:rsid w:val="31EEDB03"/>
    <w:rsid w:val="32648C1B"/>
    <w:rsid w:val="32F9035A"/>
    <w:rsid w:val="330CC7B6"/>
    <w:rsid w:val="33DF27E0"/>
    <w:rsid w:val="33F67B18"/>
    <w:rsid w:val="343FF67B"/>
    <w:rsid w:val="3474A409"/>
    <w:rsid w:val="348D8E53"/>
    <w:rsid w:val="349466C3"/>
    <w:rsid w:val="34D4BB3A"/>
    <w:rsid w:val="359BDAE3"/>
    <w:rsid w:val="35DFD9DE"/>
    <w:rsid w:val="35E00C1F"/>
    <w:rsid w:val="35F84FA0"/>
    <w:rsid w:val="35FE0B5A"/>
    <w:rsid w:val="3621B7BC"/>
    <w:rsid w:val="362FF25D"/>
    <w:rsid w:val="367ABCE0"/>
    <w:rsid w:val="368371BD"/>
    <w:rsid w:val="36CB0244"/>
    <w:rsid w:val="36CCC543"/>
    <w:rsid w:val="36D40994"/>
    <w:rsid w:val="36DBD4BE"/>
    <w:rsid w:val="36F1FFCD"/>
    <w:rsid w:val="3700CE26"/>
    <w:rsid w:val="370A88FD"/>
    <w:rsid w:val="372E8089"/>
    <w:rsid w:val="373B0C69"/>
    <w:rsid w:val="375704B8"/>
    <w:rsid w:val="378A1A57"/>
    <w:rsid w:val="379E8F83"/>
    <w:rsid w:val="37BB82A4"/>
    <w:rsid w:val="37C76B75"/>
    <w:rsid w:val="37DCBDD4"/>
    <w:rsid w:val="37F5E994"/>
    <w:rsid w:val="3813751A"/>
    <w:rsid w:val="38620F10"/>
    <w:rsid w:val="3879783C"/>
    <w:rsid w:val="38805FCE"/>
    <w:rsid w:val="389FE0C3"/>
    <w:rsid w:val="38CB7A70"/>
    <w:rsid w:val="38D4A901"/>
    <w:rsid w:val="38F0A272"/>
    <w:rsid w:val="38F60136"/>
    <w:rsid w:val="390CBE99"/>
    <w:rsid w:val="39207427"/>
    <w:rsid w:val="392885B2"/>
    <w:rsid w:val="392A9E15"/>
    <w:rsid w:val="39971CE9"/>
    <w:rsid w:val="39B4F2B1"/>
    <w:rsid w:val="39EC3322"/>
    <w:rsid w:val="3A2C113B"/>
    <w:rsid w:val="3A32DEF8"/>
    <w:rsid w:val="3A33655A"/>
    <w:rsid w:val="3A3F8D9B"/>
    <w:rsid w:val="3A45333A"/>
    <w:rsid w:val="3A5B210E"/>
    <w:rsid w:val="3A6FFAAB"/>
    <w:rsid w:val="3A70578B"/>
    <w:rsid w:val="3A720CA2"/>
    <w:rsid w:val="3AA2F51C"/>
    <w:rsid w:val="3AACA82E"/>
    <w:rsid w:val="3ABD5B02"/>
    <w:rsid w:val="3B091FBE"/>
    <w:rsid w:val="3B1A3E2D"/>
    <w:rsid w:val="3B620124"/>
    <w:rsid w:val="3B6C23F8"/>
    <w:rsid w:val="3B6CD9D1"/>
    <w:rsid w:val="3B8E2C6D"/>
    <w:rsid w:val="3BA2F91C"/>
    <w:rsid w:val="3BA6A895"/>
    <w:rsid w:val="3BC25821"/>
    <w:rsid w:val="3BD18FFA"/>
    <w:rsid w:val="3BD6E6D8"/>
    <w:rsid w:val="3BF2E187"/>
    <w:rsid w:val="3C0F0A23"/>
    <w:rsid w:val="3C128A00"/>
    <w:rsid w:val="3C8CEE85"/>
    <w:rsid w:val="3CC65919"/>
    <w:rsid w:val="3D0329B6"/>
    <w:rsid w:val="3D2C7AA8"/>
    <w:rsid w:val="3D69459A"/>
    <w:rsid w:val="3D6B3076"/>
    <w:rsid w:val="3DB32151"/>
    <w:rsid w:val="3DBE5409"/>
    <w:rsid w:val="3DEC06E7"/>
    <w:rsid w:val="3E0BE330"/>
    <w:rsid w:val="3E691520"/>
    <w:rsid w:val="3E778BB8"/>
    <w:rsid w:val="3F4CABF1"/>
    <w:rsid w:val="3FBB4295"/>
    <w:rsid w:val="3FBEAB2D"/>
    <w:rsid w:val="4000D17F"/>
    <w:rsid w:val="4006CC47"/>
    <w:rsid w:val="400FB54B"/>
    <w:rsid w:val="4086971E"/>
    <w:rsid w:val="40FC7276"/>
    <w:rsid w:val="411C0547"/>
    <w:rsid w:val="413862FC"/>
    <w:rsid w:val="4198EE31"/>
    <w:rsid w:val="41A638A0"/>
    <w:rsid w:val="41FEEB78"/>
    <w:rsid w:val="42191B55"/>
    <w:rsid w:val="422982B3"/>
    <w:rsid w:val="4233DBA1"/>
    <w:rsid w:val="42454335"/>
    <w:rsid w:val="42AD21F2"/>
    <w:rsid w:val="42F18341"/>
    <w:rsid w:val="42FD9807"/>
    <w:rsid w:val="431BC34F"/>
    <w:rsid w:val="431D5BA9"/>
    <w:rsid w:val="43330220"/>
    <w:rsid w:val="43519A84"/>
    <w:rsid w:val="435EBA92"/>
    <w:rsid w:val="4379E062"/>
    <w:rsid w:val="43852883"/>
    <w:rsid w:val="4385F7B6"/>
    <w:rsid w:val="43A7BAD6"/>
    <w:rsid w:val="43AEECA2"/>
    <w:rsid w:val="43B0D1AF"/>
    <w:rsid w:val="43B58078"/>
    <w:rsid w:val="4438448D"/>
    <w:rsid w:val="443B2C26"/>
    <w:rsid w:val="4452A002"/>
    <w:rsid w:val="44C14DEF"/>
    <w:rsid w:val="44E28EF6"/>
    <w:rsid w:val="4502669F"/>
    <w:rsid w:val="45065D7C"/>
    <w:rsid w:val="45142E89"/>
    <w:rsid w:val="45257637"/>
    <w:rsid w:val="455346B6"/>
    <w:rsid w:val="457F02F2"/>
    <w:rsid w:val="4591A999"/>
    <w:rsid w:val="45BE009F"/>
    <w:rsid w:val="45D386B8"/>
    <w:rsid w:val="4610C514"/>
    <w:rsid w:val="4622299E"/>
    <w:rsid w:val="462812EC"/>
    <w:rsid w:val="4636FFE4"/>
    <w:rsid w:val="4646DBEF"/>
    <w:rsid w:val="46960C56"/>
    <w:rsid w:val="46AC401B"/>
    <w:rsid w:val="4736A6FD"/>
    <w:rsid w:val="479447D3"/>
    <w:rsid w:val="47B97287"/>
    <w:rsid w:val="47ED03A7"/>
    <w:rsid w:val="47FCCB8B"/>
    <w:rsid w:val="48117B2F"/>
    <w:rsid w:val="481A0FEC"/>
    <w:rsid w:val="48486338"/>
    <w:rsid w:val="4863CCAD"/>
    <w:rsid w:val="4873C8DA"/>
    <w:rsid w:val="48AABFD4"/>
    <w:rsid w:val="48B5C0D8"/>
    <w:rsid w:val="48C74C09"/>
    <w:rsid w:val="48D13D6C"/>
    <w:rsid w:val="48DB8C00"/>
    <w:rsid w:val="48E792DF"/>
    <w:rsid w:val="491926CD"/>
    <w:rsid w:val="4937457A"/>
    <w:rsid w:val="495868A5"/>
    <w:rsid w:val="49860303"/>
    <w:rsid w:val="49947C33"/>
    <w:rsid w:val="4A34B9FE"/>
    <w:rsid w:val="4A392448"/>
    <w:rsid w:val="4A9C8E1B"/>
    <w:rsid w:val="4ADFA280"/>
    <w:rsid w:val="4B02F18E"/>
    <w:rsid w:val="4B1DD359"/>
    <w:rsid w:val="4B288A75"/>
    <w:rsid w:val="4B3CB447"/>
    <w:rsid w:val="4B4241B9"/>
    <w:rsid w:val="4B6E77C0"/>
    <w:rsid w:val="4B91591F"/>
    <w:rsid w:val="4BA8B05A"/>
    <w:rsid w:val="4BAB3656"/>
    <w:rsid w:val="4BAC6940"/>
    <w:rsid w:val="4BC0DABA"/>
    <w:rsid w:val="4BD35261"/>
    <w:rsid w:val="4C3D7960"/>
    <w:rsid w:val="4C6D7748"/>
    <w:rsid w:val="4CAA1ADE"/>
    <w:rsid w:val="4CAB4B5D"/>
    <w:rsid w:val="4D627ED8"/>
    <w:rsid w:val="4D65B9DB"/>
    <w:rsid w:val="4D83C1B2"/>
    <w:rsid w:val="4D9E74B8"/>
    <w:rsid w:val="4DD6BDF6"/>
    <w:rsid w:val="4DF1803E"/>
    <w:rsid w:val="4DFB921A"/>
    <w:rsid w:val="4E34D879"/>
    <w:rsid w:val="4E37CAA4"/>
    <w:rsid w:val="4EACE1A8"/>
    <w:rsid w:val="4EE72A0C"/>
    <w:rsid w:val="4EE8FD5C"/>
    <w:rsid w:val="4EEBF782"/>
    <w:rsid w:val="4EF93E4B"/>
    <w:rsid w:val="4F29D7E7"/>
    <w:rsid w:val="4F3A6A7B"/>
    <w:rsid w:val="4F6B270B"/>
    <w:rsid w:val="4F8D309C"/>
    <w:rsid w:val="4F9CD738"/>
    <w:rsid w:val="4F9D1FFF"/>
    <w:rsid w:val="4FA52931"/>
    <w:rsid w:val="4FB26F42"/>
    <w:rsid w:val="4FEA9707"/>
    <w:rsid w:val="4FEDA5A3"/>
    <w:rsid w:val="5017FF05"/>
    <w:rsid w:val="502A2870"/>
    <w:rsid w:val="504704F9"/>
    <w:rsid w:val="5051C6FF"/>
    <w:rsid w:val="50B71EC5"/>
    <w:rsid w:val="50D12C12"/>
    <w:rsid w:val="50ECDD65"/>
    <w:rsid w:val="51153E6E"/>
    <w:rsid w:val="513262C6"/>
    <w:rsid w:val="516FEE53"/>
    <w:rsid w:val="51C7BB56"/>
    <w:rsid w:val="51F1C6E0"/>
    <w:rsid w:val="521DBE1B"/>
    <w:rsid w:val="5232A250"/>
    <w:rsid w:val="523FCA97"/>
    <w:rsid w:val="52591842"/>
    <w:rsid w:val="5265D3A6"/>
    <w:rsid w:val="5291CFED"/>
    <w:rsid w:val="52F709C9"/>
    <w:rsid w:val="5392FC17"/>
    <w:rsid w:val="53A1AF09"/>
    <w:rsid w:val="53A802BF"/>
    <w:rsid w:val="53C11104"/>
    <w:rsid w:val="53DE940C"/>
    <w:rsid w:val="53DEE4A5"/>
    <w:rsid w:val="53E0427E"/>
    <w:rsid w:val="53EB4FEA"/>
    <w:rsid w:val="5411220E"/>
    <w:rsid w:val="541361D7"/>
    <w:rsid w:val="541EB8FB"/>
    <w:rsid w:val="546017AD"/>
    <w:rsid w:val="546B6D93"/>
    <w:rsid w:val="54723140"/>
    <w:rsid w:val="5478B974"/>
    <w:rsid w:val="548AE1ED"/>
    <w:rsid w:val="548F029A"/>
    <w:rsid w:val="54B0F40C"/>
    <w:rsid w:val="54B38979"/>
    <w:rsid w:val="54D29342"/>
    <w:rsid w:val="54D7EF5F"/>
    <w:rsid w:val="54DB0812"/>
    <w:rsid w:val="55001026"/>
    <w:rsid w:val="55137FA8"/>
    <w:rsid w:val="556C94AE"/>
    <w:rsid w:val="55897893"/>
    <w:rsid w:val="55C2A93C"/>
    <w:rsid w:val="5632C461"/>
    <w:rsid w:val="5649D064"/>
    <w:rsid w:val="564DDA06"/>
    <w:rsid w:val="5661F3F7"/>
    <w:rsid w:val="5663C392"/>
    <w:rsid w:val="56AB4517"/>
    <w:rsid w:val="56B19FCA"/>
    <w:rsid w:val="56B6A7F8"/>
    <w:rsid w:val="56E49B56"/>
    <w:rsid w:val="5757E302"/>
    <w:rsid w:val="576B47A2"/>
    <w:rsid w:val="578D7C6E"/>
    <w:rsid w:val="58072B40"/>
    <w:rsid w:val="5816F6A4"/>
    <w:rsid w:val="588E9411"/>
    <w:rsid w:val="58932F69"/>
    <w:rsid w:val="58D7830E"/>
    <w:rsid w:val="58F0E7F6"/>
    <w:rsid w:val="58FAA728"/>
    <w:rsid w:val="5900BDC1"/>
    <w:rsid w:val="5954CDFB"/>
    <w:rsid w:val="597E1C0F"/>
    <w:rsid w:val="59ABEAD1"/>
    <w:rsid w:val="59B5AF4A"/>
    <w:rsid w:val="59EF5A92"/>
    <w:rsid w:val="59FB0660"/>
    <w:rsid w:val="5A225500"/>
    <w:rsid w:val="5A52ACE5"/>
    <w:rsid w:val="5A65933D"/>
    <w:rsid w:val="5A8DF871"/>
    <w:rsid w:val="5AA386D9"/>
    <w:rsid w:val="5ADF3F90"/>
    <w:rsid w:val="5B6F2271"/>
    <w:rsid w:val="5BAFD713"/>
    <w:rsid w:val="5BF59F6B"/>
    <w:rsid w:val="5BF85936"/>
    <w:rsid w:val="5C016EFD"/>
    <w:rsid w:val="5C0FCC0D"/>
    <w:rsid w:val="5C2BFBBD"/>
    <w:rsid w:val="5C8B8A71"/>
    <w:rsid w:val="5CA8AD43"/>
    <w:rsid w:val="5CF5298F"/>
    <w:rsid w:val="5D82B216"/>
    <w:rsid w:val="5D9B44B5"/>
    <w:rsid w:val="5DA64342"/>
    <w:rsid w:val="5DB8859B"/>
    <w:rsid w:val="5EA0AA64"/>
    <w:rsid w:val="5EA17F51"/>
    <w:rsid w:val="5EA59A2A"/>
    <w:rsid w:val="5EC8CB00"/>
    <w:rsid w:val="5ED08B07"/>
    <w:rsid w:val="5EDEA16F"/>
    <w:rsid w:val="5F066A87"/>
    <w:rsid w:val="5F278296"/>
    <w:rsid w:val="5F662FE4"/>
    <w:rsid w:val="5F78C198"/>
    <w:rsid w:val="5F979EEA"/>
    <w:rsid w:val="5FED2E3D"/>
    <w:rsid w:val="60418F99"/>
    <w:rsid w:val="605AC6C3"/>
    <w:rsid w:val="606D1C41"/>
    <w:rsid w:val="6075E2BE"/>
    <w:rsid w:val="60962DD7"/>
    <w:rsid w:val="609C1C6E"/>
    <w:rsid w:val="60A6DAF9"/>
    <w:rsid w:val="60D72DF8"/>
    <w:rsid w:val="60ECFFF4"/>
    <w:rsid w:val="6113B952"/>
    <w:rsid w:val="614A5935"/>
    <w:rsid w:val="615E55DF"/>
    <w:rsid w:val="6163C93E"/>
    <w:rsid w:val="6189ECBB"/>
    <w:rsid w:val="61C2657C"/>
    <w:rsid w:val="6223B0E0"/>
    <w:rsid w:val="6224FD91"/>
    <w:rsid w:val="62286C3D"/>
    <w:rsid w:val="624C8D8B"/>
    <w:rsid w:val="6269F12B"/>
    <w:rsid w:val="628021A6"/>
    <w:rsid w:val="62A68714"/>
    <w:rsid w:val="62A8E43C"/>
    <w:rsid w:val="62E58F60"/>
    <w:rsid w:val="62E5BEE0"/>
    <w:rsid w:val="62EF3D60"/>
    <w:rsid w:val="62FDFADC"/>
    <w:rsid w:val="6307B011"/>
    <w:rsid w:val="6343F4B7"/>
    <w:rsid w:val="6381F005"/>
    <w:rsid w:val="63E8ECF2"/>
    <w:rsid w:val="641DA3A9"/>
    <w:rsid w:val="64392380"/>
    <w:rsid w:val="644CE38D"/>
    <w:rsid w:val="649065F5"/>
    <w:rsid w:val="650577F3"/>
    <w:rsid w:val="655A174A"/>
    <w:rsid w:val="657E1EFC"/>
    <w:rsid w:val="658A038F"/>
    <w:rsid w:val="65CEB951"/>
    <w:rsid w:val="65F12A01"/>
    <w:rsid w:val="660D3C69"/>
    <w:rsid w:val="661A4ED7"/>
    <w:rsid w:val="6661763B"/>
    <w:rsid w:val="66619C7D"/>
    <w:rsid w:val="66978C55"/>
    <w:rsid w:val="66A49568"/>
    <w:rsid w:val="66C0191A"/>
    <w:rsid w:val="66D812EB"/>
    <w:rsid w:val="66EFE56D"/>
    <w:rsid w:val="66F93402"/>
    <w:rsid w:val="67003421"/>
    <w:rsid w:val="672A7A8E"/>
    <w:rsid w:val="67598A2F"/>
    <w:rsid w:val="677D533A"/>
    <w:rsid w:val="6780AA27"/>
    <w:rsid w:val="6792DBF9"/>
    <w:rsid w:val="67E16449"/>
    <w:rsid w:val="67F54315"/>
    <w:rsid w:val="67F6B73F"/>
    <w:rsid w:val="680AE68C"/>
    <w:rsid w:val="6819F9C5"/>
    <w:rsid w:val="6823EA06"/>
    <w:rsid w:val="68292A7D"/>
    <w:rsid w:val="68418FA8"/>
    <w:rsid w:val="68561F87"/>
    <w:rsid w:val="687F8472"/>
    <w:rsid w:val="68C07A9B"/>
    <w:rsid w:val="68F2DFAD"/>
    <w:rsid w:val="690674B0"/>
    <w:rsid w:val="691970DE"/>
    <w:rsid w:val="692A9DCD"/>
    <w:rsid w:val="692E5D67"/>
    <w:rsid w:val="69320BB6"/>
    <w:rsid w:val="69414745"/>
    <w:rsid w:val="69467B1D"/>
    <w:rsid w:val="694D08A0"/>
    <w:rsid w:val="6951E47C"/>
    <w:rsid w:val="69A0152D"/>
    <w:rsid w:val="69AE1F16"/>
    <w:rsid w:val="69C5F846"/>
    <w:rsid w:val="69C7B2A3"/>
    <w:rsid w:val="69F725B3"/>
    <w:rsid w:val="6A2AFAFB"/>
    <w:rsid w:val="6A5F0716"/>
    <w:rsid w:val="6A945673"/>
    <w:rsid w:val="6AB05A66"/>
    <w:rsid w:val="6AD55EFB"/>
    <w:rsid w:val="6AF7CEEE"/>
    <w:rsid w:val="6B20DA0F"/>
    <w:rsid w:val="6B27D5CE"/>
    <w:rsid w:val="6B4A7F78"/>
    <w:rsid w:val="6B508502"/>
    <w:rsid w:val="6BA02C32"/>
    <w:rsid w:val="6BE7A9B2"/>
    <w:rsid w:val="6BF2C2C7"/>
    <w:rsid w:val="6BF6EFBF"/>
    <w:rsid w:val="6BFB11C4"/>
    <w:rsid w:val="6C390731"/>
    <w:rsid w:val="6C50D3B7"/>
    <w:rsid w:val="6C8F9CE6"/>
    <w:rsid w:val="6CAC1A12"/>
    <w:rsid w:val="6CDD8526"/>
    <w:rsid w:val="6D30419E"/>
    <w:rsid w:val="6DC1C50E"/>
    <w:rsid w:val="6DC67E30"/>
    <w:rsid w:val="6DD9ACF8"/>
    <w:rsid w:val="6DE6B324"/>
    <w:rsid w:val="6DECCA17"/>
    <w:rsid w:val="6DFCB371"/>
    <w:rsid w:val="6E050B86"/>
    <w:rsid w:val="6E767E65"/>
    <w:rsid w:val="6EBFD7C1"/>
    <w:rsid w:val="6EC1EF6D"/>
    <w:rsid w:val="6EE11D7B"/>
    <w:rsid w:val="6F2795F3"/>
    <w:rsid w:val="6F54A025"/>
    <w:rsid w:val="6F5FC0E6"/>
    <w:rsid w:val="6F72D75B"/>
    <w:rsid w:val="6F82D1B2"/>
    <w:rsid w:val="6F8A46D1"/>
    <w:rsid w:val="6FA192DA"/>
    <w:rsid w:val="6FCDD1B5"/>
    <w:rsid w:val="7000D8D9"/>
    <w:rsid w:val="700869A0"/>
    <w:rsid w:val="70091BC7"/>
    <w:rsid w:val="700DC7C2"/>
    <w:rsid w:val="7016FAB3"/>
    <w:rsid w:val="701841FE"/>
    <w:rsid w:val="70231D6A"/>
    <w:rsid w:val="70268751"/>
    <w:rsid w:val="703455A5"/>
    <w:rsid w:val="70577156"/>
    <w:rsid w:val="7068B355"/>
    <w:rsid w:val="707CCCC0"/>
    <w:rsid w:val="70D2F9FA"/>
    <w:rsid w:val="70D40390"/>
    <w:rsid w:val="70E661B7"/>
    <w:rsid w:val="712AF59D"/>
    <w:rsid w:val="7137BCEB"/>
    <w:rsid w:val="713B63F7"/>
    <w:rsid w:val="713BD6C5"/>
    <w:rsid w:val="716627C8"/>
    <w:rsid w:val="71CB5F3A"/>
    <w:rsid w:val="71D7615B"/>
    <w:rsid w:val="71DA98E2"/>
    <w:rsid w:val="71FE0022"/>
    <w:rsid w:val="7232B430"/>
    <w:rsid w:val="726ABFCF"/>
    <w:rsid w:val="726C5C90"/>
    <w:rsid w:val="730B8736"/>
    <w:rsid w:val="73196D3A"/>
    <w:rsid w:val="735AAC94"/>
    <w:rsid w:val="7400CFBF"/>
    <w:rsid w:val="745E9848"/>
    <w:rsid w:val="74606599"/>
    <w:rsid w:val="7472C691"/>
    <w:rsid w:val="7493905A"/>
    <w:rsid w:val="74A329D9"/>
    <w:rsid w:val="74DAB9E3"/>
    <w:rsid w:val="752E86CD"/>
    <w:rsid w:val="75307E47"/>
    <w:rsid w:val="75603D5D"/>
    <w:rsid w:val="75964E1A"/>
    <w:rsid w:val="75C85A14"/>
    <w:rsid w:val="75D7855A"/>
    <w:rsid w:val="75D7D2B7"/>
    <w:rsid w:val="75E1374E"/>
    <w:rsid w:val="75FAE905"/>
    <w:rsid w:val="75FBFED9"/>
    <w:rsid w:val="7641110B"/>
    <w:rsid w:val="765B06AE"/>
    <w:rsid w:val="7676CEEE"/>
    <w:rsid w:val="76E579E8"/>
    <w:rsid w:val="7761C2A3"/>
    <w:rsid w:val="7781C8F4"/>
    <w:rsid w:val="7797EDB1"/>
    <w:rsid w:val="77A2A3DC"/>
    <w:rsid w:val="77B0705E"/>
    <w:rsid w:val="77B37535"/>
    <w:rsid w:val="77B74DF7"/>
    <w:rsid w:val="77E468AF"/>
    <w:rsid w:val="77F055BC"/>
    <w:rsid w:val="77F5D8ED"/>
    <w:rsid w:val="7819A784"/>
    <w:rsid w:val="781B6619"/>
    <w:rsid w:val="784691EA"/>
    <w:rsid w:val="78595DE0"/>
    <w:rsid w:val="786E9F8B"/>
    <w:rsid w:val="7873A6C6"/>
    <w:rsid w:val="7898317E"/>
    <w:rsid w:val="78C71E4D"/>
    <w:rsid w:val="78D05387"/>
    <w:rsid w:val="78D2C15E"/>
    <w:rsid w:val="78E60359"/>
    <w:rsid w:val="79024251"/>
    <w:rsid w:val="790A979B"/>
    <w:rsid w:val="79142ABF"/>
    <w:rsid w:val="79AA62C4"/>
    <w:rsid w:val="79C6B715"/>
    <w:rsid w:val="79DC157D"/>
    <w:rsid w:val="79DCF7A6"/>
    <w:rsid w:val="79EBE175"/>
    <w:rsid w:val="7A079DF8"/>
    <w:rsid w:val="7A953792"/>
    <w:rsid w:val="7A9BA087"/>
    <w:rsid w:val="7AA435CC"/>
    <w:rsid w:val="7AB094FE"/>
    <w:rsid w:val="7AE4DA4A"/>
    <w:rsid w:val="7AF13D8A"/>
    <w:rsid w:val="7BAF97E1"/>
    <w:rsid w:val="7BF04ED6"/>
    <w:rsid w:val="7C163538"/>
    <w:rsid w:val="7C9CEB26"/>
    <w:rsid w:val="7CA643C2"/>
    <w:rsid w:val="7CACFBC0"/>
    <w:rsid w:val="7D042EEB"/>
    <w:rsid w:val="7D12DD79"/>
    <w:rsid w:val="7D1DD4FD"/>
    <w:rsid w:val="7D25AA0B"/>
    <w:rsid w:val="7D9E5CE2"/>
    <w:rsid w:val="7DA22BCD"/>
    <w:rsid w:val="7DABC81A"/>
    <w:rsid w:val="7DF451F7"/>
    <w:rsid w:val="7E987C92"/>
    <w:rsid w:val="7ECA83BD"/>
    <w:rsid w:val="7EDDF637"/>
    <w:rsid w:val="7EDFF610"/>
    <w:rsid w:val="7F3138B3"/>
    <w:rsid w:val="7F8CBB0E"/>
    <w:rsid w:val="7FDE8CC6"/>
    <w:rsid w:val="7FEB279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DE9BBD9"/>
  <w15:docId w15:val="{0C5DC722-9342-40BF-972C-F94E502AA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18"/>
        <w:szCs w:val="18"/>
        <w:lang w:val="en-AU" w:eastAsia="en-US" w:bidi="ar-SA"/>
      </w:rPr>
    </w:rPrDefault>
    <w:pPrDefault>
      <w:pPr>
        <w:spacing w:before="160" w:after="8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29"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29"/>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4"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uiPriority="29"/>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4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3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856"/>
    <w:pPr>
      <w:keepLines/>
    </w:pPr>
  </w:style>
  <w:style w:type="paragraph" w:styleId="Heading1">
    <w:name w:val="heading 1"/>
    <w:basedOn w:val="Normal"/>
    <w:next w:val="Normal"/>
    <w:link w:val="Heading1Char"/>
    <w:uiPriority w:val="9"/>
    <w:qFormat/>
    <w:rsid w:val="001720B3"/>
    <w:pPr>
      <w:keepNext/>
      <w:pBdr>
        <w:bottom w:val="single" w:sz="12" w:space="1" w:color="auto"/>
      </w:pBdr>
      <w:spacing w:after="320"/>
      <w:outlineLvl w:val="0"/>
    </w:pPr>
    <w:rPr>
      <w:rFonts w:asciiTheme="majorHAnsi" w:eastAsiaTheme="majorEastAsia" w:hAnsiTheme="majorHAnsi" w:cstheme="majorBidi"/>
      <w:b/>
      <w:caps/>
      <w:sz w:val="32"/>
      <w:szCs w:val="32"/>
    </w:rPr>
  </w:style>
  <w:style w:type="paragraph" w:styleId="Heading2">
    <w:name w:val="heading 2"/>
    <w:basedOn w:val="Heading1"/>
    <w:next w:val="Normal"/>
    <w:link w:val="Heading2Char"/>
    <w:uiPriority w:val="9"/>
    <w:unhideWhenUsed/>
    <w:qFormat/>
    <w:rsid w:val="006F78E0"/>
    <w:pPr>
      <w:pBdr>
        <w:bottom w:val="none" w:sz="0" w:space="0" w:color="auto"/>
      </w:pBdr>
      <w:spacing w:before="200" w:after="120"/>
      <w:outlineLvl w:val="1"/>
    </w:pPr>
    <w:rPr>
      <w:caps w:val="0"/>
      <w:sz w:val="26"/>
      <w:szCs w:val="26"/>
    </w:rPr>
  </w:style>
  <w:style w:type="paragraph" w:styleId="Heading3">
    <w:name w:val="heading 3"/>
    <w:basedOn w:val="Heading2"/>
    <w:next w:val="Normal"/>
    <w:link w:val="Heading3Char"/>
    <w:uiPriority w:val="9"/>
    <w:unhideWhenUsed/>
    <w:qFormat/>
    <w:rsid w:val="00B23B0D"/>
    <w:pPr>
      <w:spacing w:before="160"/>
      <w:outlineLvl w:val="2"/>
    </w:pPr>
    <w:rPr>
      <w:sz w:val="22"/>
      <w:szCs w:val="24"/>
    </w:rPr>
  </w:style>
  <w:style w:type="paragraph" w:styleId="Heading4">
    <w:name w:val="heading 4"/>
    <w:basedOn w:val="Heading3"/>
    <w:next w:val="Normal"/>
    <w:link w:val="Heading4Char"/>
    <w:uiPriority w:val="9"/>
    <w:unhideWhenUsed/>
    <w:qFormat/>
    <w:rsid w:val="00832C7E"/>
    <w:pPr>
      <w:outlineLvl w:val="3"/>
    </w:pPr>
    <w:rPr>
      <w:iCs/>
      <w:sz w:val="18"/>
    </w:rPr>
  </w:style>
  <w:style w:type="paragraph" w:styleId="Heading5">
    <w:name w:val="heading 5"/>
    <w:basedOn w:val="Normal"/>
    <w:next w:val="Normal"/>
    <w:link w:val="Heading5Char"/>
    <w:uiPriority w:val="9"/>
    <w:unhideWhenUsed/>
    <w:qFormat/>
    <w:rsid w:val="00602698"/>
    <w:pPr>
      <w:keepNext/>
      <w:spacing w:before="40" w:after="0"/>
      <w:outlineLvl w:val="4"/>
    </w:pPr>
    <w:rPr>
      <w:rFonts w:asciiTheme="majorHAnsi" w:eastAsiaTheme="majorEastAsia" w:hAnsiTheme="majorHAnsi" w:cstheme="majorBidi"/>
      <w:i/>
    </w:rPr>
  </w:style>
  <w:style w:type="paragraph" w:styleId="Heading6">
    <w:name w:val="heading 6"/>
    <w:basedOn w:val="Normal"/>
    <w:next w:val="Normal"/>
    <w:link w:val="Heading6Char"/>
    <w:uiPriority w:val="9"/>
    <w:unhideWhenUsed/>
    <w:qFormat/>
    <w:rsid w:val="00ED22CA"/>
    <w:pPr>
      <w:keepNext/>
      <w:numPr>
        <w:ilvl w:val="5"/>
        <w:numId w:val="38"/>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ED22CA"/>
    <w:pPr>
      <w:keepNext/>
      <w:numPr>
        <w:ilvl w:val="6"/>
        <w:numId w:val="38"/>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D22CA"/>
    <w:pPr>
      <w:keepNext/>
      <w:numPr>
        <w:ilvl w:val="7"/>
        <w:numId w:val="3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D22CA"/>
    <w:pPr>
      <w:keepNext/>
      <w:numPr>
        <w:ilvl w:val="8"/>
        <w:numId w:val="3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20B3"/>
    <w:rPr>
      <w:rFonts w:asciiTheme="majorHAnsi" w:eastAsiaTheme="majorEastAsia" w:hAnsiTheme="majorHAnsi" w:cstheme="majorBidi"/>
      <w:b/>
      <w:caps/>
      <w:sz w:val="32"/>
      <w:szCs w:val="32"/>
    </w:rPr>
  </w:style>
  <w:style w:type="character" w:customStyle="1" w:styleId="Heading2Char">
    <w:name w:val="Heading 2 Char"/>
    <w:basedOn w:val="DefaultParagraphFont"/>
    <w:link w:val="Heading2"/>
    <w:uiPriority w:val="9"/>
    <w:rsid w:val="006F78E0"/>
    <w:rPr>
      <w:rFonts w:asciiTheme="majorHAnsi" w:eastAsiaTheme="majorEastAsia" w:hAnsiTheme="majorHAnsi" w:cstheme="majorBidi"/>
      <w:b/>
      <w:sz w:val="26"/>
      <w:szCs w:val="26"/>
    </w:rPr>
  </w:style>
  <w:style w:type="character" w:customStyle="1" w:styleId="Heading3Char">
    <w:name w:val="Heading 3 Char"/>
    <w:basedOn w:val="DefaultParagraphFont"/>
    <w:link w:val="Heading3"/>
    <w:uiPriority w:val="9"/>
    <w:rsid w:val="00B23B0D"/>
    <w:rPr>
      <w:rFonts w:asciiTheme="majorHAnsi" w:eastAsiaTheme="majorEastAsia" w:hAnsiTheme="majorHAnsi" w:cstheme="majorBidi"/>
      <w:b/>
      <w:szCs w:val="24"/>
    </w:rPr>
  </w:style>
  <w:style w:type="character" w:customStyle="1" w:styleId="Heading4Char">
    <w:name w:val="Heading 4 Char"/>
    <w:basedOn w:val="DefaultParagraphFont"/>
    <w:link w:val="Heading4"/>
    <w:uiPriority w:val="9"/>
    <w:rsid w:val="00BF1B28"/>
    <w:rPr>
      <w:rFonts w:asciiTheme="majorHAnsi" w:eastAsiaTheme="majorEastAsia" w:hAnsiTheme="majorHAnsi" w:cstheme="majorBidi"/>
      <w:b/>
      <w:iCs/>
      <w:szCs w:val="24"/>
    </w:rPr>
  </w:style>
  <w:style w:type="character" w:customStyle="1" w:styleId="Heading5Char">
    <w:name w:val="Heading 5 Char"/>
    <w:basedOn w:val="DefaultParagraphFont"/>
    <w:link w:val="Heading5"/>
    <w:uiPriority w:val="9"/>
    <w:rsid w:val="00602698"/>
    <w:rPr>
      <w:rFonts w:asciiTheme="majorHAnsi" w:eastAsiaTheme="majorEastAsia" w:hAnsiTheme="majorHAnsi" w:cstheme="majorBidi"/>
      <w:i/>
    </w:rPr>
  </w:style>
  <w:style w:type="character" w:customStyle="1" w:styleId="Heading6Char">
    <w:name w:val="Heading 6 Char"/>
    <w:basedOn w:val="DefaultParagraphFont"/>
    <w:link w:val="Heading6"/>
    <w:uiPriority w:val="9"/>
    <w:rsid w:val="00ED22CA"/>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ED22CA"/>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ED22C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D22CA"/>
    <w:rPr>
      <w:rFonts w:asciiTheme="majorHAnsi" w:eastAsiaTheme="majorEastAsia" w:hAnsiTheme="majorHAnsi" w:cstheme="majorBidi"/>
      <w:i/>
      <w:iCs/>
      <w:color w:val="272727" w:themeColor="text1" w:themeTint="D8"/>
      <w:sz w:val="21"/>
      <w:szCs w:val="21"/>
    </w:rPr>
  </w:style>
  <w:style w:type="paragraph" w:styleId="ListBullet">
    <w:name w:val="List Bullet"/>
    <w:basedOn w:val="ListContinue"/>
    <w:link w:val="ListBulletChar"/>
    <w:uiPriority w:val="24"/>
    <w:rsid w:val="004519ED"/>
    <w:pPr>
      <w:numPr>
        <w:numId w:val="59"/>
      </w:numPr>
    </w:pPr>
  </w:style>
  <w:style w:type="numbering" w:customStyle="1" w:styleId="BulletListStyle">
    <w:name w:val="Bullet List Style"/>
    <w:uiPriority w:val="99"/>
    <w:rsid w:val="00FD7375"/>
    <w:pPr>
      <w:numPr>
        <w:numId w:val="1"/>
      </w:numPr>
    </w:pPr>
  </w:style>
  <w:style w:type="paragraph" w:styleId="ListBullet2">
    <w:name w:val="List Bullet 2"/>
    <w:basedOn w:val="ListContinue2"/>
    <w:link w:val="ListBullet2Char"/>
    <w:uiPriority w:val="24"/>
    <w:unhideWhenUsed/>
    <w:rsid w:val="00FE6E67"/>
    <w:pPr>
      <w:numPr>
        <w:ilvl w:val="0"/>
        <w:numId w:val="290"/>
      </w:numPr>
      <w:spacing w:after="40"/>
      <w:ind w:left="717"/>
      <w:contextualSpacing w:val="0"/>
    </w:pPr>
  </w:style>
  <w:style w:type="paragraph" w:styleId="ListContinue">
    <w:name w:val="List Continue"/>
    <w:basedOn w:val="Normal"/>
    <w:link w:val="ListContinueChar"/>
    <w:uiPriority w:val="26"/>
    <w:rsid w:val="00E42209"/>
    <w:pPr>
      <w:numPr>
        <w:numId w:val="7"/>
      </w:numPr>
      <w:spacing w:before="40"/>
    </w:pPr>
  </w:style>
  <w:style w:type="paragraph" w:styleId="ListContinue2">
    <w:name w:val="List Continue 2"/>
    <w:basedOn w:val="ListContinue"/>
    <w:link w:val="ListContinue2Char"/>
    <w:uiPriority w:val="26"/>
    <w:semiHidden/>
    <w:unhideWhenUsed/>
    <w:rsid w:val="003A172E"/>
    <w:pPr>
      <w:numPr>
        <w:ilvl w:val="1"/>
      </w:numPr>
      <w:spacing w:after="120"/>
      <w:contextualSpacing/>
    </w:pPr>
  </w:style>
  <w:style w:type="paragraph" w:styleId="ListContinue3">
    <w:name w:val="List Continue 3"/>
    <w:basedOn w:val="ListContinue2"/>
    <w:uiPriority w:val="26"/>
    <w:semiHidden/>
    <w:unhideWhenUsed/>
    <w:rsid w:val="003A172E"/>
    <w:pPr>
      <w:numPr>
        <w:ilvl w:val="2"/>
      </w:numPr>
    </w:pPr>
  </w:style>
  <w:style w:type="paragraph" w:styleId="ListBullet3">
    <w:name w:val="List Bullet 3"/>
    <w:basedOn w:val="ListContinue3"/>
    <w:uiPriority w:val="24"/>
    <w:unhideWhenUsed/>
    <w:rsid w:val="004519ED"/>
    <w:pPr>
      <w:numPr>
        <w:numId w:val="94"/>
      </w:numPr>
    </w:pPr>
  </w:style>
  <w:style w:type="paragraph" w:styleId="ListBullet4">
    <w:name w:val="List Bullet 4"/>
    <w:basedOn w:val="ListContinue4"/>
    <w:uiPriority w:val="24"/>
    <w:semiHidden/>
    <w:unhideWhenUsed/>
    <w:rsid w:val="004519ED"/>
    <w:pPr>
      <w:ind w:left="1588" w:hanging="397"/>
    </w:pPr>
  </w:style>
  <w:style w:type="paragraph" w:styleId="ListContinue4">
    <w:name w:val="List Continue 4"/>
    <w:basedOn w:val="ListContinue3"/>
    <w:uiPriority w:val="26"/>
    <w:semiHidden/>
    <w:unhideWhenUsed/>
    <w:rsid w:val="003A172E"/>
    <w:pPr>
      <w:ind w:left="1132"/>
    </w:pPr>
  </w:style>
  <w:style w:type="paragraph" w:styleId="ListBullet5">
    <w:name w:val="List Bullet 5"/>
    <w:basedOn w:val="ListContinue5"/>
    <w:uiPriority w:val="24"/>
    <w:semiHidden/>
    <w:unhideWhenUsed/>
    <w:rsid w:val="004519ED"/>
    <w:pPr>
      <w:ind w:left="1985" w:hanging="397"/>
    </w:pPr>
  </w:style>
  <w:style w:type="paragraph" w:styleId="ListContinue5">
    <w:name w:val="List Continue 5"/>
    <w:basedOn w:val="ListContinue4"/>
    <w:uiPriority w:val="26"/>
    <w:semiHidden/>
    <w:unhideWhenUsed/>
    <w:rsid w:val="003A172E"/>
    <w:pPr>
      <w:ind w:left="1415"/>
    </w:pPr>
  </w:style>
  <w:style w:type="paragraph" w:styleId="ListNumber2">
    <w:name w:val="List Number 2"/>
    <w:basedOn w:val="ListContinue2"/>
    <w:uiPriority w:val="25"/>
    <w:semiHidden/>
    <w:unhideWhenUsed/>
    <w:rsid w:val="003A172E"/>
    <w:pPr>
      <w:numPr>
        <w:numId w:val="35"/>
      </w:numPr>
    </w:pPr>
  </w:style>
  <w:style w:type="paragraph" w:styleId="ListNumber3">
    <w:name w:val="List Number 3"/>
    <w:basedOn w:val="ListContinue3"/>
    <w:uiPriority w:val="25"/>
    <w:semiHidden/>
    <w:unhideWhenUsed/>
    <w:rsid w:val="003A172E"/>
    <w:pPr>
      <w:numPr>
        <w:numId w:val="35"/>
      </w:numPr>
    </w:pPr>
  </w:style>
  <w:style w:type="paragraph" w:styleId="ListNumber4">
    <w:name w:val="List Number 4"/>
    <w:basedOn w:val="ListContinue4"/>
    <w:uiPriority w:val="25"/>
    <w:semiHidden/>
    <w:unhideWhenUsed/>
    <w:rsid w:val="003A172E"/>
    <w:pPr>
      <w:numPr>
        <w:ilvl w:val="3"/>
        <w:numId w:val="35"/>
      </w:numPr>
    </w:pPr>
  </w:style>
  <w:style w:type="paragraph" w:styleId="ListNumber5">
    <w:name w:val="List Number 5"/>
    <w:basedOn w:val="ListContinue5"/>
    <w:uiPriority w:val="25"/>
    <w:semiHidden/>
    <w:unhideWhenUsed/>
    <w:rsid w:val="003A172E"/>
    <w:pPr>
      <w:numPr>
        <w:ilvl w:val="4"/>
        <w:numId w:val="35"/>
      </w:numPr>
    </w:pPr>
  </w:style>
  <w:style w:type="paragraph" w:styleId="ListNumber">
    <w:name w:val="List Number"/>
    <w:basedOn w:val="ListContinue"/>
    <w:uiPriority w:val="25"/>
    <w:rsid w:val="006D0A09"/>
    <w:pPr>
      <w:numPr>
        <w:numId w:val="35"/>
      </w:numPr>
    </w:pPr>
  </w:style>
  <w:style w:type="paragraph" w:styleId="FootnoteText">
    <w:name w:val="footnote text"/>
    <w:basedOn w:val="Normal"/>
    <w:link w:val="FootnoteTextChar"/>
    <w:uiPriority w:val="99"/>
    <w:unhideWhenUsed/>
    <w:qFormat/>
    <w:rsid w:val="00F51427"/>
    <w:pPr>
      <w:tabs>
        <w:tab w:val="left" w:pos="170"/>
      </w:tabs>
      <w:spacing w:before="0" w:after="0" w:line="240" w:lineRule="auto"/>
      <w:ind w:left="170" w:hanging="170"/>
    </w:pPr>
    <w:rPr>
      <w:sz w:val="16"/>
      <w:szCs w:val="20"/>
    </w:rPr>
  </w:style>
  <w:style w:type="character" w:customStyle="1" w:styleId="FootnoteTextChar">
    <w:name w:val="Footnote Text Char"/>
    <w:basedOn w:val="DefaultParagraphFont"/>
    <w:link w:val="FootnoteText"/>
    <w:uiPriority w:val="99"/>
    <w:rsid w:val="00F51427"/>
    <w:rPr>
      <w:sz w:val="16"/>
      <w:szCs w:val="20"/>
    </w:rPr>
  </w:style>
  <w:style w:type="character" w:styleId="FootnoteReference">
    <w:name w:val="footnote reference"/>
    <w:basedOn w:val="DefaultParagraphFont"/>
    <w:uiPriority w:val="99"/>
    <w:unhideWhenUsed/>
    <w:rsid w:val="00F51427"/>
    <w:rPr>
      <w:vertAlign w:val="superscript"/>
    </w:rPr>
  </w:style>
  <w:style w:type="paragraph" w:styleId="Caption">
    <w:name w:val="caption"/>
    <w:basedOn w:val="Normal"/>
    <w:next w:val="Normal"/>
    <w:uiPriority w:val="34"/>
    <w:qFormat/>
    <w:rsid w:val="00FA4323"/>
    <w:pPr>
      <w:keepNext/>
      <w:tabs>
        <w:tab w:val="left" w:pos="964"/>
        <w:tab w:val="right" w:pos="9639"/>
        <w:tab w:val="right" w:pos="14742"/>
      </w:tabs>
      <w:spacing w:line="240" w:lineRule="auto"/>
    </w:pPr>
    <w:rPr>
      <w:b/>
      <w:iCs/>
      <w:color w:val="404040" w:themeColor="text1" w:themeTint="BF"/>
    </w:rPr>
  </w:style>
  <w:style w:type="paragraph" w:customStyle="1" w:styleId="Source">
    <w:name w:val="Source"/>
    <w:basedOn w:val="Normal"/>
    <w:next w:val="Normal"/>
    <w:uiPriority w:val="35"/>
    <w:qFormat/>
    <w:rsid w:val="006C62FF"/>
    <w:pPr>
      <w:spacing w:before="40" w:after="60" w:line="240" w:lineRule="auto"/>
    </w:pPr>
    <w:rPr>
      <w:i/>
      <w:sz w:val="14"/>
    </w:rPr>
  </w:style>
  <w:style w:type="character" w:styleId="Hyperlink">
    <w:name w:val="Hyperlink"/>
    <w:basedOn w:val="DefaultParagraphFont"/>
    <w:uiPriority w:val="99"/>
    <w:unhideWhenUsed/>
    <w:rsid w:val="008C0BCD"/>
    <w:rPr>
      <w:color w:val="0000C8"/>
      <w:u w:val="single"/>
    </w:rPr>
  </w:style>
  <w:style w:type="character" w:styleId="UnresolvedMention">
    <w:name w:val="Unresolved Mention"/>
    <w:basedOn w:val="DefaultParagraphFont"/>
    <w:uiPriority w:val="99"/>
    <w:unhideWhenUsed/>
    <w:rsid w:val="001C5DED"/>
    <w:rPr>
      <w:color w:val="605E5C"/>
      <w:shd w:val="clear" w:color="auto" w:fill="E1DFDD"/>
    </w:rPr>
  </w:style>
  <w:style w:type="table" w:styleId="GridTable4">
    <w:name w:val="Grid Table 4"/>
    <w:basedOn w:val="TableNormal"/>
    <w:uiPriority w:val="49"/>
    <w:rsid w:val="00B5142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39"/>
    <w:rsid w:val="00B514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TFTextTable">
    <w:name w:val="DTF Text Table"/>
    <w:basedOn w:val="PlainTable4"/>
    <w:uiPriority w:val="99"/>
    <w:rsid w:val="00604332"/>
    <w:pPr>
      <w:spacing w:before="60" w:after="60"/>
    </w:pPr>
    <w:tblPr>
      <w:tblBorders>
        <w:bottom w:val="single" w:sz="12" w:space="0" w:color="auto"/>
      </w:tblBorders>
    </w:tblPr>
    <w:tblStylePr w:type="firstRow">
      <w:pPr>
        <w:jc w:val="left"/>
      </w:pPr>
      <w:rPr>
        <w:b w:val="0"/>
        <w:bCs/>
        <w:i/>
      </w:rPr>
      <w:tblPr/>
      <w:tcPr>
        <w:shd w:val="clear" w:color="auto" w:fill="000000" w:themeFill="text1"/>
        <w:vAlign w:val="bottom"/>
      </w:tc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paragraph" w:customStyle="1" w:styleId="GuidanceBox">
    <w:name w:val="Guidance Box"/>
    <w:basedOn w:val="Normal"/>
    <w:uiPriority w:val="31"/>
    <w:qFormat/>
    <w:rsid w:val="00C22F9A"/>
    <w:pPr>
      <w:pBdr>
        <w:top w:val="single" w:sz="6" w:space="1" w:color="4472C4" w:themeColor="accent1"/>
        <w:left w:val="single" w:sz="6" w:space="4" w:color="4472C4" w:themeColor="accent1"/>
        <w:bottom w:val="single" w:sz="6" w:space="1" w:color="4472C4" w:themeColor="accent1"/>
        <w:right w:val="single" w:sz="6" w:space="4" w:color="4472C4" w:themeColor="accent1"/>
      </w:pBdr>
    </w:pPr>
    <w:rPr>
      <w:color w:val="4472C4" w:themeColor="accent1"/>
    </w:rPr>
  </w:style>
  <w:style w:type="table" w:styleId="PlainTable4">
    <w:name w:val="Plain Table 4"/>
    <w:basedOn w:val="TableNormal"/>
    <w:uiPriority w:val="44"/>
    <w:rsid w:val="00B5142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Reference">
    <w:name w:val="Reference"/>
    <w:uiPriority w:val="29"/>
    <w:qFormat/>
    <w:rsid w:val="002445D5"/>
    <w:rPr>
      <w:b w:val="0"/>
      <w:i w:val="0"/>
      <w:color w:val="C00000"/>
      <w:sz w:val="16"/>
    </w:rPr>
  </w:style>
  <w:style w:type="paragraph" w:customStyle="1" w:styleId="GuidanceBlockHeading">
    <w:name w:val="Guidance Block Heading"/>
    <w:basedOn w:val="Heading4"/>
    <w:next w:val="Normal"/>
    <w:uiPriority w:val="30"/>
    <w:qFormat/>
    <w:rsid w:val="001F3237"/>
    <w:pPr>
      <w:pBdr>
        <w:top w:val="single" w:sz="6" w:space="3" w:color="4472C4" w:themeColor="accent1"/>
        <w:left w:val="single" w:sz="6" w:space="4" w:color="4472C4" w:themeColor="accent1"/>
        <w:bottom w:val="single" w:sz="6" w:space="3" w:color="4472C4" w:themeColor="accent1"/>
        <w:right w:val="single" w:sz="6" w:space="4" w:color="4472C4" w:themeColor="accent1"/>
      </w:pBdr>
      <w:shd w:val="clear" w:color="auto" w:fill="4472C4" w:themeFill="accent1"/>
    </w:pPr>
    <w:rPr>
      <w:bCs/>
      <w:color w:val="FFFFFF" w:themeColor="background1"/>
      <w:sz w:val="20"/>
    </w:rPr>
  </w:style>
  <w:style w:type="table" w:customStyle="1" w:styleId="DTFFinancialTable">
    <w:name w:val="DTF Financial Table"/>
    <w:basedOn w:val="DTFTextTable"/>
    <w:uiPriority w:val="99"/>
    <w:rsid w:val="00D8764A"/>
    <w:pPr>
      <w:spacing w:before="20" w:after="20"/>
      <w:jc w:val="right"/>
    </w:pPr>
    <w:rPr>
      <w:sz w:val="17"/>
    </w:rPr>
    <w:tblPr>
      <w:tblCellMar>
        <w:left w:w="57" w:type="dxa"/>
        <w:right w:w="57" w:type="dxa"/>
      </w:tblCellMar>
    </w:tblPr>
    <w:tblStylePr w:type="firstRow">
      <w:pPr>
        <w:wordWrap/>
        <w:spacing w:beforeLines="0" w:before="40" w:beforeAutospacing="0" w:afterLines="0" w:after="40" w:afterAutospacing="0"/>
        <w:jc w:val="right"/>
      </w:pPr>
      <w:rPr>
        <w:b w:val="0"/>
        <w:bCs/>
        <w:i/>
      </w:rPr>
      <w:tblPr/>
      <w:tcPr>
        <w:shd w:val="clear" w:color="auto" w:fill="000000" w:themeFill="text1"/>
        <w:vAlign w:val="bottom"/>
      </w:tcPr>
    </w:tblStylePr>
    <w:tblStylePr w:type="lastRow">
      <w:rPr>
        <w:b/>
        <w:bCs/>
      </w:rPr>
      <w:tblPr/>
      <w:tcPr>
        <w:tcBorders>
          <w:top w:val="single" w:sz="6" w:space="0" w:color="auto"/>
          <w:left w:val="nil"/>
          <w:bottom w:val="single" w:sz="12" w:space="0" w:color="auto"/>
          <w:right w:val="nil"/>
          <w:insideH w:val="nil"/>
          <w:insideV w:val="nil"/>
          <w:tl2br w:val="nil"/>
          <w:tr2bl w:val="nil"/>
        </w:tcBorders>
      </w:tcPr>
    </w:tblStylePr>
    <w:tblStylePr w:type="firstCol">
      <w:pPr>
        <w:jc w:val="left"/>
      </w:pPr>
      <w:rPr>
        <w:b w:val="0"/>
        <w:bCs/>
      </w:rPr>
      <w:tblPr/>
      <w:tcPr>
        <w:vAlign w:val="bottom"/>
      </w:tcPr>
    </w:tblStylePr>
    <w:tblStylePr w:type="lastCol">
      <w:rPr>
        <w:b/>
        <w:bCs/>
      </w:rPr>
    </w:tblStylePr>
    <w:tblStylePr w:type="band1Vert">
      <w:tblPr/>
      <w:tcPr>
        <w:shd w:val="clear" w:color="auto" w:fill="F2F2F2" w:themeFill="background1" w:themeFillShade="F2"/>
      </w:tcPr>
    </w:tblStylePr>
    <w:tblStylePr w:type="band1Horz">
      <w:tblPr/>
      <w:tcPr>
        <w:shd w:val="clear" w:color="auto" w:fill="FFFFFF" w:themeFill="background1"/>
      </w:tcPr>
    </w:tblStylePr>
    <w:tblStylePr w:type="band2Horz">
      <w:tblPr/>
      <w:tcPr>
        <w:shd w:val="clear" w:color="auto" w:fill="F2F2F2" w:themeFill="background1" w:themeFillShade="F2"/>
      </w:tcPr>
    </w:tblStylePr>
    <w:tblStylePr w:type="nwCell">
      <w:pPr>
        <w:jc w:val="left"/>
      </w:pPr>
      <w:tblPr/>
      <w:tcPr>
        <w:vAlign w:val="bottom"/>
      </w:tcPr>
    </w:tblStylePr>
  </w:style>
  <w:style w:type="paragraph" w:customStyle="1" w:styleId="Note">
    <w:name w:val="Note"/>
    <w:basedOn w:val="Source"/>
    <w:link w:val="NoteChar"/>
    <w:uiPriority w:val="52"/>
    <w:qFormat/>
    <w:rsid w:val="0009716C"/>
    <w:pPr>
      <w:tabs>
        <w:tab w:val="left" w:pos="397"/>
      </w:tabs>
      <w:spacing w:before="60" w:after="160"/>
      <w:ind w:left="397" w:hanging="397"/>
      <w:contextualSpacing/>
    </w:pPr>
  </w:style>
  <w:style w:type="paragraph" w:styleId="NoSpacing">
    <w:name w:val="No Spacing"/>
    <w:uiPriority w:val="1"/>
    <w:qFormat/>
    <w:rsid w:val="00562221"/>
    <w:pPr>
      <w:spacing w:before="0" w:after="0" w:line="240" w:lineRule="auto"/>
    </w:pPr>
  </w:style>
  <w:style w:type="paragraph" w:styleId="Header">
    <w:name w:val="header"/>
    <w:basedOn w:val="Normal"/>
    <w:link w:val="HeaderChar"/>
    <w:uiPriority w:val="99"/>
    <w:unhideWhenUsed/>
    <w:rsid w:val="00883A90"/>
    <w:pPr>
      <w:tabs>
        <w:tab w:val="center" w:pos="4513"/>
        <w:tab w:val="right" w:pos="9026"/>
      </w:tabs>
      <w:spacing w:before="0" w:after="0" w:line="240" w:lineRule="auto"/>
    </w:pPr>
    <w:rPr>
      <w:b/>
      <w:caps/>
      <w:color w:val="767171" w:themeColor="background2" w:themeShade="80"/>
    </w:rPr>
  </w:style>
  <w:style w:type="character" w:customStyle="1" w:styleId="HeaderChar">
    <w:name w:val="Header Char"/>
    <w:basedOn w:val="DefaultParagraphFont"/>
    <w:link w:val="Header"/>
    <w:uiPriority w:val="99"/>
    <w:rsid w:val="00883A90"/>
    <w:rPr>
      <w:b/>
      <w:caps/>
      <w:color w:val="767171" w:themeColor="background2" w:themeShade="80"/>
    </w:rPr>
  </w:style>
  <w:style w:type="paragraph" w:styleId="Footer">
    <w:name w:val="footer"/>
    <w:basedOn w:val="Normal"/>
    <w:link w:val="FooterChar"/>
    <w:uiPriority w:val="99"/>
    <w:unhideWhenUsed/>
    <w:rsid w:val="00F92C2D"/>
    <w:pPr>
      <w:pBdr>
        <w:top w:val="single" w:sz="4" w:space="1" w:color="auto"/>
      </w:pBdr>
      <w:tabs>
        <w:tab w:val="right" w:pos="9639"/>
      </w:tabs>
      <w:spacing w:before="0" w:after="0" w:line="240" w:lineRule="auto"/>
    </w:pPr>
  </w:style>
  <w:style w:type="character" w:customStyle="1" w:styleId="FooterChar">
    <w:name w:val="Footer Char"/>
    <w:basedOn w:val="DefaultParagraphFont"/>
    <w:link w:val="Footer"/>
    <w:uiPriority w:val="99"/>
    <w:rsid w:val="00F92C2D"/>
  </w:style>
  <w:style w:type="paragraph" w:styleId="Title">
    <w:name w:val="Title"/>
    <w:basedOn w:val="Normal"/>
    <w:next w:val="Normal"/>
    <w:link w:val="TitleChar"/>
    <w:uiPriority w:val="44"/>
    <w:qFormat/>
    <w:rsid w:val="007D536F"/>
    <w:pPr>
      <w:spacing w:before="2600" w:after="300" w:line="240" w:lineRule="auto"/>
      <w:ind w:right="2892"/>
      <w:contextualSpacing/>
      <w:jc w:val="right"/>
    </w:pPr>
    <w:rPr>
      <w:rFonts w:asciiTheme="majorHAnsi" w:eastAsiaTheme="majorEastAsia" w:hAnsiTheme="majorHAnsi" w:cstheme="majorBidi"/>
      <w:b/>
      <w:color w:val="3A3467"/>
      <w:spacing w:val="-10"/>
      <w:kern w:val="28"/>
      <w:sz w:val="56"/>
      <w:szCs w:val="56"/>
    </w:rPr>
  </w:style>
  <w:style w:type="character" w:customStyle="1" w:styleId="TitleChar">
    <w:name w:val="Title Char"/>
    <w:basedOn w:val="DefaultParagraphFont"/>
    <w:link w:val="Title"/>
    <w:uiPriority w:val="44"/>
    <w:rsid w:val="007D536F"/>
    <w:rPr>
      <w:rFonts w:asciiTheme="majorHAnsi" w:eastAsiaTheme="majorEastAsia" w:hAnsiTheme="majorHAnsi" w:cstheme="majorBidi"/>
      <w:b/>
      <w:color w:val="3A3467"/>
      <w:spacing w:val="-10"/>
      <w:kern w:val="28"/>
      <w:sz w:val="56"/>
      <w:szCs w:val="56"/>
    </w:rPr>
  </w:style>
  <w:style w:type="character" w:customStyle="1" w:styleId="Reference-Revised">
    <w:name w:val="Reference - Revised"/>
    <w:basedOn w:val="Reference"/>
    <w:uiPriority w:val="29"/>
    <w:qFormat/>
    <w:rsid w:val="002445D5"/>
    <w:rPr>
      <w:b w:val="0"/>
      <w:i w:val="0"/>
      <w:color w:val="7030A0"/>
      <w:sz w:val="16"/>
    </w:rPr>
  </w:style>
  <w:style w:type="character" w:customStyle="1" w:styleId="Guidance">
    <w:name w:val="Guidance"/>
    <w:uiPriority w:val="31"/>
    <w:qFormat/>
    <w:rsid w:val="00D23DE5"/>
    <w:rPr>
      <w:color w:val="4472C4" w:themeColor="accent1"/>
    </w:rPr>
  </w:style>
  <w:style w:type="paragraph" w:customStyle="1" w:styleId="GuidanceHeading">
    <w:name w:val="Guidance Heading"/>
    <w:basedOn w:val="Normal"/>
    <w:next w:val="Normal"/>
    <w:uiPriority w:val="30"/>
    <w:qFormat/>
    <w:rsid w:val="000966E8"/>
    <w:pPr>
      <w:keepNext/>
    </w:pPr>
    <w:rPr>
      <w:b/>
      <w:color w:val="4472C4" w:themeColor="accent1"/>
      <w:sz w:val="20"/>
    </w:rPr>
  </w:style>
  <w:style w:type="character" w:customStyle="1" w:styleId="Reference-New">
    <w:name w:val="Reference - New"/>
    <w:basedOn w:val="Reference"/>
    <w:uiPriority w:val="29"/>
    <w:qFormat/>
    <w:rsid w:val="002445D5"/>
    <w:rPr>
      <w:b w:val="0"/>
      <w:i w:val="0"/>
      <w:color w:val="70AD47" w:themeColor="accent6"/>
      <w:sz w:val="16"/>
    </w:rPr>
  </w:style>
  <w:style w:type="paragraph" w:customStyle="1" w:styleId="GuidanceEnd">
    <w:name w:val="Guidance End"/>
    <w:basedOn w:val="Normal"/>
    <w:next w:val="Normal"/>
    <w:uiPriority w:val="30"/>
    <w:qFormat/>
    <w:rsid w:val="0033519E"/>
    <w:pPr>
      <w:pBdr>
        <w:top w:val="single" w:sz="36" w:space="1" w:color="4472C4" w:themeColor="accent1"/>
      </w:pBdr>
      <w:spacing w:before="0" w:after="0" w:line="240" w:lineRule="auto"/>
    </w:pPr>
  </w:style>
  <w:style w:type="paragraph" w:styleId="Quote">
    <w:name w:val="Quote"/>
    <w:basedOn w:val="Normal"/>
    <w:next w:val="Normal"/>
    <w:link w:val="QuoteChar"/>
    <w:uiPriority w:val="39"/>
    <w:qFormat/>
    <w:rsid w:val="006B5EA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39"/>
    <w:rsid w:val="006B5EA1"/>
    <w:rPr>
      <w:i/>
      <w:iCs/>
      <w:color w:val="404040" w:themeColor="text1" w:themeTint="BF"/>
    </w:rPr>
  </w:style>
  <w:style w:type="paragraph" w:styleId="BalloonText">
    <w:name w:val="Balloon Text"/>
    <w:basedOn w:val="Normal"/>
    <w:link w:val="BalloonTextChar"/>
    <w:uiPriority w:val="99"/>
    <w:semiHidden/>
    <w:unhideWhenUsed/>
    <w:rsid w:val="00DC60A6"/>
    <w:pPr>
      <w:spacing w:before="0"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DC60A6"/>
    <w:rPr>
      <w:rFonts w:ascii="Segoe UI" w:hAnsi="Segoe UI" w:cs="Segoe UI"/>
    </w:rPr>
  </w:style>
  <w:style w:type="character" w:styleId="CommentReference">
    <w:name w:val="annotation reference"/>
    <w:basedOn w:val="DefaultParagraphFont"/>
    <w:uiPriority w:val="99"/>
    <w:semiHidden/>
    <w:unhideWhenUsed/>
    <w:rsid w:val="00DF439D"/>
    <w:rPr>
      <w:sz w:val="16"/>
      <w:szCs w:val="16"/>
    </w:rPr>
  </w:style>
  <w:style w:type="paragraph" w:styleId="CommentText">
    <w:name w:val="annotation text"/>
    <w:basedOn w:val="Normal"/>
    <w:link w:val="CommentTextChar"/>
    <w:uiPriority w:val="99"/>
    <w:unhideWhenUsed/>
    <w:rsid w:val="00DF439D"/>
    <w:pPr>
      <w:spacing w:line="240" w:lineRule="auto"/>
    </w:pPr>
    <w:rPr>
      <w:sz w:val="20"/>
      <w:szCs w:val="20"/>
    </w:rPr>
  </w:style>
  <w:style w:type="character" w:customStyle="1" w:styleId="CommentTextChar">
    <w:name w:val="Comment Text Char"/>
    <w:basedOn w:val="DefaultParagraphFont"/>
    <w:link w:val="CommentText"/>
    <w:uiPriority w:val="99"/>
    <w:rsid w:val="00DF439D"/>
    <w:rPr>
      <w:sz w:val="20"/>
      <w:szCs w:val="20"/>
    </w:rPr>
  </w:style>
  <w:style w:type="paragraph" w:styleId="CommentSubject">
    <w:name w:val="annotation subject"/>
    <w:basedOn w:val="CommentText"/>
    <w:next w:val="CommentText"/>
    <w:link w:val="CommentSubjectChar"/>
    <w:uiPriority w:val="99"/>
    <w:semiHidden/>
    <w:unhideWhenUsed/>
    <w:rsid w:val="00DF439D"/>
    <w:rPr>
      <w:b/>
      <w:bCs/>
    </w:rPr>
  </w:style>
  <w:style w:type="character" w:customStyle="1" w:styleId="CommentSubjectChar">
    <w:name w:val="Comment Subject Char"/>
    <w:basedOn w:val="CommentTextChar"/>
    <w:link w:val="CommentSubject"/>
    <w:uiPriority w:val="99"/>
    <w:semiHidden/>
    <w:rsid w:val="00DF439D"/>
    <w:rPr>
      <w:b/>
      <w:bCs/>
      <w:sz w:val="20"/>
      <w:szCs w:val="20"/>
    </w:rPr>
  </w:style>
  <w:style w:type="numbering" w:customStyle="1" w:styleId="ListBulletStyle">
    <w:name w:val="List Bullet Style"/>
    <w:uiPriority w:val="99"/>
    <w:rsid w:val="002B0DF8"/>
    <w:pPr>
      <w:numPr>
        <w:numId w:val="2"/>
      </w:numPr>
    </w:pPr>
  </w:style>
  <w:style w:type="paragraph" w:styleId="ListParagraph">
    <w:name w:val="List Paragraph"/>
    <w:basedOn w:val="Normal"/>
    <w:link w:val="ListParagraphChar"/>
    <w:uiPriority w:val="34"/>
    <w:qFormat/>
    <w:rsid w:val="003F775E"/>
    <w:pPr>
      <w:spacing w:before="80" w:after="0" w:line="240" w:lineRule="auto"/>
    </w:pPr>
  </w:style>
  <w:style w:type="numbering" w:customStyle="1" w:styleId="ListBulletAlphaStyle">
    <w:name w:val="List Bullet/Alpha Style"/>
    <w:uiPriority w:val="99"/>
    <w:rsid w:val="002B0DF8"/>
    <w:pPr>
      <w:numPr>
        <w:numId w:val="3"/>
      </w:numPr>
    </w:pPr>
  </w:style>
  <w:style w:type="numbering" w:customStyle="1" w:styleId="ListContinueStyle">
    <w:name w:val="List Continue Style"/>
    <w:uiPriority w:val="99"/>
    <w:rsid w:val="002B0DF8"/>
    <w:pPr>
      <w:numPr>
        <w:numId w:val="7"/>
      </w:numPr>
    </w:pPr>
  </w:style>
  <w:style w:type="character" w:customStyle="1" w:styleId="NoteChar">
    <w:name w:val="Note Char"/>
    <w:basedOn w:val="DefaultParagraphFont"/>
    <w:link w:val="Note"/>
    <w:uiPriority w:val="52"/>
    <w:rsid w:val="00896AD0"/>
    <w:rPr>
      <w:i/>
      <w:sz w:val="14"/>
    </w:rPr>
  </w:style>
  <w:style w:type="table" w:customStyle="1" w:styleId="DTFTable">
    <w:name w:val="DTF Table"/>
    <w:basedOn w:val="DTFTextTable"/>
    <w:uiPriority w:val="99"/>
    <w:rsid w:val="00C55DBE"/>
    <w:pPr>
      <w:spacing w:before="20" w:after="20"/>
      <w:jc w:val="right"/>
    </w:pPr>
    <w:rPr>
      <w:sz w:val="16"/>
    </w:rPr>
    <w:tblPr>
      <w:tblCellMar>
        <w:left w:w="57" w:type="dxa"/>
        <w:right w:w="57" w:type="dxa"/>
      </w:tblCellMar>
    </w:tblPr>
    <w:tblStylePr w:type="firstRow">
      <w:pPr>
        <w:wordWrap/>
        <w:spacing w:beforeLines="0" w:before="40" w:beforeAutospacing="0" w:afterLines="0" w:after="40" w:afterAutospacing="0"/>
        <w:jc w:val="right"/>
      </w:pPr>
      <w:rPr>
        <w:b w:val="0"/>
        <w:bCs/>
        <w:i/>
      </w:rPr>
      <w:tblPr/>
      <w:tcPr>
        <w:shd w:val="clear" w:color="auto" w:fill="000000" w:themeFill="text1"/>
        <w:vAlign w:val="bottom"/>
      </w:tcPr>
    </w:tblStylePr>
    <w:tblStylePr w:type="lastRow">
      <w:rPr>
        <w:b/>
        <w:bCs/>
      </w:rPr>
      <w:tblPr/>
      <w:tcPr>
        <w:tcBorders>
          <w:top w:val="single" w:sz="6" w:space="0" w:color="auto"/>
          <w:left w:val="nil"/>
          <w:bottom w:val="single" w:sz="12" w:space="0" w:color="auto"/>
          <w:right w:val="nil"/>
          <w:insideH w:val="nil"/>
          <w:insideV w:val="nil"/>
          <w:tl2br w:val="nil"/>
          <w:tr2bl w:val="nil"/>
        </w:tcBorders>
      </w:tcPr>
    </w:tblStylePr>
    <w:tblStylePr w:type="firstCol">
      <w:pPr>
        <w:jc w:val="left"/>
      </w:pPr>
      <w:rPr>
        <w:b w:val="0"/>
        <w:bCs/>
      </w:rPr>
      <w:tblPr/>
      <w:tcPr>
        <w:vAlign w:val="bottom"/>
      </w:tcPr>
    </w:tblStylePr>
    <w:tblStylePr w:type="lastCol">
      <w:rPr>
        <w:b/>
        <w:bCs/>
      </w:rPr>
    </w:tblStylePr>
    <w:tblStylePr w:type="band1Vert">
      <w:tblPr/>
      <w:tcPr>
        <w:shd w:val="clear" w:color="auto" w:fill="F2F2F2" w:themeFill="background1" w:themeFillShade="F2"/>
      </w:tcPr>
    </w:tblStylePr>
    <w:tblStylePr w:type="band1Horz">
      <w:tblPr/>
      <w:tcPr>
        <w:shd w:val="clear" w:color="auto" w:fill="FFFFFF" w:themeFill="background1"/>
      </w:tcPr>
    </w:tblStylePr>
    <w:tblStylePr w:type="band2Horz">
      <w:tblPr/>
      <w:tcPr>
        <w:shd w:val="clear" w:color="auto" w:fill="F2F2F2" w:themeFill="background1" w:themeFillShade="F2"/>
      </w:tcPr>
    </w:tblStylePr>
    <w:tblStylePr w:type="nwCell">
      <w:pPr>
        <w:jc w:val="left"/>
      </w:pPr>
      <w:tblPr/>
      <w:tcPr>
        <w:vAlign w:val="bottom"/>
      </w:tcPr>
    </w:tblStylePr>
  </w:style>
  <w:style w:type="paragraph" w:customStyle="1" w:styleId="TableUnits">
    <w:name w:val="Table Units"/>
    <w:basedOn w:val="Caption"/>
    <w:uiPriority w:val="34"/>
    <w:qFormat/>
    <w:rsid w:val="003719CD"/>
    <w:pPr>
      <w:tabs>
        <w:tab w:val="right" w:pos="14572"/>
      </w:tabs>
      <w:jc w:val="right"/>
    </w:pPr>
  </w:style>
  <w:style w:type="paragraph" w:customStyle="1" w:styleId="ListAlpha">
    <w:name w:val="List Alpha"/>
    <w:basedOn w:val="Normal"/>
    <w:uiPriority w:val="26"/>
    <w:rsid w:val="003719CD"/>
    <w:pPr>
      <w:numPr>
        <w:numId w:val="4"/>
      </w:numPr>
      <w:spacing w:before="40"/>
    </w:pPr>
  </w:style>
  <w:style w:type="paragraph" w:customStyle="1" w:styleId="ListAlpha2">
    <w:name w:val="List Alpha 2"/>
    <w:basedOn w:val="Normal"/>
    <w:uiPriority w:val="26"/>
    <w:rsid w:val="003719CD"/>
    <w:pPr>
      <w:numPr>
        <w:ilvl w:val="1"/>
        <w:numId w:val="4"/>
      </w:numPr>
      <w:spacing w:before="40" w:after="40"/>
    </w:pPr>
  </w:style>
  <w:style w:type="paragraph" w:styleId="NormalWeb">
    <w:name w:val="Normal (Web)"/>
    <w:basedOn w:val="Normal"/>
    <w:uiPriority w:val="99"/>
    <w:unhideWhenUsed/>
    <w:rsid w:val="003719CD"/>
    <w:pPr>
      <w:spacing w:before="120" w:after="0" w:line="240" w:lineRule="auto"/>
    </w:pPr>
    <w:rPr>
      <w:rFonts w:ascii="Times New Roman" w:hAnsi="Times New Roman" w:cs="Times New Roman"/>
      <w:spacing w:val="2"/>
      <w:sz w:val="24"/>
      <w:szCs w:val="24"/>
    </w:rPr>
  </w:style>
  <w:style w:type="paragraph" w:styleId="TOC9">
    <w:name w:val="toc 9"/>
    <w:basedOn w:val="Normal"/>
    <w:next w:val="Normal"/>
    <w:uiPriority w:val="39"/>
    <w:unhideWhenUsed/>
    <w:rsid w:val="0077020E"/>
    <w:pPr>
      <w:keepLines w:val="0"/>
      <w:tabs>
        <w:tab w:val="left" w:pos="567"/>
        <w:tab w:val="right" w:leader="dot" w:pos="4536"/>
      </w:tabs>
      <w:spacing w:before="60" w:after="40" w:line="240" w:lineRule="auto"/>
      <w:ind w:left="562" w:hanging="562"/>
    </w:pPr>
    <w:rPr>
      <w:rFonts w:eastAsiaTheme="minorEastAsia"/>
      <w:szCs w:val="22"/>
      <w:lang w:eastAsia="en-AU"/>
    </w:rPr>
  </w:style>
  <w:style w:type="character" w:styleId="PlaceholderText">
    <w:name w:val="Placeholder Text"/>
    <w:basedOn w:val="DefaultParagraphFont"/>
    <w:uiPriority w:val="99"/>
    <w:semiHidden/>
    <w:rsid w:val="003719CD"/>
    <w:rPr>
      <w:color w:val="808080"/>
    </w:rPr>
  </w:style>
  <w:style w:type="table" w:customStyle="1" w:styleId="DTFTable1">
    <w:name w:val="DTF Table1"/>
    <w:basedOn w:val="TableNormal"/>
    <w:uiPriority w:val="99"/>
    <w:rsid w:val="003719CD"/>
    <w:pPr>
      <w:spacing w:before="20" w:after="20" w:line="240" w:lineRule="auto"/>
      <w:jc w:val="right"/>
    </w:pPr>
    <w:rPr>
      <w:rFonts w:asciiTheme="majorHAnsi" w:hAnsiTheme="majorHAnsi"/>
      <w:sz w:val="17"/>
      <w:szCs w:val="22"/>
    </w:rPr>
    <w:tblPr>
      <w:tblStyleRowBandSize w:val="1"/>
      <w:tblStyleColBandSize w:val="1"/>
      <w:tblInd w:w="28" w:type="dxa"/>
      <w:tblBorders>
        <w:bottom w:val="single" w:sz="12" w:space="0" w:color="auto"/>
      </w:tblBorders>
      <w:tblCellMar>
        <w:left w:w="57" w:type="dxa"/>
        <w:right w:w="57" w:type="dxa"/>
      </w:tblCellMar>
    </w:tblPr>
    <w:trPr>
      <w:cantSplit/>
    </w:trPr>
    <w:tblStylePr w:type="firstRow">
      <w:rPr>
        <w:i/>
      </w:rPr>
      <w:tblPr/>
      <w:trPr>
        <w:cantSplit w:val="0"/>
      </w:trPr>
      <w:tcPr>
        <w:shd w:val="clear" w:color="auto" w:fill="000000" w:themeFill="text1"/>
        <w:vAlign w:val="bottom"/>
      </w:tcPr>
    </w:tblStylePr>
    <w:tblStylePr w:type="lastRow">
      <w:rPr>
        <w:b/>
      </w:rPr>
      <w:tblPr/>
      <w:tcPr>
        <w:tcBorders>
          <w:top w:val="single" w:sz="6" w:space="0" w:color="000000" w:themeColor="text1"/>
          <w:left w:val="nil"/>
          <w:bottom w:val="single" w:sz="12" w:space="0" w:color="000000" w:themeColor="text1"/>
          <w:right w:val="nil"/>
          <w:insideH w:val="nil"/>
          <w:insideV w:val="nil"/>
          <w:tl2br w:val="nil"/>
          <w:tr2bl w:val="nil"/>
        </w:tcBorders>
      </w:tcPr>
    </w:tblStylePr>
    <w:tblStylePr w:type="firstCol">
      <w:pPr>
        <w:wordWrap/>
        <w:spacing w:line="240" w:lineRule="auto"/>
        <w:ind w:leftChars="0" w:left="170" w:rightChars="0" w:right="0" w:firstLineChars="0" w:hanging="170"/>
        <w:jc w:val="left"/>
      </w:pPr>
    </w:tblStylePr>
    <w:tblStylePr w:type="lastCol">
      <w:rPr>
        <w:b/>
      </w:rPr>
      <w:tblPr/>
      <w:tcPr>
        <w:shd w:val="clear" w:color="auto" w:fill="F2F2F2" w:themeFill="background1" w:themeFillShade="F2"/>
      </w:tcPr>
    </w:tblStylePr>
    <w:tblStylePr w:type="band1Vert">
      <w:tblPr/>
      <w:tcPr>
        <w:shd w:val="clear" w:color="auto" w:fill="E7E6E6" w:themeFill="background2"/>
      </w:tcPr>
    </w:tblStylePr>
    <w:tblStylePr w:type="band1Horz">
      <w:tblPr/>
      <w:tcPr>
        <w:shd w:val="clear" w:color="auto" w:fill="E7E6E6" w:themeFill="background2"/>
      </w:tcPr>
    </w:tblStylePr>
    <w:tblStylePr w:type="band2Horz">
      <w:tblPr/>
      <w:tcPr>
        <w:shd w:val="clear" w:color="auto" w:fill="FFFFFF" w:themeFill="background1"/>
      </w:tcPr>
    </w:tblStylePr>
  </w:style>
  <w:style w:type="paragraph" w:styleId="TOC8">
    <w:name w:val="toc 8"/>
    <w:basedOn w:val="Normal"/>
    <w:next w:val="Normal"/>
    <w:autoRedefine/>
    <w:uiPriority w:val="39"/>
    <w:unhideWhenUsed/>
    <w:rsid w:val="008F49C2"/>
    <w:pPr>
      <w:tabs>
        <w:tab w:val="left" w:pos="567"/>
        <w:tab w:val="right" w:pos="8108"/>
      </w:tabs>
      <w:spacing w:before="60" w:after="40" w:line="240" w:lineRule="auto"/>
    </w:pPr>
  </w:style>
  <w:style w:type="paragraph" w:styleId="Revision">
    <w:name w:val="Revision"/>
    <w:hidden/>
    <w:uiPriority w:val="99"/>
    <w:semiHidden/>
    <w:rsid w:val="003719CD"/>
    <w:pPr>
      <w:spacing w:before="0" w:after="0" w:line="240" w:lineRule="auto"/>
    </w:pPr>
  </w:style>
  <w:style w:type="paragraph" w:customStyle="1" w:styleId="Spacer">
    <w:name w:val="Spacer"/>
    <w:basedOn w:val="Normal"/>
    <w:uiPriority w:val="13"/>
    <w:semiHidden/>
    <w:qFormat/>
    <w:rsid w:val="003719CD"/>
    <w:pPr>
      <w:spacing w:before="0" w:after="0" w:line="120" w:lineRule="atLeast"/>
    </w:pPr>
    <w:rPr>
      <w:rFonts w:eastAsia="Times New Roman" w:cs="Calibri"/>
      <w:color w:val="000000" w:themeColor="text1"/>
      <w:sz w:val="10"/>
      <w:szCs w:val="22"/>
      <w:lang w:eastAsia="en-AU"/>
    </w:rPr>
  </w:style>
  <w:style w:type="paragraph" w:styleId="Subtitle">
    <w:name w:val="Subtitle"/>
    <w:next w:val="Normal"/>
    <w:link w:val="SubtitleChar"/>
    <w:uiPriority w:val="45"/>
    <w:rsid w:val="007D536F"/>
    <w:pPr>
      <w:spacing w:before="1400" w:after="120" w:line="440" w:lineRule="exact"/>
      <w:ind w:right="2892"/>
      <w:jc w:val="right"/>
    </w:pPr>
    <w:rPr>
      <w:rFonts w:asciiTheme="majorHAnsi" w:eastAsia="Times New Roman" w:hAnsiTheme="majorHAnsi" w:cstheme="majorHAnsi"/>
      <w:sz w:val="32"/>
      <w:szCs w:val="32"/>
      <w:lang w:eastAsia="en-AU"/>
    </w:rPr>
  </w:style>
  <w:style w:type="character" w:customStyle="1" w:styleId="SubtitleChar">
    <w:name w:val="Subtitle Char"/>
    <w:basedOn w:val="DefaultParagraphFont"/>
    <w:link w:val="Subtitle"/>
    <w:uiPriority w:val="45"/>
    <w:rsid w:val="007D536F"/>
    <w:rPr>
      <w:rFonts w:asciiTheme="majorHAnsi" w:eastAsia="Times New Roman" w:hAnsiTheme="majorHAnsi" w:cstheme="majorHAnsi"/>
      <w:sz w:val="32"/>
      <w:szCs w:val="32"/>
      <w:lang w:eastAsia="en-AU"/>
    </w:rPr>
  </w:style>
  <w:style w:type="paragraph" w:customStyle="1" w:styleId="NormalTight">
    <w:name w:val="Normal Tight"/>
    <w:uiPriority w:val="99"/>
    <w:semiHidden/>
    <w:rsid w:val="003719CD"/>
    <w:pPr>
      <w:spacing w:before="0" w:after="0" w:line="240" w:lineRule="auto"/>
      <w:ind w:right="2366"/>
    </w:pPr>
    <w:rPr>
      <w:rFonts w:eastAsia="Times New Roman" w:cs="Calibri"/>
      <w:szCs w:val="19"/>
    </w:rPr>
  </w:style>
  <w:style w:type="paragraph" w:customStyle="1" w:styleId="Insidecoverspacer">
    <w:name w:val="Inside cover spacer"/>
    <w:basedOn w:val="NormalTight"/>
    <w:uiPriority w:val="99"/>
    <w:semiHidden/>
    <w:qFormat/>
    <w:rsid w:val="003719CD"/>
    <w:pPr>
      <w:spacing w:before="3800"/>
      <w:ind w:right="1382"/>
    </w:pPr>
  </w:style>
  <w:style w:type="paragraph" w:customStyle="1" w:styleId="ReportDate">
    <w:name w:val="ReportDate"/>
    <w:uiPriority w:val="79"/>
    <w:semiHidden/>
    <w:rsid w:val="003719CD"/>
    <w:pPr>
      <w:spacing w:after="60" w:line="240" w:lineRule="auto"/>
      <w:ind w:right="2909"/>
      <w:jc w:val="right"/>
    </w:pPr>
    <w:rPr>
      <w:rFonts w:eastAsiaTheme="minorEastAsia"/>
      <w:b/>
      <w:bCs/>
      <w:caps/>
      <w:sz w:val="20"/>
      <w:szCs w:val="20"/>
      <w:lang w:eastAsia="en-AU"/>
    </w:rPr>
  </w:style>
  <w:style w:type="paragraph" w:customStyle="1" w:styleId="CM">
    <w:name w:val="CM"/>
    <w:next w:val="Title"/>
    <w:uiPriority w:val="79"/>
    <w:semiHidden/>
    <w:rsid w:val="003719CD"/>
    <w:pPr>
      <w:spacing w:before="0" w:after="2200" w:line="240" w:lineRule="auto"/>
      <w:ind w:right="2909"/>
      <w:jc w:val="right"/>
    </w:pPr>
    <w:rPr>
      <w:rFonts w:eastAsiaTheme="minorEastAsia"/>
      <w:caps/>
      <w:sz w:val="20"/>
      <w:szCs w:val="20"/>
      <w:lang w:eastAsia="en-AU"/>
    </w:rPr>
  </w:style>
  <w:style w:type="paragraph" w:customStyle="1" w:styleId="CoverSpacer">
    <w:name w:val="CoverSpacer"/>
    <w:basedOn w:val="Normal"/>
    <w:semiHidden/>
    <w:qFormat/>
    <w:rsid w:val="003719CD"/>
    <w:pPr>
      <w:spacing w:before="4600" w:after="0"/>
    </w:pPr>
    <w:rPr>
      <w:rFonts w:eastAsiaTheme="minorEastAsia"/>
      <w:color w:val="000000" w:themeColor="text1"/>
      <w:sz w:val="20"/>
      <w:szCs w:val="20"/>
      <w:lang w:eastAsia="en-AU"/>
    </w:rPr>
  </w:style>
  <w:style w:type="paragraph" w:styleId="TOC2">
    <w:name w:val="toc 2"/>
    <w:basedOn w:val="Normal"/>
    <w:next w:val="Normal"/>
    <w:autoRedefine/>
    <w:uiPriority w:val="39"/>
    <w:unhideWhenUsed/>
    <w:rsid w:val="006D3822"/>
    <w:pPr>
      <w:tabs>
        <w:tab w:val="right" w:leader="dot" w:pos="9628"/>
      </w:tabs>
      <w:spacing w:after="100"/>
      <w:ind w:left="180"/>
    </w:pPr>
  </w:style>
  <w:style w:type="paragraph" w:styleId="TOC1">
    <w:name w:val="toc 1"/>
    <w:basedOn w:val="Normal"/>
    <w:next w:val="Normal"/>
    <w:autoRedefine/>
    <w:uiPriority w:val="39"/>
    <w:unhideWhenUsed/>
    <w:rsid w:val="00D45197"/>
    <w:pPr>
      <w:tabs>
        <w:tab w:val="right" w:leader="dot" w:pos="9639"/>
      </w:tabs>
      <w:spacing w:after="100"/>
    </w:pPr>
    <w:rPr>
      <w:b/>
    </w:rPr>
  </w:style>
  <w:style w:type="paragraph" w:styleId="TOC3">
    <w:name w:val="toc 3"/>
    <w:basedOn w:val="Normal"/>
    <w:next w:val="Normal"/>
    <w:autoRedefine/>
    <w:uiPriority w:val="39"/>
    <w:unhideWhenUsed/>
    <w:rsid w:val="007D536F"/>
    <w:pPr>
      <w:keepLines w:val="0"/>
      <w:spacing w:before="0" w:after="100" w:line="259" w:lineRule="auto"/>
      <w:ind w:left="440"/>
    </w:pPr>
    <w:rPr>
      <w:rFonts w:eastAsiaTheme="minorEastAsia"/>
      <w:sz w:val="22"/>
      <w:szCs w:val="22"/>
      <w:lang w:eastAsia="en-AU"/>
    </w:rPr>
  </w:style>
  <w:style w:type="paragraph" w:styleId="TOC4">
    <w:name w:val="toc 4"/>
    <w:basedOn w:val="Normal"/>
    <w:next w:val="Normal"/>
    <w:autoRedefine/>
    <w:uiPriority w:val="39"/>
    <w:unhideWhenUsed/>
    <w:rsid w:val="007D536F"/>
    <w:pPr>
      <w:keepLines w:val="0"/>
      <w:spacing w:before="0" w:after="100" w:line="259" w:lineRule="auto"/>
      <w:ind w:left="660"/>
    </w:pPr>
    <w:rPr>
      <w:rFonts w:eastAsiaTheme="minorEastAsia"/>
      <w:sz w:val="22"/>
      <w:szCs w:val="22"/>
      <w:lang w:eastAsia="en-AU"/>
    </w:rPr>
  </w:style>
  <w:style w:type="paragraph" w:styleId="TOC5">
    <w:name w:val="toc 5"/>
    <w:basedOn w:val="Normal"/>
    <w:next w:val="Normal"/>
    <w:autoRedefine/>
    <w:uiPriority w:val="39"/>
    <w:unhideWhenUsed/>
    <w:rsid w:val="007D536F"/>
    <w:pPr>
      <w:keepLines w:val="0"/>
      <w:spacing w:before="0" w:after="100" w:line="259" w:lineRule="auto"/>
      <w:ind w:left="880"/>
    </w:pPr>
    <w:rPr>
      <w:rFonts w:eastAsiaTheme="minorEastAsia"/>
      <w:sz w:val="22"/>
      <w:szCs w:val="22"/>
      <w:lang w:eastAsia="en-AU"/>
    </w:rPr>
  </w:style>
  <w:style w:type="paragraph" w:styleId="TOC6">
    <w:name w:val="toc 6"/>
    <w:basedOn w:val="Normal"/>
    <w:next w:val="Normal"/>
    <w:autoRedefine/>
    <w:uiPriority w:val="39"/>
    <w:unhideWhenUsed/>
    <w:rsid w:val="007D536F"/>
    <w:pPr>
      <w:keepLines w:val="0"/>
      <w:spacing w:before="0" w:after="100" w:line="259" w:lineRule="auto"/>
      <w:ind w:left="1100"/>
    </w:pPr>
    <w:rPr>
      <w:rFonts w:eastAsiaTheme="minorEastAsia"/>
      <w:sz w:val="22"/>
      <w:szCs w:val="22"/>
      <w:lang w:eastAsia="en-AU"/>
    </w:rPr>
  </w:style>
  <w:style w:type="paragraph" w:styleId="TOC7">
    <w:name w:val="toc 7"/>
    <w:basedOn w:val="Normal"/>
    <w:next w:val="Normal"/>
    <w:autoRedefine/>
    <w:uiPriority w:val="39"/>
    <w:unhideWhenUsed/>
    <w:rsid w:val="007D536F"/>
    <w:pPr>
      <w:keepLines w:val="0"/>
      <w:spacing w:before="0" w:after="100" w:line="259" w:lineRule="auto"/>
      <w:ind w:left="1320"/>
    </w:pPr>
    <w:rPr>
      <w:rFonts w:eastAsiaTheme="minorEastAsia"/>
      <w:sz w:val="22"/>
      <w:szCs w:val="22"/>
      <w:lang w:eastAsia="en-AU"/>
    </w:rPr>
  </w:style>
  <w:style w:type="character" w:styleId="FollowedHyperlink">
    <w:name w:val="FollowedHyperlink"/>
    <w:basedOn w:val="DefaultParagraphFont"/>
    <w:uiPriority w:val="99"/>
    <w:semiHidden/>
    <w:unhideWhenUsed/>
    <w:rsid w:val="00F6022B"/>
    <w:rPr>
      <w:color w:val="954F72" w:themeColor="followedHyperlink"/>
      <w:u w:val="single"/>
    </w:rPr>
  </w:style>
  <w:style w:type="paragraph" w:customStyle="1" w:styleId="SectionTitle">
    <w:name w:val="Section Title"/>
    <w:basedOn w:val="Heading1"/>
    <w:uiPriority w:val="45"/>
    <w:qFormat/>
    <w:rsid w:val="00F6022B"/>
  </w:style>
  <w:style w:type="character" w:styleId="PageNumber">
    <w:name w:val="page number"/>
    <w:rsid w:val="00DC763C"/>
    <w:rPr>
      <w:rFonts w:asciiTheme="minorHAnsi" w:hAnsiTheme="minorHAnsi"/>
      <w:sz w:val="18"/>
    </w:rPr>
  </w:style>
  <w:style w:type="paragraph" w:customStyle="1" w:styleId="Footereven">
    <w:name w:val="Footer (even)"/>
    <w:basedOn w:val="Normal"/>
    <w:link w:val="FooterevenChar"/>
    <w:uiPriority w:val="84"/>
    <w:rsid w:val="00DC763C"/>
    <w:pPr>
      <w:pBdr>
        <w:top w:val="single" w:sz="6" w:space="1" w:color="auto"/>
      </w:pBdr>
      <w:tabs>
        <w:tab w:val="right" w:pos="9639"/>
        <w:tab w:val="right" w:pos="14742"/>
      </w:tabs>
      <w:spacing w:before="0" w:after="0" w:line="240" w:lineRule="auto"/>
    </w:pPr>
    <w:rPr>
      <w:rFonts w:asciiTheme="majorHAnsi" w:hAnsiTheme="majorHAnsi"/>
      <w:spacing w:val="2"/>
    </w:rPr>
  </w:style>
  <w:style w:type="character" w:customStyle="1" w:styleId="FooterevenChar">
    <w:name w:val="Footer (even) Char"/>
    <w:basedOn w:val="DefaultParagraphFont"/>
    <w:link w:val="Footereven"/>
    <w:uiPriority w:val="84"/>
    <w:rsid w:val="00DC763C"/>
    <w:rPr>
      <w:rFonts w:asciiTheme="majorHAnsi" w:hAnsiTheme="majorHAnsi"/>
      <w:spacing w:val="2"/>
    </w:rPr>
  </w:style>
  <w:style w:type="numbering" w:customStyle="1" w:styleId="NumberedHeadings">
    <w:name w:val="Numbered Headings"/>
    <w:uiPriority w:val="99"/>
    <w:rsid w:val="004B40B4"/>
    <w:pPr>
      <w:numPr>
        <w:numId w:val="13"/>
      </w:numPr>
    </w:pPr>
  </w:style>
  <w:style w:type="character" w:styleId="Mention">
    <w:name w:val="Mention"/>
    <w:basedOn w:val="DefaultParagraphFont"/>
    <w:uiPriority w:val="99"/>
    <w:unhideWhenUsed/>
    <w:rsid w:val="00BA73FF"/>
    <w:rPr>
      <w:color w:val="2B579A"/>
      <w:shd w:val="clear" w:color="auto" w:fill="E1DFDD"/>
    </w:rPr>
  </w:style>
  <w:style w:type="character" w:customStyle="1" w:styleId="ListContinueChar">
    <w:name w:val="List Continue Char"/>
    <w:basedOn w:val="DefaultParagraphFont"/>
    <w:link w:val="ListContinue"/>
    <w:uiPriority w:val="26"/>
    <w:rsid w:val="00BA0D8E"/>
  </w:style>
  <w:style w:type="character" w:customStyle="1" w:styleId="ListContinue2Char">
    <w:name w:val="List Continue 2 Char"/>
    <w:basedOn w:val="ListContinueChar"/>
    <w:link w:val="ListContinue2"/>
    <w:uiPriority w:val="26"/>
    <w:semiHidden/>
    <w:rsid w:val="00BA0D8E"/>
  </w:style>
  <w:style w:type="character" w:customStyle="1" w:styleId="ListBullet2Char">
    <w:name w:val="List Bullet 2 Char"/>
    <w:basedOn w:val="ListContinue2Char"/>
    <w:link w:val="ListBullet2"/>
    <w:uiPriority w:val="24"/>
    <w:rsid w:val="00FE6E67"/>
  </w:style>
  <w:style w:type="character" w:customStyle="1" w:styleId="ListBulletChar">
    <w:name w:val="List Bullet Char"/>
    <w:basedOn w:val="ListContinueChar"/>
    <w:link w:val="ListBullet"/>
    <w:uiPriority w:val="24"/>
    <w:rsid w:val="00BA0D8E"/>
  </w:style>
  <w:style w:type="character" w:customStyle="1" w:styleId="ListParagraphChar">
    <w:name w:val="List Paragraph Char"/>
    <w:basedOn w:val="DefaultParagraphFont"/>
    <w:link w:val="ListParagraph"/>
    <w:uiPriority w:val="25"/>
    <w:rsid w:val="00BA0D8E"/>
  </w:style>
  <w:style w:type="table" w:styleId="TableGridLight">
    <w:name w:val="Grid Table Light"/>
    <w:basedOn w:val="TableNormal"/>
    <w:uiPriority w:val="40"/>
    <w:rsid w:val="004330DD"/>
    <w:pPr>
      <w:spacing w:before="0" w:after="0" w:line="240" w:lineRule="auto"/>
    </w:pPr>
    <w:rPr>
      <w:rFonts w:eastAsiaTheme="minorEastAsia"/>
      <w:sz w:val="22"/>
      <w:szCs w:val="22"/>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1numbered">
    <w:name w:val="Heading 1 numbered"/>
    <w:basedOn w:val="Heading1"/>
    <w:next w:val="Normal"/>
    <w:uiPriority w:val="14"/>
    <w:rsid w:val="006F39D9"/>
    <w:pPr>
      <w:numPr>
        <w:numId w:val="39"/>
      </w:numPr>
    </w:pPr>
  </w:style>
  <w:style w:type="paragraph" w:customStyle="1" w:styleId="Heading2numbered">
    <w:name w:val="Heading 2 numbered"/>
    <w:basedOn w:val="Heading2"/>
    <w:next w:val="Normal"/>
    <w:uiPriority w:val="14"/>
    <w:rsid w:val="006F39D9"/>
    <w:pPr>
      <w:numPr>
        <w:ilvl w:val="1"/>
        <w:numId w:val="39"/>
      </w:numPr>
    </w:pPr>
  </w:style>
  <w:style w:type="paragraph" w:customStyle="1" w:styleId="Heading3numbered">
    <w:name w:val="Heading 3 numbered"/>
    <w:basedOn w:val="Heading3"/>
    <w:next w:val="Normal"/>
    <w:uiPriority w:val="14"/>
    <w:qFormat/>
    <w:rsid w:val="006F39D9"/>
    <w:pPr>
      <w:numPr>
        <w:ilvl w:val="2"/>
        <w:numId w:val="39"/>
      </w:numPr>
    </w:pPr>
  </w:style>
  <w:style w:type="paragraph" w:customStyle="1" w:styleId="ListAlpha3">
    <w:name w:val="List Alpha 3"/>
    <w:basedOn w:val="Normal"/>
    <w:uiPriority w:val="26"/>
    <w:rsid w:val="002B0DF8"/>
    <w:pPr>
      <w:numPr>
        <w:ilvl w:val="2"/>
        <w:numId w:val="4"/>
      </w:numPr>
    </w:pPr>
  </w:style>
  <w:style w:type="paragraph" w:customStyle="1" w:styleId="Default">
    <w:name w:val="Default"/>
    <w:rsid w:val="005A2C3F"/>
    <w:pPr>
      <w:autoSpaceDE w:val="0"/>
      <w:autoSpaceDN w:val="0"/>
      <w:adjustRightInd w:val="0"/>
      <w:spacing w:before="0" w:after="0" w:line="240" w:lineRule="auto"/>
    </w:pPr>
    <w:rPr>
      <w:rFonts w:ascii="Arial" w:hAnsi="Arial" w:cs="Arial"/>
      <w:color w:val="000000"/>
      <w:sz w:val="24"/>
      <w:szCs w:val="24"/>
    </w:rPr>
  </w:style>
  <w:style w:type="paragraph" w:customStyle="1" w:styleId="Heading4numbered">
    <w:name w:val="Heading 4 numbered"/>
    <w:basedOn w:val="Heading4"/>
    <w:next w:val="NormalIndent"/>
    <w:uiPriority w:val="4"/>
    <w:semiHidden/>
    <w:qFormat/>
    <w:rsid w:val="0030170E"/>
    <w:pPr>
      <w:tabs>
        <w:tab w:val="num" w:pos="792"/>
      </w:tabs>
      <w:spacing w:before="200" w:after="0" w:line="276" w:lineRule="auto"/>
      <w:ind w:left="792" w:hanging="792"/>
    </w:pPr>
    <w:rPr>
      <w:bCs/>
      <w:color w:val="53565A"/>
      <w:spacing w:val="2"/>
      <w:szCs w:val="20"/>
      <w:lang w:eastAsia="en-AU"/>
    </w:rPr>
  </w:style>
  <w:style w:type="paragraph" w:customStyle="1" w:styleId="Listnumindent2">
    <w:name w:val="List num indent 2"/>
    <w:basedOn w:val="Normal"/>
    <w:uiPriority w:val="7"/>
    <w:qFormat/>
    <w:rsid w:val="0030170E"/>
    <w:pPr>
      <w:keepLines w:val="0"/>
      <w:tabs>
        <w:tab w:val="num" w:pos="1800"/>
      </w:tabs>
      <w:spacing w:before="100" w:after="100" w:line="276" w:lineRule="auto"/>
      <w:ind w:left="1800" w:hanging="504"/>
      <w:contextualSpacing/>
    </w:pPr>
    <w:rPr>
      <w:rFonts w:eastAsiaTheme="minorEastAsia"/>
      <w:spacing w:val="2"/>
      <w:szCs w:val="20"/>
      <w:lang w:eastAsia="en-AU"/>
    </w:rPr>
  </w:style>
  <w:style w:type="paragraph" w:customStyle="1" w:styleId="Listnumindent">
    <w:name w:val="List num indent"/>
    <w:basedOn w:val="Normal"/>
    <w:uiPriority w:val="7"/>
    <w:qFormat/>
    <w:rsid w:val="0030170E"/>
    <w:pPr>
      <w:keepLines w:val="0"/>
      <w:tabs>
        <w:tab w:val="num" w:pos="1296"/>
      </w:tabs>
      <w:spacing w:before="100" w:after="100" w:line="276" w:lineRule="auto"/>
      <w:ind w:left="1296" w:hanging="504"/>
    </w:pPr>
    <w:rPr>
      <w:rFonts w:eastAsiaTheme="minorEastAsia"/>
      <w:spacing w:val="2"/>
      <w:szCs w:val="20"/>
      <w:lang w:eastAsia="en-AU"/>
    </w:rPr>
  </w:style>
  <w:style w:type="paragraph" w:customStyle="1" w:styleId="Listnum">
    <w:name w:val="List num"/>
    <w:basedOn w:val="Normal"/>
    <w:uiPriority w:val="1"/>
    <w:qFormat/>
    <w:rsid w:val="0030170E"/>
    <w:pPr>
      <w:keepLines w:val="0"/>
      <w:tabs>
        <w:tab w:val="num" w:pos="504"/>
      </w:tabs>
      <w:spacing w:after="100" w:line="276" w:lineRule="auto"/>
      <w:ind w:left="504" w:hanging="504"/>
      <w:contextualSpacing/>
    </w:pPr>
    <w:rPr>
      <w:rFonts w:eastAsiaTheme="minorEastAsia"/>
      <w:spacing w:val="2"/>
      <w:szCs w:val="20"/>
      <w:lang w:eastAsia="en-AU"/>
    </w:rPr>
  </w:style>
  <w:style w:type="paragraph" w:customStyle="1" w:styleId="Listnum2">
    <w:name w:val="List num 2"/>
    <w:basedOn w:val="Normal"/>
    <w:uiPriority w:val="1"/>
    <w:qFormat/>
    <w:rsid w:val="0030170E"/>
    <w:pPr>
      <w:keepLines w:val="0"/>
      <w:tabs>
        <w:tab w:val="num" w:pos="1008"/>
      </w:tabs>
      <w:spacing w:after="100" w:line="276" w:lineRule="auto"/>
      <w:ind w:left="1008" w:hanging="504"/>
      <w:contextualSpacing/>
    </w:pPr>
    <w:rPr>
      <w:rFonts w:eastAsiaTheme="minorEastAsia"/>
      <w:spacing w:val="2"/>
      <w:szCs w:val="20"/>
      <w:lang w:eastAsia="en-AU"/>
    </w:rPr>
  </w:style>
  <w:style w:type="paragraph" w:customStyle="1" w:styleId="Normalbold">
    <w:name w:val="Normal bold"/>
    <w:basedOn w:val="Normal"/>
    <w:qFormat/>
    <w:rsid w:val="0030170E"/>
    <w:pPr>
      <w:keepLines w:val="0"/>
      <w:spacing w:after="100"/>
    </w:pPr>
    <w:rPr>
      <w:rFonts w:eastAsiaTheme="minorHAnsi"/>
      <w:b/>
      <w:spacing w:val="2"/>
    </w:rPr>
  </w:style>
  <w:style w:type="paragraph" w:customStyle="1" w:styleId="Listnumgrey">
    <w:name w:val="List num grey"/>
    <w:uiPriority w:val="3"/>
    <w:qFormat/>
    <w:rsid w:val="0030170E"/>
    <w:pPr>
      <w:tabs>
        <w:tab w:val="num" w:pos="504"/>
      </w:tabs>
      <w:spacing w:before="0" w:after="200"/>
      <w:ind w:left="504" w:hanging="504"/>
    </w:pPr>
    <w:rPr>
      <w:rFonts w:eastAsiaTheme="minorHAnsi"/>
      <w:color w:val="4D4D4D"/>
      <w:spacing w:val="2"/>
      <w:szCs w:val="21"/>
    </w:rPr>
  </w:style>
  <w:style w:type="paragraph" w:customStyle="1" w:styleId="Listnum2grey">
    <w:name w:val="List num 2 grey"/>
    <w:uiPriority w:val="4"/>
    <w:qFormat/>
    <w:rsid w:val="0030170E"/>
    <w:pPr>
      <w:tabs>
        <w:tab w:val="num" w:pos="1008"/>
      </w:tabs>
      <w:spacing w:before="0" w:after="200"/>
      <w:ind w:left="1008" w:hanging="504"/>
    </w:pPr>
    <w:rPr>
      <w:rFonts w:eastAsiaTheme="minorHAnsi"/>
      <w:color w:val="4D4D4D"/>
      <w:spacing w:val="2"/>
      <w:szCs w:val="21"/>
    </w:rPr>
  </w:style>
  <w:style w:type="paragraph" w:styleId="NormalIndent">
    <w:name w:val="Normal Indent"/>
    <w:basedOn w:val="Normal"/>
    <w:uiPriority w:val="99"/>
    <w:semiHidden/>
    <w:unhideWhenUsed/>
    <w:rsid w:val="0030170E"/>
    <w:pPr>
      <w:ind w:left="720"/>
    </w:pPr>
  </w:style>
  <w:style w:type="paragraph" w:styleId="TOCHeading">
    <w:name w:val="TOC Heading"/>
    <w:basedOn w:val="Heading1"/>
    <w:next w:val="Normal"/>
    <w:uiPriority w:val="39"/>
    <w:unhideWhenUsed/>
    <w:qFormat/>
    <w:rsid w:val="00CE38B7"/>
    <w:pPr>
      <w:pBdr>
        <w:bottom w:val="none" w:sz="0" w:space="0" w:color="auto"/>
      </w:pBdr>
      <w:spacing w:before="240" w:after="0" w:line="259" w:lineRule="auto"/>
      <w:outlineLvl w:val="9"/>
    </w:pPr>
    <w:rPr>
      <w:b w:val="0"/>
      <w:caps w:val="0"/>
      <w:color w:val="2F5496" w:themeColor="accent1" w:themeShade="BF"/>
      <w:lang w:val="en-US"/>
    </w:rPr>
  </w:style>
  <w:style w:type="paragraph" w:styleId="BodyText">
    <w:name w:val="Body Text"/>
    <w:basedOn w:val="Normal"/>
    <w:link w:val="BodyTextChar"/>
    <w:uiPriority w:val="1"/>
    <w:qFormat/>
    <w:rsid w:val="005E7F8B"/>
    <w:pPr>
      <w:keepLines w:val="0"/>
      <w:widowControl w:val="0"/>
      <w:autoSpaceDE w:val="0"/>
      <w:autoSpaceDN w:val="0"/>
      <w:spacing w:before="0"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5E7F8B"/>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68512">
      <w:bodyDiv w:val="1"/>
      <w:marLeft w:val="0"/>
      <w:marRight w:val="0"/>
      <w:marTop w:val="0"/>
      <w:marBottom w:val="0"/>
      <w:divBdr>
        <w:top w:val="none" w:sz="0" w:space="0" w:color="auto"/>
        <w:left w:val="none" w:sz="0" w:space="0" w:color="auto"/>
        <w:bottom w:val="none" w:sz="0" w:space="0" w:color="auto"/>
        <w:right w:val="none" w:sz="0" w:space="0" w:color="auto"/>
      </w:divBdr>
    </w:div>
    <w:div w:id="297539269">
      <w:bodyDiv w:val="1"/>
      <w:marLeft w:val="0"/>
      <w:marRight w:val="0"/>
      <w:marTop w:val="0"/>
      <w:marBottom w:val="0"/>
      <w:divBdr>
        <w:top w:val="none" w:sz="0" w:space="0" w:color="auto"/>
        <w:left w:val="none" w:sz="0" w:space="0" w:color="auto"/>
        <w:bottom w:val="none" w:sz="0" w:space="0" w:color="auto"/>
        <w:right w:val="none" w:sz="0" w:space="0" w:color="auto"/>
      </w:divBdr>
    </w:div>
    <w:div w:id="359867071">
      <w:bodyDiv w:val="1"/>
      <w:marLeft w:val="0"/>
      <w:marRight w:val="0"/>
      <w:marTop w:val="0"/>
      <w:marBottom w:val="0"/>
      <w:divBdr>
        <w:top w:val="none" w:sz="0" w:space="0" w:color="auto"/>
        <w:left w:val="none" w:sz="0" w:space="0" w:color="auto"/>
        <w:bottom w:val="none" w:sz="0" w:space="0" w:color="auto"/>
        <w:right w:val="none" w:sz="0" w:space="0" w:color="auto"/>
      </w:divBdr>
    </w:div>
    <w:div w:id="484011656">
      <w:bodyDiv w:val="1"/>
      <w:marLeft w:val="0"/>
      <w:marRight w:val="0"/>
      <w:marTop w:val="0"/>
      <w:marBottom w:val="0"/>
      <w:divBdr>
        <w:top w:val="none" w:sz="0" w:space="0" w:color="auto"/>
        <w:left w:val="none" w:sz="0" w:space="0" w:color="auto"/>
        <w:bottom w:val="none" w:sz="0" w:space="0" w:color="auto"/>
        <w:right w:val="none" w:sz="0" w:space="0" w:color="auto"/>
      </w:divBdr>
    </w:div>
    <w:div w:id="510875799">
      <w:bodyDiv w:val="1"/>
      <w:marLeft w:val="0"/>
      <w:marRight w:val="0"/>
      <w:marTop w:val="0"/>
      <w:marBottom w:val="0"/>
      <w:divBdr>
        <w:top w:val="none" w:sz="0" w:space="0" w:color="auto"/>
        <w:left w:val="none" w:sz="0" w:space="0" w:color="auto"/>
        <w:bottom w:val="none" w:sz="0" w:space="0" w:color="auto"/>
        <w:right w:val="none" w:sz="0" w:space="0" w:color="auto"/>
      </w:divBdr>
    </w:div>
    <w:div w:id="515341418">
      <w:bodyDiv w:val="1"/>
      <w:marLeft w:val="0"/>
      <w:marRight w:val="0"/>
      <w:marTop w:val="0"/>
      <w:marBottom w:val="0"/>
      <w:divBdr>
        <w:top w:val="none" w:sz="0" w:space="0" w:color="auto"/>
        <w:left w:val="none" w:sz="0" w:space="0" w:color="auto"/>
        <w:bottom w:val="none" w:sz="0" w:space="0" w:color="auto"/>
        <w:right w:val="none" w:sz="0" w:space="0" w:color="auto"/>
      </w:divBdr>
    </w:div>
    <w:div w:id="519396701">
      <w:bodyDiv w:val="1"/>
      <w:marLeft w:val="0"/>
      <w:marRight w:val="0"/>
      <w:marTop w:val="0"/>
      <w:marBottom w:val="0"/>
      <w:divBdr>
        <w:top w:val="none" w:sz="0" w:space="0" w:color="auto"/>
        <w:left w:val="none" w:sz="0" w:space="0" w:color="auto"/>
        <w:bottom w:val="none" w:sz="0" w:space="0" w:color="auto"/>
        <w:right w:val="none" w:sz="0" w:space="0" w:color="auto"/>
      </w:divBdr>
    </w:div>
    <w:div w:id="536313444">
      <w:bodyDiv w:val="1"/>
      <w:marLeft w:val="0"/>
      <w:marRight w:val="0"/>
      <w:marTop w:val="0"/>
      <w:marBottom w:val="0"/>
      <w:divBdr>
        <w:top w:val="none" w:sz="0" w:space="0" w:color="auto"/>
        <w:left w:val="none" w:sz="0" w:space="0" w:color="auto"/>
        <w:bottom w:val="none" w:sz="0" w:space="0" w:color="auto"/>
        <w:right w:val="none" w:sz="0" w:space="0" w:color="auto"/>
      </w:divBdr>
    </w:div>
    <w:div w:id="622730365">
      <w:bodyDiv w:val="1"/>
      <w:marLeft w:val="0"/>
      <w:marRight w:val="0"/>
      <w:marTop w:val="0"/>
      <w:marBottom w:val="0"/>
      <w:divBdr>
        <w:top w:val="none" w:sz="0" w:space="0" w:color="auto"/>
        <w:left w:val="none" w:sz="0" w:space="0" w:color="auto"/>
        <w:bottom w:val="none" w:sz="0" w:space="0" w:color="auto"/>
        <w:right w:val="none" w:sz="0" w:space="0" w:color="auto"/>
      </w:divBdr>
    </w:div>
    <w:div w:id="679694732">
      <w:bodyDiv w:val="1"/>
      <w:marLeft w:val="0"/>
      <w:marRight w:val="0"/>
      <w:marTop w:val="0"/>
      <w:marBottom w:val="0"/>
      <w:divBdr>
        <w:top w:val="none" w:sz="0" w:space="0" w:color="auto"/>
        <w:left w:val="none" w:sz="0" w:space="0" w:color="auto"/>
        <w:bottom w:val="none" w:sz="0" w:space="0" w:color="auto"/>
        <w:right w:val="none" w:sz="0" w:space="0" w:color="auto"/>
      </w:divBdr>
    </w:div>
    <w:div w:id="858936625">
      <w:bodyDiv w:val="1"/>
      <w:marLeft w:val="0"/>
      <w:marRight w:val="0"/>
      <w:marTop w:val="0"/>
      <w:marBottom w:val="0"/>
      <w:divBdr>
        <w:top w:val="none" w:sz="0" w:space="0" w:color="auto"/>
        <w:left w:val="none" w:sz="0" w:space="0" w:color="auto"/>
        <w:bottom w:val="none" w:sz="0" w:space="0" w:color="auto"/>
        <w:right w:val="none" w:sz="0" w:space="0" w:color="auto"/>
      </w:divBdr>
    </w:div>
    <w:div w:id="1012562721">
      <w:bodyDiv w:val="1"/>
      <w:marLeft w:val="0"/>
      <w:marRight w:val="0"/>
      <w:marTop w:val="0"/>
      <w:marBottom w:val="0"/>
      <w:divBdr>
        <w:top w:val="none" w:sz="0" w:space="0" w:color="auto"/>
        <w:left w:val="none" w:sz="0" w:space="0" w:color="auto"/>
        <w:bottom w:val="none" w:sz="0" w:space="0" w:color="auto"/>
        <w:right w:val="none" w:sz="0" w:space="0" w:color="auto"/>
      </w:divBdr>
    </w:div>
    <w:div w:id="1013917626">
      <w:bodyDiv w:val="1"/>
      <w:marLeft w:val="0"/>
      <w:marRight w:val="0"/>
      <w:marTop w:val="0"/>
      <w:marBottom w:val="0"/>
      <w:divBdr>
        <w:top w:val="none" w:sz="0" w:space="0" w:color="auto"/>
        <w:left w:val="none" w:sz="0" w:space="0" w:color="auto"/>
        <w:bottom w:val="none" w:sz="0" w:space="0" w:color="auto"/>
        <w:right w:val="none" w:sz="0" w:space="0" w:color="auto"/>
      </w:divBdr>
    </w:div>
    <w:div w:id="1049694260">
      <w:bodyDiv w:val="1"/>
      <w:marLeft w:val="0"/>
      <w:marRight w:val="0"/>
      <w:marTop w:val="0"/>
      <w:marBottom w:val="0"/>
      <w:divBdr>
        <w:top w:val="none" w:sz="0" w:space="0" w:color="auto"/>
        <w:left w:val="none" w:sz="0" w:space="0" w:color="auto"/>
        <w:bottom w:val="none" w:sz="0" w:space="0" w:color="auto"/>
        <w:right w:val="none" w:sz="0" w:space="0" w:color="auto"/>
      </w:divBdr>
    </w:div>
    <w:div w:id="1103653082">
      <w:bodyDiv w:val="1"/>
      <w:marLeft w:val="0"/>
      <w:marRight w:val="0"/>
      <w:marTop w:val="0"/>
      <w:marBottom w:val="0"/>
      <w:divBdr>
        <w:top w:val="none" w:sz="0" w:space="0" w:color="auto"/>
        <w:left w:val="none" w:sz="0" w:space="0" w:color="auto"/>
        <w:bottom w:val="none" w:sz="0" w:space="0" w:color="auto"/>
        <w:right w:val="none" w:sz="0" w:space="0" w:color="auto"/>
      </w:divBdr>
    </w:div>
    <w:div w:id="1308902300">
      <w:bodyDiv w:val="1"/>
      <w:marLeft w:val="0"/>
      <w:marRight w:val="0"/>
      <w:marTop w:val="0"/>
      <w:marBottom w:val="0"/>
      <w:divBdr>
        <w:top w:val="none" w:sz="0" w:space="0" w:color="auto"/>
        <w:left w:val="none" w:sz="0" w:space="0" w:color="auto"/>
        <w:bottom w:val="none" w:sz="0" w:space="0" w:color="auto"/>
        <w:right w:val="none" w:sz="0" w:space="0" w:color="auto"/>
      </w:divBdr>
    </w:div>
    <w:div w:id="1323705100">
      <w:bodyDiv w:val="1"/>
      <w:marLeft w:val="0"/>
      <w:marRight w:val="0"/>
      <w:marTop w:val="0"/>
      <w:marBottom w:val="0"/>
      <w:divBdr>
        <w:top w:val="none" w:sz="0" w:space="0" w:color="auto"/>
        <w:left w:val="none" w:sz="0" w:space="0" w:color="auto"/>
        <w:bottom w:val="none" w:sz="0" w:space="0" w:color="auto"/>
        <w:right w:val="none" w:sz="0" w:space="0" w:color="auto"/>
      </w:divBdr>
    </w:div>
    <w:div w:id="1537740801">
      <w:bodyDiv w:val="1"/>
      <w:marLeft w:val="0"/>
      <w:marRight w:val="0"/>
      <w:marTop w:val="0"/>
      <w:marBottom w:val="0"/>
      <w:divBdr>
        <w:top w:val="none" w:sz="0" w:space="0" w:color="auto"/>
        <w:left w:val="none" w:sz="0" w:space="0" w:color="auto"/>
        <w:bottom w:val="none" w:sz="0" w:space="0" w:color="auto"/>
        <w:right w:val="none" w:sz="0" w:space="0" w:color="auto"/>
      </w:divBdr>
    </w:div>
    <w:div w:id="1547906951">
      <w:bodyDiv w:val="1"/>
      <w:marLeft w:val="0"/>
      <w:marRight w:val="0"/>
      <w:marTop w:val="0"/>
      <w:marBottom w:val="0"/>
      <w:divBdr>
        <w:top w:val="none" w:sz="0" w:space="0" w:color="auto"/>
        <w:left w:val="none" w:sz="0" w:space="0" w:color="auto"/>
        <w:bottom w:val="none" w:sz="0" w:space="0" w:color="auto"/>
        <w:right w:val="none" w:sz="0" w:space="0" w:color="auto"/>
      </w:divBdr>
    </w:div>
    <w:div w:id="1548570011">
      <w:bodyDiv w:val="1"/>
      <w:marLeft w:val="0"/>
      <w:marRight w:val="0"/>
      <w:marTop w:val="0"/>
      <w:marBottom w:val="0"/>
      <w:divBdr>
        <w:top w:val="none" w:sz="0" w:space="0" w:color="auto"/>
        <w:left w:val="none" w:sz="0" w:space="0" w:color="auto"/>
        <w:bottom w:val="none" w:sz="0" w:space="0" w:color="auto"/>
        <w:right w:val="none" w:sz="0" w:space="0" w:color="auto"/>
      </w:divBdr>
    </w:div>
    <w:div w:id="1616013383">
      <w:bodyDiv w:val="1"/>
      <w:marLeft w:val="0"/>
      <w:marRight w:val="0"/>
      <w:marTop w:val="0"/>
      <w:marBottom w:val="0"/>
      <w:divBdr>
        <w:top w:val="none" w:sz="0" w:space="0" w:color="auto"/>
        <w:left w:val="none" w:sz="0" w:space="0" w:color="auto"/>
        <w:bottom w:val="none" w:sz="0" w:space="0" w:color="auto"/>
        <w:right w:val="none" w:sz="0" w:space="0" w:color="auto"/>
      </w:divBdr>
    </w:div>
    <w:div w:id="1621646916">
      <w:bodyDiv w:val="1"/>
      <w:marLeft w:val="0"/>
      <w:marRight w:val="0"/>
      <w:marTop w:val="0"/>
      <w:marBottom w:val="0"/>
      <w:divBdr>
        <w:top w:val="none" w:sz="0" w:space="0" w:color="auto"/>
        <w:left w:val="none" w:sz="0" w:space="0" w:color="auto"/>
        <w:bottom w:val="none" w:sz="0" w:space="0" w:color="auto"/>
        <w:right w:val="none" w:sz="0" w:space="0" w:color="auto"/>
      </w:divBdr>
    </w:div>
    <w:div w:id="1644694537">
      <w:bodyDiv w:val="1"/>
      <w:marLeft w:val="0"/>
      <w:marRight w:val="0"/>
      <w:marTop w:val="0"/>
      <w:marBottom w:val="0"/>
      <w:divBdr>
        <w:top w:val="none" w:sz="0" w:space="0" w:color="auto"/>
        <w:left w:val="none" w:sz="0" w:space="0" w:color="auto"/>
        <w:bottom w:val="none" w:sz="0" w:space="0" w:color="auto"/>
        <w:right w:val="none" w:sz="0" w:space="0" w:color="auto"/>
      </w:divBdr>
    </w:div>
    <w:div w:id="1779258106">
      <w:bodyDiv w:val="1"/>
      <w:marLeft w:val="0"/>
      <w:marRight w:val="0"/>
      <w:marTop w:val="0"/>
      <w:marBottom w:val="0"/>
      <w:divBdr>
        <w:top w:val="none" w:sz="0" w:space="0" w:color="auto"/>
        <w:left w:val="none" w:sz="0" w:space="0" w:color="auto"/>
        <w:bottom w:val="none" w:sz="0" w:space="0" w:color="auto"/>
        <w:right w:val="none" w:sz="0" w:space="0" w:color="auto"/>
      </w:divBdr>
    </w:div>
    <w:div w:id="1848208706">
      <w:bodyDiv w:val="1"/>
      <w:marLeft w:val="0"/>
      <w:marRight w:val="0"/>
      <w:marTop w:val="0"/>
      <w:marBottom w:val="0"/>
      <w:divBdr>
        <w:top w:val="none" w:sz="0" w:space="0" w:color="auto"/>
        <w:left w:val="none" w:sz="0" w:space="0" w:color="auto"/>
        <w:bottom w:val="none" w:sz="0" w:space="0" w:color="auto"/>
        <w:right w:val="none" w:sz="0" w:space="0" w:color="auto"/>
      </w:divBdr>
    </w:div>
    <w:div w:id="2008821406">
      <w:bodyDiv w:val="1"/>
      <w:marLeft w:val="0"/>
      <w:marRight w:val="0"/>
      <w:marTop w:val="0"/>
      <w:marBottom w:val="0"/>
      <w:divBdr>
        <w:top w:val="none" w:sz="0" w:space="0" w:color="auto"/>
        <w:left w:val="none" w:sz="0" w:space="0" w:color="auto"/>
        <w:bottom w:val="none" w:sz="0" w:space="0" w:color="auto"/>
        <w:right w:val="none" w:sz="0" w:space="0" w:color="auto"/>
      </w:divBdr>
    </w:div>
    <w:div w:id="2010282284">
      <w:bodyDiv w:val="1"/>
      <w:marLeft w:val="0"/>
      <w:marRight w:val="0"/>
      <w:marTop w:val="0"/>
      <w:marBottom w:val="0"/>
      <w:divBdr>
        <w:top w:val="none" w:sz="0" w:space="0" w:color="auto"/>
        <w:left w:val="none" w:sz="0" w:space="0" w:color="auto"/>
        <w:bottom w:val="none" w:sz="0" w:space="0" w:color="auto"/>
        <w:right w:val="none" w:sz="0" w:space="0" w:color="auto"/>
      </w:divBdr>
    </w:div>
    <w:div w:id="2145148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eader" Target="header53.xml"/><Relationship Id="rId21" Type="http://schemas.openxmlformats.org/officeDocument/2006/relationships/hyperlink" Target="http://creativecommons.org/licenses/by/4.0/" TargetMode="External"/><Relationship Id="rId42" Type="http://schemas.openxmlformats.org/officeDocument/2006/relationships/footer" Target="footer11.xml"/><Relationship Id="rId63" Type="http://schemas.openxmlformats.org/officeDocument/2006/relationships/header" Target="header24.xml"/><Relationship Id="rId84" Type="http://schemas.openxmlformats.org/officeDocument/2006/relationships/header" Target="header35.xml"/><Relationship Id="rId16" Type="http://schemas.openxmlformats.org/officeDocument/2006/relationships/footer" Target="footer2.xml"/><Relationship Id="rId107" Type="http://schemas.openxmlformats.org/officeDocument/2006/relationships/header" Target="header48.xml"/><Relationship Id="rId11" Type="http://schemas.openxmlformats.org/officeDocument/2006/relationships/footnotes" Target="footnotes.xml"/><Relationship Id="rId32" Type="http://schemas.openxmlformats.org/officeDocument/2006/relationships/header" Target="header7.xml"/><Relationship Id="rId37" Type="http://schemas.openxmlformats.org/officeDocument/2006/relationships/footer" Target="footer9.xml"/><Relationship Id="rId53" Type="http://schemas.openxmlformats.org/officeDocument/2006/relationships/header" Target="header18.xml"/><Relationship Id="rId58" Type="http://schemas.openxmlformats.org/officeDocument/2006/relationships/header" Target="header21.xml"/><Relationship Id="rId74" Type="http://schemas.openxmlformats.org/officeDocument/2006/relationships/hyperlink" Target="https://www.dtf.vic.gov.au/financial-reporting-policy/annual-leave-and-long-service-leave-arrangements" TargetMode="External"/><Relationship Id="rId79" Type="http://schemas.openxmlformats.org/officeDocument/2006/relationships/header" Target="header32.xml"/><Relationship Id="rId102" Type="http://schemas.openxmlformats.org/officeDocument/2006/relationships/header" Target="header46.xml"/><Relationship Id="rId123" Type="http://schemas.openxmlformats.org/officeDocument/2006/relationships/header" Target="header56.xml"/><Relationship Id="rId128" Type="http://schemas.openxmlformats.org/officeDocument/2006/relationships/header" Target="header58.xml"/><Relationship Id="rId5" Type="http://schemas.openxmlformats.org/officeDocument/2006/relationships/customXml" Target="../customXml/item5.xml"/><Relationship Id="rId90" Type="http://schemas.openxmlformats.org/officeDocument/2006/relationships/footer" Target="footer30.xml"/><Relationship Id="rId95" Type="http://schemas.openxmlformats.org/officeDocument/2006/relationships/header" Target="header41.xml"/><Relationship Id="rId22" Type="http://schemas.openxmlformats.org/officeDocument/2006/relationships/hyperlink" Target="mailto:IPpolicy@dtf.vic.gov.au" TargetMode="External"/><Relationship Id="rId27" Type="http://schemas.openxmlformats.org/officeDocument/2006/relationships/footer" Target="footer4.xml"/><Relationship Id="rId43" Type="http://schemas.openxmlformats.org/officeDocument/2006/relationships/header" Target="header11.xml"/><Relationship Id="rId48" Type="http://schemas.openxmlformats.org/officeDocument/2006/relationships/header" Target="header15.xml"/><Relationship Id="rId64" Type="http://schemas.openxmlformats.org/officeDocument/2006/relationships/footer" Target="footer19.xml"/><Relationship Id="rId69" Type="http://schemas.openxmlformats.org/officeDocument/2006/relationships/header" Target="header27.xml"/><Relationship Id="rId113" Type="http://schemas.openxmlformats.org/officeDocument/2006/relationships/header" Target="header51.xml"/><Relationship Id="rId118" Type="http://schemas.openxmlformats.org/officeDocument/2006/relationships/footer" Target="footer43.xml"/><Relationship Id="rId134" Type="http://schemas.openxmlformats.org/officeDocument/2006/relationships/theme" Target="theme/theme1.xml"/><Relationship Id="rId80" Type="http://schemas.openxmlformats.org/officeDocument/2006/relationships/header" Target="header33.xml"/><Relationship Id="rId85" Type="http://schemas.openxmlformats.org/officeDocument/2006/relationships/footer" Target="footer28.xml"/><Relationship Id="rId12" Type="http://schemas.openxmlformats.org/officeDocument/2006/relationships/endnotes" Target="endnotes.xml"/><Relationship Id="rId17" Type="http://schemas.openxmlformats.org/officeDocument/2006/relationships/header" Target="header3.xml"/><Relationship Id="rId33" Type="http://schemas.openxmlformats.org/officeDocument/2006/relationships/header" Target="header8.xml"/><Relationship Id="rId38" Type="http://schemas.openxmlformats.org/officeDocument/2006/relationships/hyperlink" Target="https://www.dtf.vic.gov.au/financial-reporting-policy/financial-reporting-directions-and-guidance" TargetMode="External"/><Relationship Id="rId59" Type="http://schemas.openxmlformats.org/officeDocument/2006/relationships/footer" Target="footer17.xml"/><Relationship Id="rId103" Type="http://schemas.openxmlformats.org/officeDocument/2006/relationships/footer" Target="footer35.xml"/><Relationship Id="rId108" Type="http://schemas.openxmlformats.org/officeDocument/2006/relationships/header" Target="header49.xml"/><Relationship Id="rId124" Type="http://schemas.openxmlformats.org/officeDocument/2006/relationships/footer" Target="footer44.xml"/><Relationship Id="rId129" Type="http://schemas.openxmlformats.org/officeDocument/2006/relationships/footer" Target="footer45.xml"/><Relationship Id="rId54" Type="http://schemas.openxmlformats.org/officeDocument/2006/relationships/footer" Target="footer15.xml"/><Relationship Id="rId70" Type="http://schemas.openxmlformats.org/officeDocument/2006/relationships/footer" Target="footer22.xml"/><Relationship Id="rId75" Type="http://schemas.openxmlformats.org/officeDocument/2006/relationships/header" Target="header29.xml"/><Relationship Id="rId91" Type="http://schemas.openxmlformats.org/officeDocument/2006/relationships/footer" Target="footer31.xml"/><Relationship Id="rId96" Type="http://schemas.openxmlformats.org/officeDocument/2006/relationships/footer" Target="footer33.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mailto:information@dtf.vic.gov.au" TargetMode="External"/><Relationship Id="rId28" Type="http://schemas.openxmlformats.org/officeDocument/2006/relationships/footer" Target="footer5.xml"/><Relationship Id="rId49" Type="http://schemas.openxmlformats.org/officeDocument/2006/relationships/footer" Target="footer13.xml"/><Relationship Id="rId114" Type="http://schemas.openxmlformats.org/officeDocument/2006/relationships/header" Target="header52.xml"/><Relationship Id="rId119" Type="http://schemas.openxmlformats.org/officeDocument/2006/relationships/hyperlink" Target="https://www.dtf.vic.gov.au/financial-reporting-directions-and-guidance" TargetMode="External"/><Relationship Id="rId44" Type="http://schemas.openxmlformats.org/officeDocument/2006/relationships/footer" Target="footer12.xml"/><Relationship Id="rId60" Type="http://schemas.openxmlformats.org/officeDocument/2006/relationships/footer" Target="footer18.xml"/><Relationship Id="rId65" Type="http://schemas.openxmlformats.org/officeDocument/2006/relationships/footer" Target="footer20.xml"/><Relationship Id="rId81" Type="http://schemas.openxmlformats.org/officeDocument/2006/relationships/footer" Target="footer26.xml"/><Relationship Id="rId86" Type="http://schemas.openxmlformats.org/officeDocument/2006/relationships/header" Target="header36.xml"/><Relationship Id="rId130" Type="http://schemas.openxmlformats.org/officeDocument/2006/relationships/footer" Target="footer46.xml"/><Relationship Id="rId13" Type="http://schemas.openxmlformats.org/officeDocument/2006/relationships/header" Target="header1.xml"/><Relationship Id="rId18" Type="http://schemas.openxmlformats.org/officeDocument/2006/relationships/footer" Target="footer3.xml"/><Relationship Id="rId39" Type="http://schemas.openxmlformats.org/officeDocument/2006/relationships/hyperlink" Target="https://www.dtf.vic.gov.au/model-report" TargetMode="External"/><Relationship Id="rId109" Type="http://schemas.openxmlformats.org/officeDocument/2006/relationships/footer" Target="footer38.xml"/><Relationship Id="rId34" Type="http://schemas.openxmlformats.org/officeDocument/2006/relationships/footer" Target="footer7.xml"/><Relationship Id="rId50" Type="http://schemas.openxmlformats.org/officeDocument/2006/relationships/footer" Target="footer14.xml"/><Relationship Id="rId55" Type="http://schemas.openxmlformats.org/officeDocument/2006/relationships/header" Target="header19.xml"/><Relationship Id="rId76" Type="http://schemas.openxmlformats.org/officeDocument/2006/relationships/header" Target="header30.xml"/><Relationship Id="rId97" Type="http://schemas.openxmlformats.org/officeDocument/2006/relationships/footer" Target="footer34.xml"/><Relationship Id="rId104" Type="http://schemas.openxmlformats.org/officeDocument/2006/relationships/footer" Target="footer36.xml"/><Relationship Id="rId120" Type="http://schemas.openxmlformats.org/officeDocument/2006/relationships/hyperlink" Target="http://www.dtf.vic.gov.au/financial-reporting-policy/aasb-124-related-party-disclosures" TargetMode="External"/><Relationship Id="rId125" Type="http://schemas.openxmlformats.org/officeDocument/2006/relationships/header" Target="header57.xml"/><Relationship Id="rId7" Type="http://schemas.openxmlformats.org/officeDocument/2006/relationships/numbering" Target="numbering.xml"/><Relationship Id="rId71" Type="http://schemas.openxmlformats.org/officeDocument/2006/relationships/footer" Target="footer23.xml"/><Relationship Id="rId92" Type="http://schemas.openxmlformats.org/officeDocument/2006/relationships/header" Target="header39.xml"/><Relationship Id="rId2" Type="http://schemas.openxmlformats.org/officeDocument/2006/relationships/customXml" Target="../customXml/item2.xml"/><Relationship Id="rId29" Type="http://schemas.openxmlformats.org/officeDocument/2006/relationships/header" Target="header6.xml"/><Relationship Id="rId24" Type="http://schemas.openxmlformats.org/officeDocument/2006/relationships/hyperlink" Target="http://www.dtf.vic.gov.au" TargetMode="External"/><Relationship Id="rId40" Type="http://schemas.openxmlformats.org/officeDocument/2006/relationships/header" Target="header10.xml"/><Relationship Id="rId45" Type="http://schemas.openxmlformats.org/officeDocument/2006/relationships/header" Target="header12.xml"/><Relationship Id="rId66" Type="http://schemas.openxmlformats.org/officeDocument/2006/relationships/header" Target="header25.xml"/><Relationship Id="rId87" Type="http://schemas.openxmlformats.org/officeDocument/2006/relationships/footer" Target="footer29.xml"/><Relationship Id="rId110" Type="http://schemas.openxmlformats.org/officeDocument/2006/relationships/footer" Target="footer39.xml"/><Relationship Id="rId115" Type="http://schemas.openxmlformats.org/officeDocument/2006/relationships/footer" Target="footer41.xml"/><Relationship Id="rId131" Type="http://schemas.openxmlformats.org/officeDocument/2006/relationships/header" Target="header59.xml"/><Relationship Id="rId61" Type="http://schemas.openxmlformats.org/officeDocument/2006/relationships/header" Target="header22.xml"/><Relationship Id="rId82" Type="http://schemas.openxmlformats.org/officeDocument/2006/relationships/footer" Target="footer27.xml"/><Relationship Id="rId19" Type="http://schemas.openxmlformats.org/officeDocument/2006/relationships/hyperlink" Target="http://creativecommons.org/licenses/by/3.0/au/" TargetMode="External"/><Relationship Id="rId14" Type="http://schemas.openxmlformats.org/officeDocument/2006/relationships/header" Target="header2.xml"/><Relationship Id="rId30" Type="http://schemas.openxmlformats.org/officeDocument/2006/relationships/footer" Target="footer6.xml"/><Relationship Id="rId35" Type="http://schemas.openxmlformats.org/officeDocument/2006/relationships/footer" Target="footer8.xml"/><Relationship Id="rId56" Type="http://schemas.openxmlformats.org/officeDocument/2006/relationships/footer" Target="footer16.xml"/><Relationship Id="rId77" Type="http://schemas.openxmlformats.org/officeDocument/2006/relationships/header" Target="header31.xml"/><Relationship Id="rId100" Type="http://schemas.openxmlformats.org/officeDocument/2006/relationships/header" Target="header44.xml"/><Relationship Id="rId105" Type="http://schemas.openxmlformats.org/officeDocument/2006/relationships/header" Target="header47.xml"/><Relationship Id="rId126" Type="http://schemas.openxmlformats.org/officeDocument/2006/relationships/hyperlink" Target="file://pvfdtf001/DTF_DATA02$/TRIM/Accounting%20Policy_BFM/STATE%20BUDGET%20(WoVG)/ACCOUNTING%20(WoVG)/MODEL%20DEPARTMENTAL%20REPORTS/2021/Financials/www.dtf.vic.gov.au/financial-reporting-policy/accounting-standards-checklists" TargetMode="External"/><Relationship Id="rId8" Type="http://schemas.openxmlformats.org/officeDocument/2006/relationships/styles" Target="styles.xml"/><Relationship Id="rId51" Type="http://schemas.openxmlformats.org/officeDocument/2006/relationships/header" Target="header16.xml"/><Relationship Id="rId72" Type="http://schemas.openxmlformats.org/officeDocument/2006/relationships/header" Target="header28.xml"/><Relationship Id="rId93" Type="http://schemas.openxmlformats.org/officeDocument/2006/relationships/footer" Target="footer32.xml"/><Relationship Id="rId98" Type="http://schemas.openxmlformats.org/officeDocument/2006/relationships/header" Target="header42.xml"/><Relationship Id="rId121" Type="http://schemas.openxmlformats.org/officeDocument/2006/relationships/header" Target="header54.xml"/><Relationship Id="rId3" Type="http://schemas.openxmlformats.org/officeDocument/2006/relationships/customXml" Target="../customXml/item3.xml"/><Relationship Id="rId25" Type="http://schemas.openxmlformats.org/officeDocument/2006/relationships/header" Target="header4.xml"/><Relationship Id="rId46" Type="http://schemas.openxmlformats.org/officeDocument/2006/relationships/header" Target="header13.xml"/><Relationship Id="rId67" Type="http://schemas.openxmlformats.org/officeDocument/2006/relationships/footer" Target="footer21.xml"/><Relationship Id="rId116" Type="http://schemas.openxmlformats.org/officeDocument/2006/relationships/footer" Target="footer42.xml"/><Relationship Id="rId20" Type="http://schemas.openxmlformats.org/officeDocument/2006/relationships/image" Target="media/image2.png"/><Relationship Id="rId41" Type="http://schemas.openxmlformats.org/officeDocument/2006/relationships/footer" Target="footer10.xml"/><Relationship Id="rId62" Type="http://schemas.openxmlformats.org/officeDocument/2006/relationships/header" Target="header23.xml"/><Relationship Id="rId83" Type="http://schemas.openxmlformats.org/officeDocument/2006/relationships/header" Target="header34.xml"/><Relationship Id="rId88" Type="http://schemas.openxmlformats.org/officeDocument/2006/relationships/header" Target="header37.xml"/><Relationship Id="rId111" Type="http://schemas.openxmlformats.org/officeDocument/2006/relationships/header" Target="header50.xml"/><Relationship Id="rId132" Type="http://schemas.openxmlformats.org/officeDocument/2006/relationships/footer" Target="footer47.xml"/><Relationship Id="rId15" Type="http://schemas.openxmlformats.org/officeDocument/2006/relationships/footer" Target="footer1.xml"/><Relationship Id="rId36" Type="http://schemas.openxmlformats.org/officeDocument/2006/relationships/header" Target="header9.xml"/><Relationship Id="rId57" Type="http://schemas.openxmlformats.org/officeDocument/2006/relationships/header" Target="header20.xml"/><Relationship Id="rId106" Type="http://schemas.openxmlformats.org/officeDocument/2006/relationships/footer" Target="footer37.xml"/><Relationship Id="rId127" Type="http://schemas.openxmlformats.org/officeDocument/2006/relationships/hyperlink" Target="file://pvfdtf001/DTF_DATA02$/TRIM/Accounting%20Policy_BFM/STATE%20BUDGET%20(WoVG)/ACCOUNTING%20(WoVG)/MODEL%20DEPARTMENTAL%20REPORTS/2021/Financials/www.dtf.vic.gov.au/financial-reporting-policy/aasb-124-related-party-disclosures" TargetMode="External"/><Relationship Id="rId10" Type="http://schemas.openxmlformats.org/officeDocument/2006/relationships/webSettings" Target="webSettings.xml"/><Relationship Id="rId31" Type="http://schemas.openxmlformats.org/officeDocument/2006/relationships/image" Target="media/image3.png"/><Relationship Id="rId52" Type="http://schemas.openxmlformats.org/officeDocument/2006/relationships/header" Target="header17.xml"/><Relationship Id="rId73" Type="http://schemas.openxmlformats.org/officeDocument/2006/relationships/footer" Target="footer24.xml"/><Relationship Id="rId78" Type="http://schemas.openxmlformats.org/officeDocument/2006/relationships/footer" Target="footer25.xml"/><Relationship Id="rId94" Type="http://schemas.openxmlformats.org/officeDocument/2006/relationships/header" Target="header40.xml"/><Relationship Id="rId99" Type="http://schemas.openxmlformats.org/officeDocument/2006/relationships/header" Target="header43.xml"/><Relationship Id="rId101" Type="http://schemas.openxmlformats.org/officeDocument/2006/relationships/header" Target="header45.xml"/><Relationship Id="rId122" Type="http://schemas.openxmlformats.org/officeDocument/2006/relationships/header" Target="header55.xml"/><Relationship Id="rId4" Type="http://schemas.openxmlformats.org/officeDocument/2006/relationships/customXml" Target="../customXml/item4.xml"/><Relationship Id="rId9" Type="http://schemas.openxmlformats.org/officeDocument/2006/relationships/settings" Target="settings.xml"/><Relationship Id="rId26" Type="http://schemas.openxmlformats.org/officeDocument/2006/relationships/header" Target="header5.xml"/><Relationship Id="rId47" Type="http://schemas.openxmlformats.org/officeDocument/2006/relationships/header" Target="header14.xml"/><Relationship Id="rId68" Type="http://schemas.openxmlformats.org/officeDocument/2006/relationships/header" Target="header26.xml"/><Relationship Id="rId89" Type="http://schemas.openxmlformats.org/officeDocument/2006/relationships/header" Target="header38.xml"/><Relationship Id="rId112" Type="http://schemas.openxmlformats.org/officeDocument/2006/relationships/footer" Target="footer40.xml"/><Relationship Id="rId133"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1efcbdc-f8f0-4bac-929e-ffe707bb6387">
      <Terms xmlns="http://schemas.microsoft.com/office/infopath/2007/PartnerControls"/>
    </lcf76f155ced4ddcb4097134ff3c332f>
    <TaxCatchAll xmlns="b6e3d215-38fc-4294-ac6f-e1813d9666dd" xsi:nil="true"/>
    <_dlc_DocId xmlns="b6e3d215-38fc-4294-ac6f-e1813d9666dd">63PAK4U6Z4MQ-1289146740-78105</_dlc_DocId>
    <_dlc_DocIdUrl xmlns="b6e3d215-38fc-4294-ac6f-e1813d9666dd">
      <Url>https://vicgov.sharepoint.com/sites/DTFStrategicCommunications/_layouts/15/DocIdRedir.aspx?ID=63PAK4U6Z4MQ-1289146740-78105</Url>
      <Description>63PAK4U6Z4MQ-1289146740-78105</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K a p i s h F i l e n a m e T o U r i M a p p i n g s   x m l n s : x s i = " h t t p : / / w w w . w 3 . o r g / 2 0 0 1 / X M L S c h e m a - i n s t a n c e "   x m l n s : x s d = " h t t p : / / w w w . w 3 . o r g / 2 0 0 1 / X M L S c h e m a " / > 
</file>

<file path=customXml/item6.xml><?xml version="1.0" encoding="utf-8"?>
<ct:contentTypeSchema xmlns:ct="http://schemas.microsoft.com/office/2006/metadata/contentType" xmlns:ma="http://schemas.microsoft.com/office/2006/metadata/properties/metaAttributes" ct:_="" ma:_="" ma:contentTypeName="Document" ma:contentTypeID="0x010100E2859DFB47952C4E911DE9714EC95DB1" ma:contentTypeVersion="13" ma:contentTypeDescription="Create a new document." ma:contentTypeScope="" ma:versionID="6e4e2ff3ba7717f958608179b97d9bf0">
  <xsd:schema xmlns:xsd="http://www.w3.org/2001/XMLSchema" xmlns:xs="http://www.w3.org/2001/XMLSchema" xmlns:p="http://schemas.microsoft.com/office/2006/metadata/properties" xmlns:ns2="b6e3d215-38fc-4294-ac6f-e1813d9666dd" xmlns:ns3="e1efcbdc-f8f0-4bac-929e-ffe707bb6387" targetNamespace="http://schemas.microsoft.com/office/2006/metadata/properties" ma:root="true" ma:fieldsID="3e1471c583a5f483d917753c0b9ccc7b" ns2:_="" ns3:_="">
    <xsd:import namespace="b6e3d215-38fc-4294-ac6f-e1813d9666dd"/>
    <xsd:import namespace="e1efcbdc-f8f0-4bac-929e-ffe707bb638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e3d215-38fc-4294-ac6f-e1813d9666d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0a531579-585f-4194-aed9-1ac5952e811b}" ma:internalName="TaxCatchAll" ma:showField="CatchAllData" ma:web="b6e3d215-38fc-4294-ac6f-e1813d9666d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efcbdc-f8f0-4bac-929e-ffe707bb638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ABB20B-298D-4FB4-9136-14380A7B6866}">
  <ds:schemaRefs>
    <ds:schemaRef ds:uri="http://schemas.microsoft.com/office/2006/metadata/properties"/>
    <ds:schemaRef ds:uri="http://schemas.microsoft.com/office/infopath/2007/PartnerControls"/>
    <ds:schemaRef ds:uri="e1efcbdc-f8f0-4bac-929e-ffe707bb6387"/>
    <ds:schemaRef ds:uri="b6e3d215-38fc-4294-ac6f-e1813d9666dd"/>
  </ds:schemaRefs>
</ds:datastoreItem>
</file>

<file path=customXml/itemProps2.xml><?xml version="1.0" encoding="utf-8"?>
<ds:datastoreItem xmlns:ds="http://schemas.openxmlformats.org/officeDocument/2006/customXml" ds:itemID="{05FCC52A-62E9-4BCE-8232-E4250E1EAB92}">
  <ds:schemaRefs>
    <ds:schemaRef ds:uri="http://schemas.microsoft.com/sharepoint/events"/>
  </ds:schemaRefs>
</ds:datastoreItem>
</file>

<file path=customXml/itemProps3.xml><?xml version="1.0" encoding="utf-8"?>
<ds:datastoreItem xmlns:ds="http://schemas.openxmlformats.org/officeDocument/2006/customXml" ds:itemID="{F64B489E-6A15-4BBA-A7C0-795E4F8DA7EB}">
  <ds:schemaRefs>
    <ds:schemaRef ds:uri="http://schemas.microsoft.com/sharepoint/v3/contenttype/forms"/>
  </ds:schemaRefs>
</ds:datastoreItem>
</file>

<file path=customXml/itemProps4.xml><?xml version="1.0" encoding="utf-8"?>
<ds:datastoreItem xmlns:ds="http://schemas.openxmlformats.org/officeDocument/2006/customXml" ds:itemID="{67F922A1-25B2-45FE-AF38-70EDD186C907}">
  <ds:schemaRefs>
    <ds:schemaRef ds:uri="http://schemas.openxmlformats.org/officeDocument/2006/bibliography"/>
  </ds:schemaRefs>
</ds:datastoreItem>
</file>

<file path=customXml/itemProps5.xml><?xml version="1.0" encoding="utf-8"?>
<ds:datastoreItem xmlns:ds="http://schemas.openxmlformats.org/officeDocument/2006/customXml" ds:itemID="{3E3193D8-D779-47F7-8047-9E2B6831164F}">
  <ds:schemaRefs>
    <ds:schemaRef ds:uri="http://www.w3.org/2001/XMLSchema"/>
  </ds:schemaRefs>
</ds:datastoreItem>
</file>

<file path=customXml/itemProps6.xml><?xml version="1.0" encoding="utf-8"?>
<ds:datastoreItem xmlns:ds="http://schemas.openxmlformats.org/officeDocument/2006/customXml" ds:itemID="{C83E73D9-BE9E-4A76-B285-3C7466EF0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e3d215-38fc-4294-ac6f-e1813d9666dd"/>
    <ds:schemaRef ds:uri="e1efcbdc-f8f0-4bac-929e-ffe707bb63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404</TotalTime>
  <Pages>1</Pages>
  <Words>33420</Words>
  <Characters>190498</Characters>
  <Application>Microsoft Office Word</Application>
  <DocSecurity>4</DocSecurity>
  <Lines>1587</Lines>
  <Paragraphs>446</Paragraphs>
  <ScaleCrop>false</ScaleCrop>
  <Company/>
  <LinksUpToDate>false</LinksUpToDate>
  <CharactersWithSpaces>223472</CharactersWithSpaces>
  <SharedDoc>false</SharedDoc>
  <HLinks>
    <vt:vector size="432" baseType="variant">
      <vt:variant>
        <vt:i4>3342426</vt:i4>
      </vt:variant>
      <vt:variant>
        <vt:i4>549</vt:i4>
      </vt:variant>
      <vt:variant>
        <vt:i4>0</vt:i4>
      </vt:variant>
      <vt:variant>
        <vt:i4>5</vt:i4>
      </vt:variant>
      <vt:variant>
        <vt:lpwstr>\\pvfdtf001\DTF_DATA02$\TRIM\Accounting Policy_BFM\STATE BUDGET (WoVG)\ACCOUNTING (WoVG)\MODEL DEPARTMENTAL REPORTS\2021\Financials\www.dtf.vic.gov.au\financial-reporting-policy\aasb-124-related-party-disclosures</vt:lpwstr>
      </vt:variant>
      <vt:variant>
        <vt:lpwstr/>
      </vt:variant>
      <vt:variant>
        <vt:i4>2228253</vt:i4>
      </vt:variant>
      <vt:variant>
        <vt:i4>546</vt:i4>
      </vt:variant>
      <vt:variant>
        <vt:i4>0</vt:i4>
      </vt:variant>
      <vt:variant>
        <vt:i4>5</vt:i4>
      </vt:variant>
      <vt:variant>
        <vt:lpwstr>\\pvfdtf001\DTF_DATA02$\TRIM\Accounting Policy_BFM\STATE BUDGET (WoVG)\ACCOUNTING (WoVG)\MODEL DEPARTMENTAL REPORTS\2021\Financials\www.dtf.vic.gov.au\financial-reporting-policy\accounting-standards-checklists</vt:lpwstr>
      </vt:variant>
      <vt:variant>
        <vt:lpwstr/>
      </vt:variant>
      <vt:variant>
        <vt:i4>2555965</vt:i4>
      </vt:variant>
      <vt:variant>
        <vt:i4>537</vt:i4>
      </vt:variant>
      <vt:variant>
        <vt:i4>0</vt:i4>
      </vt:variant>
      <vt:variant>
        <vt:i4>5</vt:i4>
      </vt:variant>
      <vt:variant>
        <vt:lpwstr>http://www.dtf.vic.gov.au/financial-reporting-policy/aasb-124-related-party-disclosures</vt:lpwstr>
      </vt:variant>
      <vt:variant>
        <vt:lpwstr/>
      </vt:variant>
      <vt:variant>
        <vt:i4>7995519</vt:i4>
      </vt:variant>
      <vt:variant>
        <vt:i4>513</vt:i4>
      </vt:variant>
      <vt:variant>
        <vt:i4>0</vt:i4>
      </vt:variant>
      <vt:variant>
        <vt:i4>5</vt:i4>
      </vt:variant>
      <vt:variant>
        <vt:lpwstr>https://www.dtf.vic.gov.au/financial-reporting-directions-and-guidance</vt:lpwstr>
      </vt:variant>
      <vt:variant>
        <vt:lpwstr/>
      </vt:variant>
      <vt:variant>
        <vt:i4>1900604</vt:i4>
      </vt:variant>
      <vt:variant>
        <vt:i4>506</vt:i4>
      </vt:variant>
      <vt:variant>
        <vt:i4>0</vt:i4>
      </vt:variant>
      <vt:variant>
        <vt:i4>5</vt:i4>
      </vt:variant>
      <vt:variant>
        <vt:lpwstr/>
      </vt:variant>
      <vt:variant>
        <vt:lpwstr>_Toc222999588</vt:lpwstr>
      </vt:variant>
      <vt:variant>
        <vt:i4>1900604</vt:i4>
      </vt:variant>
      <vt:variant>
        <vt:i4>500</vt:i4>
      </vt:variant>
      <vt:variant>
        <vt:i4>0</vt:i4>
      </vt:variant>
      <vt:variant>
        <vt:i4>5</vt:i4>
      </vt:variant>
      <vt:variant>
        <vt:lpwstr/>
      </vt:variant>
      <vt:variant>
        <vt:lpwstr>_Toc222999587</vt:lpwstr>
      </vt:variant>
      <vt:variant>
        <vt:i4>1900604</vt:i4>
      </vt:variant>
      <vt:variant>
        <vt:i4>494</vt:i4>
      </vt:variant>
      <vt:variant>
        <vt:i4>0</vt:i4>
      </vt:variant>
      <vt:variant>
        <vt:i4>5</vt:i4>
      </vt:variant>
      <vt:variant>
        <vt:lpwstr/>
      </vt:variant>
      <vt:variant>
        <vt:lpwstr>_Toc222999586</vt:lpwstr>
      </vt:variant>
      <vt:variant>
        <vt:i4>1900604</vt:i4>
      </vt:variant>
      <vt:variant>
        <vt:i4>488</vt:i4>
      </vt:variant>
      <vt:variant>
        <vt:i4>0</vt:i4>
      </vt:variant>
      <vt:variant>
        <vt:i4>5</vt:i4>
      </vt:variant>
      <vt:variant>
        <vt:lpwstr/>
      </vt:variant>
      <vt:variant>
        <vt:lpwstr>_Toc222999585</vt:lpwstr>
      </vt:variant>
      <vt:variant>
        <vt:i4>1900604</vt:i4>
      </vt:variant>
      <vt:variant>
        <vt:i4>482</vt:i4>
      </vt:variant>
      <vt:variant>
        <vt:i4>0</vt:i4>
      </vt:variant>
      <vt:variant>
        <vt:i4>5</vt:i4>
      </vt:variant>
      <vt:variant>
        <vt:lpwstr/>
      </vt:variant>
      <vt:variant>
        <vt:lpwstr>_Toc222999584</vt:lpwstr>
      </vt:variant>
      <vt:variant>
        <vt:i4>1900604</vt:i4>
      </vt:variant>
      <vt:variant>
        <vt:i4>476</vt:i4>
      </vt:variant>
      <vt:variant>
        <vt:i4>0</vt:i4>
      </vt:variant>
      <vt:variant>
        <vt:i4>5</vt:i4>
      </vt:variant>
      <vt:variant>
        <vt:lpwstr/>
      </vt:variant>
      <vt:variant>
        <vt:lpwstr>_Toc222999583</vt:lpwstr>
      </vt:variant>
      <vt:variant>
        <vt:i4>1900604</vt:i4>
      </vt:variant>
      <vt:variant>
        <vt:i4>470</vt:i4>
      </vt:variant>
      <vt:variant>
        <vt:i4>0</vt:i4>
      </vt:variant>
      <vt:variant>
        <vt:i4>5</vt:i4>
      </vt:variant>
      <vt:variant>
        <vt:lpwstr/>
      </vt:variant>
      <vt:variant>
        <vt:lpwstr>_Toc222999582</vt:lpwstr>
      </vt:variant>
      <vt:variant>
        <vt:i4>1900604</vt:i4>
      </vt:variant>
      <vt:variant>
        <vt:i4>464</vt:i4>
      </vt:variant>
      <vt:variant>
        <vt:i4>0</vt:i4>
      </vt:variant>
      <vt:variant>
        <vt:i4>5</vt:i4>
      </vt:variant>
      <vt:variant>
        <vt:lpwstr/>
      </vt:variant>
      <vt:variant>
        <vt:lpwstr>_Toc222999581</vt:lpwstr>
      </vt:variant>
      <vt:variant>
        <vt:i4>1572921</vt:i4>
      </vt:variant>
      <vt:variant>
        <vt:i4>450</vt:i4>
      </vt:variant>
      <vt:variant>
        <vt:i4>0</vt:i4>
      </vt:variant>
      <vt:variant>
        <vt:i4>5</vt:i4>
      </vt:variant>
      <vt:variant>
        <vt:lpwstr/>
      </vt:variant>
      <vt:variant>
        <vt:lpwstr>_Toc179863738</vt:lpwstr>
      </vt:variant>
      <vt:variant>
        <vt:i4>1572921</vt:i4>
      </vt:variant>
      <vt:variant>
        <vt:i4>444</vt:i4>
      </vt:variant>
      <vt:variant>
        <vt:i4>0</vt:i4>
      </vt:variant>
      <vt:variant>
        <vt:i4>5</vt:i4>
      </vt:variant>
      <vt:variant>
        <vt:lpwstr/>
      </vt:variant>
      <vt:variant>
        <vt:lpwstr>_Toc179863735</vt:lpwstr>
      </vt:variant>
      <vt:variant>
        <vt:i4>1638462</vt:i4>
      </vt:variant>
      <vt:variant>
        <vt:i4>438</vt:i4>
      </vt:variant>
      <vt:variant>
        <vt:i4>0</vt:i4>
      </vt:variant>
      <vt:variant>
        <vt:i4>5</vt:i4>
      </vt:variant>
      <vt:variant>
        <vt:lpwstr/>
      </vt:variant>
      <vt:variant>
        <vt:lpwstr>_Toc179862037</vt:lpwstr>
      </vt:variant>
      <vt:variant>
        <vt:i4>1638460</vt:i4>
      </vt:variant>
      <vt:variant>
        <vt:i4>431</vt:i4>
      </vt:variant>
      <vt:variant>
        <vt:i4>0</vt:i4>
      </vt:variant>
      <vt:variant>
        <vt:i4>5</vt:i4>
      </vt:variant>
      <vt:variant>
        <vt:lpwstr/>
      </vt:variant>
      <vt:variant>
        <vt:lpwstr>_Toc190340942</vt:lpwstr>
      </vt:variant>
      <vt:variant>
        <vt:i4>1638460</vt:i4>
      </vt:variant>
      <vt:variant>
        <vt:i4>425</vt:i4>
      </vt:variant>
      <vt:variant>
        <vt:i4>0</vt:i4>
      </vt:variant>
      <vt:variant>
        <vt:i4>5</vt:i4>
      </vt:variant>
      <vt:variant>
        <vt:lpwstr/>
      </vt:variant>
      <vt:variant>
        <vt:lpwstr>_Toc190340941</vt:lpwstr>
      </vt:variant>
      <vt:variant>
        <vt:i4>1638460</vt:i4>
      </vt:variant>
      <vt:variant>
        <vt:i4>419</vt:i4>
      </vt:variant>
      <vt:variant>
        <vt:i4>0</vt:i4>
      </vt:variant>
      <vt:variant>
        <vt:i4>5</vt:i4>
      </vt:variant>
      <vt:variant>
        <vt:lpwstr/>
      </vt:variant>
      <vt:variant>
        <vt:lpwstr>_Toc190340940</vt:lpwstr>
      </vt:variant>
      <vt:variant>
        <vt:i4>1966140</vt:i4>
      </vt:variant>
      <vt:variant>
        <vt:i4>413</vt:i4>
      </vt:variant>
      <vt:variant>
        <vt:i4>0</vt:i4>
      </vt:variant>
      <vt:variant>
        <vt:i4>5</vt:i4>
      </vt:variant>
      <vt:variant>
        <vt:lpwstr/>
      </vt:variant>
      <vt:variant>
        <vt:lpwstr>_Toc190340939</vt:lpwstr>
      </vt:variant>
      <vt:variant>
        <vt:i4>1638461</vt:i4>
      </vt:variant>
      <vt:variant>
        <vt:i4>401</vt:i4>
      </vt:variant>
      <vt:variant>
        <vt:i4>0</vt:i4>
      </vt:variant>
      <vt:variant>
        <vt:i4>5</vt:i4>
      </vt:variant>
      <vt:variant>
        <vt:lpwstr/>
      </vt:variant>
      <vt:variant>
        <vt:lpwstr>_Toc190340848</vt:lpwstr>
      </vt:variant>
      <vt:variant>
        <vt:i4>1638461</vt:i4>
      </vt:variant>
      <vt:variant>
        <vt:i4>395</vt:i4>
      </vt:variant>
      <vt:variant>
        <vt:i4>0</vt:i4>
      </vt:variant>
      <vt:variant>
        <vt:i4>5</vt:i4>
      </vt:variant>
      <vt:variant>
        <vt:lpwstr/>
      </vt:variant>
      <vt:variant>
        <vt:lpwstr>_Toc190340847</vt:lpwstr>
      </vt:variant>
      <vt:variant>
        <vt:i4>1638461</vt:i4>
      </vt:variant>
      <vt:variant>
        <vt:i4>389</vt:i4>
      </vt:variant>
      <vt:variant>
        <vt:i4>0</vt:i4>
      </vt:variant>
      <vt:variant>
        <vt:i4>5</vt:i4>
      </vt:variant>
      <vt:variant>
        <vt:lpwstr/>
      </vt:variant>
      <vt:variant>
        <vt:lpwstr>_Toc190340846</vt:lpwstr>
      </vt:variant>
      <vt:variant>
        <vt:i4>1638461</vt:i4>
      </vt:variant>
      <vt:variant>
        <vt:i4>383</vt:i4>
      </vt:variant>
      <vt:variant>
        <vt:i4>0</vt:i4>
      </vt:variant>
      <vt:variant>
        <vt:i4>5</vt:i4>
      </vt:variant>
      <vt:variant>
        <vt:lpwstr/>
      </vt:variant>
      <vt:variant>
        <vt:lpwstr>_Toc190340845</vt:lpwstr>
      </vt:variant>
      <vt:variant>
        <vt:i4>1638461</vt:i4>
      </vt:variant>
      <vt:variant>
        <vt:i4>377</vt:i4>
      </vt:variant>
      <vt:variant>
        <vt:i4>0</vt:i4>
      </vt:variant>
      <vt:variant>
        <vt:i4>5</vt:i4>
      </vt:variant>
      <vt:variant>
        <vt:lpwstr/>
      </vt:variant>
      <vt:variant>
        <vt:lpwstr>_Toc190340844</vt:lpwstr>
      </vt:variant>
      <vt:variant>
        <vt:i4>1966131</vt:i4>
      </vt:variant>
      <vt:variant>
        <vt:i4>362</vt:i4>
      </vt:variant>
      <vt:variant>
        <vt:i4>0</vt:i4>
      </vt:variant>
      <vt:variant>
        <vt:i4>5</vt:i4>
      </vt:variant>
      <vt:variant>
        <vt:lpwstr/>
      </vt:variant>
      <vt:variant>
        <vt:lpwstr>_Toc190340634</vt:lpwstr>
      </vt:variant>
      <vt:variant>
        <vt:i4>1966131</vt:i4>
      </vt:variant>
      <vt:variant>
        <vt:i4>356</vt:i4>
      </vt:variant>
      <vt:variant>
        <vt:i4>0</vt:i4>
      </vt:variant>
      <vt:variant>
        <vt:i4>5</vt:i4>
      </vt:variant>
      <vt:variant>
        <vt:lpwstr/>
      </vt:variant>
      <vt:variant>
        <vt:lpwstr>_Toc190340633</vt:lpwstr>
      </vt:variant>
      <vt:variant>
        <vt:i4>8257591</vt:i4>
      </vt:variant>
      <vt:variant>
        <vt:i4>351</vt:i4>
      </vt:variant>
      <vt:variant>
        <vt:i4>0</vt:i4>
      </vt:variant>
      <vt:variant>
        <vt:i4>5</vt:i4>
      </vt:variant>
      <vt:variant>
        <vt:lpwstr>https://www.dtf.vic.gov.au/financial-reporting-policy/annual-leave-and-long-service-leave-arrangements</vt:lpwstr>
      </vt:variant>
      <vt:variant>
        <vt:lpwstr/>
      </vt:variant>
      <vt:variant>
        <vt:i4>1376310</vt:i4>
      </vt:variant>
      <vt:variant>
        <vt:i4>344</vt:i4>
      </vt:variant>
      <vt:variant>
        <vt:i4>0</vt:i4>
      </vt:variant>
      <vt:variant>
        <vt:i4>5</vt:i4>
      </vt:variant>
      <vt:variant>
        <vt:lpwstr/>
      </vt:variant>
      <vt:variant>
        <vt:lpwstr>_Toc190340385</vt:lpwstr>
      </vt:variant>
      <vt:variant>
        <vt:i4>1376310</vt:i4>
      </vt:variant>
      <vt:variant>
        <vt:i4>338</vt:i4>
      </vt:variant>
      <vt:variant>
        <vt:i4>0</vt:i4>
      </vt:variant>
      <vt:variant>
        <vt:i4>5</vt:i4>
      </vt:variant>
      <vt:variant>
        <vt:lpwstr/>
      </vt:variant>
      <vt:variant>
        <vt:lpwstr>_Toc190340384</vt:lpwstr>
      </vt:variant>
      <vt:variant>
        <vt:i4>1376310</vt:i4>
      </vt:variant>
      <vt:variant>
        <vt:i4>332</vt:i4>
      </vt:variant>
      <vt:variant>
        <vt:i4>0</vt:i4>
      </vt:variant>
      <vt:variant>
        <vt:i4>5</vt:i4>
      </vt:variant>
      <vt:variant>
        <vt:lpwstr/>
      </vt:variant>
      <vt:variant>
        <vt:lpwstr>_Toc190340383</vt:lpwstr>
      </vt:variant>
      <vt:variant>
        <vt:i4>1703997</vt:i4>
      </vt:variant>
      <vt:variant>
        <vt:i4>323</vt:i4>
      </vt:variant>
      <vt:variant>
        <vt:i4>0</vt:i4>
      </vt:variant>
      <vt:variant>
        <vt:i4>5</vt:i4>
      </vt:variant>
      <vt:variant>
        <vt:lpwstr/>
      </vt:variant>
      <vt:variant>
        <vt:lpwstr>_Toc190341863</vt:lpwstr>
      </vt:variant>
      <vt:variant>
        <vt:i4>1703997</vt:i4>
      </vt:variant>
      <vt:variant>
        <vt:i4>317</vt:i4>
      </vt:variant>
      <vt:variant>
        <vt:i4>0</vt:i4>
      </vt:variant>
      <vt:variant>
        <vt:i4>5</vt:i4>
      </vt:variant>
      <vt:variant>
        <vt:lpwstr/>
      </vt:variant>
      <vt:variant>
        <vt:lpwstr>_Toc190341862</vt:lpwstr>
      </vt:variant>
      <vt:variant>
        <vt:i4>2031670</vt:i4>
      </vt:variant>
      <vt:variant>
        <vt:i4>281</vt:i4>
      </vt:variant>
      <vt:variant>
        <vt:i4>0</vt:i4>
      </vt:variant>
      <vt:variant>
        <vt:i4>5</vt:i4>
      </vt:variant>
      <vt:variant>
        <vt:lpwstr/>
      </vt:variant>
      <vt:variant>
        <vt:lpwstr>_Toc190333411</vt:lpwstr>
      </vt:variant>
      <vt:variant>
        <vt:i4>2031670</vt:i4>
      </vt:variant>
      <vt:variant>
        <vt:i4>275</vt:i4>
      </vt:variant>
      <vt:variant>
        <vt:i4>0</vt:i4>
      </vt:variant>
      <vt:variant>
        <vt:i4>5</vt:i4>
      </vt:variant>
      <vt:variant>
        <vt:lpwstr/>
      </vt:variant>
      <vt:variant>
        <vt:lpwstr>_Toc190333410</vt:lpwstr>
      </vt:variant>
      <vt:variant>
        <vt:i4>1966134</vt:i4>
      </vt:variant>
      <vt:variant>
        <vt:i4>269</vt:i4>
      </vt:variant>
      <vt:variant>
        <vt:i4>0</vt:i4>
      </vt:variant>
      <vt:variant>
        <vt:i4>5</vt:i4>
      </vt:variant>
      <vt:variant>
        <vt:lpwstr/>
      </vt:variant>
      <vt:variant>
        <vt:lpwstr>_Toc190333409</vt:lpwstr>
      </vt:variant>
      <vt:variant>
        <vt:i4>1966134</vt:i4>
      </vt:variant>
      <vt:variant>
        <vt:i4>263</vt:i4>
      </vt:variant>
      <vt:variant>
        <vt:i4>0</vt:i4>
      </vt:variant>
      <vt:variant>
        <vt:i4>5</vt:i4>
      </vt:variant>
      <vt:variant>
        <vt:lpwstr/>
      </vt:variant>
      <vt:variant>
        <vt:lpwstr>_Toc190333408</vt:lpwstr>
      </vt:variant>
      <vt:variant>
        <vt:i4>1966134</vt:i4>
      </vt:variant>
      <vt:variant>
        <vt:i4>257</vt:i4>
      </vt:variant>
      <vt:variant>
        <vt:i4>0</vt:i4>
      </vt:variant>
      <vt:variant>
        <vt:i4>5</vt:i4>
      </vt:variant>
      <vt:variant>
        <vt:lpwstr/>
      </vt:variant>
      <vt:variant>
        <vt:lpwstr>_Toc190333407</vt:lpwstr>
      </vt:variant>
      <vt:variant>
        <vt:i4>1966134</vt:i4>
      </vt:variant>
      <vt:variant>
        <vt:i4>251</vt:i4>
      </vt:variant>
      <vt:variant>
        <vt:i4>0</vt:i4>
      </vt:variant>
      <vt:variant>
        <vt:i4>5</vt:i4>
      </vt:variant>
      <vt:variant>
        <vt:lpwstr/>
      </vt:variant>
      <vt:variant>
        <vt:lpwstr>_Toc190333406</vt:lpwstr>
      </vt:variant>
      <vt:variant>
        <vt:i4>1966134</vt:i4>
      </vt:variant>
      <vt:variant>
        <vt:i4>245</vt:i4>
      </vt:variant>
      <vt:variant>
        <vt:i4>0</vt:i4>
      </vt:variant>
      <vt:variant>
        <vt:i4>5</vt:i4>
      </vt:variant>
      <vt:variant>
        <vt:lpwstr/>
      </vt:variant>
      <vt:variant>
        <vt:lpwstr>_Toc190333405</vt:lpwstr>
      </vt:variant>
      <vt:variant>
        <vt:i4>1966134</vt:i4>
      </vt:variant>
      <vt:variant>
        <vt:i4>233</vt:i4>
      </vt:variant>
      <vt:variant>
        <vt:i4>0</vt:i4>
      </vt:variant>
      <vt:variant>
        <vt:i4>5</vt:i4>
      </vt:variant>
      <vt:variant>
        <vt:lpwstr/>
      </vt:variant>
      <vt:variant>
        <vt:lpwstr>_Toc190333401</vt:lpwstr>
      </vt:variant>
      <vt:variant>
        <vt:i4>1966134</vt:i4>
      </vt:variant>
      <vt:variant>
        <vt:i4>227</vt:i4>
      </vt:variant>
      <vt:variant>
        <vt:i4>0</vt:i4>
      </vt:variant>
      <vt:variant>
        <vt:i4>5</vt:i4>
      </vt:variant>
      <vt:variant>
        <vt:lpwstr/>
      </vt:variant>
      <vt:variant>
        <vt:lpwstr>_Toc190333400</vt:lpwstr>
      </vt:variant>
      <vt:variant>
        <vt:i4>1507377</vt:i4>
      </vt:variant>
      <vt:variant>
        <vt:i4>221</vt:i4>
      </vt:variant>
      <vt:variant>
        <vt:i4>0</vt:i4>
      </vt:variant>
      <vt:variant>
        <vt:i4>5</vt:i4>
      </vt:variant>
      <vt:variant>
        <vt:lpwstr/>
      </vt:variant>
      <vt:variant>
        <vt:lpwstr>_Toc190333399</vt:lpwstr>
      </vt:variant>
      <vt:variant>
        <vt:i4>1638451</vt:i4>
      </vt:variant>
      <vt:variant>
        <vt:i4>209</vt:i4>
      </vt:variant>
      <vt:variant>
        <vt:i4>0</vt:i4>
      </vt:variant>
      <vt:variant>
        <vt:i4>5</vt:i4>
      </vt:variant>
      <vt:variant>
        <vt:lpwstr/>
      </vt:variant>
      <vt:variant>
        <vt:lpwstr>_Toc190333176</vt:lpwstr>
      </vt:variant>
      <vt:variant>
        <vt:i4>1638451</vt:i4>
      </vt:variant>
      <vt:variant>
        <vt:i4>203</vt:i4>
      </vt:variant>
      <vt:variant>
        <vt:i4>0</vt:i4>
      </vt:variant>
      <vt:variant>
        <vt:i4>5</vt:i4>
      </vt:variant>
      <vt:variant>
        <vt:lpwstr/>
      </vt:variant>
      <vt:variant>
        <vt:lpwstr>_Toc190333175</vt:lpwstr>
      </vt:variant>
      <vt:variant>
        <vt:i4>1638451</vt:i4>
      </vt:variant>
      <vt:variant>
        <vt:i4>197</vt:i4>
      </vt:variant>
      <vt:variant>
        <vt:i4>0</vt:i4>
      </vt:variant>
      <vt:variant>
        <vt:i4>5</vt:i4>
      </vt:variant>
      <vt:variant>
        <vt:lpwstr/>
      </vt:variant>
      <vt:variant>
        <vt:lpwstr>_Toc190333174</vt:lpwstr>
      </vt:variant>
      <vt:variant>
        <vt:i4>1638451</vt:i4>
      </vt:variant>
      <vt:variant>
        <vt:i4>191</vt:i4>
      </vt:variant>
      <vt:variant>
        <vt:i4>0</vt:i4>
      </vt:variant>
      <vt:variant>
        <vt:i4>5</vt:i4>
      </vt:variant>
      <vt:variant>
        <vt:lpwstr/>
      </vt:variant>
      <vt:variant>
        <vt:lpwstr>_Toc190333173</vt:lpwstr>
      </vt:variant>
      <vt:variant>
        <vt:i4>1507378</vt:i4>
      </vt:variant>
      <vt:variant>
        <vt:i4>179</vt:i4>
      </vt:variant>
      <vt:variant>
        <vt:i4>0</vt:i4>
      </vt:variant>
      <vt:variant>
        <vt:i4>5</vt:i4>
      </vt:variant>
      <vt:variant>
        <vt:lpwstr/>
      </vt:variant>
      <vt:variant>
        <vt:lpwstr>_Toc190333093</vt:lpwstr>
      </vt:variant>
      <vt:variant>
        <vt:i4>1507378</vt:i4>
      </vt:variant>
      <vt:variant>
        <vt:i4>173</vt:i4>
      </vt:variant>
      <vt:variant>
        <vt:i4>0</vt:i4>
      </vt:variant>
      <vt:variant>
        <vt:i4>5</vt:i4>
      </vt:variant>
      <vt:variant>
        <vt:lpwstr/>
      </vt:variant>
      <vt:variant>
        <vt:lpwstr>_Toc190333092</vt:lpwstr>
      </vt:variant>
      <vt:variant>
        <vt:i4>1507378</vt:i4>
      </vt:variant>
      <vt:variant>
        <vt:i4>167</vt:i4>
      </vt:variant>
      <vt:variant>
        <vt:i4>0</vt:i4>
      </vt:variant>
      <vt:variant>
        <vt:i4>5</vt:i4>
      </vt:variant>
      <vt:variant>
        <vt:lpwstr/>
      </vt:variant>
      <vt:variant>
        <vt:lpwstr>_Toc190333091</vt:lpwstr>
      </vt:variant>
      <vt:variant>
        <vt:i4>1507378</vt:i4>
      </vt:variant>
      <vt:variant>
        <vt:i4>161</vt:i4>
      </vt:variant>
      <vt:variant>
        <vt:i4>0</vt:i4>
      </vt:variant>
      <vt:variant>
        <vt:i4>5</vt:i4>
      </vt:variant>
      <vt:variant>
        <vt:lpwstr/>
      </vt:variant>
      <vt:variant>
        <vt:lpwstr>_Toc190333090</vt:lpwstr>
      </vt:variant>
      <vt:variant>
        <vt:i4>1441842</vt:i4>
      </vt:variant>
      <vt:variant>
        <vt:i4>155</vt:i4>
      </vt:variant>
      <vt:variant>
        <vt:i4>0</vt:i4>
      </vt:variant>
      <vt:variant>
        <vt:i4>5</vt:i4>
      </vt:variant>
      <vt:variant>
        <vt:lpwstr/>
      </vt:variant>
      <vt:variant>
        <vt:lpwstr>_Toc190333089</vt:lpwstr>
      </vt:variant>
      <vt:variant>
        <vt:i4>1835066</vt:i4>
      </vt:variant>
      <vt:variant>
        <vt:i4>143</vt:i4>
      </vt:variant>
      <vt:variant>
        <vt:i4>0</vt:i4>
      </vt:variant>
      <vt:variant>
        <vt:i4>5</vt:i4>
      </vt:variant>
      <vt:variant>
        <vt:lpwstr/>
      </vt:variant>
      <vt:variant>
        <vt:lpwstr>_Toc190339883</vt:lpwstr>
      </vt:variant>
      <vt:variant>
        <vt:i4>1835066</vt:i4>
      </vt:variant>
      <vt:variant>
        <vt:i4>137</vt:i4>
      </vt:variant>
      <vt:variant>
        <vt:i4>0</vt:i4>
      </vt:variant>
      <vt:variant>
        <vt:i4>5</vt:i4>
      </vt:variant>
      <vt:variant>
        <vt:lpwstr/>
      </vt:variant>
      <vt:variant>
        <vt:lpwstr>_Toc190339882</vt:lpwstr>
      </vt:variant>
      <vt:variant>
        <vt:i4>1179706</vt:i4>
      </vt:variant>
      <vt:variant>
        <vt:i4>125</vt:i4>
      </vt:variant>
      <vt:variant>
        <vt:i4>0</vt:i4>
      </vt:variant>
      <vt:variant>
        <vt:i4>5</vt:i4>
      </vt:variant>
      <vt:variant>
        <vt:lpwstr/>
      </vt:variant>
      <vt:variant>
        <vt:lpwstr>_Toc190339860</vt:lpwstr>
      </vt:variant>
      <vt:variant>
        <vt:i4>1114170</vt:i4>
      </vt:variant>
      <vt:variant>
        <vt:i4>119</vt:i4>
      </vt:variant>
      <vt:variant>
        <vt:i4>0</vt:i4>
      </vt:variant>
      <vt:variant>
        <vt:i4>5</vt:i4>
      </vt:variant>
      <vt:variant>
        <vt:lpwstr/>
      </vt:variant>
      <vt:variant>
        <vt:lpwstr>_Toc190339859</vt:lpwstr>
      </vt:variant>
      <vt:variant>
        <vt:i4>1114170</vt:i4>
      </vt:variant>
      <vt:variant>
        <vt:i4>113</vt:i4>
      </vt:variant>
      <vt:variant>
        <vt:i4>0</vt:i4>
      </vt:variant>
      <vt:variant>
        <vt:i4>5</vt:i4>
      </vt:variant>
      <vt:variant>
        <vt:lpwstr/>
      </vt:variant>
      <vt:variant>
        <vt:lpwstr>_Toc190339858</vt:lpwstr>
      </vt:variant>
      <vt:variant>
        <vt:i4>1179706</vt:i4>
      </vt:variant>
      <vt:variant>
        <vt:i4>101</vt:i4>
      </vt:variant>
      <vt:variant>
        <vt:i4>0</vt:i4>
      </vt:variant>
      <vt:variant>
        <vt:i4>5</vt:i4>
      </vt:variant>
      <vt:variant>
        <vt:lpwstr/>
      </vt:variant>
      <vt:variant>
        <vt:lpwstr>_Toc190339862</vt:lpwstr>
      </vt:variant>
      <vt:variant>
        <vt:i4>1179706</vt:i4>
      </vt:variant>
      <vt:variant>
        <vt:i4>95</vt:i4>
      </vt:variant>
      <vt:variant>
        <vt:i4>0</vt:i4>
      </vt:variant>
      <vt:variant>
        <vt:i4>5</vt:i4>
      </vt:variant>
      <vt:variant>
        <vt:lpwstr/>
      </vt:variant>
      <vt:variant>
        <vt:lpwstr>_Toc190339861</vt:lpwstr>
      </vt:variant>
      <vt:variant>
        <vt:i4>7602213</vt:i4>
      </vt:variant>
      <vt:variant>
        <vt:i4>69</vt:i4>
      </vt:variant>
      <vt:variant>
        <vt:i4>0</vt:i4>
      </vt:variant>
      <vt:variant>
        <vt:i4>5</vt:i4>
      </vt:variant>
      <vt:variant>
        <vt:lpwstr>https://www.dtf.vic.gov.au/model-report</vt:lpwstr>
      </vt:variant>
      <vt:variant>
        <vt:lpwstr/>
      </vt:variant>
      <vt:variant>
        <vt:i4>5963795</vt:i4>
      </vt:variant>
      <vt:variant>
        <vt:i4>66</vt:i4>
      </vt:variant>
      <vt:variant>
        <vt:i4>0</vt:i4>
      </vt:variant>
      <vt:variant>
        <vt:i4>5</vt:i4>
      </vt:variant>
      <vt:variant>
        <vt:lpwstr>https://www.dtf.vic.gov.au/financial-reporting-policy/financial-reporting-directions-and-guidance</vt:lpwstr>
      </vt:variant>
      <vt:variant>
        <vt:lpwstr/>
      </vt:variant>
      <vt:variant>
        <vt:i4>1835059</vt:i4>
      </vt:variant>
      <vt:variant>
        <vt:i4>59</vt:i4>
      </vt:variant>
      <vt:variant>
        <vt:i4>0</vt:i4>
      </vt:variant>
      <vt:variant>
        <vt:i4>5</vt:i4>
      </vt:variant>
      <vt:variant>
        <vt:lpwstr/>
      </vt:variant>
      <vt:variant>
        <vt:lpwstr>_Toc179880340</vt:lpwstr>
      </vt:variant>
      <vt:variant>
        <vt:i4>1769523</vt:i4>
      </vt:variant>
      <vt:variant>
        <vt:i4>53</vt:i4>
      </vt:variant>
      <vt:variant>
        <vt:i4>0</vt:i4>
      </vt:variant>
      <vt:variant>
        <vt:i4>5</vt:i4>
      </vt:variant>
      <vt:variant>
        <vt:lpwstr/>
      </vt:variant>
      <vt:variant>
        <vt:lpwstr>_Toc179880338</vt:lpwstr>
      </vt:variant>
      <vt:variant>
        <vt:i4>1114162</vt:i4>
      </vt:variant>
      <vt:variant>
        <vt:i4>47</vt:i4>
      </vt:variant>
      <vt:variant>
        <vt:i4>0</vt:i4>
      </vt:variant>
      <vt:variant>
        <vt:i4>5</vt:i4>
      </vt:variant>
      <vt:variant>
        <vt:lpwstr/>
      </vt:variant>
      <vt:variant>
        <vt:lpwstr>_Toc179880294</vt:lpwstr>
      </vt:variant>
      <vt:variant>
        <vt:i4>1114162</vt:i4>
      </vt:variant>
      <vt:variant>
        <vt:i4>41</vt:i4>
      </vt:variant>
      <vt:variant>
        <vt:i4>0</vt:i4>
      </vt:variant>
      <vt:variant>
        <vt:i4>5</vt:i4>
      </vt:variant>
      <vt:variant>
        <vt:lpwstr/>
      </vt:variant>
      <vt:variant>
        <vt:lpwstr>_Toc179880293</vt:lpwstr>
      </vt:variant>
      <vt:variant>
        <vt:i4>1114162</vt:i4>
      </vt:variant>
      <vt:variant>
        <vt:i4>35</vt:i4>
      </vt:variant>
      <vt:variant>
        <vt:i4>0</vt:i4>
      </vt:variant>
      <vt:variant>
        <vt:i4>5</vt:i4>
      </vt:variant>
      <vt:variant>
        <vt:lpwstr/>
      </vt:variant>
      <vt:variant>
        <vt:lpwstr>_Toc179880292</vt:lpwstr>
      </vt:variant>
      <vt:variant>
        <vt:i4>1114162</vt:i4>
      </vt:variant>
      <vt:variant>
        <vt:i4>29</vt:i4>
      </vt:variant>
      <vt:variant>
        <vt:i4>0</vt:i4>
      </vt:variant>
      <vt:variant>
        <vt:i4>5</vt:i4>
      </vt:variant>
      <vt:variant>
        <vt:lpwstr/>
      </vt:variant>
      <vt:variant>
        <vt:lpwstr>_Toc179880291</vt:lpwstr>
      </vt:variant>
      <vt:variant>
        <vt:i4>1114162</vt:i4>
      </vt:variant>
      <vt:variant>
        <vt:i4>23</vt:i4>
      </vt:variant>
      <vt:variant>
        <vt:i4>0</vt:i4>
      </vt:variant>
      <vt:variant>
        <vt:i4>5</vt:i4>
      </vt:variant>
      <vt:variant>
        <vt:lpwstr/>
      </vt:variant>
      <vt:variant>
        <vt:lpwstr>_Toc179880290</vt:lpwstr>
      </vt:variant>
      <vt:variant>
        <vt:i4>1048626</vt:i4>
      </vt:variant>
      <vt:variant>
        <vt:i4>17</vt:i4>
      </vt:variant>
      <vt:variant>
        <vt:i4>0</vt:i4>
      </vt:variant>
      <vt:variant>
        <vt:i4>5</vt:i4>
      </vt:variant>
      <vt:variant>
        <vt:lpwstr/>
      </vt:variant>
      <vt:variant>
        <vt:lpwstr>_Toc179880289</vt:lpwstr>
      </vt:variant>
      <vt:variant>
        <vt:i4>6488185</vt:i4>
      </vt:variant>
      <vt:variant>
        <vt:i4>12</vt:i4>
      </vt:variant>
      <vt:variant>
        <vt:i4>0</vt:i4>
      </vt:variant>
      <vt:variant>
        <vt:i4>5</vt:i4>
      </vt:variant>
      <vt:variant>
        <vt:lpwstr>http://www.dtf.vic.gov.au/</vt:lpwstr>
      </vt:variant>
      <vt:variant>
        <vt:lpwstr/>
      </vt:variant>
      <vt:variant>
        <vt:i4>1966113</vt:i4>
      </vt:variant>
      <vt:variant>
        <vt:i4>9</vt:i4>
      </vt:variant>
      <vt:variant>
        <vt:i4>0</vt:i4>
      </vt:variant>
      <vt:variant>
        <vt:i4>5</vt:i4>
      </vt:variant>
      <vt:variant>
        <vt:lpwstr>mailto:information@dtf.vic.gov.au</vt:lpwstr>
      </vt:variant>
      <vt:variant>
        <vt:lpwstr/>
      </vt:variant>
      <vt:variant>
        <vt:i4>1900578</vt:i4>
      </vt:variant>
      <vt:variant>
        <vt:i4>6</vt:i4>
      </vt:variant>
      <vt:variant>
        <vt:i4>0</vt:i4>
      </vt:variant>
      <vt:variant>
        <vt:i4>5</vt:i4>
      </vt:variant>
      <vt:variant>
        <vt:lpwstr>mailto:IPpolicy@dtf.vic.gov.au</vt:lpwstr>
      </vt:variant>
      <vt:variant>
        <vt:lpwstr/>
      </vt:variant>
      <vt:variant>
        <vt:i4>6488166</vt:i4>
      </vt:variant>
      <vt:variant>
        <vt:i4>3</vt:i4>
      </vt:variant>
      <vt:variant>
        <vt:i4>0</vt:i4>
      </vt:variant>
      <vt:variant>
        <vt:i4>5</vt:i4>
      </vt:variant>
      <vt:variant>
        <vt:lpwstr>http://creativecommons.org/licenses/by/4.0/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Tier 2 Model Financial Report for Vitorian public sector entities</dc:title>
  <dc:subject/>
  <dc:creator/>
  <cp:keywords/>
  <dc:description/>
  <cp:lastModifiedBy>Constance Yuan (DTF)</cp:lastModifiedBy>
  <cp:revision>216</cp:revision>
  <dcterms:created xsi:type="dcterms:W3CDTF">2025-02-14T17:37:00Z</dcterms:created>
  <dcterms:modified xsi:type="dcterms:W3CDTF">2026-03-27T02:16:00Z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4ee517-5ca4-4fff-98d2-ed4f906edd6d_Enabled">
    <vt:lpwstr>true</vt:lpwstr>
  </property>
  <property fmtid="{D5CDD505-2E9C-101B-9397-08002B2CF9AE}" pid="3" name="MSIP_Label_bb4ee517-5ca4-4fff-98d2-ed4f906edd6d_SetDate">
    <vt:lpwstr>2025-02-13T02:07:38Z</vt:lpwstr>
  </property>
  <property fmtid="{D5CDD505-2E9C-101B-9397-08002B2CF9AE}" pid="4" name="MSIP_Label_bb4ee517-5ca4-4fff-98d2-ed4f906edd6d_Method">
    <vt:lpwstr>Privileged</vt:lpwstr>
  </property>
  <property fmtid="{D5CDD505-2E9C-101B-9397-08002B2CF9AE}" pid="5" name="MSIP_Label_bb4ee517-5ca4-4fff-98d2-ed4f906edd6d_Name">
    <vt:lpwstr>bb4ee517-5ca4-4fff-98d2-ed4f906edd6d</vt:lpwstr>
  </property>
  <property fmtid="{D5CDD505-2E9C-101B-9397-08002B2CF9AE}" pid="6" name="MSIP_Label_bb4ee517-5ca4-4fff-98d2-ed4f906edd6d_SiteId">
    <vt:lpwstr>722ea0be-3e1c-4b11-ad6f-9401d6856e24</vt:lpwstr>
  </property>
  <property fmtid="{D5CDD505-2E9C-101B-9397-08002B2CF9AE}" pid="7" name="MSIP_Label_bb4ee517-5ca4-4fff-98d2-ed4f906edd6d_ActionId">
    <vt:lpwstr>38ec490b-f0fd-497e-a3a0-005941b0b96e</vt:lpwstr>
  </property>
  <property fmtid="{D5CDD505-2E9C-101B-9397-08002B2CF9AE}" pid="8" name="MSIP_Label_bb4ee517-5ca4-4fff-98d2-ed4f906edd6d_ContentBits">
    <vt:lpwstr>0</vt:lpwstr>
  </property>
  <property fmtid="{D5CDD505-2E9C-101B-9397-08002B2CF9AE}" pid="9" name="ClassificationContentMarkingFooterText">
    <vt:lpwstr>OFFICIAL</vt:lpwstr>
  </property>
  <property fmtid="{D5CDD505-2E9C-101B-9397-08002B2CF9AE}" pid="10" name="FinYear-2">
    <vt:lpwstr>2018‑19</vt:lpwstr>
  </property>
  <property fmtid="{D5CDD505-2E9C-101B-9397-08002B2CF9AE}" pid="11" name="ClassificationContentMarkingHeaderText">
    <vt:lpwstr>OFFICIAL</vt:lpwstr>
  </property>
  <property fmtid="{D5CDD505-2E9C-101B-9397-08002B2CF9AE}" pid="12" name="MediaServiceImageTags">
    <vt:lpwstr/>
  </property>
  <property fmtid="{D5CDD505-2E9C-101B-9397-08002B2CF9AE}" pid="13" name="FinYear-3">
    <vt:lpwstr>2017‑18</vt:lpwstr>
  </property>
  <property fmtid="{D5CDD505-2E9C-101B-9397-08002B2CF9AE}" pid="14" name="ContentTypeId">
    <vt:lpwstr>0x010100E2859DFB47952C4E911DE9714EC95DB1</vt:lpwstr>
  </property>
  <property fmtid="{D5CDD505-2E9C-101B-9397-08002B2CF9AE}" pid="15" name="FinYearCurrent">
    <vt:lpwstr>20X1‑X2</vt:lpwstr>
  </property>
  <property fmtid="{D5CDD505-2E9C-101B-9397-08002B2CF9AE}" pid="16" name="YearPrevious">
    <vt:lpwstr>20X1</vt:lpwstr>
  </property>
  <property fmtid="{D5CDD505-2E9C-101B-9397-08002B2CF9AE}" pid="17" name="ClassificationContentMarkingFooterShapeIds-1">
    <vt:lpwstr>19dbadd,691836b6</vt:lpwstr>
  </property>
  <property fmtid="{D5CDD505-2E9C-101B-9397-08002B2CF9AE}" pid="18" name="ClassificationContentMarkingHeaderFontProps">
    <vt:lpwstr>#000000,12,Calibri</vt:lpwstr>
  </property>
  <property fmtid="{D5CDD505-2E9C-101B-9397-08002B2CF9AE}" pid="19" name="MSIP_Label_3671841d-b3a8-4706-968c-e82b307d8b6d_Enabled">
    <vt:lpwstr>true</vt:lpwstr>
  </property>
  <property fmtid="{D5CDD505-2E9C-101B-9397-08002B2CF9AE}" pid="20" name="MSIP_Label_3671841d-b3a8-4706-968c-e82b307d8b6d_ContentBits">
    <vt:lpwstr>3</vt:lpwstr>
  </property>
  <property fmtid="{D5CDD505-2E9C-101B-9397-08002B2CF9AE}" pid="21" name="YearNext">
    <vt:lpwstr>20X3</vt:lpwstr>
  </property>
  <property fmtid="{D5CDD505-2E9C-101B-9397-08002B2CF9AE}" pid="22" name="YearCurrent">
    <vt:lpwstr>20X2</vt:lpwstr>
  </property>
  <property fmtid="{D5CDD505-2E9C-101B-9397-08002B2CF9AE}" pid="23" name="ClassificationContentMarkingHeaderShapeIds-1">
    <vt:lpwstr>666e816e,f2c3a29,70422b4e,62f6616c,49160d97,2f09d105,ee1224,3d106b3f,4d7c7a99,21fe14b6,2ab5e382,21b6520e,6bf537f4,15fd240f,3ea3675a,775334f9,59b983d1,5a533bfb,641cf9d5,65dee199,68a7c90d,272fee3,34b9ed25</vt:lpwstr>
  </property>
  <property fmtid="{D5CDD505-2E9C-101B-9397-08002B2CF9AE}" pid="24" name="MSIP_Label_3671841d-b3a8-4706-968c-e82b307d8b6d_SetDate">
    <vt:lpwstr>2024-10-15T00:18:54Z</vt:lpwstr>
  </property>
  <property fmtid="{D5CDD505-2E9C-101B-9397-08002B2CF9AE}" pid="25" name="ClassificationContentMarkingFooterShapeIds">
    <vt:lpwstr>6f99b957,26001ff1,48551838,3ee4b57e,b5790cd,3867bd47,2c976f9b,4244b767,1d7f3b43,66ca325b,757a6f4a,72bf26fd,d71df8e,836880c,39fabdf5,1a1d647d,5fce05ee,3acae27f,f08c774,7ba3fdf4,f2b67be,5ee34839,7abaabcf</vt:lpwstr>
  </property>
  <property fmtid="{D5CDD505-2E9C-101B-9397-08002B2CF9AE}" pid="26" name="ClassificationContentMarkingHeaderShapeIds">
    <vt:lpwstr>456e32c9,3ac8c47,7175041c,7b69a2fb,64184c45,59889b5,1e086455,5027f23f,3b3f567,3ecf7b48,4c538f8,57e77b10,7688c721,43f6631e,e9175d5,d5c02aa,3e9ba754,459e4159,70a8ca72,2bed5fd8,524b957,521b3db7,f9c17ef,4e09029</vt:lpwstr>
  </property>
  <property fmtid="{D5CDD505-2E9C-101B-9397-08002B2CF9AE}" pid="27" name="MSIP_Label_3671841d-b3a8-4706-968c-e82b307d8b6d_Method">
    <vt:lpwstr>Privileged</vt:lpwstr>
  </property>
  <property fmtid="{D5CDD505-2E9C-101B-9397-08002B2CF9AE}" pid="28" name="MSIP_Label_3671841d-b3a8-4706-968c-e82b307d8b6d_SiteId">
    <vt:lpwstr>2c7f1f78-afc6-43de-bfdd-cf12c4016c70</vt:lpwstr>
  </property>
  <property fmtid="{D5CDD505-2E9C-101B-9397-08002B2CF9AE}" pid="29" name="ClassificationContentMarkingFooterFontProps">
    <vt:lpwstr>#000000,12,Calibri</vt:lpwstr>
  </property>
  <property fmtid="{D5CDD505-2E9C-101B-9397-08002B2CF9AE}" pid="30" name="ClassificationContentMarkingHeaderShapeIds-2">
    <vt:lpwstr>27ee9fba,ce8a3a4,455bf9a9,719c1188,719a5d54,43c30f27,7280585b,2144e292,1d5314e9,1eb2b2fc,21843dc4,6eac3cd5,3881a0e6,2f3390c6,2ce932e3,1d1e2a81</vt:lpwstr>
  </property>
  <property fmtid="{D5CDD505-2E9C-101B-9397-08002B2CF9AE}" pid="31" name="GrammarlyDocumentId">
    <vt:lpwstr>19b66f0d15c8b9632472c6b211f103f5966708ee335a81c6a0c4797eee2db62a</vt:lpwstr>
  </property>
  <property fmtid="{D5CDD505-2E9C-101B-9397-08002B2CF9AE}" pid="32" name="FinYearNext">
    <vt:lpwstr>20X2‑X3</vt:lpwstr>
  </property>
  <property fmtid="{D5CDD505-2E9C-101B-9397-08002B2CF9AE}" pid="33" name="_dlc_DocIdItemGuid">
    <vt:lpwstr>59793171-3cb8-4e40-b252-9beb0e76eeba</vt:lpwstr>
  </property>
  <property fmtid="{D5CDD505-2E9C-101B-9397-08002B2CF9AE}" pid="34" name="MSIP_Label_3671841d-b3a8-4706-968c-e82b307d8b6d_Name">
    <vt:lpwstr>3671841d-b3a8-4706-968c-e82b307d8b6d</vt:lpwstr>
  </property>
  <property fmtid="{D5CDD505-2E9C-101B-9397-08002B2CF9AE}" pid="35" name="MSIP_Label_3671841d-b3a8-4706-968c-e82b307d8b6d_ActionId">
    <vt:lpwstr>b8bcaedf-a3d3-4c0f-91fb-2e12277db875</vt:lpwstr>
  </property>
  <property fmtid="{D5CDD505-2E9C-101B-9397-08002B2CF9AE}" pid="36" name="FinYearPrevious">
    <vt:lpwstr>20X0‑X1</vt:lpwstr>
  </property>
</Properties>
</file>