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74AC89" w14:textId="5A94B14D" w:rsidR="00246664" w:rsidRPr="00E25907" w:rsidRDefault="00246664" w:rsidP="1FDCD600">
      <w:pPr>
        <w:pStyle w:val="Title"/>
        <w:rPr>
          <w:i/>
          <w:iCs/>
          <w:sz w:val="52"/>
          <w:szCs w:val="52"/>
        </w:rPr>
      </w:pPr>
      <w:r w:rsidRPr="1FDCD600">
        <w:rPr>
          <w:sz w:val="52"/>
          <w:szCs w:val="52"/>
        </w:rPr>
        <w:t xml:space="preserve">Department of Treasury and Finance </w:t>
      </w:r>
      <w:r w:rsidRPr="1FDCD600">
        <w:rPr>
          <w:i/>
          <w:iCs/>
          <w:sz w:val="52"/>
          <w:szCs w:val="52"/>
        </w:rPr>
        <w:t>202</w:t>
      </w:r>
      <w:r w:rsidR="00A05C99">
        <w:rPr>
          <w:i/>
          <w:iCs/>
          <w:sz w:val="52"/>
          <w:szCs w:val="52"/>
        </w:rPr>
        <w:t>4</w:t>
      </w:r>
      <w:r w:rsidRPr="1FDCD600">
        <w:rPr>
          <w:i/>
          <w:iCs/>
          <w:sz w:val="52"/>
          <w:szCs w:val="52"/>
        </w:rPr>
        <w:t>–2</w:t>
      </w:r>
      <w:r w:rsidR="00A05C99">
        <w:rPr>
          <w:i/>
          <w:iCs/>
          <w:sz w:val="52"/>
          <w:szCs w:val="52"/>
        </w:rPr>
        <w:t>5</w:t>
      </w:r>
      <w:r w:rsidRPr="1FDCD600">
        <w:rPr>
          <w:i/>
          <w:iCs/>
          <w:sz w:val="52"/>
          <w:szCs w:val="52"/>
        </w:rPr>
        <w:t xml:space="preserve"> Annual Report</w:t>
      </w:r>
    </w:p>
    <w:p w14:paraId="6F0BE506" w14:textId="1E16F139" w:rsidR="00246664" w:rsidRDefault="00246664" w:rsidP="00246664">
      <w:pPr>
        <w:pStyle w:val="Heading3"/>
        <w:tabs>
          <w:tab w:val="right" w:pos="9000"/>
        </w:tabs>
      </w:pPr>
      <w:r w:rsidRPr="00BC0ACB">
        <w:t>Details of consultancies (valued at $10</w:t>
      </w:r>
      <w:r>
        <w:t xml:space="preserve"> </w:t>
      </w:r>
      <w:r w:rsidRPr="00BC0ACB">
        <w:t>000 or greater)</w:t>
      </w:r>
      <w:r>
        <w:t xml:space="preserve"> </w:t>
      </w:r>
      <w:r w:rsidRPr="004745A7">
        <w:rPr>
          <w:vertAlign w:val="superscript"/>
        </w:rPr>
        <w:t>(a)</w:t>
      </w:r>
    </w:p>
    <w:tbl>
      <w:tblPr>
        <w:tblStyle w:val="DTFtexttable"/>
        <w:tblW w:w="0" w:type="auto"/>
        <w:tblLayout w:type="fixed"/>
        <w:tblLook w:val="0660" w:firstRow="1" w:lastRow="1" w:firstColumn="0" w:lastColumn="0" w:noHBand="1" w:noVBand="1"/>
      </w:tblPr>
      <w:tblGrid>
        <w:gridCol w:w="2410"/>
        <w:gridCol w:w="2540"/>
        <w:gridCol w:w="180"/>
        <w:gridCol w:w="1341"/>
        <w:gridCol w:w="1250"/>
        <w:gridCol w:w="1305"/>
      </w:tblGrid>
      <w:tr w:rsidR="00246664" w:rsidRPr="00E25907" w14:paraId="39BD9324" w14:textId="77777777" w:rsidTr="003348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tblHeader/>
        </w:trPr>
        <w:tc>
          <w:tcPr>
            <w:tcW w:w="2410" w:type="dxa"/>
            <w:vAlign w:val="bottom"/>
            <w:hideMark/>
          </w:tcPr>
          <w:p w14:paraId="365E0E8B" w14:textId="77777777" w:rsidR="00246664" w:rsidRPr="00E25907" w:rsidRDefault="00246664">
            <w:pPr>
              <w:pStyle w:val="Tableheader"/>
              <w:rPr>
                <w:b w:val="0"/>
                <w:bCs/>
                <w:sz w:val="17"/>
              </w:rPr>
            </w:pPr>
            <w:r w:rsidRPr="00E25907">
              <w:rPr>
                <w:bCs/>
                <w:sz w:val="17"/>
              </w:rPr>
              <w:t>Consultant engaged</w:t>
            </w:r>
          </w:p>
        </w:tc>
        <w:tc>
          <w:tcPr>
            <w:tcW w:w="2540" w:type="dxa"/>
            <w:vAlign w:val="bottom"/>
            <w:hideMark/>
          </w:tcPr>
          <w:p w14:paraId="5160AB9C" w14:textId="77777777" w:rsidR="00246664" w:rsidRPr="00E25907" w:rsidRDefault="00246664">
            <w:pPr>
              <w:pStyle w:val="Tableheader"/>
              <w:rPr>
                <w:b w:val="0"/>
                <w:bCs/>
                <w:sz w:val="17"/>
              </w:rPr>
            </w:pPr>
            <w:r w:rsidRPr="00E25907">
              <w:rPr>
                <w:bCs/>
                <w:sz w:val="17"/>
              </w:rPr>
              <w:t>Purpose of consultancy</w:t>
            </w:r>
          </w:p>
        </w:tc>
        <w:tc>
          <w:tcPr>
            <w:tcW w:w="1521" w:type="dxa"/>
            <w:gridSpan w:val="2"/>
            <w:vAlign w:val="bottom"/>
            <w:hideMark/>
          </w:tcPr>
          <w:p w14:paraId="04A45398" w14:textId="77777777" w:rsidR="00246664" w:rsidRPr="00E25907" w:rsidRDefault="00246664" w:rsidP="00246664">
            <w:pPr>
              <w:pStyle w:val="Tableheader"/>
              <w:jc w:val="right"/>
              <w:rPr>
                <w:b w:val="0"/>
                <w:bCs/>
                <w:sz w:val="17"/>
              </w:rPr>
            </w:pPr>
            <w:r w:rsidRPr="00E25907">
              <w:rPr>
                <w:bCs/>
                <w:sz w:val="17"/>
              </w:rPr>
              <w:t xml:space="preserve">Total approved project fee </w:t>
            </w:r>
            <w:r w:rsidRPr="00E25907">
              <w:rPr>
                <w:bCs/>
                <w:sz w:val="17"/>
              </w:rPr>
              <w:br/>
              <w:t>(excl. GST)</w:t>
            </w:r>
            <w:r>
              <w:rPr>
                <w:bCs/>
                <w:sz w:val="17"/>
              </w:rPr>
              <w:br/>
              <w:t>($)</w:t>
            </w:r>
          </w:p>
        </w:tc>
        <w:tc>
          <w:tcPr>
            <w:tcW w:w="1250" w:type="dxa"/>
            <w:vAlign w:val="bottom"/>
            <w:hideMark/>
          </w:tcPr>
          <w:p w14:paraId="2F27B27B" w14:textId="2C38637A" w:rsidR="00246664" w:rsidRPr="00E25907" w:rsidRDefault="00246664" w:rsidP="00246664">
            <w:pPr>
              <w:pStyle w:val="Tableheader"/>
              <w:jc w:val="right"/>
              <w:rPr>
                <w:b w:val="0"/>
                <w:bCs/>
                <w:sz w:val="17"/>
              </w:rPr>
            </w:pPr>
            <w:r w:rsidRPr="00E25907">
              <w:rPr>
                <w:bCs/>
                <w:sz w:val="17"/>
              </w:rPr>
              <w:t xml:space="preserve">Expenditure </w:t>
            </w:r>
            <w:r w:rsidRPr="00E25907">
              <w:rPr>
                <w:bCs/>
                <w:sz w:val="17"/>
              </w:rPr>
              <w:br/>
              <w:t>20</w:t>
            </w:r>
            <w:r>
              <w:rPr>
                <w:bCs/>
                <w:sz w:val="17"/>
              </w:rPr>
              <w:t>2</w:t>
            </w:r>
            <w:r w:rsidR="00407A64">
              <w:rPr>
                <w:bCs/>
                <w:sz w:val="17"/>
              </w:rPr>
              <w:t>4</w:t>
            </w:r>
            <w:r w:rsidRPr="00E25907">
              <w:rPr>
                <w:bCs/>
                <w:sz w:val="17"/>
              </w:rPr>
              <w:t>–2</w:t>
            </w:r>
            <w:r w:rsidR="00407A64">
              <w:rPr>
                <w:bCs/>
                <w:sz w:val="17"/>
              </w:rPr>
              <w:t>5</w:t>
            </w:r>
            <w:r w:rsidRPr="00E25907">
              <w:rPr>
                <w:bCs/>
                <w:sz w:val="17"/>
              </w:rPr>
              <w:br/>
              <w:t>(excl. GST)</w:t>
            </w:r>
            <w:r>
              <w:rPr>
                <w:bCs/>
                <w:sz w:val="17"/>
              </w:rPr>
              <w:t xml:space="preserve"> </w:t>
            </w:r>
            <w:r>
              <w:rPr>
                <w:bCs/>
                <w:sz w:val="17"/>
              </w:rPr>
              <w:br/>
              <w:t>($)</w:t>
            </w:r>
          </w:p>
        </w:tc>
        <w:tc>
          <w:tcPr>
            <w:tcW w:w="1305" w:type="dxa"/>
            <w:vAlign w:val="bottom"/>
            <w:hideMark/>
          </w:tcPr>
          <w:p w14:paraId="20F6DE5E" w14:textId="77777777" w:rsidR="00246664" w:rsidRPr="00E25907" w:rsidRDefault="00246664" w:rsidP="00246664">
            <w:pPr>
              <w:pStyle w:val="Tableheader"/>
              <w:jc w:val="right"/>
              <w:rPr>
                <w:b w:val="0"/>
                <w:bCs/>
                <w:sz w:val="17"/>
              </w:rPr>
            </w:pPr>
            <w:r w:rsidRPr="00E25907">
              <w:rPr>
                <w:bCs/>
                <w:sz w:val="17"/>
              </w:rPr>
              <w:t xml:space="preserve">Future </w:t>
            </w:r>
            <w:r w:rsidRPr="00E25907">
              <w:rPr>
                <w:bCs/>
                <w:sz w:val="17"/>
              </w:rPr>
              <w:br/>
              <w:t>expenditure</w:t>
            </w:r>
            <w:r w:rsidRPr="00E25907">
              <w:rPr>
                <w:bCs/>
                <w:sz w:val="17"/>
              </w:rPr>
              <w:br/>
              <w:t>(excl. GST)</w:t>
            </w:r>
            <w:r>
              <w:rPr>
                <w:bCs/>
                <w:sz w:val="17"/>
              </w:rPr>
              <w:t xml:space="preserve"> </w:t>
            </w:r>
            <w:r>
              <w:rPr>
                <w:bCs/>
                <w:sz w:val="17"/>
              </w:rPr>
              <w:br/>
              <w:t>($)</w:t>
            </w:r>
          </w:p>
        </w:tc>
      </w:tr>
      <w:tr w:rsidR="00407A64" w:rsidRPr="008F2FD4" w14:paraId="6F3CAE15" w14:textId="77777777" w:rsidTr="003348F2">
        <w:trPr>
          <w:trHeight w:val="300"/>
        </w:trPr>
        <w:tc>
          <w:tcPr>
            <w:tcW w:w="2410" w:type="dxa"/>
            <w:noWrap/>
          </w:tcPr>
          <w:p w14:paraId="72A52490" w14:textId="2F3CE2EC" w:rsidR="00407A64" w:rsidRPr="008F2FD4" w:rsidRDefault="00407A64" w:rsidP="00407A64">
            <w:pPr>
              <w:pStyle w:val="Tabletext"/>
            </w:pPr>
            <w:r w:rsidRPr="00BE06EA">
              <w:t>Ad Astra Corporate Advisory</w:t>
            </w:r>
          </w:p>
        </w:tc>
        <w:tc>
          <w:tcPr>
            <w:tcW w:w="2720" w:type="dxa"/>
            <w:gridSpan w:val="2"/>
            <w:noWrap/>
          </w:tcPr>
          <w:p w14:paraId="447894A9" w14:textId="4DDA4210" w:rsidR="00407A64" w:rsidRPr="008F2FD4" w:rsidRDefault="00407A64" w:rsidP="00407A64">
            <w:pPr>
              <w:pStyle w:val="Tabletext"/>
            </w:pPr>
            <w:r w:rsidRPr="00BE06EA">
              <w:t>Commercial and transaction advice</w:t>
            </w:r>
          </w:p>
        </w:tc>
        <w:tc>
          <w:tcPr>
            <w:tcW w:w="1341" w:type="dxa"/>
            <w:noWrap/>
          </w:tcPr>
          <w:p w14:paraId="60EBE40B" w14:textId="492540D8" w:rsidR="00407A64" w:rsidRPr="008F2FD4" w:rsidRDefault="00407A64" w:rsidP="00407A64">
            <w:pPr>
              <w:pStyle w:val="Tabletextright"/>
            </w:pPr>
            <w:r w:rsidRPr="00BE06EA">
              <w:t>2 027 273</w:t>
            </w:r>
          </w:p>
        </w:tc>
        <w:tc>
          <w:tcPr>
            <w:tcW w:w="1250" w:type="dxa"/>
            <w:noWrap/>
          </w:tcPr>
          <w:p w14:paraId="5498733B" w14:textId="353580ED" w:rsidR="00407A64" w:rsidRPr="008F2FD4" w:rsidRDefault="00407A64" w:rsidP="00407A64">
            <w:pPr>
              <w:pStyle w:val="Tabletextright"/>
            </w:pPr>
            <w:r w:rsidRPr="00BE06EA">
              <w:t>319 123</w:t>
            </w:r>
          </w:p>
        </w:tc>
        <w:tc>
          <w:tcPr>
            <w:tcW w:w="1305" w:type="dxa"/>
            <w:noWrap/>
          </w:tcPr>
          <w:p w14:paraId="77897439" w14:textId="609FD17F" w:rsidR="00407A64" w:rsidRPr="008F2FD4" w:rsidRDefault="00407A64" w:rsidP="00407A64">
            <w:pPr>
              <w:pStyle w:val="Tabletextright"/>
            </w:pPr>
            <w:r w:rsidRPr="00BE06EA">
              <w:t>–</w:t>
            </w:r>
          </w:p>
        </w:tc>
      </w:tr>
      <w:tr w:rsidR="00407A64" w:rsidRPr="008F2FD4" w14:paraId="1EA702AC" w14:textId="77777777" w:rsidTr="003348F2">
        <w:trPr>
          <w:trHeight w:val="300"/>
        </w:trPr>
        <w:tc>
          <w:tcPr>
            <w:tcW w:w="2410" w:type="dxa"/>
            <w:noWrap/>
          </w:tcPr>
          <w:p w14:paraId="05EF53BE" w14:textId="6E34E753" w:rsidR="00407A64" w:rsidRPr="008F2FD4" w:rsidRDefault="00407A64" w:rsidP="00407A64">
            <w:pPr>
              <w:pStyle w:val="Tabletext"/>
            </w:pPr>
            <w:r w:rsidRPr="00BE06EA">
              <w:t>Anne Dalton &amp; Associates</w:t>
            </w:r>
          </w:p>
        </w:tc>
        <w:tc>
          <w:tcPr>
            <w:tcW w:w="2720" w:type="dxa"/>
            <w:gridSpan w:val="2"/>
            <w:noWrap/>
          </w:tcPr>
          <w:p w14:paraId="496C5A18" w14:textId="7E9B5475" w:rsidR="00407A64" w:rsidRPr="008F2FD4" w:rsidRDefault="00407A64" w:rsidP="00407A64">
            <w:pPr>
              <w:pStyle w:val="Tabletext"/>
            </w:pPr>
            <w:r w:rsidRPr="00BE06EA">
              <w:t>Probity adviser to support Build and Operate Program (BOP) Round 2</w:t>
            </w:r>
          </w:p>
        </w:tc>
        <w:tc>
          <w:tcPr>
            <w:tcW w:w="1341" w:type="dxa"/>
            <w:noWrap/>
          </w:tcPr>
          <w:p w14:paraId="5CC91BCA" w14:textId="28040FB5" w:rsidR="00407A64" w:rsidRPr="008F2FD4" w:rsidRDefault="00407A64" w:rsidP="00407A64">
            <w:pPr>
              <w:pStyle w:val="Tabletextright"/>
            </w:pPr>
            <w:r w:rsidRPr="00BE06EA">
              <w:t>63 636</w:t>
            </w:r>
          </w:p>
        </w:tc>
        <w:tc>
          <w:tcPr>
            <w:tcW w:w="1250" w:type="dxa"/>
            <w:noWrap/>
          </w:tcPr>
          <w:p w14:paraId="2A3C02C1" w14:textId="3EDB4854" w:rsidR="00407A64" w:rsidRPr="008F2FD4" w:rsidRDefault="00407A64" w:rsidP="00407A64">
            <w:pPr>
              <w:pStyle w:val="Tabletextright"/>
            </w:pPr>
            <w:r w:rsidRPr="00BE06EA">
              <w:t>4 826</w:t>
            </w:r>
          </w:p>
        </w:tc>
        <w:tc>
          <w:tcPr>
            <w:tcW w:w="1305" w:type="dxa"/>
            <w:noWrap/>
          </w:tcPr>
          <w:p w14:paraId="5B426EF1" w14:textId="7D72937B" w:rsidR="00407A64" w:rsidRPr="008F2FD4" w:rsidRDefault="00407A64" w:rsidP="00407A64">
            <w:pPr>
              <w:pStyle w:val="Tabletextright"/>
            </w:pPr>
            <w:r w:rsidRPr="00BE06EA">
              <w:t>58 810</w:t>
            </w:r>
          </w:p>
        </w:tc>
      </w:tr>
      <w:tr w:rsidR="00407A64" w:rsidRPr="008F2FD4" w14:paraId="5AFAA2E0" w14:textId="77777777" w:rsidTr="003348F2">
        <w:trPr>
          <w:trHeight w:val="300"/>
        </w:trPr>
        <w:tc>
          <w:tcPr>
            <w:tcW w:w="2410" w:type="dxa"/>
            <w:noWrap/>
          </w:tcPr>
          <w:p w14:paraId="081E4246" w14:textId="2F90D523" w:rsidR="00407A64" w:rsidRPr="008F2FD4" w:rsidRDefault="00407A64" w:rsidP="00407A64">
            <w:pPr>
              <w:pStyle w:val="Tabletext"/>
            </w:pPr>
            <w:r w:rsidRPr="00BE06EA">
              <w:t>Anne Dalton &amp; Associates</w:t>
            </w:r>
          </w:p>
        </w:tc>
        <w:tc>
          <w:tcPr>
            <w:tcW w:w="2720" w:type="dxa"/>
            <w:gridSpan w:val="2"/>
            <w:noWrap/>
          </w:tcPr>
          <w:p w14:paraId="0BE13D57" w14:textId="624D7881" w:rsidR="00407A64" w:rsidRPr="008F2FD4" w:rsidRDefault="00407A64" w:rsidP="00407A64">
            <w:pPr>
              <w:pStyle w:val="Tabletext"/>
            </w:pPr>
            <w:r w:rsidRPr="00BE06EA">
              <w:t>Probity advisory services to support the implementation of Affordable Housing Investment Partnerships (AHIP)</w:t>
            </w:r>
          </w:p>
        </w:tc>
        <w:tc>
          <w:tcPr>
            <w:tcW w:w="1341" w:type="dxa"/>
            <w:noWrap/>
          </w:tcPr>
          <w:p w14:paraId="5AFAF823" w14:textId="5114D011" w:rsidR="00407A64" w:rsidRPr="008F2FD4" w:rsidRDefault="00407A64" w:rsidP="00407A64">
            <w:pPr>
              <w:pStyle w:val="Tabletextright"/>
            </w:pPr>
            <w:r w:rsidRPr="00BE06EA">
              <w:t>13 628</w:t>
            </w:r>
          </w:p>
        </w:tc>
        <w:tc>
          <w:tcPr>
            <w:tcW w:w="1250" w:type="dxa"/>
            <w:noWrap/>
          </w:tcPr>
          <w:p w14:paraId="690E4622" w14:textId="267F08E6" w:rsidR="00407A64" w:rsidRPr="008F2FD4" w:rsidRDefault="00407A64" w:rsidP="00407A64">
            <w:pPr>
              <w:pStyle w:val="Tabletextright"/>
            </w:pPr>
            <w:r w:rsidRPr="00BE06EA">
              <w:t>988</w:t>
            </w:r>
          </w:p>
        </w:tc>
        <w:tc>
          <w:tcPr>
            <w:tcW w:w="1305" w:type="dxa"/>
            <w:noWrap/>
          </w:tcPr>
          <w:p w14:paraId="63A56403" w14:textId="72852888" w:rsidR="00407A64" w:rsidRPr="008F2FD4" w:rsidRDefault="00407A64" w:rsidP="00407A64">
            <w:pPr>
              <w:pStyle w:val="Tabletextright"/>
            </w:pPr>
            <w:r w:rsidRPr="00BE06EA">
              <w:t>12 640</w:t>
            </w:r>
          </w:p>
        </w:tc>
      </w:tr>
      <w:tr w:rsidR="00407A64" w:rsidRPr="008F2FD4" w14:paraId="74CFA380" w14:textId="77777777" w:rsidTr="003348F2">
        <w:trPr>
          <w:trHeight w:val="300"/>
        </w:trPr>
        <w:tc>
          <w:tcPr>
            <w:tcW w:w="2410" w:type="dxa"/>
            <w:noWrap/>
          </w:tcPr>
          <w:p w14:paraId="5C4758C5" w14:textId="7970E675" w:rsidR="00407A64" w:rsidRPr="008F2FD4" w:rsidRDefault="00407A64" w:rsidP="00407A64">
            <w:pPr>
              <w:pStyle w:val="Tabletext"/>
            </w:pPr>
            <w:r w:rsidRPr="00BE06EA">
              <w:t>Aster Advisory Pty Ltd</w:t>
            </w:r>
          </w:p>
        </w:tc>
        <w:tc>
          <w:tcPr>
            <w:tcW w:w="2720" w:type="dxa"/>
            <w:gridSpan w:val="2"/>
            <w:noWrap/>
          </w:tcPr>
          <w:p w14:paraId="38255EE6" w14:textId="7B461CD9" w:rsidR="00407A64" w:rsidRPr="008F2FD4" w:rsidRDefault="00407A64" w:rsidP="00407A64">
            <w:pPr>
              <w:pStyle w:val="Tabletext"/>
            </w:pPr>
            <w:r w:rsidRPr="00BE06EA">
              <w:t>Commercial and transaction advice</w:t>
            </w:r>
          </w:p>
        </w:tc>
        <w:tc>
          <w:tcPr>
            <w:tcW w:w="1341" w:type="dxa"/>
            <w:noWrap/>
          </w:tcPr>
          <w:p w14:paraId="0CB67586" w14:textId="4BCDA4E5" w:rsidR="00407A64" w:rsidRPr="008F2FD4" w:rsidRDefault="00407A64" w:rsidP="00407A64">
            <w:pPr>
              <w:pStyle w:val="Tabletextright"/>
            </w:pPr>
            <w:r w:rsidRPr="00BE06EA">
              <w:t>124 286</w:t>
            </w:r>
          </w:p>
        </w:tc>
        <w:tc>
          <w:tcPr>
            <w:tcW w:w="1250" w:type="dxa"/>
            <w:noWrap/>
          </w:tcPr>
          <w:p w14:paraId="4EC75299" w14:textId="2B3BCCF8" w:rsidR="00407A64" w:rsidRPr="008F2FD4" w:rsidRDefault="00407A64" w:rsidP="00407A64">
            <w:pPr>
              <w:pStyle w:val="Tabletextright"/>
            </w:pPr>
            <w:r w:rsidRPr="00BE06EA">
              <w:t>31 999</w:t>
            </w:r>
          </w:p>
        </w:tc>
        <w:tc>
          <w:tcPr>
            <w:tcW w:w="1305" w:type="dxa"/>
            <w:noWrap/>
          </w:tcPr>
          <w:p w14:paraId="4FB884E8" w14:textId="30330F86" w:rsidR="00407A64" w:rsidRPr="008F2FD4" w:rsidRDefault="00407A64" w:rsidP="00407A64">
            <w:pPr>
              <w:pStyle w:val="Tabletextright"/>
            </w:pPr>
            <w:r w:rsidRPr="00BE06EA">
              <w:t>64 498</w:t>
            </w:r>
          </w:p>
        </w:tc>
      </w:tr>
      <w:tr w:rsidR="00407A64" w:rsidRPr="008F2FD4" w14:paraId="70FC4FD8" w14:textId="77777777" w:rsidTr="003348F2">
        <w:trPr>
          <w:trHeight w:val="300"/>
        </w:trPr>
        <w:tc>
          <w:tcPr>
            <w:tcW w:w="2410" w:type="dxa"/>
            <w:noWrap/>
          </w:tcPr>
          <w:p w14:paraId="5CC062EE" w14:textId="31E761D2" w:rsidR="00407A64" w:rsidRPr="008F2FD4" w:rsidRDefault="00407A64" w:rsidP="00407A64">
            <w:pPr>
              <w:pStyle w:val="Tabletext"/>
            </w:pPr>
            <w:r w:rsidRPr="00BE06EA">
              <w:t>Australia &amp; New Zealand School of Government</w:t>
            </w:r>
          </w:p>
        </w:tc>
        <w:tc>
          <w:tcPr>
            <w:tcW w:w="2720" w:type="dxa"/>
            <w:gridSpan w:val="2"/>
            <w:noWrap/>
          </w:tcPr>
          <w:p w14:paraId="5BA020FF" w14:textId="14A07C79" w:rsidR="00407A64" w:rsidRPr="008F2FD4" w:rsidRDefault="00407A64" w:rsidP="00407A64">
            <w:pPr>
              <w:pStyle w:val="Tabletext"/>
            </w:pPr>
            <w:r w:rsidRPr="00BE06EA">
              <w:t>Delivery of a thematic report on regulatory practice for the First Peoples &amp; Regulation Project</w:t>
            </w:r>
          </w:p>
        </w:tc>
        <w:tc>
          <w:tcPr>
            <w:tcW w:w="1341" w:type="dxa"/>
            <w:noWrap/>
          </w:tcPr>
          <w:p w14:paraId="291EBCFE" w14:textId="6BD3F6DC" w:rsidR="00407A64" w:rsidRPr="008F2FD4" w:rsidRDefault="00407A64" w:rsidP="00407A64">
            <w:pPr>
              <w:pStyle w:val="Tabletextright"/>
            </w:pPr>
            <w:r w:rsidRPr="00BE06EA">
              <w:t>30 000</w:t>
            </w:r>
          </w:p>
        </w:tc>
        <w:tc>
          <w:tcPr>
            <w:tcW w:w="1250" w:type="dxa"/>
            <w:noWrap/>
          </w:tcPr>
          <w:p w14:paraId="1B451466" w14:textId="3DB24C02" w:rsidR="00407A64" w:rsidRPr="008F2FD4" w:rsidRDefault="00407A64" w:rsidP="00407A64">
            <w:pPr>
              <w:pStyle w:val="Tabletextright"/>
            </w:pPr>
            <w:r w:rsidRPr="00BE06EA">
              <w:t>30 000</w:t>
            </w:r>
          </w:p>
        </w:tc>
        <w:tc>
          <w:tcPr>
            <w:tcW w:w="1305" w:type="dxa"/>
            <w:noWrap/>
          </w:tcPr>
          <w:p w14:paraId="442C4267" w14:textId="7C1ACCC1" w:rsidR="00407A64" w:rsidRPr="008F2FD4" w:rsidRDefault="00407A64" w:rsidP="00407A64">
            <w:pPr>
              <w:pStyle w:val="Tabletextright"/>
            </w:pPr>
            <w:r w:rsidRPr="00BE06EA">
              <w:t>–</w:t>
            </w:r>
          </w:p>
        </w:tc>
      </w:tr>
      <w:tr w:rsidR="00407A64" w:rsidRPr="008F2FD4" w14:paraId="07450262" w14:textId="77777777" w:rsidTr="003348F2">
        <w:trPr>
          <w:trHeight w:val="300"/>
        </w:trPr>
        <w:tc>
          <w:tcPr>
            <w:tcW w:w="2410" w:type="dxa"/>
            <w:noWrap/>
          </w:tcPr>
          <w:p w14:paraId="1A8FF6ED" w14:textId="2B2DF4C3" w:rsidR="00407A64" w:rsidRPr="008F2FD4" w:rsidRDefault="00407A64" w:rsidP="00407A64">
            <w:pPr>
              <w:pStyle w:val="Tabletext"/>
            </w:pPr>
            <w:r w:rsidRPr="00BE06EA">
              <w:t>Brave TV Pty Ltd</w:t>
            </w:r>
          </w:p>
        </w:tc>
        <w:tc>
          <w:tcPr>
            <w:tcW w:w="2720" w:type="dxa"/>
            <w:gridSpan w:val="2"/>
            <w:noWrap/>
          </w:tcPr>
          <w:p w14:paraId="2000937A" w14:textId="1D139F01" w:rsidR="00407A64" w:rsidRPr="008F2FD4" w:rsidRDefault="00407A64" w:rsidP="00407A64">
            <w:pPr>
              <w:pStyle w:val="Tabletext"/>
            </w:pPr>
            <w:r w:rsidRPr="00BE06EA">
              <w:t>Advice on a communications strategy and associated communication costs for the establishment of the proposed National Labour Hire Regulator</w:t>
            </w:r>
          </w:p>
        </w:tc>
        <w:tc>
          <w:tcPr>
            <w:tcW w:w="1341" w:type="dxa"/>
            <w:noWrap/>
          </w:tcPr>
          <w:p w14:paraId="51267DB2" w14:textId="14C7ABC1" w:rsidR="00407A64" w:rsidRPr="008F2FD4" w:rsidRDefault="00407A64" w:rsidP="00407A64">
            <w:pPr>
              <w:pStyle w:val="Tabletextright"/>
            </w:pPr>
            <w:r w:rsidRPr="00BE06EA">
              <w:t>11 956</w:t>
            </w:r>
          </w:p>
        </w:tc>
        <w:tc>
          <w:tcPr>
            <w:tcW w:w="1250" w:type="dxa"/>
            <w:noWrap/>
          </w:tcPr>
          <w:p w14:paraId="4CB0EF5A" w14:textId="4B14BC0B" w:rsidR="00407A64" w:rsidRPr="008F2FD4" w:rsidRDefault="00407A64" w:rsidP="00407A64">
            <w:pPr>
              <w:pStyle w:val="Tabletextright"/>
            </w:pPr>
            <w:r w:rsidRPr="00BE06EA">
              <w:t>5 978</w:t>
            </w:r>
          </w:p>
        </w:tc>
        <w:tc>
          <w:tcPr>
            <w:tcW w:w="1305" w:type="dxa"/>
            <w:noWrap/>
          </w:tcPr>
          <w:p w14:paraId="3ADB39CB" w14:textId="757EBCEC" w:rsidR="00407A64" w:rsidRPr="008F2FD4" w:rsidRDefault="00407A64" w:rsidP="00407A64">
            <w:pPr>
              <w:pStyle w:val="Tabletextright"/>
            </w:pPr>
            <w:r w:rsidRPr="00BE06EA">
              <w:t>5 978</w:t>
            </w:r>
          </w:p>
        </w:tc>
      </w:tr>
      <w:tr w:rsidR="00407A64" w:rsidRPr="008F2FD4" w14:paraId="28D1C129" w14:textId="77777777" w:rsidTr="003348F2">
        <w:trPr>
          <w:trHeight w:val="300"/>
        </w:trPr>
        <w:tc>
          <w:tcPr>
            <w:tcW w:w="2410" w:type="dxa"/>
            <w:noWrap/>
          </w:tcPr>
          <w:p w14:paraId="7D7910B6" w14:textId="1A229C27" w:rsidR="00407A64" w:rsidRPr="008F2FD4" w:rsidRDefault="00407A64" w:rsidP="00407A64">
            <w:pPr>
              <w:pStyle w:val="Tabletext"/>
            </w:pPr>
            <w:r w:rsidRPr="00BE06EA">
              <w:t>CBRE (GCS) Pty Ltd</w:t>
            </w:r>
          </w:p>
        </w:tc>
        <w:tc>
          <w:tcPr>
            <w:tcW w:w="2720" w:type="dxa"/>
            <w:gridSpan w:val="2"/>
            <w:noWrap/>
          </w:tcPr>
          <w:p w14:paraId="28830F47" w14:textId="3CCD45BB" w:rsidR="00407A64" w:rsidRPr="008F2FD4" w:rsidRDefault="00407A64" w:rsidP="00407A64">
            <w:pPr>
              <w:pStyle w:val="Tabletext"/>
            </w:pPr>
            <w:r w:rsidRPr="00BE06EA">
              <w:t>Property adviser engaged to support Round Two of the Build and Operate Program (BOP) under the Social Housing Growth Fund (SHGF).</w:t>
            </w:r>
          </w:p>
        </w:tc>
        <w:tc>
          <w:tcPr>
            <w:tcW w:w="1341" w:type="dxa"/>
            <w:noWrap/>
          </w:tcPr>
          <w:p w14:paraId="46EDE5B1" w14:textId="29F8EE4D" w:rsidR="00407A64" w:rsidRPr="008F2FD4" w:rsidRDefault="00407A64" w:rsidP="00407A64">
            <w:pPr>
              <w:pStyle w:val="Tabletextright"/>
            </w:pPr>
            <w:r w:rsidRPr="00BE06EA">
              <w:t>48 008</w:t>
            </w:r>
          </w:p>
        </w:tc>
        <w:tc>
          <w:tcPr>
            <w:tcW w:w="1250" w:type="dxa"/>
            <w:noWrap/>
          </w:tcPr>
          <w:p w14:paraId="2F919B68" w14:textId="4DDAD1DE" w:rsidR="00407A64" w:rsidRPr="008F2FD4" w:rsidRDefault="00407A64" w:rsidP="00407A64">
            <w:pPr>
              <w:pStyle w:val="Tabletextright"/>
            </w:pPr>
            <w:r w:rsidRPr="00BE06EA">
              <w:t>2 280</w:t>
            </w:r>
          </w:p>
        </w:tc>
        <w:tc>
          <w:tcPr>
            <w:tcW w:w="1305" w:type="dxa"/>
            <w:noWrap/>
          </w:tcPr>
          <w:p w14:paraId="0003B209" w14:textId="5EB21FF1" w:rsidR="00407A64" w:rsidRPr="008F2FD4" w:rsidRDefault="00407A64" w:rsidP="00407A64">
            <w:pPr>
              <w:pStyle w:val="Tabletextright"/>
            </w:pPr>
            <w:r w:rsidRPr="00BE06EA">
              <w:t>45 728</w:t>
            </w:r>
          </w:p>
        </w:tc>
      </w:tr>
      <w:tr w:rsidR="00407A64" w:rsidRPr="008F2FD4" w14:paraId="4D350DE2" w14:textId="77777777" w:rsidTr="003348F2">
        <w:trPr>
          <w:trHeight w:val="300"/>
        </w:trPr>
        <w:tc>
          <w:tcPr>
            <w:tcW w:w="2410" w:type="dxa"/>
            <w:noWrap/>
          </w:tcPr>
          <w:p w14:paraId="11EC1D16" w14:textId="728048C6" w:rsidR="00407A64" w:rsidRPr="008F2FD4" w:rsidRDefault="00407A64" w:rsidP="00407A64">
            <w:pPr>
              <w:pStyle w:val="Tabletext"/>
            </w:pPr>
            <w:r w:rsidRPr="00BE06EA">
              <w:t>Centre for New Energy Technologies Ltd</w:t>
            </w:r>
          </w:p>
        </w:tc>
        <w:tc>
          <w:tcPr>
            <w:tcW w:w="2720" w:type="dxa"/>
            <w:gridSpan w:val="2"/>
            <w:noWrap/>
          </w:tcPr>
          <w:p w14:paraId="2A249877" w14:textId="3E74C72B" w:rsidR="00407A64" w:rsidRPr="008F2FD4" w:rsidRDefault="00407A64" w:rsidP="00407A64">
            <w:pPr>
              <w:pStyle w:val="Tabletext"/>
            </w:pPr>
            <w:r w:rsidRPr="00BE06EA">
              <w:t>Residential occupancy insights from electricity data – pilot research project</w:t>
            </w:r>
          </w:p>
        </w:tc>
        <w:tc>
          <w:tcPr>
            <w:tcW w:w="1341" w:type="dxa"/>
            <w:noWrap/>
          </w:tcPr>
          <w:p w14:paraId="58F9E9A7" w14:textId="2109A48D" w:rsidR="00407A64" w:rsidRPr="008F2FD4" w:rsidRDefault="00407A64" w:rsidP="00407A64">
            <w:pPr>
              <w:pStyle w:val="Tabletextright"/>
            </w:pPr>
            <w:r w:rsidRPr="00BE06EA">
              <w:t>22 273</w:t>
            </w:r>
          </w:p>
        </w:tc>
        <w:tc>
          <w:tcPr>
            <w:tcW w:w="1250" w:type="dxa"/>
            <w:noWrap/>
          </w:tcPr>
          <w:p w14:paraId="06859AC1" w14:textId="09FA663B" w:rsidR="00407A64" w:rsidRPr="008F2FD4" w:rsidRDefault="00407A64" w:rsidP="00407A64">
            <w:pPr>
              <w:pStyle w:val="Tabletextright"/>
            </w:pPr>
            <w:r w:rsidRPr="00BE06EA">
              <w:t>22 273</w:t>
            </w:r>
          </w:p>
        </w:tc>
        <w:tc>
          <w:tcPr>
            <w:tcW w:w="1305" w:type="dxa"/>
            <w:noWrap/>
          </w:tcPr>
          <w:p w14:paraId="4E8E8945" w14:textId="663090F7" w:rsidR="00407A64" w:rsidRPr="008F2FD4" w:rsidRDefault="00407A64" w:rsidP="00407A64">
            <w:pPr>
              <w:pStyle w:val="Tabletextright"/>
            </w:pPr>
            <w:r w:rsidRPr="00BE06EA">
              <w:t>–</w:t>
            </w:r>
          </w:p>
        </w:tc>
      </w:tr>
      <w:tr w:rsidR="00407A64" w:rsidRPr="008F2FD4" w14:paraId="3943BD54" w14:textId="77777777" w:rsidTr="003348F2">
        <w:trPr>
          <w:trHeight w:val="300"/>
        </w:trPr>
        <w:tc>
          <w:tcPr>
            <w:tcW w:w="2410" w:type="dxa"/>
            <w:noWrap/>
          </w:tcPr>
          <w:p w14:paraId="07626D93" w14:textId="70364206" w:rsidR="00407A64" w:rsidRPr="008F2FD4" w:rsidRDefault="00407A64" w:rsidP="00407A64">
            <w:pPr>
              <w:pStyle w:val="Tabletext"/>
            </w:pPr>
            <w:r w:rsidRPr="00BE06EA">
              <w:t>Centre For Public Impact Australia And New Zealand Ltd</w:t>
            </w:r>
          </w:p>
        </w:tc>
        <w:tc>
          <w:tcPr>
            <w:tcW w:w="2720" w:type="dxa"/>
            <w:gridSpan w:val="2"/>
            <w:noWrap/>
          </w:tcPr>
          <w:p w14:paraId="6612450A" w14:textId="6C8FC867" w:rsidR="00407A64" w:rsidRPr="008F2FD4" w:rsidRDefault="00407A64" w:rsidP="00407A64">
            <w:pPr>
              <w:pStyle w:val="Tabletext"/>
            </w:pPr>
            <w:r w:rsidRPr="00BE06EA">
              <w:t>DTF Senior Executive Group leadership training</w:t>
            </w:r>
          </w:p>
        </w:tc>
        <w:tc>
          <w:tcPr>
            <w:tcW w:w="1341" w:type="dxa"/>
            <w:noWrap/>
          </w:tcPr>
          <w:p w14:paraId="65EF8A04" w14:textId="63080ABB" w:rsidR="00407A64" w:rsidRPr="008F2FD4" w:rsidRDefault="00407A64" w:rsidP="00407A64">
            <w:pPr>
              <w:pStyle w:val="Tabletextright"/>
            </w:pPr>
            <w:r w:rsidRPr="00BE06EA">
              <w:t>74 359</w:t>
            </w:r>
          </w:p>
        </w:tc>
        <w:tc>
          <w:tcPr>
            <w:tcW w:w="1250" w:type="dxa"/>
            <w:noWrap/>
          </w:tcPr>
          <w:p w14:paraId="318E9F2F" w14:textId="469096C1" w:rsidR="00407A64" w:rsidRPr="008F2FD4" w:rsidRDefault="00407A64" w:rsidP="00407A64">
            <w:pPr>
              <w:pStyle w:val="Tabletextright"/>
            </w:pPr>
            <w:r w:rsidRPr="00BE06EA">
              <w:t>60 791</w:t>
            </w:r>
          </w:p>
        </w:tc>
        <w:tc>
          <w:tcPr>
            <w:tcW w:w="1305" w:type="dxa"/>
            <w:noWrap/>
          </w:tcPr>
          <w:p w14:paraId="477D9ED9" w14:textId="33F43664" w:rsidR="00407A64" w:rsidRPr="008F2FD4" w:rsidRDefault="00407A64" w:rsidP="00407A64">
            <w:pPr>
              <w:pStyle w:val="Tabletextright"/>
            </w:pPr>
            <w:r w:rsidRPr="00BE06EA">
              <w:t>–</w:t>
            </w:r>
          </w:p>
        </w:tc>
      </w:tr>
      <w:tr w:rsidR="00407A64" w:rsidRPr="008F2FD4" w14:paraId="75F3BE1B" w14:textId="77777777" w:rsidTr="003348F2">
        <w:trPr>
          <w:trHeight w:val="300"/>
        </w:trPr>
        <w:tc>
          <w:tcPr>
            <w:tcW w:w="2410" w:type="dxa"/>
            <w:noWrap/>
          </w:tcPr>
          <w:p w14:paraId="76C318D4" w14:textId="3AD770B9" w:rsidR="00407A64" w:rsidRPr="008F2FD4" w:rsidRDefault="00407A64" w:rsidP="00407A64">
            <w:pPr>
              <w:pStyle w:val="Tabletext"/>
            </w:pPr>
            <w:r w:rsidRPr="00BE06EA">
              <w:t>Centre For Public Impact Australia And New Zealand Ltd</w:t>
            </w:r>
          </w:p>
        </w:tc>
        <w:tc>
          <w:tcPr>
            <w:tcW w:w="2720" w:type="dxa"/>
            <w:gridSpan w:val="2"/>
            <w:noWrap/>
          </w:tcPr>
          <w:p w14:paraId="359C6AA3" w14:textId="760C2D3D" w:rsidR="00407A64" w:rsidRPr="008F2FD4" w:rsidRDefault="00407A64" w:rsidP="00407A64">
            <w:pPr>
              <w:pStyle w:val="Tabletext"/>
            </w:pPr>
            <w:r w:rsidRPr="00BE06EA">
              <w:t>DTF executive leadership training</w:t>
            </w:r>
          </w:p>
        </w:tc>
        <w:tc>
          <w:tcPr>
            <w:tcW w:w="1341" w:type="dxa"/>
            <w:noWrap/>
          </w:tcPr>
          <w:p w14:paraId="4CB3BF2A" w14:textId="4C307AAA" w:rsidR="00407A64" w:rsidRPr="008F2FD4" w:rsidRDefault="00407A64" w:rsidP="00407A64">
            <w:pPr>
              <w:pStyle w:val="Tabletextright"/>
            </w:pPr>
            <w:r w:rsidRPr="00BE06EA">
              <w:t>24 500</w:t>
            </w:r>
          </w:p>
        </w:tc>
        <w:tc>
          <w:tcPr>
            <w:tcW w:w="1250" w:type="dxa"/>
            <w:noWrap/>
          </w:tcPr>
          <w:p w14:paraId="26B980D5" w14:textId="7ADEAF2F" w:rsidR="00407A64" w:rsidRPr="008F2FD4" w:rsidRDefault="00407A64" w:rsidP="00407A64">
            <w:pPr>
              <w:pStyle w:val="Tabletextright"/>
            </w:pPr>
            <w:r w:rsidRPr="00BE06EA">
              <w:t>12 000</w:t>
            </w:r>
          </w:p>
        </w:tc>
        <w:tc>
          <w:tcPr>
            <w:tcW w:w="1305" w:type="dxa"/>
            <w:noWrap/>
          </w:tcPr>
          <w:p w14:paraId="3590254D" w14:textId="4BF39FB3" w:rsidR="00407A64" w:rsidRPr="008F2FD4" w:rsidRDefault="00407A64" w:rsidP="00407A64">
            <w:pPr>
              <w:pStyle w:val="Tabletextright"/>
            </w:pPr>
            <w:r w:rsidRPr="00BE06EA">
              <w:t>12 500</w:t>
            </w:r>
          </w:p>
        </w:tc>
      </w:tr>
      <w:tr w:rsidR="00407A64" w:rsidRPr="008F2FD4" w14:paraId="76AD3920" w14:textId="77777777" w:rsidTr="003348F2">
        <w:trPr>
          <w:trHeight w:val="300"/>
        </w:trPr>
        <w:tc>
          <w:tcPr>
            <w:tcW w:w="2410" w:type="dxa"/>
            <w:noWrap/>
          </w:tcPr>
          <w:p w14:paraId="22D1086C" w14:textId="5C427928" w:rsidR="00407A64" w:rsidRPr="008F2FD4" w:rsidRDefault="00407A64" w:rsidP="00407A64">
            <w:pPr>
              <w:pStyle w:val="Tabletext"/>
            </w:pPr>
            <w:r w:rsidRPr="00BE06EA">
              <w:t>Clayton Utz</w:t>
            </w:r>
          </w:p>
        </w:tc>
        <w:tc>
          <w:tcPr>
            <w:tcW w:w="2720" w:type="dxa"/>
            <w:gridSpan w:val="2"/>
            <w:noWrap/>
          </w:tcPr>
          <w:p w14:paraId="483CDF64" w14:textId="7D2ED948" w:rsidR="00407A64" w:rsidRPr="008F2FD4" w:rsidRDefault="00407A64" w:rsidP="00407A64">
            <w:pPr>
              <w:pStyle w:val="Tabletext"/>
            </w:pPr>
            <w:r w:rsidRPr="00BE06EA">
              <w:t>Commercial and transaction advice</w:t>
            </w:r>
          </w:p>
        </w:tc>
        <w:tc>
          <w:tcPr>
            <w:tcW w:w="1341" w:type="dxa"/>
            <w:noWrap/>
          </w:tcPr>
          <w:p w14:paraId="6252D618" w14:textId="095292A0" w:rsidR="00407A64" w:rsidRPr="008F2FD4" w:rsidRDefault="00407A64" w:rsidP="00407A64">
            <w:pPr>
              <w:pStyle w:val="Tabletextright"/>
            </w:pPr>
            <w:r w:rsidRPr="00BE06EA">
              <w:t>451 290</w:t>
            </w:r>
          </w:p>
        </w:tc>
        <w:tc>
          <w:tcPr>
            <w:tcW w:w="1250" w:type="dxa"/>
            <w:noWrap/>
          </w:tcPr>
          <w:p w14:paraId="1EEC3D99" w14:textId="3FCFB428" w:rsidR="00407A64" w:rsidRPr="008F2FD4" w:rsidRDefault="00407A64" w:rsidP="00407A64">
            <w:pPr>
              <w:pStyle w:val="Tabletextright"/>
            </w:pPr>
            <w:r w:rsidRPr="00BE06EA">
              <w:t>36 000</w:t>
            </w:r>
          </w:p>
        </w:tc>
        <w:tc>
          <w:tcPr>
            <w:tcW w:w="1305" w:type="dxa"/>
            <w:noWrap/>
          </w:tcPr>
          <w:p w14:paraId="6803D91E" w14:textId="1E3F2692" w:rsidR="00407A64" w:rsidRPr="008F2FD4" w:rsidRDefault="00407A64" w:rsidP="00407A64">
            <w:pPr>
              <w:pStyle w:val="Tabletextright"/>
            </w:pPr>
            <w:r w:rsidRPr="00BE06EA">
              <w:t>88 780</w:t>
            </w:r>
          </w:p>
        </w:tc>
      </w:tr>
      <w:tr w:rsidR="00407A64" w:rsidRPr="008F2FD4" w14:paraId="7BFCE5DC" w14:textId="77777777" w:rsidTr="003348F2">
        <w:trPr>
          <w:trHeight w:val="300"/>
        </w:trPr>
        <w:tc>
          <w:tcPr>
            <w:tcW w:w="2410" w:type="dxa"/>
            <w:noWrap/>
          </w:tcPr>
          <w:p w14:paraId="6E7569AC" w14:textId="77B75FD0" w:rsidR="00407A64" w:rsidRPr="008F2FD4" w:rsidRDefault="00407A64" w:rsidP="00407A64">
            <w:pPr>
              <w:pStyle w:val="Tabletext"/>
            </w:pPr>
            <w:r w:rsidRPr="00BE06EA">
              <w:lastRenderedPageBreak/>
              <w:t>Deloitte Touche Tohmatsu</w:t>
            </w:r>
          </w:p>
        </w:tc>
        <w:tc>
          <w:tcPr>
            <w:tcW w:w="2720" w:type="dxa"/>
            <w:gridSpan w:val="2"/>
            <w:noWrap/>
          </w:tcPr>
          <w:p w14:paraId="2963DECD" w14:textId="50E3B848" w:rsidR="00407A64" w:rsidRPr="008F2FD4" w:rsidRDefault="00407A64" w:rsidP="00407A64">
            <w:pPr>
              <w:pStyle w:val="Tabletext"/>
            </w:pPr>
            <w:r w:rsidRPr="00BE06EA">
              <w:t>Commercial and financial advisory services to support Phase 3 of the Building the Financial Capacity of Housing Agencies initiative</w:t>
            </w:r>
          </w:p>
        </w:tc>
        <w:tc>
          <w:tcPr>
            <w:tcW w:w="1341" w:type="dxa"/>
            <w:noWrap/>
          </w:tcPr>
          <w:p w14:paraId="776726ED" w14:textId="4B21769A" w:rsidR="00407A64" w:rsidRPr="008F2FD4" w:rsidRDefault="00407A64" w:rsidP="00407A64">
            <w:pPr>
              <w:pStyle w:val="Tabletextright"/>
            </w:pPr>
            <w:r w:rsidRPr="00BE06EA">
              <w:t>145 455</w:t>
            </w:r>
          </w:p>
        </w:tc>
        <w:tc>
          <w:tcPr>
            <w:tcW w:w="1250" w:type="dxa"/>
            <w:noWrap/>
          </w:tcPr>
          <w:p w14:paraId="4B4D44BD" w14:textId="5DCFC09E" w:rsidR="00407A64" w:rsidRPr="008F2FD4" w:rsidRDefault="00407A64" w:rsidP="00407A64">
            <w:pPr>
              <w:pStyle w:val="Tabletextright"/>
            </w:pPr>
            <w:r w:rsidRPr="00BE06EA">
              <w:t>145 455</w:t>
            </w:r>
          </w:p>
        </w:tc>
        <w:tc>
          <w:tcPr>
            <w:tcW w:w="1305" w:type="dxa"/>
            <w:noWrap/>
          </w:tcPr>
          <w:p w14:paraId="6E52DD33" w14:textId="061D62F7" w:rsidR="00407A64" w:rsidRPr="008F2FD4" w:rsidRDefault="00407A64" w:rsidP="00407A64">
            <w:pPr>
              <w:pStyle w:val="Tabletextright"/>
            </w:pPr>
            <w:r w:rsidRPr="00BE06EA">
              <w:t>–</w:t>
            </w:r>
          </w:p>
        </w:tc>
      </w:tr>
      <w:tr w:rsidR="00407A64" w:rsidRPr="008F2FD4" w14:paraId="6ABFBC78" w14:textId="77777777" w:rsidTr="003348F2">
        <w:trPr>
          <w:trHeight w:val="300"/>
        </w:trPr>
        <w:tc>
          <w:tcPr>
            <w:tcW w:w="2410" w:type="dxa"/>
            <w:noWrap/>
          </w:tcPr>
          <w:p w14:paraId="300B1E56" w14:textId="306A50FC" w:rsidR="00407A64" w:rsidRPr="008F2FD4" w:rsidRDefault="00407A64" w:rsidP="00407A64">
            <w:pPr>
              <w:pStyle w:val="Tabletext"/>
            </w:pPr>
            <w:r w:rsidRPr="00BE06EA">
              <w:t>Deloitte Touche Tohmatsu</w:t>
            </w:r>
          </w:p>
        </w:tc>
        <w:tc>
          <w:tcPr>
            <w:tcW w:w="2720" w:type="dxa"/>
            <w:gridSpan w:val="2"/>
            <w:noWrap/>
          </w:tcPr>
          <w:p w14:paraId="359794FF" w14:textId="79B1904F" w:rsidR="00407A64" w:rsidRPr="008F2FD4" w:rsidRDefault="00407A64" w:rsidP="00407A64">
            <w:pPr>
              <w:pStyle w:val="Tabletext"/>
            </w:pPr>
            <w:r w:rsidRPr="00BE06EA">
              <w:t>Commercial and financial advisory services to support the implementation of Affordable Housing Investment Partnerships (AHIP) (Phase 4)</w:t>
            </w:r>
          </w:p>
        </w:tc>
        <w:tc>
          <w:tcPr>
            <w:tcW w:w="1341" w:type="dxa"/>
            <w:noWrap/>
          </w:tcPr>
          <w:p w14:paraId="133BC69E" w14:textId="2BFA32D1" w:rsidR="00407A64" w:rsidRPr="008F2FD4" w:rsidRDefault="00407A64" w:rsidP="00407A64">
            <w:pPr>
              <w:pStyle w:val="Tabletextright"/>
            </w:pPr>
            <w:r w:rsidRPr="00BE06EA">
              <w:t>954 545</w:t>
            </w:r>
          </w:p>
        </w:tc>
        <w:tc>
          <w:tcPr>
            <w:tcW w:w="1250" w:type="dxa"/>
            <w:noWrap/>
          </w:tcPr>
          <w:p w14:paraId="773F55EA" w14:textId="387C492D" w:rsidR="00407A64" w:rsidRPr="008F2FD4" w:rsidRDefault="00407A64" w:rsidP="00407A64">
            <w:pPr>
              <w:pStyle w:val="Tabletextright"/>
            </w:pPr>
            <w:r w:rsidRPr="00BE06EA">
              <w:t>701 949</w:t>
            </w:r>
          </w:p>
        </w:tc>
        <w:tc>
          <w:tcPr>
            <w:tcW w:w="1305" w:type="dxa"/>
            <w:noWrap/>
          </w:tcPr>
          <w:p w14:paraId="53CFECE4" w14:textId="1310279B" w:rsidR="00407A64" w:rsidRPr="008F2FD4" w:rsidRDefault="00407A64" w:rsidP="00407A64">
            <w:pPr>
              <w:pStyle w:val="Tabletextright"/>
            </w:pPr>
            <w:r w:rsidRPr="00BE06EA">
              <w:t>252 596</w:t>
            </w:r>
          </w:p>
        </w:tc>
      </w:tr>
      <w:tr w:rsidR="00407A64" w:rsidRPr="008F2FD4" w14:paraId="5564C072" w14:textId="77777777" w:rsidTr="003348F2">
        <w:trPr>
          <w:trHeight w:val="300"/>
        </w:trPr>
        <w:tc>
          <w:tcPr>
            <w:tcW w:w="2410" w:type="dxa"/>
            <w:noWrap/>
          </w:tcPr>
          <w:p w14:paraId="58AE3909" w14:textId="6DCC1A21" w:rsidR="00407A64" w:rsidRPr="008F2FD4" w:rsidRDefault="00407A64" w:rsidP="00407A64">
            <w:pPr>
              <w:pStyle w:val="Tabletext"/>
            </w:pPr>
            <w:r w:rsidRPr="00BE06EA">
              <w:t>Deloitte Touche Tohmatsu</w:t>
            </w:r>
          </w:p>
        </w:tc>
        <w:tc>
          <w:tcPr>
            <w:tcW w:w="2720" w:type="dxa"/>
            <w:gridSpan w:val="2"/>
            <w:noWrap/>
          </w:tcPr>
          <w:p w14:paraId="2ECEE843" w14:textId="4A13665D" w:rsidR="00407A64" w:rsidRPr="008F2FD4" w:rsidRDefault="00407A64" w:rsidP="00407A64">
            <w:pPr>
              <w:pStyle w:val="Tabletext"/>
            </w:pPr>
            <w:r w:rsidRPr="00BE06EA">
              <w:t>Estimate the economic benefits of the early education reforms.</w:t>
            </w:r>
          </w:p>
        </w:tc>
        <w:tc>
          <w:tcPr>
            <w:tcW w:w="1341" w:type="dxa"/>
            <w:noWrap/>
          </w:tcPr>
          <w:p w14:paraId="52B10B96" w14:textId="654AD9B8" w:rsidR="00407A64" w:rsidRPr="008F2FD4" w:rsidRDefault="00407A64" w:rsidP="00407A64">
            <w:pPr>
              <w:pStyle w:val="Tabletextright"/>
            </w:pPr>
            <w:r w:rsidRPr="00BE06EA">
              <w:t>284 079</w:t>
            </w:r>
          </w:p>
        </w:tc>
        <w:tc>
          <w:tcPr>
            <w:tcW w:w="1250" w:type="dxa"/>
            <w:noWrap/>
          </w:tcPr>
          <w:p w14:paraId="6D164AA3" w14:textId="038F632E" w:rsidR="00407A64" w:rsidRPr="008F2FD4" w:rsidRDefault="00407A64" w:rsidP="00407A64">
            <w:pPr>
              <w:pStyle w:val="Tabletextright"/>
            </w:pPr>
            <w:r w:rsidRPr="00BE06EA">
              <w:t>45 455</w:t>
            </w:r>
          </w:p>
        </w:tc>
        <w:tc>
          <w:tcPr>
            <w:tcW w:w="1305" w:type="dxa"/>
            <w:noWrap/>
          </w:tcPr>
          <w:p w14:paraId="0B3A448E" w14:textId="2EDC8E70" w:rsidR="00407A64" w:rsidRPr="008F2FD4" w:rsidRDefault="00407A64" w:rsidP="00407A64">
            <w:pPr>
              <w:pStyle w:val="Tabletextright"/>
            </w:pPr>
            <w:r w:rsidRPr="00BE06EA">
              <w:t>–</w:t>
            </w:r>
          </w:p>
        </w:tc>
      </w:tr>
      <w:tr w:rsidR="00407A64" w:rsidRPr="008F2FD4" w14:paraId="0F0344A5" w14:textId="77777777" w:rsidTr="003348F2">
        <w:trPr>
          <w:trHeight w:val="300"/>
        </w:trPr>
        <w:tc>
          <w:tcPr>
            <w:tcW w:w="2410" w:type="dxa"/>
            <w:noWrap/>
          </w:tcPr>
          <w:p w14:paraId="1537AC7C" w14:textId="5E513767" w:rsidR="00407A64" w:rsidRPr="008F2FD4" w:rsidRDefault="00407A64" w:rsidP="00407A64">
            <w:pPr>
              <w:pStyle w:val="Tabletext"/>
            </w:pPr>
            <w:r w:rsidRPr="00BE06EA">
              <w:t>Deloitte Touche Tohmatsu</w:t>
            </w:r>
          </w:p>
        </w:tc>
        <w:tc>
          <w:tcPr>
            <w:tcW w:w="2720" w:type="dxa"/>
            <w:gridSpan w:val="2"/>
            <w:noWrap/>
          </w:tcPr>
          <w:p w14:paraId="13E0C713" w14:textId="6CC746A7" w:rsidR="00407A64" w:rsidRPr="008F2FD4" w:rsidRDefault="00407A64" w:rsidP="00407A64">
            <w:pPr>
              <w:pStyle w:val="Tabletext"/>
            </w:pPr>
            <w:r w:rsidRPr="00BE06EA">
              <w:t>Evaluation of Side by Side Partnership Addressing Disadvantage</w:t>
            </w:r>
          </w:p>
        </w:tc>
        <w:tc>
          <w:tcPr>
            <w:tcW w:w="1341" w:type="dxa"/>
            <w:noWrap/>
          </w:tcPr>
          <w:p w14:paraId="3141D5F5" w14:textId="33EE6583" w:rsidR="00407A64" w:rsidRPr="008F2FD4" w:rsidRDefault="00407A64" w:rsidP="00407A64">
            <w:pPr>
              <w:pStyle w:val="Tabletextright"/>
            </w:pPr>
            <w:r w:rsidRPr="00BE06EA">
              <w:t>702 819</w:t>
            </w:r>
          </w:p>
        </w:tc>
        <w:tc>
          <w:tcPr>
            <w:tcW w:w="1250" w:type="dxa"/>
            <w:noWrap/>
          </w:tcPr>
          <w:p w14:paraId="45B9D85E" w14:textId="5BB91B58" w:rsidR="00407A64" w:rsidRPr="008F2FD4" w:rsidRDefault="00407A64" w:rsidP="00407A64">
            <w:pPr>
              <w:pStyle w:val="Tabletextright"/>
            </w:pPr>
            <w:r w:rsidRPr="00BE06EA">
              <w:t>46 496</w:t>
            </w:r>
          </w:p>
        </w:tc>
        <w:tc>
          <w:tcPr>
            <w:tcW w:w="1305" w:type="dxa"/>
            <w:noWrap/>
          </w:tcPr>
          <w:p w14:paraId="05AE691E" w14:textId="675AE71E" w:rsidR="00407A64" w:rsidRPr="008F2FD4" w:rsidRDefault="00407A64" w:rsidP="00407A64">
            <w:pPr>
              <w:pStyle w:val="Tabletextright"/>
            </w:pPr>
            <w:r w:rsidRPr="00BE06EA">
              <w:t>139 489</w:t>
            </w:r>
          </w:p>
        </w:tc>
      </w:tr>
      <w:tr w:rsidR="00407A64" w:rsidRPr="008F2FD4" w14:paraId="694DBDC9" w14:textId="77777777" w:rsidTr="003348F2">
        <w:trPr>
          <w:trHeight w:val="300"/>
        </w:trPr>
        <w:tc>
          <w:tcPr>
            <w:tcW w:w="2410" w:type="dxa"/>
            <w:noWrap/>
          </w:tcPr>
          <w:p w14:paraId="0B6D2FE2" w14:textId="2561562C" w:rsidR="00407A64" w:rsidRPr="008F2FD4" w:rsidRDefault="00407A64" w:rsidP="00407A64">
            <w:pPr>
              <w:pStyle w:val="Tabletext"/>
            </w:pPr>
            <w:r w:rsidRPr="00BE06EA">
              <w:t>Deloitte Touche Tohmatsu</w:t>
            </w:r>
          </w:p>
        </w:tc>
        <w:tc>
          <w:tcPr>
            <w:tcW w:w="2720" w:type="dxa"/>
            <w:gridSpan w:val="2"/>
            <w:noWrap/>
          </w:tcPr>
          <w:p w14:paraId="76D29E94" w14:textId="22339B85" w:rsidR="00407A64" w:rsidRPr="008F2FD4" w:rsidRDefault="00407A64" w:rsidP="00407A64">
            <w:pPr>
              <w:pStyle w:val="Tabletext"/>
            </w:pPr>
            <w:r w:rsidRPr="00BE06EA">
              <w:t>National Labour Hire Regulator ICT Requirements and Solutions Options</w:t>
            </w:r>
          </w:p>
        </w:tc>
        <w:tc>
          <w:tcPr>
            <w:tcW w:w="1341" w:type="dxa"/>
            <w:noWrap/>
          </w:tcPr>
          <w:p w14:paraId="091A9DCA" w14:textId="30E2065F" w:rsidR="00407A64" w:rsidRPr="008F2FD4" w:rsidRDefault="00407A64" w:rsidP="00407A64">
            <w:pPr>
              <w:pStyle w:val="Tabletextright"/>
            </w:pPr>
            <w:r w:rsidRPr="00BE06EA">
              <w:t>423 143</w:t>
            </w:r>
          </w:p>
        </w:tc>
        <w:tc>
          <w:tcPr>
            <w:tcW w:w="1250" w:type="dxa"/>
            <w:noWrap/>
          </w:tcPr>
          <w:p w14:paraId="5D23F1F9" w14:textId="6A1B482B" w:rsidR="00407A64" w:rsidRPr="008F2FD4" w:rsidRDefault="00407A64" w:rsidP="00407A64">
            <w:pPr>
              <w:pStyle w:val="Tabletextright"/>
            </w:pPr>
            <w:r w:rsidRPr="00BE06EA">
              <w:t>338 514</w:t>
            </w:r>
          </w:p>
        </w:tc>
        <w:tc>
          <w:tcPr>
            <w:tcW w:w="1305" w:type="dxa"/>
            <w:noWrap/>
          </w:tcPr>
          <w:p w14:paraId="4706C203" w14:textId="33AC9BC6" w:rsidR="00407A64" w:rsidRPr="008F2FD4" w:rsidRDefault="00407A64" w:rsidP="00407A64">
            <w:pPr>
              <w:pStyle w:val="Tabletextright"/>
            </w:pPr>
            <w:r w:rsidRPr="00BE06EA">
              <w:t>84 629</w:t>
            </w:r>
          </w:p>
        </w:tc>
      </w:tr>
      <w:tr w:rsidR="00407A64" w:rsidRPr="008F2FD4" w14:paraId="5C5C166D" w14:textId="77777777" w:rsidTr="003348F2">
        <w:trPr>
          <w:trHeight w:val="300"/>
        </w:trPr>
        <w:tc>
          <w:tcPr>
            <w:tcW w:w="2410" w:type="dxa"/>
            <w:noWrap/>
          </w:tcPr>
          <w:p w14:paraId="6676B9E9" w14:textId="7FE0C1F5" w:rsidR="00407A64" w:rsidRPr="008F2FD4" w:rsidRDefault="00407A64" w:rsidP="00407A64">
            <w:pPr>
              <w:pStyle w:val="Tabletext"/>
            </w:pPr>
            <w:r w:rsidRPr="00BE06EA">
              <w:t>E3 Advisory Pty Ltd</w:t>
            </w:r>
          </w:p>
        </w:tc>
        <w:tc>
          <w:tcPr>
            <w:tcW w:w="2720" w:type="dxa"/>
            <w:gridSpan w:val="2"/>
            <w:noWrap/>
          </w:tcPr>
          <w:p w14:paraId="73C6FD14" w14:textId="6C7DDBB2" w:rsidR="00407A64" w:rsidRPr="008F2FD4" w:rsidRDefault="00407A64" w:rsidP="00407A64">
            <w:pPr>
              <w:pStyle w:val="Tabletext"/>
            </w:pPr>
            <w:r w:rsidRPr="00BE06EA">
              <w:t>Assurance review</w:t>
            </w:r>
          </w:p>
        </w:tc>
        <w:tc>
          <w:tcPr>
            <w:tcW w:w="1341" w:type="dxa"/>
            <w:noWrap/>
          </w:tcPr>
          <w:p w14:paraId="33E7D583" w14:textId="33623A12" w:rsidR="00407A64" w:rsidRPr="008F2FD4" w:rsidRDefault="00407A64" w:rsidP="00407A64">
            <w:pPr>
              <w:pStyle w:val="Tabletextright"/>
            </w:pPr>
            <w:r w:rsidRPr="00BE06EA">
              <w:t>363 363</w:t>
            </w:r>
          </w:p>
        </w:tc>
        <w:tc>
          <w:tcPr>
            <w:tcW w:w="1250" w:type="dxa"/>
            <w:noWrap/>
          </w:tcPr>
          <w:p w14:paraId="5FF6D622" w14:textId="5A5A887F" w:rsidR="00407A64" w:rsidRPr="008F2FD4" w:rsidRDefault="00407A64" w:rsidP="00407A64">
            <w:pPr>
              <w:pStyle w:val="Tabletextright"/>
            </w:pPr>
            <w:r w:rsidRPr="00BE06EA">
              <w:t>190 650</w:t>
            </w:r>
          </w:p>
        </w:tc>
        <w:tc>
          <w:tcPr>
            <w:tcW w:w="1305" w:type="dxa"/>
            <w:noWrap/>
          </w:tcPr>
          <w:p w14:paraId="1B81C480" w14:textId="5E3366AC" w:rsidR="00407A64" w:rsidRPr="008F2FD4" w:rsidRDefault="00407A64" w:rsidP="00407A64">
            <w:pPr>
              <w:pStyle w:val="Tabletextright"/>
            </w:pPr>
            <w:r w:rsidRPr="00BE06EA">
              <w:t>75 174</w:t>
            </w:r>
          </w:p>
        </w:tc>
      </w:tr>
      <w:tr w:rsidR="00407A64" w:rsidRPr="008F2FD4" w14:paraId="080DAE76" w14:textId="77777777" w:rsidTr="003348F2">
        <w:trPr>
          <w:trHeight w:val="300"/>
        </w:trPr>
        <w:tc>
          <w:tcPr>
            <w:tcW w:w="2410" w:type="dxa"/>
            <w:noWrap/>
          </w:tcPr>
          <w:p w14:paraId="53D528B7" w14:textId="74F6BBF5" w:rsidR="00407A64" w:rsidRPr="008F2FD4" w:rsidRDefault="00407A64" w:rsidP="00407A64">
            <w:pPr>
              <w:pStyle w:val="Tabletext"/>
            </w:pPr>
            <w:r w:rsidRPr="00BE06EA">
              <w:t>Ernst &amp; Young</w:t>
            </w:r>
          </w:p>
        </w:tc>
        <w:tc>
          <w:tcPr>
            <w:tcW w:w="2720" w:type="dxa"/>
            <w:gridSpan w:val="2"/>
            <w:noWrap/>
          </w:tcPr>
          <w:p w14:paraId="3387DB82" w14:textId="3895A04A" w:rsidR="00407A64" w:rsidRPr="008F2FD4" w:rsidRDefault="00407A64" w:rsidP="00407A64">
            <w:pPr>
              <w:pStyle w:val="Tabletext"/>
            </w:pPr>
            <w:r w:rsidRPr="00BE06EA">
              <w:t>Commercial and transaction advice</w:t>
            </w:r>
          </w:p>
        </w:tc>
        <w:tc>
          <w:tcPr>
            <w:tcW w:w="1341" w:type="dxa"/>
            <w:noWrap/>
          </w:tcPr>
          <w:p w14:paraId="7DFCDAB2" w14:textId="5F32FB24" w:rsidR="00407A64" w:rsidRPr="008F2FD4" w:rsidRDefault="00407A64" w:rsidP="00407A64">
            <w:pPr>
              <w:pStyle w:val="Tabletextright"/>
            </w:pPr>
            <w:r w:rsidRPr="00BE06EA">
              <w:t>234 100</w:t>
            </w:r>
          </w:p>
        </w:tc>
        <w:tc>
          <w:tcPr>
            <w:tcW w:w="1250" w:type="dxa"/>
            <w:noWrap/>
          </w:tcPr>
          <w:p w14:paraId="685EE203" w14:textId="41D98020" w:rsidR="00407A64" w:rsidRPr="008F2FD4" w:rsidRDefault="00407A64" w:rsidP="00407A64">
            <w:pPr>
              <w:pStyle w:val="Tabletextright"/>
            </w:pPr>
            <w:r w:rsidRPr="00BE06EA">
              <w:t>234 100</w:t>
            </w:r>
          </w:p>
        </w:tc>
        <w:tc>
          <w:tcPr>
            <w:tcW w:w="1305" w:type="dxa"/>
            <w:noWrap/>
          </w:tcPr>
          <w:p w14:paraId="1B1176F7" w14:textId="5015229E" w:rsidR="00407A64" w:rsidRPr="008F2FD4" w:rsidRDefault="00407A64" w:rsidP="00407A64">
            <w:pPr>
              <w:pStyle w:val="Tabletextright"/>
            </w:pPr>
            <w:r w:rsidRPr="00BE06EA">
              <w:t>–</w:t>
            </w:r>
          </w:p>
        </w:tc>
      </w:tr>
      <w:tr w:rsidR="00407A64" w:rsidRPr="008F2FD4" w14:paraId="453B9E79" w14:textId="77777777" w:rsidTr="003348F2">
        <w:trPr>
          <w:trHeight w:val="300"/>
        </w:trPr>
        <w:tc>
          <w:tcPr>
            <w:tcW w:w="2410" w:type="dxa"/>
            <w:noWrap/>
          </w:tcPr>
          <w:p w14:paraId="0FEA9859" w14:textId="55DDDCD1" w:rsidR="00407A64" w:rsidRPr="008F2FD4" w:rsidRDefault="00407A64" w:rsidP="00407A64">
            <w:pPr>
              <w:pStyle w:val="Tabletext"/>
            </w:pPr>
            <w:r w:rsidRPr="00BE06EA">
              <w:t>Ernst &amp; Young</w:t>
            </w:r>
          </w:p>
        </w:tc>
        <w:tc>
          <w:tcPr>
            <w:tcW w:w="2720" w:type="dxa"/>
            <w:gridSpan w:val="2"/>
            <w:noWrap/>
          </w:tcPr>
          <w:p w14:paraId="35E339A4" w14:textId="3B6D1A76" w:rsidR="00407A64" w:rsidRPr="008F2FD4" w:rsidRDefault="00407A64" w:rsidP="00407A64">
            <w:pPr>
              <w:pStyle w:val="Tabletext"/>
            </w:pPr>
            <w:r w:rsidRPr="00BE06EA">
              <w:t>Consultancy to support financial management reform in Victoria</w:t>
            </w:r>
          </w:p>
        </w:tc>
        <w:tc>
          <w:tcPr>
            <w:tcW w:w="1341" w:type="dxa"/>
            <w:noWrap/>
          </w:tcPr>
          <w:p w14:paraId="692721F7" w14:textId="639D0738" w:rsidR="00407A64" w:rsidRPr="008F2FD4" w:rsidRDefault="00407A64" w:rsidP="00407A64">
            <w:pPr>
              <w:pStyle w:val="Tabletextright"/>
            </w:pPr>
            <w:r w:rsidRPr="00BE06EA">
              <w:t>129 998</w:t>
            </w:r>
          </w:p>
        </w:tc>
        <w:tc>
          <w:tcPr>
            <w:tcW w:w="1250" w:type="dxa"/>
            <w:noWrap/>
          </w:tcPr>
          <w:p w14:paraId="1D4EF552" w14:textId="1A2ACDD5" w:rsidR="00407A64" w:rsidRPr="008F2FD4" w:rsidRDefault="00407A64" w:rsidP="00407A64">
            <w:pPr>
              <w:pStyle w:val="Tabletextright"/>
            </w:pPr>
            <w:r w:rsidRPr="00BE06EA">
              <w:t>129 998</w:t>
            </w:r>
          </w:p>
        </w:tc>
        <w:tc>
          <w:tcPr>
            <w:tcW w:w="1305" w:type="dxa"/>
            <w:noWrap/>
          </w:tcPr>
          <w:p w14:paraId="7926168A" w14:textId="772719BA" w:rsidR="00407A64" w:rsidRPr="008F2FD4" w:rsidRDefault="00407A64" w:rsidP="00407A64">
            <w:pPr>
              <w:pStyle w:val="Tabletextright"/>
            </w:pPr>
            <w:r w:rsidRPr="00BE06EA">
              <w:t>–</w:t>
            </w:r>
          </w:p>
        </w:tc>
      </w:tr>
      <w:tr w:rsidR="00407A64" w:rsidRPr="008F2FD4" w14:paraId="1A2865E3" w14:textId="77777777" w:rsidTr="003348F2">
        <w:trPr>
          <w:trHeight w:val="300"/>
        </w:trPr>
        <w:tc>
          <w:tcPr>
            <w:tcW w:w="2410" w:type="dxa"/>
            <w:noWrap/>
          </w:tcPr>
          <w:p w14:paraId="1B3B68FE" w14:textId="3212DB00" w:rsidR="00407A64" w:rsidRPr="008F2FD4" w:rsidRDefault="00407A64" w:rsidP="00407A64">
            <w:pPr>
              <w:pStyle w:val="Tabletext"/>
            </w:pPr>
            <w:r w:rsidRPr="00BE06EA">
              <w:t>Ernst &amp; Young</w:t>
            </w:r>
          </w:p>
        </w:tc>
        <w:tc>
          <w:tcPr>
            <w:tcW w:w="2720" w:type="dxa"/>
            <w:gridSpan w:val="2"/>
            <w:noWrap/>
          </w:tcPr>
          <w:p w14:paraId="5137945D" w14:textId="18684E2B" w:rsidR="00407A64" w:rsidRPr="008F2FD4" w:rsidRDefault="00407A64" w:rsidP="00407A64">
            <w:pPr>
              <w:pStyle w:val="Tabletext"/>
            </w:pPr>
            <w:r w:rsidRPr="00BE06EA">
              <w:t>Provision of prudential supervision services for Treasury Corporation of Victoria (TCV)</w:t>
            </w:r>
          </w:p>
        </w:tc>
        <w:tc>
          <w:tcPr>
            <w:tcW w:w="1341" w:type="dxa"/>
            <w:noWrap/>
          </w:tcPr>
          <w:p w14:paraId="5C43A78C" w14:textId="748B7FD0" w:rsidR="00407A64" w:rsidRPr="008F2FD4" w:rsidRDefault="00407A64" w:rsidP="00407A64">
            <w:pPr>
              <w:pStyle w:val="Tabletextright"/>
            </w:pPr>
            <w:r w:rsidRPr="00BE06EA">
              <w:t>700 000</w:t>
            </w:r>
          </w:p>
        </w:tc>
        <w:tc>
          <w:tcPr>
            <w:tcW w:w="1250" w:type="dxa"/>
            <w:noWrap/>
          </w:tcPr>
          <w:p w14:paraId="2A7F980D" w14:textId="26B3579C" w:rsidR="00407A64" w:rsidRPr="008F2FD4" w:rsidRDefault="00407A64" w:rsidP="00407A64">
            <w:pPr>
              <w:pStyle w:val="Tabletextright"/>
            </w:pPr>
            <w:r w:rsidRPr="00BE06EA">
              <w:t>100 000</w:t>
            </w:r>
          </w:p>
        </w:tc>
        <w:tc>
          <w:tcPr>
            <w:tcW w:w="1305" w:type="dxa"/>
            <w:noWrap/>
          </w:tcPr>
          <w:p w14:paraId="7BF8FDAA" w14:textId="4934B7B0" w:rsidR="00407A64" w:rsidRPr="008F2FD4" w:rsidRDefault="00407A64" w:rsidP="00407A64">
            <w:pPr>
              <w:pStyle w:val="Tabletextright"/>
            </w:pPr>
            <w:r w:rsidRPr="00BE06EA">
              <w:t>50 000</w:t>
            </w:r>
          </w:p>
        </w:tc>
      </w:tr>
      <w:tr w:rsidR="00407A64" w:rsidRPr="008F2FD4" w14:paraId="4CF05E1B" w14:textId="77777777" w:rsidTr="003348F2">
        <w:trPr>
          <w:trHeight w:val="300"/>
        </w:trPr>
        <w:tc>
          <w:tcPr>
            <w:tcW w:w="2410" w:type="dxa"/>
            <w:noWrap/>
          </w:tcPr>
          <w:p w14:paraId="1AD96426" w14:textId="0677C7BD" w:rsidR="00407A64" w:rsidRPr="008F2FD4" w:rsidRDefault="00407A64" w:rsidP="00407A64">
            <w:pPr>
              <w:pStyle w:val="Tabletext"/>
            </w:pPr>
            <w:r w:rsidRPr="00BE06EA">
              <w:t>Ernst &amp; Young</w:t>
            </w:r>
          </w:p>
        </w:tc>
        <w:tc>
          <w:tcPr>
            <w:tcW w:w="2720" w:type="dxa"/>
            <w:gridSpan w:val="2"/>
            <w:noWrap/>
          </w:tcPr>
          <w:p w14:paraId="20E3BF80" w14:textId="3C36473F" w:rsidR="00407A64" w:rsidRPr="008F2FD4" w:rsidRDefault="00407A64" w:rsidP="00407A64">
            <w:pPr>
              <w:pStyle w:val="Tabletext"/>
            </w:pPr>
            <w:r w:rsidRPr="00BE06EA">
              <w:t>Support for the Independent Review into the Victorian Public Sector</w:t>
            </w:r>
          </w:p>
        </w:tc>
        <w:tc>
          <w:tcPr>
            <w:tcW w:w="1341" w:type="dxa"/>
            <w:noWrap/>
          </w:tcPr>
          <w:p w14:paraId="5C366618" w14:textId="09580E76" w:rsidR="00407A64" w:rsidRPr="008F2FD4" w:rsidRDefault="00407A64" w:rsidP="00407A64">
            <w:pPr>
              <w:pStyle w:val="Tabletextright"/>
            </w:pPr>
            <w:r w:rsidRPr="00BE06EA">
              <w:t>90 000</w:t>
            </w:r>
          </w:p>
        </w:tc>
        <w:tc>
          <w:tcPr>
            <w:tcW w:w="1250" w:type="dxa"/>
            <w:noWrap/>
          </w:tcPr>
          <w:p w14:paraId="2DF78355" w14:textId="122F7ECA" w:rsidR="00407A64" w:rsidRPr="008F2FD4" w:rsidRDefault="00407A64" w:rsidP="00407A64">
            <w:pPr>
              <w:pStyle w:val="Tabletextright"/>
            </w:pPr>
            <w:r w:rsidRPr="00BE06EA">
              <w:t>90 000</w:t>
            </w:r>
          </w:p>
        </w:tc>
        <w:tc>
          <w:tcPr>
            <w:tcW w:w="1305" w:type="dxa"/>
            <w:noWrap/>
          </w:tcPr>
          <w:p w14:paraId="0B761AD7" w14:textId="431FCE85" w:rsidR="00407A64" w:rsidRPr="008F2FD4" w:rsidRDefault="00407A64" w:rsidP="00407A64">
            <w:pPr>
              <w:pStyle w:val="Tabletextright"/>
            </w:pPr>
            <w:r w:rsidRPr="00BE06EA">
              <w:t>–</w:t>
            </w:r>
          </w:p>
        </w:tc>
      </w:tr>
      <w:tr w:rsidR="00407A64" w:rsidRPr="008F2FD4" w14:paraId="2195E6C5" w14:textId="77777777" w:rsidTr="003348F2">
        <w:trPr>
          <w:trHeight w:val="300"/>
        </w:trPr>
        <w:tc>
          <w:tcPr>
            <w:tcW w:w="2410" w:type="dxa"/>
            <w:noWrap/>
          </w:tcPr>
          <w:p w14:paraId="3C570DE5" w14:textId="36429491" w:rsidR="00407A64" w:rsidRPr="008F2FD4" w:rsidRDefault="00407A64" w:rsidP="00407A64">
            <w:pPr>
              <w:pStyle w:val="Tabletext"/>
            </w:pPr>
            <w:r w:rsidRPr="00BE06EA">
              <w:t>Ernst &amp; Young</w:t>
            </w:r>
          </w:p>
        </w:tc>
        <w:tc>
          <w:tcPr>
            <w:tcW w:w="2720" w:type="dxa"/>
            <w:gridSpan w:val="2"/>
            <w:noWrap/>
          </w:tcPr>
          <w:p w14:paraId="72BCED18" w14:textId="334A46C2" w:rsidR="00407A64" w:rsidRPr="008F2FD4" w:rsidRDefault="00407A64" w:rsidP="00407A64">
            <w:pPr>
              <w:pStyle w:val="Tabletext"/>
            </w:pPr>
            <w:r w:rsidRPr="00BE06EA">
              <w:t>Support for the Independent Review into the Victorian Public Sector</w:t>
            </w:r>
          </w:p>
        </w:tc>
        <w:tc>
          <w:tcPr>
            <w:tcW w:w="1341" w:type="dxa"/>
            <w:noWrap/>
          </w:tcPr>
          <w:p w14:paraId="54E0A8EE" w14:textId="43895046" w:rsidR="00407A64" w:rsidRPr="008F2FD4" w:rsidRDefault="00407A64" w:rsidP="00407A64">
            <w:pPr>
              <w:pStyle w:val="Tabletextright"/>
            </w:pPr>
            <w:r w:rsidRPr="00BE06EA">
              <w:t>346 000</w:t>
            </w:r>
          </w:p>
        </w:tc>
        <w:tc>
          <w:tcPr>
            <w:tcW w:w="1250" w:type="dxa"/>
            <w:noWrap/>
          </w:tcPr>
          <w:p w14:paraId="49BD8C00" w14:textId="05D9786E" w:rsidR="00407A64" w:rsidRPr="008F2FD4" w:rsidRDefault="00407A64" w:rsidP="00407A64">
            <w:pPr>
              <w:pStyle w:val="Tabletextright"/>
            </w:pPr>
            <w:r w:rsidRPr="00BE06EA">
              <w:t>346 000</w:t>
            </w:r>
          </w:p>
        </w:tc>
        <w:tc>
          <w:tcPr>
            <w:tcW w:w="1305" w:type="dxa"/>
            <w:noWrap/>
          </w:tcPr>
          <w:p w14:paraId="07B0B82A" w14:textId="02EDD620" w:rsidR="00407A64" w:rsidRPr="008F2FD4" w:rsidRDefault="00407A64" w:rsidP="00407A64">
            <w:pPr>
              <w:pStyle w:val="Tabletextright"/>
            </w:pPr>
            <w:r w:rsidRPr="00BE06EA">
              <w:t>–</w:t>
            </w:r>
          </w:p>
        </w:tc>
      </w:tr>
      <w:tr w:rsidR="00407A64" w:rsidRPr="008F2FD4" w14:paraId="74F261A8" w14:textId="77777777" w:rsidTr="003348F2">
        <w:trPr>
          <w:trHeight w:val="300"/>
        </w:trPr>
        <w:tc>
          <w:tcPr>
            <w:tcW w:w="2410" w:type="dxa"/>
            <w:noWrap/>
          </w:tcPr>
          <w:p w14:paraId="0EC2E04C" w14:textId="793C4C02" w:rsidR="00407A64" w:rsidRPr="008F2FD4" w:rsidRDefault="00407A64" w:rsidP="00407A64">
            <w:pPr>
              <w:pStyle w:val="Tabletext"/>
            </w:pPr>
            <w:r w:rsidRPr="00BE06EA">
              <w:t>Gilbert &amp; Tobin</w:t>
            </w:r>
          </w:p>
        </w:tc>
        <w:tc>
          <w:tcPr>
            <w:tcW w:w="2720" w:type="dxa"/>
            <w:gridSpan w:val="2"/>
            <w:noWrap/>
          </w:tcPr>
          <w:p w14:paraId="65237715" w14:textId="193CE663" w:rsidR="00407A64" w:rsidRPr="008F2FD4" w:rsidRDefault="00407A64" w:rsidP="00407A64">
            <w:pPr>
              <w:pStyle w:val="Tabletext"/>
            </w:pPr>
            <w:r w:rsidRPr="00BE06EA">
              <w:t>Support for the Independent Review into the Victorian Public Sector</w:t>
            </w:r>
          </w:p>
        </w:tc>
        <w:tc>
          <w:tcPr>
            <w:tcW w:w="1341" w:type="dxa"/>
            <w:noWrap/>
          </w:tcPr>
          <w:p w14:paraId="1C9C58AB" w14:textId="505F1F88" w:rsidR="00407A64" w:rsidRPr="008F2FD4" w:rsidRDefault="00407A64" w:rsidP="00407A64">
            <w:pPr>
              <w:pStyle w:val="Tabletextright"/>
            </w:pPr>
            <w:r w:rsidRPr="00BE06EA">
              <w:t>1 384 374</w:t>
            </w:r>
          </w:p>
        </w:tc>
        <w:tc>
          <w:tcPr>
            <w:tcW w:w="1250" w:type="dxa"/>
            <w:noWrap/>
          </w:tcPr>
          <w:p w14:paraId="35024B26" w14:textId="6C498DC1" w:rsidR="00407A64" w:rsidRPr="008F2FD4" w:rsidRDefault="00407A64" w:rsidP="00407A64">
            <w:pPr>
              <w:pStyle w:val="Tabletextright"/>
            </w:pPr>
            <w:r w:rsidRPr="00BE06EA">
              <w:t>1 366 723</w:t>
            </w:r>
          </w:p>
        </w:tc>
        <w:tc>
          <w:tcPr>
            <w:tcW w:w="1305" w:type="dxa"/>
            <w:noWrap/>
          </w:tcPr>
          <w:p w14:paraId="3409BF08" w14:textId="5CD00DC9" w:rsidR="00407A64" w:rsidRPr="008F2FD4" w:rsidRDefault="00407A64" w:rsidP="00407A64">
            <w:pPr>
              <w:pStyle w:val="Tabletextright"/>
            </w:pPr>
            <w:r w:rsidRPr="00BE06EA">
              <w:t>–</w:t>
            </w:r>
          </w:p>
        </w:tc>
      </w:tr>
      <w:tr w:rsidR="00407A64" w:rsidRPr="008F2FD4" w14:paraId="7E8AB398" w14:textId="77777777" w:rsidTr="003348F2">
        <w:trPr>
          <w:trHeight w:val="300"/>
        </w:trPr>
        <w:tc>
          <w:tcPr>
            <w:tcW w:w="2410" w:type="dxa"/>
            <w:noWrap/>
          </w:tcPr>
          <w:p w14:paraId="11995C60" w14:textId="34ADCEC8" w:rsidR="00407A64" w:rsidRPr="008F2FD4" w:rsidRDefault="00407A64" w:rsidP="00407A64">
            <w:pPr>
              <w:pStyle w:val="Tabletext"/>
            </w:pPr>
            <w:r w:rsidRPr="00BE06EA">
              <w:t>Helen Elizabeth Silver</w:t>
            </w:r>
          </w:p>
        </w:tc>
        <w:tc>
          <w:tcPr>
            <w:tcW w:w="2720" w:type="dxa"/>
            <w:gridSpan w:val="2"/>
            <w:noWrap/>
          </w:tcPr>
          <w:p w14:paraId="4379898B" w14:textId="0AE2A4AD" w:rsidR="00407A64" w:rsidRPr="008F2FD4" w:rsidRDefault="00407A64" w:rsidP="00407A64">
            <w:pPr>
              <w:pStyle w:val="Tabletext"/>
            </w:pPr>
            <w:r w:rsidRPr="00BE06EA">
              <w:t>Independent Review into the Victorian Public Sector</w:t>
            </w:r>
          </w:p>
        </w:tc>
        <w:tc>
          <w:tcPr>
            <w:tcW w:w="1341" w:type="dxa"/>
            <w:noWrap/>
          </w:tcPr>
          <w:p w14:paraId="289E7BF4" w14:textId="33D44868" w:rsidR="00407A64" w:rsidRPr="008F2FD4" w:rsidRDefault="00407A64" w:rsidP="00407A64">
            <w:pPr>
              <w:pStyle w:val="Tabletextright"/>
            </w:pPr>
            <w:r w:rsidRPr="00BE06EA">
              <w:t>203 000</w:t>
            </w:r>
          </w:p>
        </w:tc>
        <w:tc>
          <w:tcPr>
            <w:tcW w:w="1250" w:type="dxa"/>
            <w:noWrap/>
          </w:tcPr>
          <w:p w14:paraId="63060D0A" w14:textId="71EA832A" w:rsidR="00407A64" w:rsidRPr="008F2FD4" w:rsidRDefault="00407A64" w:rsidP="00407A64">
            <w:pPr>
              <w:pStyle w:val="Tabletextright"/>
            </w:pPr>
            <w:r w:rsidRPr="00BE06EA">
              <w:t>155 150</w:t>
            </w:r>
          </w:p>
        </w:tc>
        <w:tc>
          <w:tcPr>
            <w:tcW w:w="1305" w:type="dxa"/>
            <w:noWrap/>
          </w:tcPr>
          <w:p w14:paraId="7A2F2AD2" w14:textId="4CB6C3BD" w:rsidR="00407A64" w:rsidRPr="008F2FD4" w:rsidRDefault="00407A64" w:rsidP="00407A64">
            <w:pPr>
              <w:pStyle w:val="Tabletextright"/>
            </w:pPr>
            <w:r w:rsidRPr="00BE06EA">
              <w:t>–</w:t>
            </w:r>
          </w:p>
        </w:tc>
      </w:tr>
      <w:tr w:rsidR="00407A64" w:rsidRPr="008F2FD4" w14:paraId="1DEDAA9E" w14:textId="77777777" w:rsidTr="003348F2">
        <w:trPr>
          <w:trHeight w:val="300"/>
        </w:trPr>
        <w:tc>
          <w:tcPr>
            <w:tcW w:w="2410" w:type="dxa"/>
            <w:noWrap/>
          </w:tcPr>
          <w:p w14:paraId="2A18D16B" w14:textId="1A800FA4" w:rsidR="00407A64" w:rsidRPr="008F2FD4" w:rsidRDefault="00407A64" w:rsidP="00407A64">
            <w:pPr>
              <w:pStyle w:val="Tabletext"/>
            </w:pPr>
            <w:r w:rsidRPr="00BE06EA">
              <w:t>Holding Redlich</w:t>
            </w:r>
          </w:p>
        </w:tc>
        <w:tc>
          <w:tcPr>
            <w:tcW w:w="2720" w:type="dxa"/>
            <w:gridSpan w:val="2"/>
            <w:noWrap/>
          </w:tcPr>
          <w:p w14:paraId="1526D1D0" w14:textId="3DE4C239" w:rsidR="00407A64" w:rsidRPr="008F2FD4" w:rsidRDefault="00407A64" w:rsidP="00407A64">
            <w:pPr>
              <w:pStyle w:val="Tabletext"/>
            </w:pPr>
            <w:r w:rsidRPr="00BE06EA">
              <w:t>Development of Model Legislative Provisions</w:t>
            </w:r>
          </w:p>
        </w:tc>
        <w:tc>
          <w:tcPr>
            <w:tcW w:w="1341" w:type="dxa"/>
            <w:noWrap/>
          </w:tcPr>
          <w:p w14:paraId="0D4BC72C" w14:textId="0BFBCEAA" w:rsidR="00407A64" w:rsidRPr="008F2FD4" w:rsidRDefault="00407A64" w:rsidP="00407A64">
            <w:pPr>
              <w:pStyle w:val="Tabletextright"/>
            </w:pPr>
            <w:r w:rsidRPr="00BE06EA">
              <w:t>81 500</w:t>
            </w:r>
          </w:p>
        </w:tc>
        <w:tc>
          <w:tcPr>
            <w:tcW w:w="1250" w:type="dxa"/>
            <w:noWrap/>
          </w:tcPr>
          <w:p w14:paraId="2F2495B6" w14:textId="56340DF3" w:rsidR="00407A64" w:rsidRPr="008F2FD4" w:rsidRDefault="00407A64" w:rsidP="00407A64">
            <w:pPr>
              <w:pStyle w:val="Tabletextright"/>
            </w:pPr>
            <w:r w:rsidRPr="00BE06EA">
              <w:t>27 166</w:t>
            </w:r>
          </w:p>
        </w:tc>
        <w:tc>
          <w:tcPr>
            <w:tcW w:w="1305" w:type="dxa"/>
            <w:noWrap/>
          </w:tcPr>
          <w:p w14:paraId="29903FD5" w14:textId="2607F3FA" w:rsidR="00407A64" w:rsidRPr="008F2FD4" w:rsidRDefault="00407A64" w:rsidP="00407A64">
            <w:pPr>
              <w:pStyle w:val="Tabletextright"/>
            </w:pPr>
            <w:r w:rsidRPr="00BE06EA">
              <w:t>54 334</w:t>
            </w:r>
          </w:p>
        </w:tc>
      </w:tr>
      <w:tr w:rsidR="00407A64" w:rsidRPr="008F2FD4" w14:paraId="1865FAA9" w14:textId="77777777" w:rsidTr="003348F2">
        <w:trPr>
          <w:trHeight w:val="300"/>
        </w:trPr>
        <w:tc>
          <w:tcPr>
            <w:tcW w:w="2410" w:type="dxa"/>
            <w:noWrap/>
          </w:tcPr>
          <w:p w14:paraId="41B739E1" w14:textId="1A27895A" w:rsidR="00407A64" w:rsidRPr="008F2FD4" w:rsidRDefault="00407A64" w:rsidP="00407A64">
            <w:pPr>
              <w:pStyle w:val="Tabletext"/>
            </w:pPr>
            <w:r w:rsidRPr="00BE06EA">
              <w:t>Impact Economics &amp; Policy Pty Ltd</w:t>
            </w:r>
          </w:p>
        </w:tc>
        <w:tc>
          <w:tcPr>
            <w:tcW w:w="2720" w:type="dxa"/>
            <w:gridSpan w:val="2"/>
            <w:noWrap/>
          </w:tcPr>
          <w:p w14:paraId="2D343558" w14:textId="79CCF8C4" w:rsidR="00407A64" w:rsidRPr="008F2FD4" w:rsidRDefault="00407A64" w:rsidP="00407A64">
            <w:pPr>
              <w:pStyle w:val="Tabletext"/>
            </w:pPr>
            <w:r w:rsidRPr="00BE06EA">
              <w:t>Firm</w:t>
            </w:r>
            <w:r w:rsidRPr="00BE06EA">
              <w:rPr>
                <w:rFonts w:ascii="Cambria Math" w:hAnsi="Cambria Math" w:cs="Cambria Math"/>
              </w:rPr>
              <w:t>‑</w:t>
            </w:r>
            <w:r w:rsidRPr="00BE06EA">
              <w:t>level analysis of the gender pay gap in Victoria</w:t>
            </w:r>
          </w:p>
        </w:tc>
        <w:tc>
          <w:tcPr>
            <w:tcW w:w="1341" w:type="dxa"/>
            <w:noWrap/>
          </w:tcPr>
          <w:p w14:paraId="46EF4B2F" w14:textId="47706473" w:rsidR="00407A64" w:rsidRPr="008F2FD4" w:rsidRDefault="00407A64" w:rsidP="00407A64">
            <w:pPr>
              <w:pStyle w:val="Tabletextright"/>
            </w:pPr>
            <w:r w:rsidRPr="00BE06EA">
              <w:t>273 700</w:t>
            </w:r>
          </w:p>
        </w:tc>
        <w:tc>
          <w:tcPr>
            <w:tcW w:w="1250" w:type="dxa"/>
            <w:noWrap/>
          </w:tcPr>
          <w:p w14:paraId="65241839" w14:textId="3DCA6353" w:rsidR="00407A64" w:rsidRPr="008F2FD4" w:rsidRDefault="00407A64" w:rsidP="00407A64">
            <w:pPr>
              <w:pStyle w:val="Tabletextright"/>
            </w:pPr>
            <w:r w:rsidRPr="00BE06EA">
              <w:t>207 800</w:t>
            </w:r>
          </w:p>
        </w:tc>
        <w:tc>
          <w:tcPr>
            <w:tcW w:w="1305" w:type="dxa"/>
            <w:noWrap/>
          </w:tcPr>
          <w:p w14:paraId="34C22DDB" w14:textId="18512EF0" w:rsidR="00407A64" w:rsidRPr="008F2FD4" w:rsidRDefault="00407A64" w:rsidP="00407A64">
            <w:pPr>
              <w:pStyle w:val="Tabletextright"/>
            </w:pPr>
            <w:r w:rsidRPr="00BE06EA">
              <w:rPr>
                <w:rFonts w:ascii="Aptos" w:hAnsi="Aptos" w:cs="Aptos"/>
              </w:rPr>
              <w:t>–</w:t>
            </w:r>
          </w:p>
        </w:tc>
      </w:tr>
      <w:tr w:rsidR="00407A64" w:rsidRPr="008F2FD4" w14:paraId="01D0C222" w14:textId="77777777" w:rsidTr="003348F2">
        <w:trPr>
          <w:trHeight w:val="300"/>
        </w:trPr>
        <w:tc>
          <w:tcPr>
            <w:tcW w:w="2410" w:type="dxa"/>
            <w:noWrap/>
          </w:tcPr>
          <w:p w14:paraId="1B4DDF8B" w14:textId="7D82611C" w:rsidR="00407A64" w:rsidRPr="008F2FD4" w:rsidRDefault="00407A64" w:rsidP="00407A64">
            <w:pPr>
              <w:pStyle w:val="Tabletext"/>
            </w:pPr>
            <w:r w:rsidRPr="00BE06EA">
              <w:lastRenderedPageBreak/>
              <w:t>Insight Economics</w:t>
            </w:r>
          </w:p>
        </w:tc>
        <w:tc>
          <w:tcPr>
            <w:tcW w:w="2720" w:type="dxa"/>
            <w:gridSpan w:val="2"/>
            <w:noWrap/>
          </w:tcPr>
          <w:p w14:paraId="1585892D" w14:textId="0DD46AA8" w:rsidR="00407A64" w:rsidRPr="008F2FD4" w:rsidRDefault="00407A64" w:rsidP="00407A64">
            <w:pPr>
              <w:pStyle w:val="Tabletext"/>
            </w:pPr>
            <w:r w:rsidRPr="00BE06EA">
              <w:t>Financial modelling and funding options</w:t>
            </w:r>
          </w:p>
        </w:tc>
        <w:tc>
          <w:tcPr>
            <w:tcW w:w="1341" w:type="dxa"/>
            <w:noWrap/>
          </w:tcPr>
          <w:p w14:paraId="3EEC473C" w14:textId="290C6FB2" w:rsidR="00407A64" w:rsidRPr="008F2FD4" w:rsidRDefault="00407A64" w:rsidP="00407A64">
            <w:pPr>
              <w:pStyle w:val="Tabletextright"/>
            </w:pPr>
            <w:r w:rsidRPr="00BE06EA">
              <w:t>229 919</w:t>
            </w:r>
          </w:p>
        </w:tc>
        <w:tc>
          <w:tcPr>
            <w:tcW w:w="1250" w:type="dxa"/>
            <w:noWrap/>
          </w:tcPr>
          <w:p w14:paraId="09759201" w14:textId="5D25D023" w:rsidR="00407A64" w:rsidRPr="008F2FD4" w:rsidRDefault="00407A64" w:rsidP="00407A64">
            <w:pPr>
              <w:pStyle w:val="Tabletextright"/>
            </w:pPr>
            <w:r w:rsidRPr="00BE06EA">
              <w:t>166 690</w:t>
            </w:r>
          </w:p>
        </w:tc>
        <w:tc>
          <w:tcPr>
            <w:tcW w:w="1305" w:type="dxa"/>
            <w:noWrap/>
          </w:tcPr>
          <w:p w14:paraId="7E6EF598" w14:textId="0EAEABB4" w:rsidR="00407A64" w:rsidRPr="008F2FD4" w:rsidRDefault="00407A64" w:rsidP="00407A64">
            <w:pPr>
              <w:pStyle w:val="Tabletextright"/>
            </w:pPr>
            <w:r w:rsidRPr="00BE06EA">
              <w:t>–</w:t>
            </w:r>
          </w:p>
        </w:tc>
      </w:tr>
      <w:tr w:rsidR="00407A64" w:rsidRPr="008F2FD4" w14:paraId="0645BEFA" w14:textId="77777777" w:rsidTr="003348F2">
        <w:trPr>
          <w:trHeight w:val="300"/>
        </w:trPr>
        <w:tc>
          <w:tcPr>
            <w:tcW w:w="2410" w:type="dxa"/>
            <w:noWrap/>
          </w:tcPr>
          <w:p w14:paraId="40B433D8" w14:textId="5DFDDBD3" w:rsidR="00407A64" w:rsidRPr="008F2FD4" w:rsidRDefault="00407A64" w:rsidP="00407A64">
            <w:pPr>
              <w:pStyle w:val="Tabletext"/>
            </w:pPr>
            <w:proofErr w:type="spellStart"/>
            <w:r w:rsidRPr="00BE06EA">
              <w:t>Johnstaff</w:t>
            </w:r>
            <w:proofErr w:type="spellEnd"/>
            <w:r w:rsidRPr="00BE06EA">
              <w:t xml:space="preserve"> Projects (Vic) Pty Ltd</w:t>
            </w:r>
          </w:p>
        </w:tc>
        <w:tc>
          <w:tcPr>
            <w:tcW w:w="2720" w:type="dxa"/>
            <w:gridSpan w:val="2"/>
            <w:noWrap/>
          </w:tcPr>
          <w:p w14:paraId="5C35C6BA" w14:textId="6EE719C5" w:rsidR="00407A64" w:rsidRPr="008F2FD4" w:rsidRDefault="00407A64" w:rsidP="00407A64">
            <w:pPr>
              <w:pStyle w:val="Tabletext"/>
            </w:pPr>
            <w:r w:rsidRPr="00BE06EA">
              <w:t>Professional advisory services</w:t>
            </w:r>
          </w:p>
        </w:tc>
        <w:tc>
          <w:tcPr>
            <w:tcW w:w="1341" w:type="dxa"/>
            <w:noWrap/>
          </w:tcPr>
          <w:p w14:paraId="1615B593" w14:textId="32D49EE4" w:rsidR="00407A64" w:rsidRPr="008F2FD4" w:rsidRDefault="00407A64" w:rsidP="00407A64">
            <w:pPr>
              <w:pStyle w:val="Tabletextright"/>
            </w:pPr>
            <w:r w:rsidRPr="00BE06EA">
              <w:t>85 638</w:t>
            </w:r>
          </w:p>
        </w:tc>
        <w:tc>
          <w:tcPr>
            <w:tcW w:w="1250" w:type="dxa"/>
            <w:noWrap/>
          </w:tcPr>
          <w:p w14:paraId="59E3805F" w14:textId="21E06247" w:rsidR="00407A64" w:rsidRPr="008F2FD4" w:rsidRDefault="00407A64" w:rsidP="00407A64">
            <w:pPr>
              <w:pStyle w:val="Tabletextright"/>
            </w:pPr>
            <w:r w:rsidRPr="00BE06EA">
              <w:t>63 851</w:t>
            </w:r>
          </w:p>
        </w:tc>
        <w:tc>
          <w:tcPr>
            <w:tcW w:w="1305" w:type="dxa"/>
            <w:noWrap/>
          </w:tcPr>
          <w:p w14:paraId="07C0B0A8" w14:textId="38270247" w:rsidR="00407A64" w:rsidRPr="008F2FD4" w:rsidRDefault="00407A64" w:rsidP="00407A64">
            <w:pPr>
              <w:pStyle w:val="Tabletextright"/>
            </w:pPr>
            <w:r w:rsidRPr="00BE06EA">
              <w:t>21 787</w:t>
            </w:r>
          </w:p>
        </w:tc>
      </w:tr>
      <w:tr w:rsidR="00407A64" w:rsidRPr="008F2FD4" w14:paraId="6CA340AB" w14:textId="77777777" w:rsidTr="003348F2">
        <w:trPr>
          <w:trHeight w:val="300"/>
        </w:trPr>
        <w:tc>
          <w:tcPr>
            <w:tcW w:w="2410" w:type="dxa"/>
            <w:noWrap/>
          </w:tcPr>
          <w:p w14:paraId="3CBC3B29" w14:textId="4B8F3862" w:rsidR="00407A64" w:rsidRPr="008F2FD4" w:rsidRDefault="00407A64" w:rsidP="00407A64">
            <w:pPr>
              <w:pStyle w:val="Tabletext"/>
            </w:pPr>
            <w:r w:rsidRPr="00BE06EA">
              <w:t>KPMG</w:t>
            </w:r>
          </w:p>
        </w:tc>
        <w:tc>
          <w:tcPr>
            <w:tcW w:w="2720" w:type="dxa"/>
            <w:gridSpan w:val="2"/>
            <w:noWrap/>
          </w:tcPr>
          <w:p w14:paraId="1C367288" w14:textId="5072D23B" w:rsidR="00407A64" w:rsidRPr="008F2FD4" w:rsidRDefault="00407A64" w:rsidP="00407A64">
            <w:pPr>
              <w:pStyle w:val="Tabletext"/>
            </w:pPr>
            <w:r w:rsidRPr="00BE06EA">
              <w:t>Commercial and financial advisory services to support the Regional Round and Mental Health Supported Housing Round of the Social Housing Growth Fund</w:t>
            </w:r>
          </w:p>
        </w:tc>
        <w:tc>
          <w:tcPr>
            <w:tcW w:w="1341" w:type="dxa"/>
            <w:noWrap/>
          </w:tcPr>
          <w:p w14:paraId="6FD48EB0" w14:textId="5FF7F7F9" w:rsidR="00407A64" w:rsidRPr="008F2FD4" w:rsidRDefault="00407A64" w:rsidP="00407A64">
            <w:pPr>
              <w:pStyle w:val="Tabletextright"/>
            </w:pPr>
            <w:r w:rsidRPr="00BE06EA">
              <w:t>148 684</w:t>
            </w:r>
          </w:p>
        </w:tc>
        <w:tc>
          <w:tcPr>
            <w:tcW w:w="1250" w:type="dxa"/>
            <w:noWrap/>
          </w:tcPr>
          <w:p w14:paraId="4872FA7C" w14:textId="46F103CB" w:rsidR="00407A64" w:rsidRPr="008F2FD4" w:rsidRDefault="00407A64" w:rsidP="00407A64">
            <w:pPr>
              <w:pStyle w:val="Tabletextright"/>
            </w:pPr>
            <w:r w:rsidRPr="00BE06EA">
              <w:t>144 204</w:t>
            </w:r>
          </w:p>
        </w:tc>
        <w:tc>
          <w:tcPr>
            <w:tcW w:w="1305" w:type="dxa"/>
            <w:noWrap/>
          </w:tcPr>
          <w:p w14:paraId="7E004D52" w14:textId="272B51A6" w:rsidR="00407A64" w:rsidRPr="008F2FD4" w:rsidRDefault="00407A64" w:rsidP="00407A64">
            <w:pPr>
              <w:pStyle w:val="Tabletextright"/>
            </w:pPr>
            <w:r w:rsidRPr="00BE06EA">
              <w:t>–</w:t>
            </w:r>
          </w:p>
        </w:tc>
      </w:tr>
      <w:tr w:rsidR="00407A64" w:rsidRPr="008F2FD4" w14:paraId="434685A2" w14:textId="77777777" w:rsidTr="003348F2">
        <w:trPr>
          <w:trHeight w:val="300"/>
        </w:trPr>
        <w:tc>
          <w:tcPr>
            <w:tcW w:w="2410" w:type="dxa"/>
            <w:noWrap/>
          </w:tcPr>
          <w:p w14:paraId="4DF4BFF4" w14:textId="43E80B0C" w:rsidR="00407A64" w:rsidRPr="008F2FD4" w:rsidRDefault="00407A64" w:rsidP="00407A64">
            <w:pPr>
              <w:pStyle w:val="Tabletext"/>
            </w:pPr>
            <w:r w:rsidRPr="00BE06EA">
              <w:t>KPMG</w:t>
            </w:r>
          </w:p>
        </w:tc>
        <w:tc>
          <w:tcPr>
            <w:tcW w:w="2720" w:type="dxa"/>
            <w:gridSpan w:val="2"/>
            <w:noWrap/>
          </w:tcPr>
          <w:p w14:paraId="4174D9C5" w14:textId="37FC989C" w:rsidR="00407A64" w:rsidRPr="008F2FD4" w:rsidRDefault="00407A64" w:rsidP="00407A64">
            <w:pPr>
              <w:pStyle w:val="Tabletext"/>
            </w:pPr>
            <w:r w:rsidRPr="00BE06EA">
              <w:t>Commercial and transaction advice</w:t>
            </w:r>
          </w:p>
        </w:tc>
        <w:tc>
          <w:tcPr>
            <w:tcW w:w="1341" w:type="dxa"/>
            <w:noWrap/>
          </w:tcPr>
          <w:p w14:paraId="3AD32426" w14:textId="70777CEC" w:rsidR="00407A64" w:rsidRPr="008F2FD4" w:rsidRDefault="00407A64" w:rsidP="00407A64">
            <w:pPr>
              <w:pStyle w:val="Tabletextright"/>
            </w:pPr>
            <w:r w:rsidRPr="00BE06EA">
              <w:t>1 156 039</w:t>
            </w:r>
          </w:p>
        </w:tc>
        <w:tc>
          <w:tcPr>
            <w:tcW w:w="1250" w:type="dxa"/>
            <w:noWrap/>
          </w:tcPr>
          <w:p w14:paraId="511E8784" w14:textId="33006B49" w:rsidR="00407A64" w:rsidRPr="008F2FD4" w:rsidRDefault="00407A64" w:rsidP="00407A64">
            <w:pPr>
              <w:pStyle w:val="Tabletextright"/>
            </w:pPr>
            <w:r w:rsidRPr="00BE06EA">
              <w:t>1 102 108</w:t>
            </w:r>
          </w:p>
        </w:tc>
        <w:tc>
          <w:tcPr>
            <w:tcW w:w="1305" w:type="dxa"/>
            <w:noWrap/>
          </w:tcPr>
          <w:p w14:paraId="1B41B842" w14:textId="3220AB9C" w:rsidR="00407A64" w:rsidRPr="008F2FD4" w:rsidRDefault="00407A64" w:rsidP="00407A64">
            <w:pPr>
              <w:pStyle w:val="Tabletextright"/>
            </w:pPr>
            <w:r w:rsidRPr="00BE06EA">
              <w:t>–</w:t>
            </w:r>
          </w:p>
        </w:tc>
      </w:tr>
      <w:tr w:rsidR="00407A64" w:rsidRPr="008F2FD4" w14:paraId="1F84584C" w14:textId="77777777" w:rsidTr="003348F2">
        <w:trPr>
          <w:trHeight w:val="300"/>
        </w:trPr>
        <w:tc>
          <w:tcPr>
            <w:tcW w:w="2410" w:type="dxa"/>
            <w:noWrap/>
          </w:tcPr>
          <w:p w14:paraId="03816089" w14:textId="2A643C37" w:rsidR="00407A64" w:rsidRPr="008F2FD4" w:rsidRDefault="00407A64" w:rsidP="00407A64">
            <w:pPr>
              <w:pStyle w:val="Tabletext"/>
            </w:pPr>
            <w:r w:rsidRPr="00BE06EA">
              <w:t>KPMG</w:t>
            </w:r>
          </w:p>
        </w:tc>
        <w:tc>
          <w:tcPr>
            <w:tcW w:w="2720" w:type="dxa"/>
            <w:gridSpan w:val="2"/>
            <w:noWrap/>
          </w:tcPr>
          <w:p w14:paraId="15612297" w14:textId="6266DAD4" w:rsidR="00407A64" w:rsidRPr="008F2FD4" w:rsidRDefault="00407A64" w:rsidP="00407A64">
            <w:pPr>
              <w:pStyle w:val="Tabletext"/>
            </w:pPr>
            <w:r w:rsidRPr="00BE06EA">
              <w:t>Commercial and transaction advice</w:t>
            </w:r>
          </w:p>
        </w:tc>
        <w:tc>
          <w:tcPr>
            <w:tcW w:w="1341" w:type="dxa"/>
            <w:noWrap/>
          </w:tcPr>
          <w:p w14:paraId="4A78C4E2" w14:textId="1EE5D07B" w:rsidR="00407A64" w:rsidRPr="008F2FD4" w:rsidRDefault="00407A64" w:rsidP="00407A64">
            <w:pPr>
              <w:pStyle w:val="Tabletextright"/>
            </w:pPr>
            <w:r w:rsidRPr="00BE06EA">
              <w:t>2 380 282</w:t>
            </w:r>
          </w:p>
        </w:tc>
        <w:tc>
          <w:tcPr>
            <w:tcW w:w="1250" w:type="dxa"/>
            <w:noWrap/>
          </w:tcPr>
          <w:p w14:paraId="1625FDA0" w14:textId="717BD3E0" w:rsidR="00407A64" w:rsidRPr="008F2FD4" w:rsidRDefault="00407A64" w:rsidP="00407A64">
            <w:pPr>
              <w:pStyle w:val="Tabletextright"/>
            </w:pPr>
            <w:r w:rsidRPr="00BE06EA">
              <w:t>829 374</w:t>
            </w:r>
          </w:p>
        </w:tc>
        <w:tc>
          <w:tcPr>
            <w:tcW w:w="1305" w:type="dxa"/>
            <w:noWrap/>
          </w:tcPr>
          <w:p w14:paraId="4A7FAFB4" w14:textId="367C265F" w:rsidR="00407A64" w:rsidRPr="008F2FD4" w:rsidRDefault="00407A64" w:rsidP="00407A64">
            <w:pPr>
              <w:pStyle w:val="Tabletextright"/>
            </w:pPr>
            <w:r w:rsidRPr="00BE06EA">
              <w:t>808 282</w:t>
            </w:r>
          </w:p>
        </w:tc>
      </w:tr>
      <w:tr w:rsidR="00407A64" w:rsidRPr="008F2FD4" w14:paraId="06645748" w14:textId="77777777" w:rsidTr="003348F2">
        <w:trPr>
          <w:trHeight w:val="300"/>
        </w:trPr>
        <w:tc>
          <w:tcPr>
            <w:tcW w:w="2410" w:type="dxa"/>
            <w:noWrap/>
          </w:tcPr>
          <w:p w14:paraId="333C0F29" w14:textId="53D8D6DD" w:rsidR="00407A64" w:rsidRPr="008F2FD4" w:rsidRDefault="00407A64" w:rsidP="00407A64">
            <w:pPr>
              <w:pStyle w:val="Tabletext"/>
            </w:pPr>
            <w:r w:rsidRPr="00BE06EA">
              <w:t>KPMG</w:t>
            </w:r>
          </w:p>
        </w:tc>
        <w:tc>
          <w:tcPr>
            <w:tcW w:w="2720" w:type="dxa"/>
            <w:gridSpan w:val="2"/>
            <w:noWrap/>
          </w:tcPr>
          <w:p w14:paraId="221E7089" w14:textId="40B7B9A5" w:rsidR="00407A64" w:rsidRPr="008F2FD4" w:rsidRDefault="00407A64" w:rsidP="00407A64">
            <w:pPr>
              <w:pStyle w:val="Tabletext"/>
            </w:pPr>
            <w:r w:rsidRPr="00BE06EA">
              <w:t>Commercial and transaction advice</w:t>
            </w:r>
          </w:p>
        </w:tc>
        <w:tc>
          <w:tcPr>
            <w:tcW w:w="1341" w:type="dxa"/>
            <w:noWrap/>
          </w:tcPr>
          <w:p w14:paraId="04D00D0B" w14:textId="6359D537" w:rsidR="00407A64" w:rsidRPr="008F2FD4" w:rsidRDefault="00407A64" w:rsidP="00407A64">
            <w:pPr>
              <w:pStyle w:val="Tabletextright"/>
            </w:pPr>
            <w:r w:rsidRPr="00BE06EA">
              <w:t>282 063</w:t>
            </w:r>
          </w:p>
        </w:tc>
        <w:tc>
          <w:tcPr>
            <w:tcW w:w="1250" w:type="dxa"/>
            <w:noWrap/>
          </w:tcPr>
          <w:p w14:paraId="3C91073C" w14:textId="08559CDD" w:rsidR="00407A64" w:rsidRPr="008F2FD4" w:rsidRDefault="00407A64" w:rsidP="00407A64">
            <w:pPr>
              <w:pStyle w:val="Tabletextright"/>
            </w:pPr>
            <w:r w:rsidRPr="00BE06EA">
              <w:t>222 972</w:t>
            </w:r>
          </w:p>
        </w:tc>
        <w:tc>
          <w:tcPr>
            <w:tcW w:w="1305" w:type="dxa"/>
            <w:noWrap/>
          </w:tcPr>
          <w:p w14:paraId="22CF5108" w14:textId="576F83C1" w:rsidR="00407A64" w:rsidRPr="008F2FD4" w:rsidRDefault="00407A64" w:rsidP="00407A64">
            <w:pPr>
              <w:pStyle w:val="Tabletextright"/>
            </w:pPr>
            <w:r w:rsidRPr="00BE06EA">
              <w:t>–</w:t>
            </w:r>
          </w:p>
        </w:tc>
      </w:tr>
      <w:tr w:rsidR="00407A64" w:rsidRPr="008F2FD4" w14:paraId="397FD4D9" w14:textId="77777777" w:rsidTr="003348F2">
        <w:trPr>
          <w:trHeight w:val="300"/>
        </w:trPr>
        <w:tc>
          <w:tcPr>
            <w:tcW w:w="2410" w:type="dxa"/>
            <w:noWrap/>
          </w:tcPr>
          <w:p w14:paraId="5275218C" w14:textId="6C1E692A" w:rsidR="00407A64" w:rsidRPr="008F2FD4" w:rsidRDefault="00407A64" w:rsidP="00407A64">
            <w:pPr>
              <w:pStyle w:val="Tabletext"/>
            </w:pPr>
            <w:r w:rsidRPr="00BE06EA">
              <w:t>KPMG</w:t>
            </w:r>
          </w:p>
        </w:tc>
        <w:tc>
          <w:tcPr>
            <w:tcW w:w="2720" w:type="dxa"/>
            <w:gridSpan w:val="2"/>
            <w:noWrap/>
          </w:tcPr>
          <w:p w14:paraId="7294E122" w14:textId="65B5593B" w:rsidR="00407A64" w:rsidRPr="008F2FD4" w:rsidRDefault="00407A64" w:rsidP="00407A64">
            <w:pPr>
              <w:pStyle w:val="Tabletext"/>
            </w:pPr>
            <w:r w:rsidRPr="00BE06EA">
              <w:t>Digital Regulation Capability Model</w:t>
            </w:r>
          </w:p>
        </w:tc>
        <w:tc>
          <w:tcPr>
            <w:tcW w:w="1341" w:type="dxa"/>
            <w:noWrap/>
          </w:tcPr>
          <w:p w14:paraId="548DB70F" w14:textId="792D18B4" w:rsidR="00407A64" w:rsidRPr="008F2FD4" w:rsidRDefault="00407A64" w:rsidP="00407A64">
            <w:pPr>
              <w:pStyle w:val="Tabletextright"/>
            </w:pPr>
            <w:r w:rsidRPr="00BE06EA">
              <w:t>160 000</w:t>
            </w:r>
          </w:p>
        </w:tc>
        <w:tc>
          <w:tcPr>
            <w:tcW w:w="1250" w:type="dxa"/>
            <w:noWrap/>
          </w:tcPr>
          <w:p w14:paraId="5BB48EE4" w14:textId="52199D49" w:rsidR="00407A64" w:rsidRPr="008F2FD4" w:rsidRDefault="00407A64" w:rsidP="00407A64">
            <w:pPr>
              <w:pStyle w:val="Tabletextright"/>
            </w:pPr>
            <w:r w:rsidRPr="00BE06EA">
              <w:t>130 000</w:t>
            </w:r>
          </w:p>
        </w:tc>
        <w:tc>
          <w:tcPr>
            <w:tcW w:w="1305" w:type="dxa"/>
            <w:noWrap/>
          </w:tcPr>
          <w:p w14:paraId="38DAB5DE" w14:textId="3BB3E8F0" w:rsidR="00407A64" w:rsidRPr="008F2FD4" w:rsidRDefault="00407A64" w:rsidP="00407A64">
            <w:pPr>
              <w:pStyle w:val="Tabletextright"/>
            </w:pPr>
            <w:r w:rsidRPr="00BE06EA">
              <w:t>–</w:t>
            </w:r>
          </w:p>
        </w:tc>
      </w:tr>
      <w:tr w:rsidR="00407A64" w:rsidRPr="008F2FD4" w14:paraId="24A025B9" w14:textId="77777777" w:rsidTr="003348F2">
        <w:trPr>
          <w:trHeight w:val="300"/>
        </w:trPr>
        <w:tc>
          <w:tcPr>
            <w:tcW w:w="2410" w:type="dxa"/>
            <w:noWrap/>
          </w:tcPr>
          <w:p w14:paraId="78156271" w14:textId="7FFC1CD8" w:rsidR="00407A64" w:rsidRPr="008F2FD4" w:rsidRDefault="00407A64" w:rsidP="00407A64">
            <w:pPr>
              <w:pStyle w:val="Tabletext"/>
            </w:pPr>
            <w:r w:rsidRPr="00BE06EA">
              <w:t>KPMG</w:t>
            </w:r>
          </w:p>
        </w:tc>
        <w:tc>
          <w:tcPr>
            <w:tcW w:w="2720" w:type="dxa"/>
            <w:gridSpan w:val="2"/>
            <w:noWrap/>
          </w:tcPr>
          <w:p w14:paraId="676E928B" w14:textId="05EB8CA0" w:rsidR="00407A64" w:rsidRPr="008F2FD4" w:rsidRDefault="00407A64" w:rsidP="00407A64">
            <w:pPr>
              <w:pStyle w:val="Tabletext"/>
            </w:pPr>
            <w:r w:rsidRPr="00BE06EA">
              <w:t>Professional advisory services for the development of model legislative provisions to address legislative pain points for regulators</w:t>
            </w:r>
          </w:p>
        </w:tc>
        <w:tc>
          <w:tcPr>
            <w:tcW w:w="1341" w:type="dxa"/>
            <w:noWrap/>
          </w:tcPr>
          <w:p w14:paraId="17F8C454" w14:textId="387E76DF" w:rsidR="00407A64" w:rsidRPr="008F2FD4" w:rsidRDefault="00407A64" w:rsidP="00407A64">
            <w:pPr>
              <w:pStyle w:val="Tabletextright"/>
            </w:pPr>
            <w:r w:rsidRPr="00BE06EA">
              <w:t>187 175</w:t>
            </w:r>
          </w:p>
        </w:tc>
        <w:tc>
          <w:tcPr>
            <w:tcW w:w="1250" w:type="dxa"/>
            <w:noWrap/>
          </w:tcPr>
          <w:p w14:paraId="3D907839" w14:textId="66A30AF2" w:rsidR="00407A64" w:rsidRPr="008F2FD4" w:rsidRDefault="00407A64" w:rsidP="00407A64">
            <w:pPr>
              <w:pStyle w:val="Tabletextright"/>
            </w:pPr>
            <w:r w:rsidRPr="00BE06EA">
              <w:t>134 822</w:t>
            </w:r>
          </w:p>
        </w:tc>
        <w:tc>
          <w:tcPr>
            <w:tcW w:w="1305" w:type="dxa"/>
            <w:noWrap/>
          </w:tcPr>
          <w:p w14:paraId="6A60F4E7" w14:textId="17E7E020" w:rsidR="00407A64" w:rsidRPr="008F2FD4" w:rsidRDefault="00407A64" w:rsidP="00407A64">
            <w:pPr>
              <w:pStyle w:val="Tabletextright"/>
            </w:pPr>
            <w:r w:rsidRPr="00BE06EA">
              <w:t>–</w:t>
            </w:r>
          </w:p>
        </w:tc>
      </w:tr>
      <w:tr w:rsidR="00407A64" w:rsidRPr="008F2FD4" w14:paraId="4B9532CF" w14:textId="77777777" w:rsidTr="003348F2">
        <w:trPr>
          <w:trHeight w:val="300"/>
        </w:trPr>
        <w:tc>
          <w:tcPr>
            <w:tcW w:w="2410" w:type="dxa"/>
            <w:noWrap/>
          </w:tcPr>
          <w:p w14:paraId="2ED401F3" w14:textId="358DE8EB" w:rsidR="00407A64" w:rsidRPr="008F2FD4" w:rsidRDefault="00407A64" w:rsidP="00407A64">
            <w:pPr>
              <w:pStyle w:val="Tabletext"/>
            </w:pPr>
            <w:r w:rsidRPr="00BE06EA">
              <w:t>KPMG</w:t>
            </w:r>
          </w:p>
        </w:tc>
        <w:tc>
          <w:tcPr>
            <w:tcW w:w="2720" w:type="dxa"/>
            <w:gridSpan w:val="2"/>
            <w:noWrap/>
          </w:tcPr>
          <w:p w14:paraId="165B95A8" w14:textId="202D492D" w:rsidR="00407A64" w:rsidRPr="008F2FD4" w:rsidRDefault="00407A64" w:rsidP="00407A64">
            <w:pPr>
              <w:pStyle w:val="Tabletext"/>
            </w:pPr>
            <w:r w:rsidRPr="00BE06EA">
              <w:t>Food Production Industry Regulatory Reform</w:t>
            </w:r>
          </w:p>
        </w:tc>
        <w:tc>
          <w:tcPr>
            <w:tcW w:w="1341" w:type="dxa"/>
            <w:noWrap/>
          </w:tcPr>
          <w:p w14:paraId="5289015B" w14:textId="045D19F8" w:rsidR="00407A64" w:rsidRPr="008F2FD4" w:rsidRDefault="00407A64" w:rsidP="00407A64">
            <w:pPr>
              <w:pStyle w:val="Tabletextright"/>
            </w:pPr>
            <w:r w:rsidRPr="00BE06EA">
              <w:t>265 448</w:t>
            </w:r>
          </w:p>
        </w:tc>
        <w:tc>
          <w:tcPr>
            <w:tcW w:w="1250" w:type="dxa"/>
            <w:noWrap/>
          </w:tcPr>
          <w:p w14:paraId="6D05EA28" w14:textId="02B9F1AD" w:rsidR="00407A64" w:rsidRPr="008F2FD4" w:rsidRDefault="00407A64" w:rsidP="00407A64">
            <w:pPr>
              <w:pStyle w:val="Tabletextright"/>
            </w:pPr>
            <w:r w:rsidRPr="00BE06EA">
              <w:t>53 090</w:t>
            </w:r>
          </w:p>
        </w:tc>
        <w:tc>
          <w:tcPr>
            <w:tcW w:w="1305" w:type="dxa"/>
            <w:noWrap/>
          </w:tcPr>
          <w:p w14:paraId="16F4E22A" w14:textId="32791E44" w:rsidR="00407A64" w:rsidRPr="008F2FD4" w:rsidRDefault="00407A64" w:rsidP="00407A64">
            <w:pPr>
              <w:pStyle w:val="Tabletextright"/>
            </w:pPr>
            <w:r w:rsidRPr="00BE06EA">
              <w:t>212 358</w:t>
            </w:r>
          </w:p>
        </w:tc>
      </w:tr>
      <w:tr w:rsidR="00407A64" w:rsidRPr="008F2FD4" w14:paraId="2B5F483A" w14:textId="77777777" w:rsidTr="003348F2">
        <w:trPr>
          <w:trHeight w:val="300"/>
        </w:trPr>
        <w:tc>
          <w:tcPr>
            <w:tcW w:w="2410" w:type="dxa"/>
            <w:noWrap/>
          </w:tcPr>
          <w:p w14:paraId="35CB08F7" w14:textId="6B8AD4D2" w:rsidR="00407A64" w:rsidRPr="008F2FD4" w:rsidRDefault="00407A64" w:rsidP="00407A64">
            <w:pPr>
              <w:pStyle w:val="Tabletext"/>
            </w:pPr>
            <w:r w:rsidRPr="00BE06EA">
              <w:t>KPMG</w:t>
            </w:r>
          </w:p>
        </w:tc>
        <w:tc>
          <w:tcPr>
            <w:tcW w:w="2720" w:type="dxa"/>
            <w:gridSpan w:val="2"/>
            <w:noWrap/>
          </w:tcPr>
          <w:p w14:paraId="4923B66F" w14:textId="48135D05" w:rsidR="00407A64" w:rsidRPr="008F2FD4" w:rsidRDefault="00407A64" w:rsidP="00407A64">
            <w:pPr>
              <w:pStyle w:val="Tabletext"/>
            </w:pPr>
            <w:r w:rsidRPr="00BE06EA">
              <w:t>Streamlining Local Law Requirements for Hospitality and Construction</w:t>
            </w:r>
          </w:p>
        </w:tc>
        <w:tc>
          <w:tcPr>
            <w:tcW w:w="1341" w:type="dxa"/>
            <w:noWrap/>
          </w:tcPr>
          <w:p w14:paraId="7A1A9DD5" w14:textId="29E475D7" w:rsidR="00407A64" w:rsidRPr="008F2FD4" w:rsidRDefault="00407A64" w:rsidP="00407A64">
            <w:pPr>
              <w:pStyle w:val="Tabletextright"/>
            </w:pPr>
            <w:r w:rsidRPr="00BE06EA">
              <w:t>271 762</w:t>
            </w:r>
          </w:p>
        </w:tc>
        <w:tc>
          <w:tcPr>
            <w:tcW w:w="1250" w:type="dxa"/>
            <w:noWrap/>
          </w:tcPr>
          <w:p w14:paraId="6A25E897" w14:textId="3C897799" w:rsidR="00407A64" w:rsidRPr="008F2FD4" w:rsidRDefault="00407A64" w:rsidP="00407A64">
            <w:pPr>
              <w:pStyle w:val="Tabletextright"/>
            </w:pPr>
            <w:r w:rsidRPr="00BE06EA">
              <w:t>173 278</w:t>
            </w:r>
          </w:p>
        </w:tc>
        <w:tc>
          <w:tcPr>
            <w:tcW w:w="1305" w:type="dxa"/>
            <w:noWrap/>
          </w:tcPr>
          <w:p w14:paraId="4B58DE91" w14:textId="00BDEECB" w:rsidR="00407A64" w:rsidRPr="008F2FD4" w:rsidRDefault="00407A64" w:rsidP="00407A64">
            <w:pPr>
              <w:pStyle w:val="Tabletextright"/>
            </w:pPr>
            <w:r w:rsidRPr="00BE06EA">
              <w:t>98 484</w:t>
            </w:r>
          </w:p>
        </w:tc>
      </w:tr>
      <w:tr w:rsidR="00407A64" w:rsidRPr="008F2FD4" w14:paraId="4229A4AC" w14:textId="77777777" w:rsidTr="003348F2">
        <w:trPr>
          <w:trHeight w:val="300"/>
        </w:trPr>
        <w:tc>
          <w:tcPr>
            <w:tcW w:w="2410" w:type="dxa"/>
            <w:noWrap/>
          </w:tcPr>
          <w:p w14:paraId="0162B3F6" w14:textId="117E9CCB" w:rsidR="00407A64" w:rsidRPr="008F2FD4" w:rsidRDefault="00407A64" w:rsidP="00407A64">
            <w:pPr>
              <w:pStyle w:val="Tabletext"/>
            </w:pPr>
            <w:r w:rsidRPr="00BE06EA">
              <w:t>KPMG Financial Services Consulting Pty Ltd</w:t>
            </w:r>
          </w:p>
        </w:tc>
        <w:tc>
          <w:tcPr>
            <w:tcW w:w="2720" w:type="dxa"/>
            <w:gridSpan w:val="2"/>
            <w:noWrap/>
          </w:tcPr>
          <w:p w14:paraId="429EA482" w14:textId="4151D052" w:rsidR="00407A64" w:rsidRPr="008F2FD4" w:rsidRDefault="00407A64" w:rsidP="00407A64">
            <w:pPr>
              <w:pStyle w:val="Tabletext"/>
            </w:pPr>
            <w:r w:rsidRPr="00BE06EA">
              <w:t>Commercial and financial advisory services to support the Commonwealth Co</w:t>
            </w:r>
            <w:r w:rsidRPr="00BE06EA">
              <w:rPr>
                <w:rFonts w:ascii="Cambria Math" w:hAnsi="Cambria Math" w:cs="Cambria Math"/>
              </w:rPr>
              <w:t>‑</w:t>
            </w:r>
            <w:r w:rsidRPr="00BE06EA">
              <w:t>Investment Program and the Affordable Housing Partnerships Program.</w:t>
            </w:r>
          </w:p>
        </w:tc>
        <w:tc>
          <w:tcPr>
            <w:tcW w:w="1341" w:type="dxa"/>
            <w:noWrap/>
          </w:tcPr>
          <w:p w14:paraId="5B19D549" w14:textId="7AB19E15" w:rsidR="00407A64" w:rsidRPr="008F2FD4" w:rsidRDefault="00407A64" w:rsidP="00407A64">
            <w:pPr>
              <w:pStyle w:val="Tabletextright"/>
            </w:pPr>
            <w:r w:rsidRPr="00BE06EA">
              <w:t>1 077 000</w:t>
            </w:r>
          </w:p>
        </w:tc>
        <w:tc>
          <w:tcPr>
            <w:tcW w:w="1250" w:type="dxa"/>
            <w:noWrap/>
          </w:tcPr>
          <w:p w14:paraId="09183075" w14:textId="0B0A8E4F" w:rsidR="00407A64" w:rsidRPr="008F2FD4" w:rsidRDefault="00407A64" w:rsidP="00407A64">
            <w:pPr>
              <w:pStyle w:val="Tabletextright"/>
            </w:pPr>
            <w:r w:rsidRPr="00BE06EA">
              <w:t>294 300</w:t>
            </w:r>
          </w:p>
        </w:tc>
        <w:tc>
          <w:tcPr>
            <w:tcW w:w="1305" w:type="dxa"/>
            <w:noWrap/>
          </w:tcPr>
          <w:p w14:paraId="0007B14E" w14:textId="2F0217C9" w:rsidR="00407A64" w:rsidRPr="008F2FD4" w:rsidRDefault="00407A64" w:rsidP="00407A64">
            <w:pPr>
              <w:pStyle w:val="Tabletextright"/>
            </w:pPr>
            <w:r w:rsidRPr="00BE06EA">
              <w:t>619 232</w:t>
            </w:r>
          </w:p>
        </w:tc>
      </w:tr>
      <w:tr w:rsidR="00407A64" w:rsidRPr="008F2FD4" w14:paraId="70D5D0B1" w14:textId="77777777" w:rsidTr="003348F2">
        <w:trPr>
          <w:trHeight w:val="300"/>
        </w:trPr>
        <w:tc>
          <w:tcPr>
            <w:tcW w:w="2410" w:type="dxa"/>
            <w:noWrap/>
          </w:tcPr>
          <w:p w14:paraId="529F4230" w14:textId="7E573E80" w:rsidR="00407A64" w:rsidRPr="008F2FD4" w:rsidRDefault="00407A64" w:rsidP="00407A64">
            <w:pPr>
              <w:pStyle w:val="Tabletext"/>
            </w:pPr>
            <w:r w:rsidRPr="00BE06EA">
              <w:t>Lander &amp; Rogers</w:t>
            </w:r>
          </w:p>
        </w:tc>
        <w:tc>
          <w:tcPr>
            <w:tcW w:w="2720" w:type="dxa"/>
            <w:gridSpan w:val="2"/>
            <w:noWrap/>
          </w:tcPr>
          <w:p w14:paraId="42BAFB89" w14:textId="7405B573" w:rsidR="00407A64" w:rsidRPr="008F2FD4" w:rsidRDefault="00407A64" w:rsidP="00407A64">
            <w:pPr>
              <w:pStyle w:val="Tabletext"/>
            </w:pPr>
            <w:r w:rsidRPr="00BE06EA">
              <w:t xml:space="preserve">Advice on legislative amendments to the labour hire regulatory scheme. </w:t>
            </w:r>
          </w:p>
        </w:tc>
        <w:tc>
          <w:tcPr>
            <w:tcW w:w="1341" w:type="dxa"/>
            <w:noWrap/>
          </w:tcPr>
          <w:p w14:paraId="1A509748" w14:textId="1A0EEDD9" w:rsidR="00407A64" w:rsidRPr="008F2FD4" w:rsidRDefault="00407A64" w:rsidP="00407A64">
            <w:pPr>
              <w:pStyle w:val="Tabletextright"/>
            </w:pPr>
            <w:r w:rsidRPr="00BE06EA">
              <w:t>22 000</w:t>
            </w:r>
          </w:p>
        </w:tc>
        <w:tc>
          <w:tcPr>
            <w:tcW w:w="1250" w:type="dxa"/>
            <w:noWrap/>
          </w:tcPr>
          <w:p w14:paraId="20C856D6" w14:textId="49C7550E" w:rsidR="00407A64" w:rsidRPr="008F2FD4" w:rsidRDefault="00407A64" w:rsidP="00407A64">
            <w:pPr>
              <w:pStyle w:val="Tabletextright"/>
            </w:pPr>
            <w:r w:rsidRPr="00BE06EA">
              <w:t>17 339</w:t>
            </w:r>
          </w:p>
        </w:tc>
        <w:tc>
          <w:tcPr>
            <w:tcW w:w="1305" w:type="dxa"/>
            <w:noWrap/>
          </w:tcPr>
          <w:p w14:paraId="40B813A1" w14:textId="7F16CEE7" w:rsidR="00407A64" w:rsidRPr="008F2FD4" w:rsidRDefault="00407A64" w:rsidP="00407A64">
            <w:pPr>
              <w:pStyle w:val="Tabletextright"/>
            </w:pPr>
            <w:r w:rsidRPr="00BE06EA">
              <w:t>4 661</w:t>
            </w:r>
          </w:p>
        </w:tc>
      </w:tr>
      <w:tr w:rsidR="00407A64" w:rsidRPr="008F2FD4" w14:paraId="18FF5AD0" w14:textId="77777777" w:rsidTr="003348F2">
        <w:trPr>
          <w:trHeight w:val="300"/>
        </w:trPr>
        <w:tc>
          <w:tcPr>
            <w:tcW w:w="2410" w:type="dxa"/>
            <w:noWrap/>
          </w:tcPr>
          <w:p w14:paraId="55B401E6" w14:textId="290C6570" w:rsidR="00407A64" w:rsidRPr="008F2FD4" w:rsidRDefault="00407A64" w:rsidP="00407A64">
            <w:pPr>
              <w:pStyle w:val="Tabletext"/>
            </w:pPr>
            <w:r w:rsidRPr="00BE06EA">
              <w:t>M21 Advisory Pty Ltd</w:t>
            </w:r>
          </w:p>
        </w:tc>
        <w:tc>
          <w:tcPr>
            <w:tcW w:w="2720" w:type="dxa"/>
            <w:gridSpan w:val="2"/>
            <w:noWrap/>
          </w:tcPr>
          <w:p w14:paraId="75B9A819" w14:textId="5B9C345B" w:rsidR="00407A64" w:rsidRPr="008F2FD4" w:rsidRDefault="00407A64" w:rsidP="00407A64">
            <w:pPr>
              <w:pStyle w:val="Tabletext"/>
            </w:pPr>
            <w:r w:rsidRPr="00BE06EA">
              <w:t>Social Housing Growth Fund</w:t>
            </w:r>
          </w:p>
        </w:tc>
        <w:tc>
          <w:tcPr>
            <w:tcW w:w="1341" w:type="dxa"/>
            <w:noWrap/>
          </w:tcPr>
          <w:p w14:paraId="6E72B539" w14:textId="12916984" w:rsidR="00407A64" w:rsidRPr="008F2FD4" w:rsidRDefault="00407A64" w:rsidP="00407A64">
            <w:pPr>
              <w:pStyle w:val="Tabletextright"/>
            </w:pPr>
            <w:r w:rsidRPr="00BE06EA">
              <w:t>72 220</w:t>
            </w:r>
          </w:p>
        </w:tc>
        <w:tc>
          <w:tcPr>
            <w:tcW w:w="1250" w:type="dxa"/>
            <w:noWrap/>
          </w:tcPr>
          <w:p w14:paraId="419F4C82" w14:textId="6F89BA5A" w:rsidR="00407A64" w:rsidRPr="008F2FD4" w:rsidRDefault="00407A64" w:rsidP="00407A64">
            <w:pPr>
              <w:pStyle w:val="Tabletextright"/>
            </w:pPr>
            <w:r w:rsidRPr="00BE06EA">
              <w:t>3 094</w:t>
            </w:r>
          </w:p>
        </w:tc>
        <w:tc>
          <w:tcPr>
            <w:tcW w:w="1305" w:type="dxa"/>
            <w:noWrap/>
          </w:tcPr>
          <w:p w14:paraId="1746FA5C" w14:textId="11BF00E4" w:rsidR="00407A64" w:rsidRPr="008F2FD4" w:rsidRDefault="00407A64" w:rsidP="00407A64">
            <w:pPr>
              <w:pStyle w:val="Tabletextright"/>
            </w:pPr>
            <w:r w:rsidRPr="00BE06EA">
              <w:t>69 126</w:t>
            </w:r>
          </w:p>
        </w:tc>
      </w:tr>
      <w:tr w:rsidR="00407A64" w:rsidRPr="008F2FD4" w14:paraId="443DF544" w14:textId="77777777" w:rsidTr="003348F2">
        <w:trPr>
          <w:trHeight w:val="300"/>
        </w:trPr>
        <w:tc>
          <w:tcPr>
            <w:tcW w:w="2410" w:type="dxa"/>
            <w:noWrap/>
          </w:tcPr>
          <w:p w14:paraId="174BAAAB" w14:textId="6791D769" w:rsidR="00407A64" w:rsidRPr="008F2FD4" w:rsidRDefault="00407A64" w:rsidP="00407A64">
            <w:pPr>
              <w:pStyle w:val="Tabletext"/>
            </w:pPr>
            <w:r w:rsidRPr="00BE06EA">
              <w:t>MBMPL Pty Ltd</w:t>
            </w:r>
          </w:p>
        </w:tc>
        <w:tc>
          <w:tcPr>
            <w:tcW w:w="2720" w:type="dxa"/>
            <w:gridSpan w:val="2"/>
            <w:noWrap/>
          </w:tcPr>
          <w:p w14:paraId="4CDF1213" w14:textId="6101B3E7" w:rsidR="00407A64" w:rsidRPr="008F2FD4" w:rsidRDefault="00407A64" w:rsidP="00407A64">
            <w:pPr>
              <w:pStyle w:val="Tabletext"/>
            </w:pPr>
            <w:r w:rsidRPr="00BE06EA">
              <w:t>Assurance review</w:t>
            </w:r>
          </w:p>
        </w:tc>
        <w:tc>
          <w:tcPr>
            <w:tcW w:w="1341" w:type="dxa"/>
            <w:noWrap/>
          </w:tcPr>
          <w:p w14:paraId="24C54656" w14:textId="195FA02D" w:rsidR="00407A64" w:rsidRPr="008F2FD4" w:rsidRDefault="00407A64" w:rsidP="00407A64">
            <w:pPr>
              <w:pStyle w:val="Tabletextright"/>
            </w:pPr>
            <w:r w:rsidRPr="00BE06EA">
              <w:t>76 360</w:t>
            </w:r>
          </w:p>
        </w:tc>
        <w:tc>
          <w:tcPr>
            <w:tcW w:w="1250" w:type="dxa"/>
            <w:noWrap/>
          </w:tcPr>
          <w:p w14:paraId="3F280624" w14:textId="0490B079" w:rsidR="00407A64" w:rsidRPr="008F2FD4" w:rsidRDefault="00407A64" w:rsidP="00407A64">
            <w:pPr>
              <w:pStyle w:val="Tabletextright"/>
            </w:pPr>
            <w:r w:rsidRPr="00BE06EA">
              <w:t>11 670</w:t>
            </w:r>
          </w:p>
        </w:tc>
        <w:tc>
          <w:tcPr>
            <w:tcW w:w="1305" w:type="dxa"/>
            <w:noWrap/>
          </w:tcPr>
          <w:p w14:paraId="7D80760E" w14:textId="3DCEC86E" w:rsidR="00407A64" w:rsidRPr="008F2FD4" w:rsidRDefault="00407A64" w:rsidP="00407A64">
            <w:pPr>
              <w:pStyle w:val="Tabletextright"/>
            </w:pPr>
            <w:r w:rsidRPr="00BE06EA">
              <w:t>64 689</w:t>
            </w:r>
          </w:p>
        </w:tc>
      </w:tr>
      <w:tr w:rsidR="00407A64" w:rsidRPr="008F2FD4" w14:paraId="13547432" w14:textId="77777777" w:rsidTr="003348F2">
        <w:trPr>
          <w:trHeight w:val="300"/>
        </w:trPr>
        <w:tc>
          <w:tcPr>
            <w:tcW w:w="2410" w:type="dxa"/>
            <w:noWrap/>
          </w:tcPr>
          <w:p w14:paraId="17F7070D" w14:textId="40EBFFD3" w:rsidR="00407A64" w:rsidRPr="008F2FD4" w:rsidRDefault="00407A64" w:rsidP="00407A64">
            <w:pPr>
              <w:pStyle w:val="Tabletext"/>
            </w:pPr>
            <w:r w:rsidRPr="00BE06EA">
              <w:t>Minter Ellison</w:t>
            </w:r>
          </w:p>
        </w:tc>
        <w:tc>
          <w:tcPr>
            <w:tcW w:w="2720" w:type="dxa"/>
            <w:gridSpan w:val="2"/>
            <w:noWrap/>
          </w:tcPr>
          <w:p w14:paraId="7AD62CED" w14:textId="38C20FA7" w:rsidR="00407A64" w:rsidRPr="008F2FD4" w:rsidRDefault="00407A64" w:rsidP="00407A64">
            <w:pPr>
              <w:pStyle w:val="Tabletext"/>
            </w:pPr>
            <w:r w:rsidRPr="00BE06EA">
              <w:t>Commercial and transaction advice</w:t>
            </w:r>
          </w:p>
        </w:tc>
        <w:tc>
          <w:tcPr>
            <w:tcW w:w="1341" w:type="dxa"/>
            <w:noWrap/>
          </w:tcPr>
          <w:p w14:paraId="05866A93" w14:textId="07DF56E2" w:rsidR="00407A64" w:rsidRPr="008F2FD4" w:rsidRDefault="00407A64" w:rsidP="00407A64">
            <w:pPr>
              <w:pStyle w:val="Tabletextright"/>
            </w:pPr>
            <w:r w:rsidRPr="00BE06EA">
              <w:t>826 000</w:t>
            </w:r>
          </w:p>
        </w:tc>
        <w:tc>
          <w:tcPr>
            <w:tcW w:w="1250" w:type="dxa"/>
            <w:noWrap/>
          </w:tcPr>
          <w:p w14:paraId="10B3413A" w14:textId="1E14CE15" w:rsidR="00407A64" w:rsidRPr="008F2FD4" w:rsidRDefault="00407A64" w:rsidP="00407A64">
            <w:pPr>
              <w:pStyle w:val="Tabletextright"/>
            </w:pPr>
            <w:r w:rsidRPr="00BE06EA">
              <w:t>507 807</w:t>
            </w:r>
          </w:p>
        </w:tc>
        <w:tc>
          <w:tcPr>
            <w:tcW w:w="1305" w:type="dxa"/>
            <w:noWrap/>
          </w:tcPr>
          <w:p w14:paraId="47DA0DE9" w14:textId="1F32B507" w:rsidR="00407A64" w:rsidRPr="008F2FD4" w:rsidRDefault="00407A64" w:rsidP="00407A64">
            <w:pPr>
              <w:pStyle w:val="Tabletextright"/>
            </w:pPr>
            <w:r w:rsidRPr="00BE06EA">
              <w:t>318 193</w:t>
            </w:r>
          </w:p>
        </w:tc>
      </w:tr>
      <w:tr w:rsidR="00407A64" w:rsidRPr="008F2FD4" w14:paraId="1866F634" w14:textId="77777777" w:rsidTr="003348F2">
        <w:trPr>
          <w:trHeight w:val="300"/>
        </w:trPr>
        <w:tc>
          <w:tcPr>
            <w:tcW w:w="2410" w:type="dxa"/>
            <w:noWrap/>
          </w:tcPr>
          <w:p w14:paraId="29FA5FC2" w14:textId="77578643" w:rsidR="00407A64" w:rsidRPr="008F2FD4" w:rsidRDefault="00407A64" w:rsidP="00407A64">
            <w:pPr>
              <w:pStyle w:val="Tabletext"/>
            </w:pPr>
            <w:r w:rsidRPr="00BE06EA">
              <w:t>Minter Ellison</w:t>
            </w:r>
          </w:p>
        </w:tc>
        <w:tc>
          <w:tcPr>
            <w:tcW w:w="2720" w:type="dxa"/>
            <w:gridSpan w:val="2"/>
            <w:noWrap/>
          </w:tcPr>
          <w:p w14:paraId="053854CB" w14:textId="73C6A56F" w:rsidR="00407A64" w:rsidRPr="008F2FD4" w:rsidRDefault="00407A64" w:rsidP="00407A64">
            <w:pPr>
              <w:pStyle w:val="Tabletext"/>
            </w:pPr>
            <w:r w:rsidRPr="00BE06EA">
              <w:t>Commercial and transaction advice</w:t>
            </w:r>
          </w:p>
        </w:tc>
        <w:tc>
          <w:tcPr>
            <w:tcW w:w="1341" w:type="dxa"/>
            <w:noWrap/>
          </w:tcPr>
          <w:p w14:paraId="5D19B5E1" w14:textId="26C57F26" w:rsidR="00407A64" w:rsidRPr="008F2FD4" w:rsidRDefault="00407A64" w:rsidP="00407A64">
            <w:pPr>
              <w:pStyle w:val="Tabletextright"/>
            </w:pPr>
            <w:r w:rsidRPr="00BE06EA">
              <w:t>30 000</w:t>
            </w:r>
          </w:p>
        </w:tc>
        <w:tc>
          <w:tcPr>
            <w:tcW w:w="1250" w:type="dxa"/>
            <w:noWrap/>
          </w:tcPr>
          <w:p w14:paraId="3E63532D" w14:textId="01AB96F8" w:rsidR="00407A64" w:rsidRPr="008F2FD4" w:rsidRDefault="00407A64" w:rsidP="00407A64">
            <w:pPr>
              <w:pStyle w:val="Tabletextright"/>
            </w:pPr>
            <w:r w:rsidRPr="00BE06EA">
              <w:t>29 207</w:t>
            </w:r>
          </w:p>
        </w:tc>
        <w:tc>
          <w:tcPr>
            <w:tcW w:w="1305" w:type="dxa"/>
            <w:noWrap/>
          </w:tcPr>
          <w:p w14:paraId="037AC868" w14:textId="2ECB6A7B" w:rsidR="00407A64" w:rsidRPr="008F2FD4" w:rsidRDefault="00407A64" w:rsidP="00407A64">
            <w:pPr>
              <w:pStyle w:val="Tabletextright"/>
            </w:pPr>
            <w:r w:rsidRPr="00BE06EA">
              <w:t>793</w:t>
            </w:r>
          </w:p>
        </w:tc>
      </w:tr>
      <w:tr w:rsidR="00407A64" w:rsidRPr="008F2FD4" w14:paraId="5C89C1E2" w14:textId="77777777" w:rsidTr="003348F2">
        <w:trPr>
          <w:trHeight w:val="300"/>
        </w:trPr>
        <w:tc>
          <w:tcPr>
            <w:tcW w:w="2410" w:type="dxa"/>
            <w:noWrap/>
          </w:tcPr>
          <w:p w14:paraId="40FFFA1D" w14:textId="4CC0C7FA" w:rsidR="00407A64" w:rsidRPr="008F2FD4" w:rsidRDefault="00407A64" w:rsidP="00407A64">
            <w:pPr>
              <w:pStyle w:val="Tabletext"/>
            </w:pPr>
            <w:r w:rsidRPr="00BE06EA">
              <w:lastRenderedPageBreak/>
              <w:t>Nous Group Pty Ltd</w:t>
            </w:r>
          </w:p>
        </w:tc>
        <w:tc>
          <w:tcPr>
            <w:tcW w:w="2720" w:type="dxa"/>
            <w:gridSpan w:val="2"/>
            <w:noWrap/>
          </w:tcPr>
          <w:p w14:paraId="372B007B" w14:textId="1AC4A3C1" w:rsidR="00407A64" w:rsidRPr="008F2FD4" w:rsidRDefault="00407A64" w:rsidP="00407A64">
            <w:pPr>
              <w:pStyle w:val="Tabletext"/>
            </w:pPr>
            <w:r w:rsidRPr="00BE06EA">
              <w:t>Advice on Organisation Design and Workforce Cost Estimation – National Labour Hire Regulator</w:t>
            </w:r>
          </w:p>
        </w:tc>
        <w:tc>
          <w:tcPr>
            <w:tcW w:w="1341" w:type="dxa"/>
            <w:noWrap/>
          </w:tcPr>
          <w:p w14:paraId="07BE2F47" w14:textId="04CAE61A" w:rsidR="00407A64" w:rsidRPr="008F2FD4" w:rsidRDefault="00407A64" w:rsidP="00407A64">
            <w:pPr>
              <w:pStyle w:val="Tabletextright"/>
            </w:pPr>
            <w:r w:rsidRPr="00BE06EA">
              <w:t>209 000</w:t>
            </w:r>
          </w:p>
        </w:tc>
        <w:tc>
          <w:tcPr>
            <w:tcW w:w="1250" w:type="dxa"/>
            <w:noWrap/>
          </w:tcPr>
          <w:p w14:paraId="262859F0" w14:textId="76EA35C1" w:rsidR="00407A64" w:rsidRPr="008F2FD4" w:rsidRDefault="00407A64" w:rsidP="00407A64">
            <w:pPr>
              <w:pStyle w:val="Tabletextright"/>
            </w:pPr>
            <w:r w:rsidRPr="00BE06EA">
              <w:t>125 400</w:t>
            </w:r>
          </w:p>
        </w:tc>
        <w:tc>
          <w:tcPr>
            <w:tcW w:w="1305" w:type="dxa"/>
            <w:noWrap/>
          </w:tcPr>
          <w:p w14:paraId="750F06EE" w14:textId="121D23CE" w:rsidR="00407A64" w:rsidRPr="008F2FD4" w:rsidRDefault="00407A64" w:rsidP="00407A64">
            <w:pPr>
              <w:pStyle w:val="Tabletextright"/>
            </w:pPr>
            <w:r w:rsidRPr="00BE06EA">
              <w:t>83 600</w:t>
            </w:r>
          </w:p>
        </w:tc>
      </w:tr>
      <w:tr w:rsidR="00407A64" w:rsidRPr="008F2FD4" w14:paraId="5D6764CC" w14:textId="77777777" w:rsidTr="003348F2">
        <w:trPr>
          <w:trHeight w:val="300"/>
        </w:trPr>
        <w:tc>
          <w:tcPr>
            <w:tcW w:w="2410" w:type="dxa"/>
            <w:noWrap/>
          </w:tcPr>
          <w:p w14:paraId="2BDFEAD2" w14:textId="02F33E87" w:rsidR="00407A64" w:rsidRPr="008F2FD4" w:rsidRDefault="00407A64" w:rsidP="00407A64">
            <w:pPr>
              <w:pStyle w:val="Tabletext"/>
            </w:pPr>
            <w:r w:rsidRPr="00BE06EA">
              <w:t>Nous Group Pty Ltd</w:t>
            </w:r>
          </w:p>
        </w:tc>
        <w:tc>
          <w:tcPr>
            <w:tcW w:w="2720" w:type="dxa"/>
            <w:gridSpan w:val="2"/>
            <w:noWrap/>
          </w:tcPr>
          <w:p w14:paraId="48404D76" w14:textId="48B2665B" w:rsidR="00407A64" w:rsidRPr="008F2FD4" w:rsidRDefault="00407A64" w:rsidP="00407A64">
            <w:pPr>
              <w:pStyle w:val="Tabletext"/>
            </w:pPr>
            <w:r w:rsidRPr="00BE06EA">
              <w:t>Digitally Ready Regulators</w:t>
            </w:r>
          </w:p>
        </w:tc>
        <w:tc>
          <w:tcPr>
            <w:tcW w:w="1341" w:type="dxa"/>
            <w:noWrap/>
          </w:tcPr>
          <w:p w14:paraId="65E8732B" w14:textId="7F0D9C6E" w:rsidR="00407A64" w:rsidRPr="008F2FD4" w:rsidRDefault="00407A64" w:rsidP="00407A64">
            <w:pPr>
              <w:pStyle w:val="Tabletextright"/>
            </w:pPr>
            <w:r w:rsidRPr="00BE06EA">
              <w:t>387 000</w:t>
            </w:r>
          </w:p>
        </w:tc>
        <w:tc>
          <w:tcPr>
            <w:tcW w:w="1250" w:type="dxa"/>
            <w:noWrap/>
          </w:tcPr>
          <w:p w14:paraId="21972784" w14:textId="483723F8" w:rsidR="00407A64" w:rsidRPr="008F2FD4" w:rsidRDefault="00407A64" w:rsidP="00407A64">
            <w:pPr>
              <w:pStyle w:val="Tabletextright"/>
            </w:pPr>
            <w:r w:rsidRPr="00BE06EA">
              <w:t>68 818</w:t>
            </w:r>
          </w:p>
        </w:tc>
        <w:tc>
          <w:tcPr>
            <w:tcW w:w="1305" w:type="dxa"/>
            <w:noWrap/>
          </w:tcPr>
          <w:p w14:paraId="3ED3C633" w14:textId="066BAC40" w:rsidR="00407A64" w:rsidRPr="008F2FD4" w:rsidRDefault="00407A64" w:rsidP="00407A64">
            <w:pPr>
              <w:pStyle w:val="Tabletextright"/>
            </w:pPr>
            <w:r w:rsidRPr="00BE06EA">
              <w:t>–</w:t>
            </w:r>
          </w:p>
        </w:tc>
      </w:tr>
      <w:tr w:rsidR="00407A64" w:rsidRPr="008F2FD4" w14:paraId="789F2DE6" w14:textId="77777777" w:rsidTr="003348F2">
        <w:trPr>
          <w:trHeight w:val="300"/>
        </w:trPr>
        <w:tc>
          <w:tcPr>
            <w:tcW w:w="2410" w:type="dxa"/>
            <w:noWrap/>
          </w:tcPr>
          <w:p w14:paraId="6292D0E1" w14:textId="6BBBCDD7" w:rsidR="00407A64" w:rsidRPr="008F2FD4" w:rsidRDefault="00407A64" w:rsidP="00407A64">
            <w:pPr>
              <w:pStyle w:val="Tabletext"/>
            </w:pPr>
            <w:r w:rsidRPr="00BE06EA">
              <w:t>Nous Group Pty Ltd</w:t>
            </w:r>
          </w:p>
        </w:tc>
        <w:tc>
          <w:tcPr>
            <w:tcW w:w="2720" w:type="dxa"/>
            <w:gridSpan w:val="2"/>
            <w:noWrap/>
          </w:tcPr>
          <w:p w14:paraId="356441B9" w14:textId="1ED4B2F5" w:rsidR="00407A64" w:rsidRPr="008F2FD4" w:rsidRDefault="00407A64" w:rsidP="00407A64">
            <w:pPr>
              <w:pStyle w:val="Tabletext"/>
            </w:pPr>
            <w:r w:rsidRPr="00BE06EA">
              <w:t xml:space="preserve">Independent review of the modernisation of the </w:t>
            </w:r>
            <w:proofErr w:type="spellStart"/>
            <w:r w:rsidRPr="00BE06EA">
              <w:t>WorkCover</w:t>
            </w:r>
            <w:proofErr w:type="spellEnd"/>
            <w:r w:rsidRPr="00BE06EA">
              <w:t xml:space="preserve"> Scheme</w:t>
            </w:r>
          </w:p>
        </w:tc>
        <w:tc>
          <w:tcPr>
            <w:tcW w:w="1341" w:type="dxa"/>
            <w:noWrap/>
          </w:tcPr>
          <w:p w14:paraId="623A24F4" w14:textId="60E23299" w:rsidR="00407A64" w:rsidRPr="008F2FD4" w:rsidRDefault="00407A64" w:rsidP="00407A64">
            <w:pPr>
              <w:pStyle w:val="Tabletextright"/>
            </w:pPr>
            <w:r w:rsidRPr="00BE06EA">
              <w:t>245 000</w:t>
            </w:r>
          </w:p>
        </w:tc>
        <w:tc>
          <w:tcPr>
            <w:tcW w:w="1250" w:type="dxa"/>
            <w:noWrap/>
          </w:tcPr>
          <w:p w14:paraId="6BA8A12B" w14:textId="60BC105D" w:rsidR="00407A64" w:rsidRPr="008F2FD4" w:rsidRDefault="00407A64" w:rsidP="00407A64">
            <w:pPr>
              <w:pStyle w:val="Tabletextright"/>
            </w:pPr>
            <w:r w:rsidRPr="00BE06EA">
              <w:t>245 000</w:t>
            </w:r>
          </w:p>
        </w:tc>
        <w:tc>
          <w:tcPr>
            <w:tcW w:w="1305" w:type="dxa"/>
            <w:noWrap/>
          </w:tcPr>
          <w:p w14:paraId="3F3BEA7A" w14:textId="29CCB87F" w:rsidR="00407A64" w:rsidRPr="008F2FD4" w:rsidRDefault="00407A64" w:rsidP="00407A64">
            <w:pPr>
              <w:pStyle w:val="Tabletextright"/>
            </w:pPr>
            <w:r w:rsidRPr="00BE06EA">
              <w:t>–</w:t>
            </w:r>
          </w:p>
        </w:tc>
      </w:tr>
      <w:tr w:rsidR="00407A64" w:rsidRPr="008F2FD4" w14:paraId="36985447" w14:textId="77777777" w:rsidTr="003348F2">
        <w:trPr>
          <w:trHeight w:val="300"/>
        </w:trPr>
        <w:tc>
          <w:tcPr>
            <w:tcW w:w="2410" w:type="dxa"/>
            <w:noWrap/>
          </w:tcPr>
          <w:p w14:paraId="0DB0B9C2" w14:textId="2DCEAB84" w:rsidR="00407A64" w:rsidRPr="008F2FD4" w:rsidRDefault="00407A64" w:rsidP="00407A64">
            <w:pPr>
              <w:pStyle w:val="Tabletext"/>
            </w:pPr>
            <w:r w:rsidRPr="00BE06EA">
              <w:t>Nous Group Pty Ltd</w:t>
            </w:r>
          </w:p>
        </w:tc>
        <w:tc>
          <w:tcPr>
            <w:tcW w:w="2720" w:type="dxa"/>
            <w:gridSpan w:val="2"/>
            <w:noWrap/>
          </w:tcPr>
          <w:p w14:paraId="4FD2FBDA" w14:textId="6C96B673" w:rsidR="00407A64" w:rsidRPr="008F2FD4" w:rsidRDefault="00407A64" w:rsidP="00407A64">
            <w:pPr>
              <w:pStyle w:val="Tabletext"/>
            </w:pPr>
            <w:r w:rsidRPr="00BE06EA">
              <w:t>Support for the Independent Review into the Victorian Public Sector</w:t>
            </w:r>
          </w:p>
        </w:tc>
        <w:tc>
          <w:tcPr>
            <w:tcW w:w="1341" w:type="dxa"/>
            <w:noWrap/>
          </w:tcPr>
          <w:p w14:paraId="6C14B2C2" w14:textId="6CE24F43" w:rsidR="00407A64" w:rsidRPr="008F2FD4" w:rsidRDefault="00407A64" w:rsidP="00407A64">
            <w:pPr>
              <w:pStyle w:val="Tabletextright"/>
            </w:pPr>
            <w:r w:rsidRPr="00BE06EA">
              <w:t>289 000</w:t>
            </w:r>
          </w:p>
        </w:tc>
        <w:tc>
          <w:tcPr>
            <w:tcW w:w="1250" w:type="dxa"/>
            <w:noWrap/>
          </w:tcPr>
          <w:p w14:paraId="711AB123" w14:textId="4107B659" w:rsidR="00407A64" w:rsidRPr="008F2FD4" w:rsidRDefault="00407A64" w:rsidP="00407A64">
            <w:pPr>
              <w:pStyle w:val="Tabletextright"/>
            </w:pPr>
            <w:r w:rsidRPr="00BE06EA">
              <w:t>289 000</w:t>
            </w:r>
          </w:p>
        </w:tc>
        <w:tc>
          <w:tcPr>
            <w:tcW w:w="1305" w:type="dxa"/>
            <w:noWrap/>
          </w:tcPr>
          <w:p w14:paraId="280A84E0" w14:textId="5FEB5BA8" w:rsidR="00407A64" w:rsidRPr="008F2FD4" w:rsidRDefault="00407A64" w:rsidP="00407A64">
            <w:pPr>
              <w:pStyle w:val="Tabletextright"/>
            </w:pPr>
            <w:r w:rsidRPr="00BE06EA">
              <w:t xml:space="preserve">–  </w:t>
            </w:r>
          </w:p>
        </w:tc>
      </w:tr>
      <w:tr w:rsidR="00407A64" w:rsidRPr="008F2FD4" w14:paraId="67CE6E10" w14:textId="77777777" w:rsidTr="003348F2">
        <w:trPr>
          <w:trHeight w:val="300"/>
        </w:trPr>
        <w:tc>
          <w:tcPr>
            <w:tcW w:w="2410" w:type="dxa"/>
            <w:noWrap/>
          </w:tcPr>
          <w:p w14:paraId="0CE5E58A" w14:textId="63282860" w:rsidR="00407A64" w:rsidRPr="008F2FD4" w:rsidRDefault="00407A64" w:rsidP="00407A64">
            <w:pPr>
              <w:pStyle w:val="Tabletext"/>
            </w:pPr>
            <w:r w:rsidRPr="00BE06EA">
              <w:t>PricewaterhouseCoopers Securities Ltd</w:t>
            </w:r>
          </w:p>
        </w:tc>
        <w:tc>
          <w:tcPr>
            <w:tcW w:w="2720" w:type="dxa"/>
            <w:gridSpan w:val="2"/>
            <w:noWrap/>
          </w:tcPr>
          <w:p w14:paraId="6AA38605" w14:textId="16A1DDBE" w:rsidR="00407A64" w:rsidRPr="008F2FD4" w:rsidRDefault="00407A64" w:rsidP="00407A64">
            <w:pPr>
              <w:pStyle w:val="Tabletext"/>
            </w:pPr>
            <w:r w:rsidRPr="00BE06EA">
              <w:t>Commercial and financial advisory services to support the Homes for Aboriginal Victorians Round of the Social Housing Growth Fund</w:t>
            </w:r>
          </w:p>
        </w:tc>
        <w:tc>
          <w:tcPr>
            <w:tcW w:w="1341" w:type="dxa"/>
            <w:noWrap/>
          </w:tcPr>
          <w:p w14:paraId="1E595213" w14:textId="5AC486F5" w:rsidR="00407A64" w:rsidRPr="008F2FD4" w:rsidRDefault="00407A64" w:rsidP="00407A64">
            <w:pPr>
              <w:pStyle w:val="Tabletextright"/>
            </w:pPr>
            <w:r w:rsidRPr="00BE06EA">
              <w:t>87 759</w:t>
            </w:r>
          </w:p>
        </w:tc>
        <w:tc>
          <w:tcPr>
            <w:tcW w:w="1250" w:type="dxa"/>
            <w:noWrap/>
          </w:tcPr>
          <w:p w14:paraId="63AE57BA" w14:textId="407A430A" w:rsidR="00407A64" w:rsidRPr="008F2FD4" w:rsidRDefault="00407A64" w:rsidP="00407A64">
            <w:pPr>
              <w:pStyle w:val="Tabletextright"/>
            </w:pPr>
            <w:r w:rsidRPr="00BE06EA">
              <w:t>40 344</w:t>
            </w:r>
          </w:p>
        </w:tc>
        <w:tc>
          <w:tcPr>
            <w:tcW w:w="1305" w:type="dxa"/>
            <w:noWrap/>
          </w:tcPr>
          <w:p w14:paraId="32685695" w14:textId="2D6AAEE6" w:rsidR="00407A64" w:rsidRPr="008F2FD4" w:rsidRDefault="00407A64" w:rsidP="00407A64">
            <w:pPr>
              <w:pStyle w:val="Tabletextright"/>
            </w:pPr>
            <w:r w:rsidRPr="00BE06EA">
              <w:t>32 240</w:t>
            </w:r>
          </w:p>
        </w:tc>
      </w:tr>
      <w:tr w:rsidR="00407A64" w:rsidRPr="008F2FD4" w14:paraId="381E67FE" w14:textId="77777777" w:rsidTr="003348F2">
        <w:trPr>
          <w:trHeight w:val="300"/>
        </w:trPr>
        <w:tc>
          <w:tcPr>
            <w:tcW w:w="2410" w:type="dxa"/>
            <w:noWrap/>
          </w:tcPr>
          <w:p w14:paraId="75615724" w14:textId="70C48658" w:rsidR="00407A64" w:rsidRPr="008F2FD4" w:rsidRDefault="00407A64" w:rsidP="00407A64">
            <w:pPr>
              <w:pStyle w:val="Tabletext"/>
            </w:pPr>
            <w:r w:rsidRPr="00BE06EA">
              <w:t>Proximity Advisory Services</w:t>
            </w:r>
          </w:p>
        </w:tc>
        <w:tc>
          <w:tcPr>
            <w:tcW w:w="2720" w:type="dxa"/>
            <w:gridSpan w:val="2"/>
            <w:noWrap/>
          </w:tcPr>
          <w:p w14:paraId="3258FF88" w14:textId="3E62C12D" w:rsidR="00407A64" w:rsidRPr="008F2FD4" w:rsidRDefault="00407A64" w:rsidP="00407A64">
            <w:pPr>
              <w:pStyle w:val="Tabletext"/>
            </w:pPr>
            <w:r w:rsidRPr="00BE06EA">
              <w:t>Project planning services for the national labour hire project</w:t>
            </w:r>
          </w:p>
        </w:tc>
        <w:tc>
          <w:tcPr>
            <w:tcW w:w="1341" w:type="dxa"/>
            <w:noWrap/>
          </w:tcPr>
          <w:p w14:paraId="1B4FDD33" w14:textId="6D99A1B4" w:rsidR="00407A64" w:rsidRPr="008F2FD4" w:rsidRDefault="00407A64" w:rsidP="00407A64">
            <w:pPr>
              <w:pStyle w:val="Tabletextright"/>
            </w:pPr>
            <w:r w:rsidRPr="00BE06EA">
              <w:t>156 848</w:t>
            </w:r>
          </w:p>
        </w:tc>
        <w:tc>
          <w:tcPr>
            <w:tcW w:w="1250" w:type="dxa"/>
            <w:noWrap/>
          </w:tcPr>
          <w:p w14:paraId="61E5AA5E" w14:textId="39DD65BC" w:rsidR="00407A64" w:rsidRPr="008F2FD4" w:rsidRDefault="00407A64" w:rsidP="00407A64">
            <w:pPr>
              <w:pStyle w:val="Tabletextright"/>
            </w:pPr>
            <w:r w:rsidRPr="00BE06EA">
              <w:t>66 544</w:t>
            </w:r>
          </w:p>
        </w:tc>
        <w:tc>
          <w:tcPr>
            <w:tcW w:w="1305" w:type="dxa"/>
            <w:noWrap/>
          </w:tcPr>
          <w:p w14:paraId="42C5C4DF" w14:textId="7D94B423" w:rsidR="00407A64" w:rsidRPr="008F2FD4" w:rsidRDefault="00407A64" w:rsidP="00407A64">
            <w:pPr>
              <w:pStyle w:val="Tabletextright"/>
            </w:pPr>
            <w:r w:rsidRPr="00BE06EA">
              <w:t>90 304</w:t>
            </w:r>
          </w:p>
        </w:tc>
      </w:tr>
      <w:tr w:rsidR="00407A64" w:rsidRPr="008F2FD4" w14:paraId="25185C0E" w14:textId="77777777" w:rsidTr="003348F2">
        <w:trPr>
          <w:trHeight w:val="300"/>
        </w:trPr>
        <w:tc>
          <w:tcPr>
            <w:tcW w:w="2410" w:type="dxa"/>
            <w:noWrap/>
          </w:tcPr>
          <w:p w14:paraId="018851F8" w14:textId="4CCF908F" w:rsidR="00407A64" w:rsidRPr="006F5F8D" w:rsidRDefault="00407A64" w:rsidP="00407A64">
            <w:pPr>
              <w:pStyle w:val="Tabletext"/>
            </w:pPr>
            <w:r w:rsidRPr="00BE06EA">
              <w:t>Right Lane Consulting Pty Ltd</w:t>
            </w:r>
          </w:p>
        </w:tc>
        <w:tc>
          <w:tcPr>
            <w:tcW w:w="2720" w:type="dxa"/>
            <w:gridSpan w:val="2"/>
            <w:noWrap/>
          </w:tcPr>
          <w:p w14:paraId="65BD50A3" w14:textId="51E9A2E0" w:rsidR="00407A64" w:rsidRPr="006F5F8D" w:rsidRDefault="00407A64" w:rsidP="00407A64">
            <w:pPr>
              <w:pStyle w:val="Tabletext"/>
            </w:pPr>
            <w:r w:rsidRPr="00BE06EA">
              <w:t>DTF wide improvement initiative</w:t>
            </w:r>
          </w:p>
        </w:tc>
        <w:tc>
          <w:tcPr>
            <w:tcW w:w="1341" w:type="dxa"/>
            <w:noWrap/>
          </w:tcPr>
          <w:p w14:paraId="2ACB6A3D" w14:textId="0B1A5EEB" w:rsidR="00407A64" w:rsidRPr="008F2FD4" w:rsidRDefault="00407A64" w:rsidP="00407A64">
            <w:pPr>
              <w:pStyle w:val="Tabletextright"/>
            </w:pPr>
            <w:r w:rsidRPr="00BE06EA">
              <w:t>607 793</w:t>
            </w:r>
          </w:p>
        </w:tc>
        <w:tc>
          <w:tcPr>
            <w:tcW w:w="1250" w:type="dxa"/>
            <w:noWrap/>
          </w:tcPr>
          <w:p w14:paraId="58B7701D" w14:textId="0DB8144C" w:rsidR="00407A64" w:rsidRPr="008F2FD4" w:rsidRDefault="00407A64" w:rsidP="00407A64">
            <w:pPr>
              <w:pStyle w:val="Tabletextright"/>
            </w:pPr>
            <w:r w:rsidRPr="00BE06EA">
              <w:t>603 651</w:t>
            </w:r>
          </w:p>
        </w:tc>
        <w:tc>
          <w:tcPr>
            <w:tcW w:w="1305" w:type="dxa"/>
            <w:noWrap/>
          </w:tcPr>
          <w:p w14:paraId="1054ED18" w14:textId="69EF608D" w:rsidR="00407A64" w:rsidRPr="008F2FD4" w:rsidRDefault="00407A64" w:rsidP="00407A64">
            <w:pPr>
              <w:pStyle w:val="Tabletextright"/>
            </w:pPr>
            <w:r w:rsidRPr="00BE06EA">
              <w:t>4 142</w:t>
            </w:r>
          </w:p>
        </w:tc>
      </w:tr>
      <w:tr w:rsidR="00407A64" w:rsidRPr="008F2FD4" w14:paraId="197364A8" w14:textId="77777777" w:rsidTr="003348F2">
        <w:trPr>
          <w:trHeight w:val="300"/>
        </w:trPr>
        <w:tc>
          <w:tcPr>
            <w:tcW w:w="2410" w:type="dxa"/>
            <w:noWrap/>
          </w:tcPr>
          <w:p w14:paraId="42723777" w14:textId="1F58033A" w:rsidR="00407A64" w:rsidRPr="00CA73DA" w:rsidRDefault="00407A64" w:rsidP="00407A64">
            <w:pPr>
              <w:pStyle w:val="Tabletext"/>
            </w:pPr>
            <w:r w:rsidRPr="00BE06EA">
              <w:t>Right Lane Consulting Pty Ltd</w:t>
            </w:r>
          </w:p>
        </w:tc>
        <w:tc>
          <w:tcPr>
            <w:tcW w:w="2720" w:type="dxa"/>
            <w:gridSpan w:val="2"/>
            <w:noWrap/>
          </w:tcPr>
          <w:p w14:paraId="32C69BE9" w14:textId="0E80812B" w:rsidR="00407A64" w:rsidRPr="006D5684" w:rsidRDefault="00407A64" w:rsidP="00407A64">
            <w:pPr>
              <w:pStyle w:val="Tabletext"/>
            </w:pPr>
            <w:r w:rsidRPr="00BE06EA">
              <w:t>Organisational change and transition</w:t>
            </w:r>
          </w:p>
        </w:tc>
        <w:tc>
          <w:tcPr>
            <w:tcW w:w="1341" w:type="dxa"/>
            <w:noWrap/>
          </w:tcPr>
          <w:p w14:paraId="0857FEA8" w14:textId="72E811D4" w:rsidR="00407A64" w:rsidRPr="009B1EE9" w:rsidRDefault="00407A64" w:rsidP="00407A64">
            <w:pPr>
              <w:pStyle w:val="Tabletextright"/>
              <w:rPr>
                <w:bCs/>
              </w:rPr>
            </w:pPr>
            <w:r w:rsidRPr="00BE06EA">
              <w:t>177 418</w:t>
            </w:r>
          </w:p>
        </w:tc>
        <w:tc>
          <w:tcPr>
            <w:tcW w:w="1250" w:type="dxa"/>
            <w:noWrap/>
          </w:tcPr>
          <w:p w14:paraId="32D131AC" w14:textId="4C00EF98" w:rsidR="00407A64" w:rsidRPr="009B1EE9" w:rsidRDefault="00407A64" w:rsidP="00407A64">
            <w:pPr>
              <w:pStyle w:val="Tabletextright"/>
              <w:rPr>
                <w:bCs/>
              </w:rPr>
            </w:pPr>
            <w:r w:rsidRPr="00BE06EA">
              <w:t>177 414</w:t>
            </w:r>
          </w:p>
        </w:tc>
        <w:tc>
          <w:tcPr>
            <w:tcW w:w="1305" w:type="dxa"/>
            <w:noWrap/>
          </w:tcPr>
          <w:p w14:paraId="1E6B67A2" w14:textId="5AF4848A" w:rsidR="00407A64" w:rsidRPr="009B1EE9" w:rsidRDefault="00407A64" w:rsidP="00407A64">
            <w:pPr>
              <w:pStyle w:val="Tabletextright"/>
              <w:rPr>
                <w:bCs/>
              </w:rPr>
            </w:pPr>
            <w:r w:rsidRPr="00BE06EA">
              <w:t>–</w:t>
            </w:r>
          </w:p>
        </w:tc>
      </w:tr>
      <w:tr w:rsidR="00407A64" w:rsidRPr="008F2FD4" w14:paraId="6083F749" w14:textId="77777777" w:rsidTr="003348F2">
        <w:trPr>
          <w:trHeight w:val="300"/>
        </w:trPr>
        <w:tc>
          <w:tcPr>
            <w:tcW w:w="2410" w:type="dxa"/>
            <w:noWrap/>
          </w:tcPr>
          <w:p w14:paraId="3290509D" w14:textId="718D98AB" w:rsidR="00407A64" w:rsidRPr="008F2FD4" w:rsidRDefault="00407A64" w:rsidP="00407A64">
            <w:pPr>
              <w:pStyle w:val="Tabletext"/>
            </w:pPr>
            <w:r w:rsidRPr="00BE06EA">
              <w:t>Sapere Research Group Limited</w:t>
            </w:r>
          </w:p>
        </w:tc>
        <w:tc>
          <w:tcPr>
            <w:tcW w:w="2720" w:type="dxa"/>
            <w:gridSpan w:val="2"/>
            <w:noWrap/>
          </w:tcPr>
          <w:p w14:paraId="65717478" w14:textId="6026BF98" w:rsidR="00407A64" w:rsidRPr="008F2FD4" w:rsidRDefault="00407A64" w:rsidP="00407A64">
            <w:pPr>
              <w:pStyle w:val="Tabletext"/>
            </w:pPr>
            <w:r w:rsidRPr="00BE06EA">
              <w:t xml:space="preserve">Business Acceleration Fund (BAF) oversight </w:t>
            </w:r>
          </w:p>
        </w:tc>
        <w:tc>
          <w:tcPr>
            <w:tcW w:w="1341" w:type="dxa"/>
            <w:noWrap/>
          </w:tcPr>
          <w:p w14:paraId="4C8E0CD7" w14:textId="49912494" w:rsidR="00407A64" w:rsidRPr="00160A9B" w:rsidRDefault="00407A64" w:rsidP="00407A64">
            <w:pPr>
              <w:pStyle w:val="Tabletextright"/>
              <w:rPr>
                <w:color w:val="000000"/>
              </w:rPr>
            </w:pPr>
            <w:r w:rsidRPr="00BE06EA">
              <w:t>1 222 867</w:t>
            </w:r>
          </w:p>
        </w:tc>
        <w:tc>
          <w:tcPr>
            <w:tcW w:w="1250" w:type="dxa"/>
            <w:noWrap/>
          </w:tcPr>
          <w:p w14:paraId="008F6781" w14:textId="60350CFE" w:rsidR="00407A64" w:rsidRPr="00160A9B" w:rsidRDefault="00407A64" w:rsidP="00407A64">
            <w:pPr>
              <w:pStyle w:val="Tabletextright"/>
              <w:rPr>
                <w:color w:val="000000"/>
              </w:rPr>
            </w:pPr>
            <w:r w:rsidRPr="00BE06EA">
              <w:t>277 178</w:t>
            </w:r>
          </w:p>
        </w:tc>
        <w:tc>
          <w:tcPr>
            <w:tcW w:w="1305" w:type="dxa"/>
            <w:noWrap/>
          </w:tcPr>
          <w:p w14:paraId="188279B6" w14:textId="6E405432" w:rsidR="00407A64" w:rsidRDefault="00407A64" w:rsidP="00407A64">
            <w:pPr>
              <w:pStyle w:val="Tabletextright"/>
              <w:rPr>
                <w:rFonts w:eastAsia="Times New Roman"/>
                <w:color w:val="000000"/>
              </w:rPr>
            </w:pPr>
            <w:r w:rsidRPr="00BE06EA">
              <w:t>820 947</w:t>
            </w:r>
          </w:p>
        </w:tc>
      </w:tr>
      <w:tr w:rsidR="00407A64" w:rsidRPr="008F2FD4" w14:paraId="704278ED" w14:textId="77777777" w:rsidTr="003348F2">
        <w:trPr>
          <w:trHeight w:val="300"/>
        </w:trPr>
        <w:tc>
          <w:tcPr>
            <w:tcW w:w="2410" w:type="dxa"/>
            <w:noWrap/>
          </w:tcPr>
          <w:p w14:paraId="4E88696A" w14:textId="34EAFFE5" w:rsidR="00407A64" w:rsidRPr="008F2FD4" w:rsidRDefault="00407A64" w:rsidP="00407A64">
            <w:pPr>
              <w:pStyle w:val="Tabletext"/>
            </w:pPr>
            <w:proofErr w:type="spellStart"/>
            <w:r w:rsidRPr="00BE06EA">
              <w:t>Scyne</w:t>
            </w:r>
            <w:proofErr w:type="spellEnd"/>
            <w:r w:rsidRPr="00BE06EA">
              <w:t xml:space="preserve"> Advisory Pty Ltd</w:t>
            </w:r>
          </w:p>
        </w:tc>
        <w:tc>
          <w:tcPr>
            <w:tcW w:w="2720" w:type="dxa"/>
            <w:gridSpan w:val="2"/>
            <w:noWrap/>
          </w:tcPr>
          <w:p w14:paraId="6240D98D" w14:textId="3667C63D" w:rsidR="00407A64" w:rsidRPr="008F2FD4" w:rsidRDefault="00407A64" w:rsidP="00407A64">
            <w:pPr>
              <w:pStyle w:val="Tabletext"/>
            </w:pPr>
            <w:r w:rsidRPr="00BE06EA">
              <w:t>Advice on Victorian Government Risk Management Framework</w:t>
            </w:r>
          </w:p>
        </w:tc>
        <w:tc>
          <w:tcPr>
            <w:tcW w:w="1341" w:type="dxa"/>
            <w:noWrap/>
          </w:tcPr>
          <w:p w14:paraId="6CE6F274" w14:textId="462CE807" w:rsidR="00407A64" w:rsidRPr="008F2FD4" w:rsidRDefault="00407A64" w:rsidP="00407A64">
            <w:pPr>
              <w:pStyle w:val="Tabletextright"/>
            </w:pPr>
            <w:r w:rsidRPr="00BE06EA">
              <w:t>119 000</w:t>
            </w:r>
          </w:p>
        </w:tc>
        <w:tc>
          <w:tcPr>
            <w:tcW w:w="1250" w:type="dxa"/>
            <w:noWrap/>
          </w:tcPr>
          <w:p w14:paraId="72F02C1F" w14:textId="43CE3487" w:rsidR="00407A64" w:rsidRPr="008F2FD4" w:rsidRDefault="00407A64" w:rsidP="00407A64">
            <w:pPr>
              <w:pStyle w:val="Tabletextright"/>
            </w:pPr>
            <w:r w:rsidRPr="00BE06EA">
              <w:t xml:space="preserve"> 30 500</w:t>
            </w:r>
          </w:p>
        </w:tc>
        <w:tc>
          <w:tcPr>
            <w:tcW w:w="1305" w:type="dxa"/>
            <w:noWrap/>
          </w:tcPr>
          <w:p w14:paraId="02D99554" w14:textId="58C1ECAB" w:rsidR="00407A64" w:rsidRPr="008F2FD4" w:rsidRDefault="00407A64" w:rsidP="00407A64">
            <w:pPr>
              <w:pStyle w:val="Tabletextright"/>
            </w:pPr>
            <w:r w:rsidRPr="00BE06EA">
              <w:t>88 500</w:t>
            </w:r>
          </w:p>
        </w:tc>
      </w:tr>
      <w:tr w:rsidR="00407A64" w:rsidRPr="008F2FD4" w14:paraId="5A5A4915" w14:textId="77777777" w:rsidTr="003348F2">
        <w:trPr>
          <w:trHeight w:val="300"/>
        </w:trPr>
        <w:tc>
          <w:tcPr>
            <w:tcW w:w="2410" w:type="dxa"/>
            <w:noWrap/>
          </w:tcPr>
          <w:p w14:paraId="41260BE5" w14:textId="22A13CDB" w:rsidR="00407A64" w:rsidRPr="008F2FD4" w:rsidRDefault="00407A64" w:rsidP="00407A64">
            <w:pPr>
              <w:pStyle w:val="Tabletext"/>
            </w:pPr>
            <w:r w:rsidRPr="00BE06EA">
              <w:t>The Agenda Group</w:t>
            </w:r>
          </w:p>
        </w:tc>
        <w:tc>
          <w:tcPr>
            <w:tcW w:w="2720" w:type="dxa"/>
            <w:gridSpan w:val="2"/>
            <w:noWrap/>
          </w:tcPr>
          <w:p w14:paraId="6BA31B0B" w14:textId="1EA86425" w:rsidR="00407A64" w:rsidRPr="008F2FD4" w:rsidRDefault="00407A64" w:rsidP="00407A64">
            <w:pPr>
              <w:pStyle w:val="Tabletext"/>
            </w:pPr>
            <w:r w:rsidRPr="00BE06EA">
              <w:t xml:space="preserve">Supporting rollout of regulatory reforms with Victorian councils </w:t>
            </w:r>
          </w:p>
        </w:tc>
        <w:tc>
          <w:tcPr>
            <w:tcW w:w="1341" w:type="dxa"/>
            <w:noWrap/>
          </w:tcPr>
          <w:p w14:paraId="6B516071" w14:textId="3D1696F7" w:rsidR="00407A64" w:rsidRPr="008F2FD4" w:rsidRDefault="00407A64" w:rsidP="00407A64">
            <w:pPr>
              <w:pStyle w:val="Tabletextright"/>
            </w:pPr>
            <w:r w:rsidRPr="00BE06EA">
              <w:t>169 391</w:t>
            </w:r>
          </w:p>
        </w:tc>
        <w:tc>
          <w:tcPr>
            <w:tcW w:w="1250" w:type="dxa"/>
            <w:noWrap/>
          </w:tcPr>
          <w:p w14:paraId="2BEDBB2D" w14:textId="26AA4C10" w:rsidR="00407A64" w:rsidRPr="008F2FD4" w:rsidRDefault="00407A64" w:rsidP="00407A64">
            <w:pPr>
              <w:pStyle w:val="Tabletextright"/>
            </w:pPr>
            <w:r w:rsidRPr="00BE06EA">
              <w:t>80 155</w:t>
            </w:r>
          </w:p>
        </w:tc>
        <w:tc>
          <w:tcPr>
            <w:tcW w:w="1305" w:type="dxa"/>
            <w:noWrap/>
          </w:tcPr>
          <w:p w14:paraId="5A326505" w14:textId="6E34BC7B" w:rsidR="00407A64" w:rsidRPr="008F2FD4" w:rsidRDefault="00407A64" w:rsidP="00407A64">
            <w:pPr>
              <w:pStyle w:val="Tabletextright"/>
            </w:pPr>
            <w:r w:rsidRPr="00BE06EA">
              <w:t>89 236</w:t>
            </w:r>
          </w:p>
        </w:tc>
      </w:tr>
      <w:tr w:rsidR="00407A64" w:rsidRPr="008F2FD4" w14:paraId="6BE10F68" w14:textId="77777777" w:rsidTr="003348F2">
        <w:trPr>
          <w:trHeight w:val="300"/>
        </w:trPr>
        <w:tc>
          <w:tcPr>
            <w:tcW w:w="2410" w:type="dxa"/>
            <w:noWrap/>
          </w:tcPr>
          <w:p w14:paraId="54B2836B" w14:textId="782F9D23" w:rsidR="00407A64" w:rsidRPr="008F2FD4" w:rsidRDefault="00407A64" w:rsidP="00407A64">
            <w:pPr>
              <w:pStyle w:val="Tabletext"/>
            </w:pPr>
            <w:r w:rsidRPr="00BE06EA">
              <w:t>The University of Melbourne</w:t>
            </w:r>
          </w:p>
        </w:tc>
        <w:tc>
          <w:tcPr>
            <w:tcW w:w="2720" w:type="dxa"/>
            <w:gridSpan w:val="2"/>
            <w:noWrap/>
          </w:tcPr>
          <w:p w14:paraId="5F688313" w14:textId="55AC3BA1" w:rsidR="00407A64" w:rsidRPr="008F2FD4" w:rsidRDefault="00407A64" w:rsidP="00407A64">
            <w:pPr>
              <w:pStyle w:val="Tabletext"/>
            </w:pPr>
            <w:r w:rsidRPr="00BE06EA">
              <w:t>Research into Health</w:t>
            </w:r>
          </w:p>
        </w:tc>
        <w:tc>
          <w:tcPr>
            <w:tcW w:w="1341" w:type="dxa"/>
            <w:noWrap/>
          </w:tcPr>
          <w:p w14:paraId="47795CA0" w14:textId="4B786954" w:rsidR="00407A64" w:rsidRPr="008F2FD4" w:rsidRDefault="00407A64" w:rsidP="00407A64">
            <w:pPr>
              <w:pStyle w:val="Tabletextright"/>
            </w:pPr>
            <w:r w:rsidRPr="00BE06EA">
              <w:t>92 300</w:t>
            </w:r>
          </w:p>
        </w:tc>
        <w:tc>
          <w:tcPr>
            <w:tcW w:w="1250" w:type="dxa"/>
            <w:noWrap/>
          </w:tcPr>
          <w:p w14:paraId="15E32F1C" w14:textId="656D8D2F" w:rsidR="00407A64" w:rsidRPr="008F2FD4" w:rsidRDefault="00407A64" w:rsidP="00407A64">
            <w:pPr>
              <w:pStyle w:val="Tabletextright"/>
            </w:pPr>
            <w:r w:rsidRPr="00BE06EA">
              <w:t>72 300</w:t>
            </w:r>
          </w:p>
        </w:tc>
        <w:tc>
          <w:tcPr>
            <w:tcW w:w="1305" w:type="dxa"/>
            <w:noWrap/>
          </w:tcPr>
          <w:p w14:paraId="4792F580" w14:textId="36CE43D4" w:rsidR="00407A64" w:rsidRPr="008F2FD4" w:rsidRDefault="00407A64" w:rsidP="00407A64">
            <w:pPr>
              <w:pStyle w:val="Tabletextright"/>
            </w:pPr>
            <w:r w:rsidRPr="00BE06EA">
              <w:t>–</w:t>
            </w:r>
          </w:p>
        </w:tc>
      </w:tr>
      <w:tr w:rsidR="00407A64" w:rsidRPr="008F2FD4" w14:paraId="32C8459F" w14:textId="77777777" w:rsidTr="003348F2">
        <w:trPr>
          <w:trHeight w:val="300"/>
        </w:trPr>
        <w:tc>
          <w:tcPr>
            <w:tcW w:w="2410" w:type="dxa"/>
            <w:noWrap/>
          </w:tcPr>
          <w:p w14:paraId="3418F5CE" w14:textId="220CEA3E" w:rsidR="00407A64" w:rsidRPr="008F2FD4" w:rsidRDefault="00407A64" w:rsidP="00407A64">
            <w:pPr>
              <w:pStyle w:val="Tabletext"/>
            </w:pPr>
            <w:r w:rsidRPr="00BE06EA">
              <w:t>Three Thirds Group Pty Ltd</w:t>
            </w:r>
          </w:p>
        </w:tc>
        <w:tc>
          <w:tcPr>
            <w:tcW w:w="2720" w:type="dxa"/>
            <w:gridSpan w:val="2"/>
            <w:noWrap/>
          </w:tcPr>
          <w:p w14:paraId="3C9A9E67" w14:textId="64831846" w:rsidR="00407A64" w:rsidRPr="008F2FD4" w:rsidRDefault="00407A64" w:rsidP="00407A64">
            <w:pPr>
              <w:pStyle w:val="Tabletext"/>
            </w:pPr>
            <w:r w:rsidRPr="00BE06EA">
              <w:t>Provide expert planning and urban design services to support the Commonwealth Co</w:t>
            </w:r>
            <w:r w:rsidRPr="00BE06EA">
              <w:rPr>
                <w:rFonts w:ascii="Cambria Math" w:hAnsi="Cambria Math" w:cs="Cambria Math"/>
              </w:rPr>
              <w:t>‑</w:t>
            </w:r>
            <w:r w:rsidRPr="00BE06EA">
              <w:t>Investment Program and the Affordable Housing Partnership Program.</w:t>
            </w:r>
          </w:p>
        </w:tc>
        <w:tc>
          <w:tcPr>
            <w:tcW w:w="1341" w:type="dxa"/>
            <w:noWrap/>
          </w:tcPr>
          <w:p w14:paraId="12BBA299" w14:textId="144727C6" w:rsidR="00407A64" w:rsidRPr="008F2FD4" w:rsidRDefault="00407A64" w:rsidP="00407A64">
            <w:pPr>
              <w:pStyle w:val="Tabletextright"/>
            </w:pPr>
            <w:r w:rsidRPr="00BE06EA">
              <w:t>283 749</w:t>
            </w:r>
          </w:p>
        </w:tc>
        <w:tc>
          <w:tcPr>
            <w:tcW w:w="1250" w:type="dxa"/>
            <w:noWrap/>
          </w:tcPr>
          <w:p w14:paraId="43597E81" w14:textId="08CD9174" w:rsidR="00407A64" w:rsidRPr="008F2FD4" w:rsidRDefault="00407A64" w:rsidP="00407A64">
            <w:pPr>
              <w:pStyle w:val="Tabletextright"/>
            </w:pPr>
            <w:r w:rsidRPr="00BE06EA">
              <w:t>165 000</w:t>
            </w:r>
          </w:p>
        </w:tc>
        <w:tc>
          <w:tcPr>
            <w:tcW w:w="1305" w:type="dxa"/>
            <w:noWrap/>
          </w:tcPr>
          <w:p w14:paraId="5B56FA2C" w14:textId="5151BD4C" w:rsidR="00407A64" w:rsidRPr="008F2FD4" w:rsidRDefault="00407A64" w:rsidP="00407A64">
            <w:pPr>
              <w:pStyle w:val="Tabletextright"/>
            </w:pPr>
            <w:r w:rsidRPr="00BE06EA">
              <w:t>53 499</w:t>
            </w:r>
          </w:p>
        </w:tc>
      </w:tr>
      <w:tr w:rsidR="00407A64" w:rsidRPr="008F2FD4" w14:paraId="430E1BB5" w14:textId="77777777" w:rsidTr="003348F2">
        <w:trPr>
          <w:trHeight w:val="300"/>
        </w:trPr>
        <w:tc>
          <w:tcPr>
            <w:tcW w:w="2410" w:type="dxa"/>
            <w:noWrap/>
          </w:tcPr>
          <w:p w14:paraId="4823C438" w14:textId="47D7E241" w:rsidR="00407A64" w:rsidRPr="008F2FD4" w:rsidRDefault="00407A64" w:rsidP="00407A64">
            <w:pPr>
              <w:pStyle w:val="Tabletext"/>
            </w:pPr>
            <w:r w:rsidRPr="00BE06EA">
              <w:t>Titanium Advisory Pty Ltd</w:t>
            </w:r>
          </w:p>
        </w:tc>
        <w:tc>
          <w:tcPr>
            <w:tcW w:w="2720" w:type="dxa"/>
            <w:gridSpan w:val="2"/>
            <w:noWrap/>
          </w:tcPr>
          <w:p w14:paraId="1F2B81EC" w14:textId="400FA2B1" w:rsidR="00407A64" w:rsidRPr="008F2FD4" w:rsidRDefault="00407A64" w:rsidP="00407A64">
            <w:pPr>
              <w:pStyle w:val="Tabletext"/>
            </w:pPr>
            <w:r w:rsidRPr="00BE06EA">
              <w:t>Credit rating advisory services</w:t>
            </w:r>
          </w:p>
        </w:tc>
        <w:tc>
          <w:tcPr>
            <w:tcW w:w="1341" w:type="dxa"/>
            <w:noWrap/>
          </w:tcPr>
          <w:p w14:paraId="6323EB96" w14:textId="32E13A4A" w:rsidR="00407A64" w:rsidRPr="008F2FD4" w:rsidRDefault="00407A64" w:rsidP="00407A64">
            <w:pPr>
              <w:pStyle w:val="Tabletextright"/>
            </w:pPr>
            <w:r w:rsidRPr="00BE06EA">
              <w:t>240 222</w:t>
            </w:r>
          </w:p>
        </w:tc>
        <w:tc>
          <w:tcPr>
            <w:tcW w:w="1250" w:type="dxa"/>
            <w:noWrap/>
          </w:tcPr>
          <w:p w14:paraId="7411C3D0" w14:textId="0586087F" w:rsidR="00407A64" w:rsidRPr="008F2FD4" w:rsidRDefault="00407A64" w:rsidP="00407A64">
            <w:pPr>
              <w:pStyle w:val="Tabletextright"/>
            </w:pPr>
            <w:r w:rsidRPr="00BE06EA">
              <w:t>95 000</w:t>
            </w:r>
          </w:p>
        </w:tc>
        <w:tc>
          <w:tcPr>
            <w:tcW w:w="1305" w:type="dxa"/>
            <w:noWrap/>
          </w:tcPr>
          <w:p w14:paraId="6891F919" w14:textId="02009AED" w:rsidR="00407A64" w:rsidRPr="008F2FD4" w:rsidRDefault="00407A64" w:rsidP="00407A64">
            <w:pPr>
              <w:pStyle w:val="Tabletextright"/>
            </w:pPr>
            <w:r w:rsidRPr="00BE06EA">
              <w:t>95 000</w:t>
            </w:r>
          </w:p>
        </w:tc>
      </w:tr>
      <w:tr w:rsidR="00407A64" w:rsidRPr="008F2FD4" w14:paraId="660840B6" w14:textId="77777777" w:rsidTr="003348F2">
        <w:trPr>
          <w:trHeight w:val="300"/>
        </w:trPr>
        <w:tc>
          <w:tcPr>
            <w:tcW w:w="2410" w:type="dxa"/>
            <w:noWrap/>
          </w:tcPr>
          <w:p w14:paraId="0F49D09D" w14:textId="6C441EB5" w:rsidR="00407A64" w:rsidRPr="008F2FD4" w:rsidRDefault="00407A64" w:rsidP="00407A64">
            <w:pPr>
              <w:pStyle w:val="Tabletext"/>
            </w:pPr>
            <w:r w:rsidRPr="00BE06EA">
              <w:t>Tract Consultants Pty Ltd</w:t>
            </w:r>
          </w:p>
        </w:tc>
        <w:tc>
          <w:tcPr>
            <w:tcW w:w="2720" w:type="dxa"/>
            <w:gridSpan w:val="2"/>
            <w:noWrap/>
          </w:tcPr>
          <w:p w14:paraId="1DD4D30E" w14:textId="0C5AF0D5" w:rsidR="00407A64" w:rsidRPr="008F2FD4" w:rsidRDefault="00407A64" w:rsidP="00407A64">
            <w:pPr>
              <w:pStyle w:val="Tabletext"/>
            </w:pPr>
            <w:r w:rsidRPr="00BE06EA">
              <w:t>Provide expert planning and urban design services to support the Commonwealth Co</w:t>
            </w:r>
            <w:r w:rsidRPr="00BE06EA">
              <w:rPr>
                <w:rFonts w:ascii="Cambria Math" w:hAnsi="Cambria Math" w:cs="Cambria Math"/>
              </w:rPr>
              <w:t>‑</w:t>
            </w:r>
            <w:r w:rsidRPr="00BE06EA">
              <w:t>Investment Program and the Affordable Housing Partnership Program.</w:t>
            </w:r>
          </w:p>
        </w:tc>
        <w:tc>
          <w:tcPr>
            <w:tcW w:w="1341" w:type="dxa"/>
            <w:noWrap/>
          </w:tcPr>
          <w:p w14:paraId="08B18686" w14:textId="17D5D527" w:rsidR="00407A64" w:rsidRPr="008F2FD4" w:rsidRDefault="00407A64" w:rsidP="00407A64">
            <w:pPr>
              <w:pStyle w:val="Tabletextright"/>
            </w:pPr>
            <w:r w:rsidRPr="00BE06EA">
              <w:t>322 049</w:t>
            </w:r>
          </w:p>
        </w:tc>
        <w:tc>
          <w:tcPr>
            <w:tcW w:w="1250" w:type="dxa"/>
            <w:noWrap/>
          </w:tcPr>
          <w:p w14:paraId="1D826C44" w14:textId="015EEE5F" w:rsidR="00407A64" w:rsidRPr="008F2FD4" w:rsidRDefault="00407A64" w:rsidP="00407A64">
            <w:pPr>
              <w:pStyle w:val="Tabletextright"/>
            </w:pPr>
            <w:r w:rsidRPr="00BE06EA">
              <w:t>224 026</w:t>
            </w:r>
          </w:p>
        </w:tc>
        <w:tc>
          <w:tcPr>
            <w:tcW w:w="1305" w:type="dxa"/>
            <w:noWrap/>
          </w:tcPr>
          <w:p w14:paraId="2F803F47" w14:textId="31EB64A4" w:rsidR="00407A64" w:rsidRPr="008F2FD4" w:rsidRDefault="00407A64" w:rsidP="00407A64">
            <w:pPr>
              <w:pStyle w:val="Tabletextright"/>
            </w:pPr>
            <w:r w:rsidRPr="00BE06EA">
              <w:t>4 672</w:t>
            </w:r>
          </w:p>
        </w:tc>
      </w:tr>
      <w:tr w:rsidR="00407A64" w:rsidRPr="008F2FD4" w14:paraId="6CCA5644" w14:textId="77777777" w:rsidTr="003348F2">
        <w:trPr>
          <w:trHeight w:val="300"/>
        </w:trPr>
        <w:tc>
          <w:tcPr>
            <w:tcW w:w="2410" w:type="dxa"/>
            <w:noWrap/>
          </w:tcPr>
          <w:p w14:paraId="65A76F9D" w14:textId="2E80AEEA" w:rsidR="00407A64" w:rsidRPr="008F2FD4" w:rsidRDefault="00407A64" w:rsidP="00407A64">
            <w:pPr>
              <w:pStyle w:val="Tabletext"/>
            </w:pPr>
            <w:r w:rsidRPr="00BE06EA">
              <w:lastRenderedPageBreak/>
              <w:t>Urbis Pty Ltd</w:t>
            </w:r>
          </w:p>
        </w:tc>
        <w:tc>
          <w:tcPr>
            <w:tcW w:w="2720" w:type="dxa"/>
            <w:gridSpan w:val="2"/>
            <w:noWrap/>
          </w:tcPr>
          <w:p w14:paraId="6371D0A5" w14:textId="19C302FE" w:rsidR="00407A64" w:rsidRPr="008F2FD4" w:rsidRDefault="00407A64" w:rsidP="00407A64">
            <w:pPr>
              <w:pStyle w:val="Tabletext"/>
            </w:pPr>
            <w:r w:rsidRPr="00BE06EA">
              <w:t>Evaluation of the Arc Partnership Addressing Disadvantage</w:t>
            </w:r>
          </w:p>
        </w:tc>
        <w:tc>
          <w:tcPr>
            <w:tcW w:w="1341" w:type="dxa"/>
            <w:noWrap/>
          </w:tcPr>
          <w:p w14:paraId="205E3863" w14:textId="69567A0A" w:rsidR="00407A64" w:rsidRPr="008F2FD4" w:rsidRDefault="00407A64" w:rsidP="00407A64">
            <w:pPr>
              <w:pStyle w:val="Tabletextright"/>
            </w:pPr>
            <w:r w:rsidRPr="00BE06EA">
              <w:t>900 000</w:t>
            </w:r>
          </w:p>
        </w:tc>
        <w:tc>
          <w:tcPr>
            <w:tcW w:w="1250" w:type="dxa"/>
            <w:noWrap/>
          </w:tcPr>
          <w:p w14:paraId="59A5FDC3" w14:textId="3594B6D3" w:rsidR="00407A64" w:rsidRPr="008F2FD4" w:rsidRDefault="00407A64" w:rsidP="00407A64">
            <w:pPr>
              <w:pStyle w:val="Tabletextright"/>
            </w:pPr>
            <w:r w:rsidRPr="00BE06EA">
              <w:t>137 117</w:t>
            </w:r>
          </w:p>
        </w:tc>
        <w:tc>
          <w:tcPr>
            <w:tcW w:w="1305" w:type="dxa"/>
            <w:noWrap/>
          </w:tcPr>
          <w:p w14:paraId="50050CD6" w14:textId="25368F13" w:rsidR="00407A64" w:rsidRPr="008F2FD4" w:rsidRDefault="00407A64" w:rsidP="00407A64">
            <w:pPr>
              <w:pStyle w:val="Tabletextright"/>
            </w:pPr>
            <w:r w:rsidRPr="00BE06EA">
              <w:t>762 883</w:t>
            </w:r>
          </w:p>
        </w:tc>
      </w:tr>
      <w:tr w:rsidR="00407A64" w:rsidRPr="008F2FD4" w14:paraId="5B4AF131" w14:textId="77777777" w:rsidTr="003348F2">
        <w:trPr>
          <w:trHeight w:val="300"/>
        </w:trPr>
        <w:tc>
          <w:tcPr>
            <w:tcW w:w="2410" w:type="dxa"/>
            <w:noWrap/>
          </w:tcPr>
          <w:p w14:paraId="295C5774" w14:textId="391B9E40" w:rsidR="00407A64" w:rsidRPr="008F2FD4" w:rsidRDefault="00407A64" w:rsidP="00407A64">
            <w:pPr>
              <w:pStyle w:val="Tabletext"/>
            </w:pPr>
            <w:r w:rsidRPr="00BE06EA">
              <w:t>Urbis Pty Ltd</w:t>
            </w:r>
          </w:p>
        </w:tc>
        <w:tc>
          <w:tcPr>
            <w:tcW w:w="2720" w:type="dxa"/>
            <w:gridSpan w:val="2"/>
            <w:noWrap/>
          </w:tcPr>
          <w:p w14:paraId="5693D495" w14:textId="7392C8A0" w:rsidR="00407A64" w:rsidRPr="008F2FD4" w:rsidRDefault="00407A64" w:rsidP="00407A64">
            <w:pPr>
              <w:pStyle w:val="Tabletext"/>
            </w:pPr>
            <w:r w:rsidRPr="00BE06EA">
              <w:t>Independent evaluation for the COMPASS Social Impact Bond (COMPASS) Partnerships Addressing Disadvantage</w:t>
            </w:r>
          </w:p>
        </w:tc>
        <w:tc>
          <w:tcPr>
            <w:tcW w:w="1341" w:type="dxa"/>
            <w:noWrap/>
          </w:tcPr>
          <w:p w14:paraId="004F3100" w14:textId="612797FC" w:rsidR="00407A64" w:rsidRPr="00160A9B" w:rsidRDefault="00407A64" w:rsidP="00407A64">
            <w:pPr>
              <w:pStyle w:val="Tabletextright"/>
              <w:rPr>
                <w:color w:val="000000"/>
              </w:rPr>
            </w:pPr>
            <w:r w:rsidRPr="00BE06EA">
              <w:t>509 091</w:t>
            </w:r>
          </w:p>
        </w:tc>
        <w:tc>
          <w:tcPr>
            <w:tcW w:w="1250" w:type="dxa"/>
            <w:noWrap/>
          </w:tcPr>
          <w:p w14:paraId="79176A72" w14:textId="46FE941C" w:rsidR="00407A64" w:rsidRPr="00160A9B" w:rsidRDefault="00407A64" w:rsidP="00407A64">
            <w:pPr>
              <w:pStyle w:val="Tabletextright"/>
              <w:rPr>
                <w:color w:val="000000"/>
              </w:rPr>
            </w:pPr>
            <w:r w:rsidRPr="00BE06EA">
              <w:t>41 159</w:t>
            </w:r>
          </w:p>
        </w:tc>
        <w:tc>
          <w:tcPr>
            <w:tcW w:w="1305" w:type="dxa"/>
            <w:noWrap/>
          </w:tcPr>
          <w:p w14:paraId="125B8005" w14:textId="2F84CFCA" w:rsidR="00407A64" w:rsidRDefault="00407A64" w:rsidP="00407A64">
            <w:pPr>
              <w:pStyle w:val="Tabletextright"/>
              <w:rPr>
                <w:rFonts w:eastAsia="Times New Roman"/>
                <w:color w:val="000000"/>
              </w:rPr>
            </w:pPr>
            <w:r w:rsidRPr="00BE06EA">
              <w:t>20 845</w:t>
            </w:r>
          </w:p>
        </w:tc>
      </w:tr>
      <w:tr w:rsidR="00407A64" w:rsidRPr="008F2FD4" w14:paraId="2F83B63F" w14:textId="77777777" w:rsidTr="003348F2">
        <w:trPr>
          <w:trHeight w:val="300"/>
        </w:trPr>
        <w:tc>
          <w:tcPr>
            <w:tcW w:w="2410" w:type="dxa"/>
            <w:noWrap/>
          </w:tcPr>
          <w:p w14:paraId="6513D98A" w14:textId="15243527" w:rsidR="00407A64" w:rsidRPr="008F2FD4" w:rsidRDefault="00407A64" w:rsidP="00407A64">
            <w:pPr>
              <w:pStyle w:val="Tabletext"/>
            </w:pPr>
            <w:r w:rsidRPr="00BE06EA">
              <w:t>Victoria University</w:t>
            </w:r>
          </w:p>
        </w:tc>
        <w:tc>
          <w:tcPr>
            <w:tcW w:w="2720" w:type="dxa"/>
            <w:gridSpan w:val="2"/>
            <w:noWrap/>
          </w:tcPr>
          <w:p w14:paraId="458D5CD2" w14:textId="2917D88F" w:rsidR="00407A64" w:rsidRPr="008F2FD4" w:rsidRDefault="00407A64" w:rsidP="00407A64">
            <w:pPr>
              <w:pStyle w:val="Tabletext"/>
            </w:pPr>
            <w:r w:rsidRPr="00BE06EA">
              <w:t>Budget sensitivity analysis economic modelling</w:t>
            </w:r>
          </w:p>
        </w:tc>
        <w:tc>
          <w:tcPr>
            <w:tcW w:w="1341" w:type="dxa"/>
            <w:noWrap/>
          </w:tcPr>
          <w:p w14:paraId="5B2ECE63" w14:textId="12DBB30E" w:rsidR="00407A64" w:rsidRPr="008F2FD4" w:rsidRDefault="00407A64" w:rsidP="00407A64">
            <w:pPr>
              <w:pStyle w:val="Tabletextright"/>
            </w:pPr>
            <w:r w:rsidRPr="00BE06EA">
              <w:t>223 636</w:t>
            </w:r>
          </w:p>
        </w:tc>
        <w:tc>
          <w:tcPr>
            <w:tcW w:w="1250" w:type="dxa"/>
            <w:noWrap/>
          </w:tcPr>
          <w:p w14:paraId="2DB08D99" w14:textId="1170D00B" w:rsidR="00407A64" w:rsidRPr="008F2FD4" w:rsidRDefault="00407A64" w:rsidP="00407A64">
            <w:pPr>
              <w:pStyle w:val="Tabletextright"/>
            </w:pPr>
            <w:r w:rsidRPr="00BE06EA">
              <w:t>50 000</w:t>
            </w:r>
          </w:p>
        </w:tc>
        <w:tc>
          <w:tcPr>
            <w:tcW w:w="1305" w:type="dxa"/>
            <w:noWrap/>
          </w:tcPr>
          <w:p w14:paraId="6934F40E" w14:textId="2FE9F310" w:rsidR="00407A64" w:rsidRPr="008F2FD4" w:rsidRDefault="00407A64" w:rsidP="00407A64">
            <w:pPr>
              <w:pStyle w:val="Tabletextright"/>
            </w:pPr>
            <w:r w:rsidRPr="00BE06EA">
              <w:t>–</w:t>
            </w:r>
          </w:p>
        </w:tc>
      </w:tr>
      <w:tr w:rsidR="00407A64" w:rsidRPr="008F2FD4" w14:paraId="7AA225E5" w14:textId="77777777" w:rsidTr="003348F2">
        <w:trPr>
          <w:trHeight w:val="300"/>
        </w:trPr>
        <w:tc>
          <w:tcPr>
            <w:tcW w:w="2410" w:type="dxa"/>
            <w:noWrap/>
          </w:tcPr>
          <w:p w14:paraId="6AF35DB6" w14:textId="3D1E8813" w:rsidR="00407A64" w:rsidRPr="008F2FD4" w:rsidRDefault="00407A64" w:rsidP="00407A64">
            <w:pPr>
              <w:pStyle w:val="Tabletext"/>
            </w:pPr>
            <w:r w:rsidRPr="00BE06EA">
              <w:t>Victorian Aboriginal Child &amp; Community Agency Co Op Ltd</w:t>
            </w:r>
          </w:p>
        </w:tc>
        <w:tc>
          <w:tcPr>
            <w:tcW w:w="2720" w:type="dxa"/>
            <w:gridSpan w:val="2"/>
            <w:noWrap/>
          </w:tcPr>
          <w:p w14:paraId="155EEC42" w14:textId="575723E2" w:rsidR="00407A64" w:rsidRPr="008F2FD4" w:rsidRDefault="00407A64" w:rsidP="00407A64">
            <w:pPr>
              <w:pStyle w:val="Tabletext"/>
            </w:pPr>
            <w:r w:rsidRPr="00BE06EA">
              <w:t>Services to enable a partnership between Victorian Aboriginal Child and Community Agency (VACCA) and DTF to develop an Early Intervention Investment Framework (EIIF) Cultural Safety Framework</w:t>
            </w:r>
          </w:p>
        </w:tc>
        <w:tc>
          <w:tcPr>
            <w:tcW w:w="1341" w:type="dxa"/>
            <w:noWrap/>
          </w:tcPr>
          <w:p w14:paraId="759A4B0F" w14:textId="45086CEB" w:rsidR="00407A64" w:rsidRPr="008F2FD4" w:rsidRDefault="00407A64" w:rsidP="00407A64">
            <w:pPr>
              <w:pStyle w:val="Tabletextright"/>
            </w:pPr>
            <w:r w:rsidRPr="00BE06EA">
              <w:t>68 000</w:t>
            </w:r>
          </w:p>
        </w:tc>
        <w:tc>
          <w:tcPr>
            <w:tcW w:w="1250" w:type="dxa"/>
            <w:noWrap/>
          </w:tcPr>
          <w:p w14:paraId="3B3E694C" w14:textId="6F4748B6" w:rsidR="00407A64" w:rsidRPr="008F2FD4" w:rsidRDefault="00407A64" w:rsidP="00407A64">
            <w:pPr>
              <w:pStyle w:val="Tabletextright"/>
            </w:pPr>
            <w:r w:rsidRPr="00BE06EA">
              <w:t>34 000</w:t>
            </w:r>
          </w:p>
        </w:tc>
        <w:tc>
          <w:tcPr>
            <w:tcW w:w="1305" w:type="dxa"/>
            <w:noWrap/>
          </w:tcPr>
          <w:p w14:paraId="645A6358" w14:textId="1CBD6A0D" w:rsidR="00407A64" w:rsidRPr="008F2FD4" w:rsidRDefault="00407A64" w:rsidP="00407A64">
            <w:pPr>
              <w:pStyle w:val="Tabletextright"/>
            </w:pPr>
            <w:r w:rsidRPr="00BE06EA">
              <w:t>–</w:t>
            </w:r>
          </w:p>
        </w:tc>
      </w:tr>
      <w:tr w:rsidR="00407A64" w:rsidRPr="008F2FD4" w14:paraId="2998B04A" w14:textId="77777777" w:rsidTr="003348F2">
        <w:trPr>
          <w:trHeight w:val="300"/>
        </w:trPr>
        <w:tc>
          <w:tcPr>
            <w:tcW w:w="2410" w:type="dxa"/>
            <w:noWrap/>
          </w:tcPr>
          <w:p w14:paraId="3994B6DB" w14:textId="299A38FC" w:rsidR="00407A64" w:rsidRPr="008F2FD4" w:rsidRDefault="00407A64" w:rsidP="00407A64">
            <w:pPr>
              <w:pStyle w:val="Tabletext"/>
            </w:pPr>
            <w:proofErr w:type="spellStart"/>
            <w:r w:rsidRPr="00BE06EA">
              <w:t>Yamagigu</w:t>
            </w:r>
            <w:proofErr w:type="spellEnd"/>
            <w:r w:rsidRPr="00BE06EA">
              <w:t xml:space="preserve"> Consulting </w:t>
            </w:r>
          </w:p>
        </w:tc>
        <w:tc>
          <w:tcPr>
            <w:tcW w:w="2720" w:type="dxa"/>
            <w:gridSpan w:val="2"/>
            <w:noWrap/>
          </w:tcPr>
          <w:p w14:paraId="1937C25B" w14:textId="1C88E13C" w:rsidR="00407A64" w:rsidRPr="008F2FD4" w:rsidRDefault="00407A64" w:rsidP="00407A64">
            <w:pPr>
              <w:pStyle w:val="Tabletext"/>
            </w:pPr>
            <w:r w:rsidRPr="00BE06EA">
              <w:t>Better Regulation Victoria – First Peoples and Regulation Project</w:t>
            </w:r>
          </w:p>
        </w:tc>
        <w:tc>
          <w:tcPr>
            <w:tcW w:w="1341" w:type="dxa"/>
            <w:noWrap/>
          </w:tcPr>
          <w:p w14:paraId="0B27EBE3" w14:textId="4A356B6D" w:rsidR="00407A64" w:rsidRPr="008F2FD4" w:rsidRDefault="00407A64" w:rsidP="00407A64">
            <w:pPr>
              <w:pStyle w:val="Tabletextright"/>
            </w:pPr>
            <w:r w:rsidRPr="00BE06EA">
              <w:t>170 263</w:t>
            </w:r>
          </w:p>
        </w:tc>
        <w:tc>
          <w:tcPr>
            <w:tcW w:w="1250" w:type="dxa"/>
            <w:noWrap/>
          </w:tcPr>
          <w:p w14:paraId="15911A3E" w14:textId="7E670A03" w:rsidR="00407A64" w:rsidRPr="008F2FD4" w:rsidRDefault="00407A64" w:rsidP="00407A64">
            <w:pPr>
              <w:pStyle w:val="Tabletextright"/>
            </w:pPr>
            <w:r w:rsidRPr="00BE06EA">
              <w:t>60 000</w:t>
            </w:r>
          </w:p>
        </w:tc>
        <w:tc>
          <w:tcPr>
            <w:tcW w:w="1305" w:type="dxa"/>
            <w:noWrap/>
          </w:tcPr>
          <w:p w14:paraId="7AA86787" w14:textId="51F817FD" w:rsidR="00407A64" w:rsidRPr="008F2FD4" w:rsidRDefault="00407A64" w:rsidP="00407A64">
            <w:pPr>
              <w:pStyle w:val="Tabletextright"/>
            </w:pPr>
            <w:r w:rsidRPr="00BE06EA">
              <w:t>110 263</w:t>
            </w:r>
          </w:p>
        </w:tc>
      </w:tr>
      <w:tr w:rsidR="00407A64" w:rsidRPr="008F2FD4" w14:paraId="31D5F2B2" w14:textId="77777777" w:rsidTr="003348F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tcW w:w="2410" w:type="dxa"/>
            <w:noWrap/>
          </w:tcPr>
          <w:p w14:paraId="0211E4D8" w14:textId="311DB270" w:rsidR="00407A64" w:rsidRPr="008F2FD4" w:rsidRDefault="00407A64" w:rsidP="00407A64">
            <w:pPr>
              <w:pStyle w:val="Tabletext"/>
            </w:pPr>
            <w:r w:rsidRPr="009B1EE9">
              <w:rPr>
                <w:bCs/>
              </w:rPr>
              <w:t>Total</w:t>
            </w:r>
          </w:p>
        </w:tc>
        <w:tc>
          <w:tcPr>
            <w:tcW w:w="2720" w:type="dxa"/>
            <w:gridSpan w:val="2"/>
            <w:noWrap/>
            <w:vAlign w:val="center"/>
          </w:tcPr>
          <w:p w14:paraId="0384EAAB" w14:textId="24E1F3AC" w:rsidR="00407A64" w:rsidRPr="008F2FD4" w:rsidRDefault="00407A64" w:rsidP="00407A64">
            <w:pPr>
              <w:pStyle w:val="Tabletext"/>
            </w:pPr>
          </w:p>
        </w:tc>
        <w:tc>
          <w:tcPr>
            <w:tcW w:w="1341" w:type="dxa"/>
            <w:noWrap/>
          </w:tcPr>
          <w:p w14:paraId="1D2B5E71" w14:textId="4F82BE07" w:rsidR="00407A64" w:rsidRPr="008F2FD4" w:rsidRDefault="00407A64" w:rsidP="00407A64">
            <w:pPr>
              <w:pStyle w:val="Tabletextright"/>
            </w:pPr>
            <w:r w:rsidRPr="00436FD0">
              <w:t>22 958 261</w:t>
            </w:r>
          </w:p>
        </w:tc>
        <w:tc>
          <w:tcPr>
            <w:tcW w:w="1250" w:type="dxa"/>
            <w:noWrap/>
          </w:tcPr>
          <w:p w14:paraId="23D2E7FD" w14:textId="64E5219E" w:rsidR="00407A64" w:rsidRPr="008F2FD4" w:rsidRDefault="00407A64" w:rsidP="00407A64">
            <w:pPr>
              <w:pStyle w:val="Tabletextright"/>
            </w:pPr>
            <w:r w:rsidRPr="00436FD0">
              <w:t>11 418 125</w:t>
            </w:r>
          </w:p>
        </w:tc>
        <w:tc>
          <w:tcPr>
            <w:tcW w:w="1305" w:type="dxa"/>
            <w:noWrap/>
          </w:tcPr>
          <w:p w14:paraId="6D1AA26C" w14:textId="6007F678" w:rsidR="00407A64" w:rsidRPr="008F2FD4" w:rsidRDefault="00407A64" w:rsidP="00407A64">
            <w:pPr>
              <w:pStyle w:val="Tabletextright"/>
            </w:pPr>
            <w:r w:rsidRPr="00436FD0">
              <w:t>5 418 892</w:t>
            </w:r>
          </w:p>
        </w:tc>
      </w:tr>
    </w:tbl>
    <w:p w14:paraId="2929B1B7" w14:textId="77777777" w:rsidR="00246664" w:rsidRDefault="00246664" w:rsidP="00246664">
      <w:pPr>
        <w:pStyle w:val="NoteNormal"/>
        <w:contextualSpacing/>
      </w:pPr>
      <w:r>
        <w:t>Note:</w:t>
      </w:r>
    </w:p>
    <w:p w14:paraId="3F93720D" w14:textId="77777777" w:rsidR="00246664" w:rsidRDefault="00246664" w:rsidP="00246664">
      <w:pPr>
        <w:pStyle w:val="NoteNormal"/>
        <w:contextualSpacing/>
      </w:pPr>
      <w:r>
        <w:t>(a) Totals may not add due to rounding.</w:t>
      </w:r>
    </w:p>
    <w:p w14:paraId="168B3BE2" w14:textId="77777777" w:rsidR="00246664" w:rsidRDefault="00246664" w:rsidP="00246664"/>
    <w:p w14:paraId="76851ACD" w14:textId="77777777" w:rsidR="00246664" w:rsidRPr="00AA5CC1" w:rsidRDefault="00246664" w:rsidP="00246664"/>
    <w:p w14:paraId="6B62122C" w14:textId="4F2EC6FF" w:rsidR="00246664" w:rsidRDefault="00246664" w:rsidP="00246664">
      <w:pPr>
        <w:pStyle w:val="Heading3"/>
        <w:pageBreakBefore/>
        <w:tabs>
          <w:tab w:val="right" w:pos="9084"/>
        </w:tabs>
        <w:ind w:right="-58"/>
      </w:pPr>
      <w:r w:rsidRPr="00BC0ACB">
        <w:lastRenderedPageBreak/>
        <w:t>Details of consultancies (valued at less than $10</w:t>
      </w:r>
      <w:r w:rsidRPr="00BC0ACB">
        <w:rPr>
          <w:rFonts w:ascii="Calibri" w:hAnsi="Calibri" w:cs="Calibri"/>
        </w:rPr>
        <w:t> </w:t>
      </w:r>
      <w:r w:rsidRPr="00BC0ACB">
        <w:t>000)</w:t>
      </w:r>
    </w:p>
    <w:tbl>
      <w:tblPr>
        <w:tblStyle w:val="DTFtexttable"/>
        <w:tblW w:w="9090" w:type="dxa"/>
        <w:tblLayout w:type="fixed"/>
        <w:tblLook w:val="0460" w:firstRow="1" w:lastRow="1" w:firstColumn="0" w:lastColumn="0" w:noHBand="0" w:noVBand="1"/>
      </w:tblPr>
      <w:tblGrid>
        <w:gridCol w:w="2520"/>
        <w:gridCol w:w="2430"/>
        <w:gridCol w:w="57"/>
        <w:gridCol w:w="1473"/>
        <w:gridCol w:w="1260"/>
        <w:gridCol w:w="1350"/>
      </w:tblGrid>
      <w:tr w:rsidR="00246664" w:rsidRPr="00E25907" w14:paraId="1EA2FBC9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0"/>
        </w:trPr>
        <w:tc>
          <w:tcPr>
            <w:tcW w:w="2520" w:type="dxa"/>
            <w:vAlign w:val="bottom"/>
            <w:hideMark/>
          </w:tcPr>
          <w:p w14:paraId="2C600AD0" w14:textId="77777777" w:rsidR="00246664" w:rsidRPr="00E25907" w:rsidRDefault="00246664">
            <w:pPr>
              <w:pStyle w:val="Tableheader"/>
              <w:jc w:val="both"/>
              <w:rPr>
                <w:sz w:val="17"/>
                <w:szCs w:val="17"/>
              </w:rPr>
            </w:pPr>
            <w:bookmarkStart w:id="0" w:name="_Hlk17809178"/>
            <w:r w:rsidRPr="00E25907">
              <w:rPr>
                <w:sz w:val="17"/>
                <w:szCs w:val="17"/>
              </w:rPr>
              <w:t>Consultant engaged</w:t>
            </w:r>
          </w:p>
        </w:tc>
        <w:tc>
          <w:tcPr>
            <w:tcW w:w="2487" w:type="dxa"/>
            <w:gridSpan w:val="2"/>
            <w:vAlign w:val="bottom"/>
            <w:hideMark/>
          </w:tcPr>
          <w:p w14:paraId="7B8B8588" w14:textId="77777777" w:rsidR="00246664" w:rsidRPr="00E25907" w:rsidRDefault="00246664">
            <w:pPr>
              <w:pStyle w:val="Tableheader"/>
              <w:rPr>
                <w:sz w:val="17"/>
                <w:szCs w:val="17"/>
              </w:rPr>
            </w:pPr>
            <w:r w:rsidRPr="00E25907">
              <w:rPr>
                <w:sz w:val="17"/>
                <w:szCs w:val="17"/>
              </w:rPr>
              <w:t>Purpose of consultancy</w:t>
            </w:r>
          </w:p>
        </w:tc>
        <w:tc>
          <w:tcPr>
            <w:tcW w:w="1473" w:type="dxa"/>
            <w:vAlign w:val="bottom"/>
            <w:hideMark/>
          </w:tcPr>
          <w:p w14:paraId="328EA68C" w14:textId="77777777" w:rsidR="00246664" w:rsidRPr="00E25907" w:rsidRDefault="00246664" w:rsidP="00A97760">
            <w:pPr>
              <w:pStyle w:val="Tableheader"/>
              <w:jc w:val="right"/>
              <w:rPr>
                <w:b w:val="0"/>
                <w:sz w:val="17"/>
                <w:szCs w:val="17"/>
              </w:rPr>
            </w:pPr>
            <w:r w:rsidRPr="00E25907">
              <w:rPr>
                <w:sz w:val="17"/>
                <w:szCs w:val="17"/>
              </w:rPr>
              <w:t>Total approved project fee (excl. GST)</w:t>
            </w:r>
            <w:r>
              <w:rPr>
                <w:bCs/>
                <w:sz w:val="17"/>
              </w:rPr>
              <w:t xml:space="preserve"> </w:t>
            </w:r>
            <w:r>
              <w:rPr>
                <w:bCs/>
                <w:sz w:val="17"/>
              </w:rPr>
              <w:br/>
              <w:t>($)</w:t>
            </w:r>
            <w:r>
              <w:rPr>
                <w:sz w:val="17"/>
                <w:szCs w:val="17"/>
              </w:rPr>
              <w:t xml:space="preserve"> </w:t>
            </w:r>
          </w:p>
        </w:tc>
        <w:tc>
          <w:tcPr>
            <w:tcW w:w="1260" w:type="dxa"/>
            <w:vAlign w:val="bottom"/>
            <w:hideMark/>
          </w:tcPr>
          <w:p w14:paraId="25981151" w14:textId="6A6E4F58" w:rsidR="00246664" w:rsidRPr="00E25907" w:rsidRDefault="00246664" w:rsidP="00A97760">
            <w:pPr>
              <w:pStyle w:val="Tableheader"/>
              <w:jc w:val="right"/>
              <w:rPr>
                <w:b w:val="0"/>
                <w:sz w:val="17"/>
                <w:szCs w:val="17"/>
              </w:rPr>
            </w:pPr>
            <w:r w:rsidRPr="00E25907">
              <w:rPr>
                <w:sz w:val="17"/>
                <w:szCs w:val="17"/>
              </w:rPr>
              <w:t xml:space="preserve">Expenditure </w:t>
            </w:r>
            <w:r w:rsidRPr="027660E0">
              <w:rPr>
                <w:sz w:val="17"/>
                <w:szCs w:val="17"/>
              </w:rPr>
              <w:t>202</w:t>
            </w:r>
            <w:r w:rsidR="00FE379A">
              <w:rPr>
                <w:sz w:val="17"/>
                <w:szCs w:val="17"/>
              </w:rPr>
              <w:t>4</w:t>
            </w:r>
            <w:r w:rsidRPr="027660E0">
              <w:rPr>
                <w:sz w:val="17"/>
                <w:szCs w:val="17"/>
              </w:rPr>
              <w:t>-2</w:t>
            </w:r>
            <w:r w:rsidR="00FE379A">
              <w:rPr>
                <w:sz w:val="17"/>
                <w:szCs w:val="17"/>
              </w:rPr>
              <w:t>5</w:t>
            </w:r>
            <w:r>
              <w:br/>
            </w:r>
            <w:r w:rsidRPr="00E25907">
              <w:rPr>
                <w:sz w:val="17"/>
                <w:szCs w:val="17"/>
              </w:rPr>
              <w:t>(excl. GST)</w:t>
            </w:r>
            <w:r w:rsidRPr="479BAD2D">
              <w:rPr>
                <w:sz w:val="17"/>
                <w:szCs w:val="17"/>
              </w:rPr>
              <w:t xml:space="preserve"> </w:t>
            </w:r>
            <w:r>
              <w:br/>
            </w:r>
            <w:r w:rsidRPr="479BAD2D">
              <w:rPr>
                <w:sz w:val="17"/>
                <w:szCs w:val="17"/>
              </w:rPr>
              <w:t>($)</w:t>
            </w:r>
          </w:p>
        </w:tc>
        <w:tc>
          <w:tcPr>
            <w:tcW w:w="1350" w:type="dxa"/>
            <w:vAlign w:val="bottom"/>
            <w:hideMark/>
          </w:tcPr>
          <w:p w14:paraId="55DD1CB4" w14:textId="77777777" w:rsidR="00246664" w:rsidRPr="00E25907" w:rsidRDefault="00246664" w:rsidP="00A97760">
            <w:pPr>
              <w:pStyle w:val="Tableheader"/>
              <w:jc w:val="right"/>
              <w:rPr>
                <w:b w:val="0"/>
                <w:sz w:val="17"/>
                <w:szCs w:val="17"/>
              </w:rPr>
            </w:pPr>
            <w:r w:rsidRPr="00E25907">
              <w:rPr>
                <w:sz w:val="17"/>
                <w:szCs w:val="17"/>
              </w:rPr>
              <w:t>Future expenditure</w:t>
            </w:r>
            <w:r w:rsidRPr="00E25907">
              <w:rPr>
                <w:sz w:val="17"/>
                <w:szCs w:val="17"/>
              </w:rPr>
              <w:br/>
              <w:t>(excl. GST)</w:t>
            </w:r>
            <w:r>
              <w:rPr>
                <w:bCs/>
                <w:sz w:val="17"/>
              </w:rPr>
              <w:t xml:space="preserve"> </w:t>
            </w:r>
            <w:r>
              <w:rPr>
                <w:bCs/>
                <w:sz w:val="17"/>
              </w:rPr>
              <w:br/>
              <w:t>($)</w:t>
            </w:r>
          </w:p>
        </w:tc>
      </w:tr>
      <w:tr w:rsidR="009F3285" w:rsidRPr="00F86E0F" w14:paraId="0A9D1800" w14:textId="77777777">
        <w:trPr>
          <w:trHeight w:val="300"/>
        </w:trPr>
        <w:tc>
          <w:tcPr>
            <w:tcW w:w="2520" w:type="dxa"/>
          </w:tcPr>
          <w:p w14:paraId="6DA2120D" w14:textId="0FFA2D2F" w:rsidR="009F3285" w:rsidRPr="00160929" w:rsidRDefault="009F3285" w:rsidP="009F3285">
            <w:pPr>
              <w:pStyle w:val="Tabletext"/>
            </w:pPr>
            <w:r w:rsidRPr="009C1CE5">
              <w:t>BIS OXFORD ECONOMICS</w:t>
            </w:r>
          </w:p>
        </w:tc>
        <w:tc>
          <w:tcPr>
            <w:tcW w:w="2430" w:type="dxa"/>
          </w:tcPr>
          <w:p w14:paraId="7D9B7A39" w14:textId="0BA424AA" w:rsidR="009F3285" w:rsidRPr="00012311" w:rsidRDefault="009F3285" w:rsidP="009F3285">
            <w:pPr>
              <w:pStyle w:val="Tabletext"/>
            </w:pPr>
            <w:r w:rsidRPr="009C1CE5">
              <w:t>Cost escalation workshop &amp; advice</w:t>
            </w:r>
          </w:p>
        </w:tc>
        <w:tc>
          <w:tcPr>
            <w:tcW w:w="1530" w:type="dxa"/>
            <w:gridSpan w:val="2"/>
            <w:noWrap/>
          </w:tcPr>
          <w:p w14:paraId="50ACE680" w14:textId="331F5743" w:rsidR="009F3285" w:rsidRPr="002E2E20" w:rsidRDefault="009F3285" w:rsidP="009F3285">
            <w:pPr>
              <w:pStyle w:val="Tabletextright"/>
            </w:pPr>
            <w:r w:rsidRPr="009C1CE5">
              <w:t>5 000</w:t>
            </w:r>
          </w:p>
        </w:tc>
        <w:tc>
          <w:tcPr>
            <w:tcW w:w="1260" w:type="dxa"/>
            <w:noWrap/>
          </w:tcPr>
          <w:p w14:paraId="141397D7" w14:textId="54638672" w:rsidR="009F3285" w:rsidRPr="002E2E20" w:rsidRDefault="009F3285" w:rsidP="009F3285">
            <w:pPr>
              <w:pStyle w:val="Tabletextright"/>
            </w:pPr>
            <w:r w:rsidRPr="009C1CE5">
              <w:t>5 000</w:t>
            </w:r>
          </w:p>
        </w:tc>
        <w:tc>
          <w:tcPr>
            <w:tcW w:w="1350" w:type="dxa"/>
            <w:noWrap/>
          </w:tcPr>
          <w:p w14:paraId="4EB4D6B1" w14:textId="4E371A35" w:rsidR="009F3285" w:rsidRPr="002E2E20" w:rsidRDefault="009F3285" w:rsidP="009F3285">
            <w:pPr>
              <w:pStyle w:val="Tabletextright"/>
            </w:pPr>
            <w:r>
              <w:t>-</w:t>
            </w:r>
          </w:p>
        </w:tc>
      </w:tr>
      <w:tr w:rsidR="009F3285" w:rsidRPr="00F86E0F" w14:paraId="2B9E6990" w14:textId="77777777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tcW w:w="2520" w:type="dxa"/>
          </w:tcPr>
          <w:p w14:paraId="76B663CD" w14:textId="6AD64DFA" w:rsidR="009F3285" w:rsidRPr="00C74BD2" w:rsidRDefault="009F3285" w:rsidP="009F3285">
            <w:pPr>
              <w:pStyle w:val="Tabletext"/>
            </w:pPr>
            <w:r w:rsidRPr="009B1EE9">
              <w:rPr>
                <w:bCs/>
              </w:rPr>
              <w:t>Total</w:t>
            </w:r>
          </w:p>
        </w:tc>
        <w:tc>
          <w:tcPr>
            <w:tcW w:w="2430" w:type="dxa"/>
            <w:vAlign w:val="center"/>
          </w:tcPr>
          <w:p w14:paraId="4E1FB6DE" w14:textId="703D2F72" w:rsidR="009F3285" w:rsidRPr="00C74BD2" w:rsidRDefault="009F3285" w:rsidP="009F3285">
            <w:pPr>
              <w:pStyle w:val="Tabletext"/>
            </w:pPr>
          </w:p>
        </w:tc>
        <w:tc>
          <w:tcPr>
            <w:tcW w:w="1530" w:type="dxa"/>
            <w:gridSpan w:val="2"/>
            <w:noWrap/>
          </w:tcPr>
          <w:p w14:paraId="31B7452E" w14:textId="5BDBD5C8" w:rsidR="009F3285" w:rsidRPr="00C74BD2" w:rsidRDefault="009F3285" w:rsidP="009F3285">
            <w:pPr>
              <w:pStyle w:val="Tabletextright"/>
            </w:pPr>
            <w:r w:rsidRPr="00301649">
              <w:t>5 000</w:t>
            </w:r>
          </w:p>
        </w:tc>
        <w:tc>
          <w:tcPr>
            <w:tcW w:w="1260" w:type="dxa"/>
            <w:noWrap/>
          </w:tcPr>
          <w:p w14:paraId="5EE5CA14" w14:textId="2E33841A" w:rsidR="009F3285" w:rsidRPr="00C74BD2" w:rsidRDefault="009F3285" w:rsidP="009F3285">
            <w:pPr>
              <w:pStyle w:val="Tabletextright"/>
            </w:pPr>
            <w:r w:rsidRPr="00301649">
              <w:t>5 000</w:t>
            </w:r>
          </w:p>
        </w:tc>
        <w:tc>
          <w:tcPr>
            <w:tcW w:w="1350" w:type="dxa"/>
            <w:noWrap/>
          </w:tcPr>
          <w:p w14:paraId="30864F56" w14:textId="34FF17C0" w:rsidR="009F3285" w:rsidRPr="00C74BD2" w:rsidRDefault="009F3285" w:rsidP="009F3285">
            <w:pPr>
              <w:pStyle w:val="Tabletextright"/>
            </w:pPr>
            <w:r>
              <w:t>-</w:t>
            </w:r>
          </w:p>
        </w:tc>
      </w:tr>
    </w:tbl>
    <w:bookmarkEnd w:id="0"/>
    <w:p w14:paraId="44F3C48E" w14:textId="77777777" w:rsidR="00246664" w:rsidRDefault="00246664" w:rsidP="00246664">
      <w:pPr>
        <w:pStyle w:val="NoteNormal"/>
        <w:contextualSpacing/>
      </w:pPr>
      <w:r>
        <w:t>Note:</w:t>
      </w:r>
    </w:p>
    <w:p w14:paraId="56C86708" w14:textId="77777777" w:rsidR="00246664" w:rsidRDefault="00246664" w:rsidP="00246664">
      <w:pPr>
        <w:pStyle w:val="NoteNormal"/>
        <w:contextualSpacing/>
      </w:pPr>
      <w:r>
        <w:t>(a) Totals may not add due to rounding.</w:t>
      </w:r>
    </w:p>
    <w:p w14:paraId="612589E0" w14:textId="47E39CAA" w:rsidR="00246664" w:rsidRDefault="00246664" w:rsidP="00246664">
      <w:pPr>
        <w:rPr>
          <w:rFonts w:eastAsiaTheme="majorEastAsia"/>
        </w:rPr>
      </w:pPr>
    </w:p>
    <w:sectPr w:rsidR="00246664" w:rsidSect="00CA24D2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2160" w:right="1440" w:bottom="1350" w:left="1440" w:header="706" w:footer="46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0886E8" w14:textId="77777777" w:rsidR="00827C9F" w:rsidRDefault="00827C9F" w:rsidP="002D711A">
      <w:pPr>
        <w:spacing w:after="0" w:line="240" w:lineRule="auto"/>
      </w:pPr>
      <w:r>
        <w:separator/>
      </w:r>
    </w:p>
  </w:endnote>
  <w:endnote w:type="continuationSeparator" w:id="0">
    <w:p w14:paraId="27CF97A6" w14:textId="77777777" w:rsidR="00827C9F" w:rsidRDefault="00827C9F" w:rsidP="002D711A">
      <w:pPr>
        <w:spacing w:after="0" w:line="240" w:lineRule="auto"/>
      </w:pPr>
      <w:r>
        <w:continuationSeparator/>
      </w:r>
    </w:p>
  </w:endnote>
  <w:endnote w:type="continuationNotice" w:id="1">
    <w:p w14:paraId="3AF60AFD" w14:textId="77777777" w:rsidR="00827C9F" w:rsidRDefault="00827C9F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D0A5F4F-B460-45FC-A74A-7E09B199CD6C}"/>
    <w:embedBold r:id="rId2" w:fontKey="{94FCD672-9EC5-406D-9305-9F959A741CA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IC">
    <w:altName w:val="Cambria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IC SemiBold">
    <w:altName w:val="Cambria"/>
    <w:panose1 w:val="000007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C4EF31DA-764B-4CF4-B30E-3B56145BB93F}"/>
  </w:font>
  <w:font w:name="AGaramondPro-Regular">
    <w:altName w:val="HGPMinchoE"/>
    <w:charset w:val="4D"/>
    <w:family w:val="auto"/>
    <w:pitch w:val="default"/>
    <w:sig w:usb0="03000003" w:usb1="00000000" w:usb2="00000000" w:usb3="00000000" w:csb0="00000001" w:csb1="00000000"/>
  </w:font>
  <w:font w:name="VIC Medium">
    <w:panose1 w:val="000006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5BA47D1-702C-4879-9A14-46C7E1FBACD3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5" w:fontKey="{803E195E-1B37-42EB-8FFE-EACDF7BBBABD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EA45D3B-EAE6-4585-BB2F-CE351CB22512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C74A7279-D57F-4799-BFE6-958AE41803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FD35F6" w14:textId="11BB7C79" w:rsidR="00C33ED7" w:rsidRDefault="00C87F22">
    <w:pPr>
      <w:pStyle w:val="Footer"/>
    </w:pPr>
    <w:r>
      <mc:AlternateContent>
        <mc:Choice Requires="wps">
          <w:drawing>
            <wp:anchor distT="0" distB="0" distL="0" distR="0" simplePos="0" relativeHeight="251658243" behindDoc="0" locked="0" layoutInCell="1" allowOverlap="1" wp14:anchorId="60A2D7EB" wp14:editId="1CDAB2B6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759460" cy="454025"/>
              <wp:effectExtent l="0" t="0" r="2540" b="0"/>
              <wp:wrapNone/>
              <wp:docPr id="1572513388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9460" cy="454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8557F2A" w14:textId="02FC7788" w:rsidR="00C87F22" w:rsidRPr="00C87F22" w:rsidRDefault="00C87F22" w:rsidP="00C87F22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2"/>
                              <w:szCs w:val="22"/>
                            </w:rPr>
                          </w:pPr>
                          <w:r w:rsidRPr="00C87F22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2"/>
                              <w:szCs w:val="22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A2D7E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59.8pt;height:35.75pt;z-index:251658243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MZgDQIAABoEAAAOAAAAZHJzL2Uyb0RvYy54bWysU8Fu2zAMvQ/YPwi6L3aCpFuNOEXWIsOA&#10;oC2QDj3LshQbkERBUmJnXz9KdpKu22nYRaZI+pF8fFre9VqRo3C+BVPS6SSnRBgOdWv2Jf3xsvn0&#10;hRIfmKmZAiNKehKe3q0+flh2thAzaEDVwhEEMb7obEmbEGyRZZ43QjM/ASsMBiU4zQJe3T6rHesQ&#10;Xatsluc3WQeutg648B69D0OQrhK+lIKHJym9CESVFHsL6XTprOKZrZas2Dtmm5aPbbB/6EKz1mDR&#10;C9QDC4wcXPsHlG65Aw8yTDjoDKRsuUgz4DTT/N00u4ZZkWZBcry90OT/Hyx/PO7ssyOh/wo9LjAS&#10;0llfeHTGeXrpdPxipwTjSOHpQpvoA+Ho/Ly4nd9ghGNovpjns0VEya4/W+fDNwGaRKOkDreSyGLH&#10;rQ9D6jkl1jKwaZVKm1HmNwdiRk927TBaoa/6se0K6hNO42BYtLd802LNLfPhmTncLLaJag1PeEgF&#10;XUlhtChpwP38mz/mI+EYpaRDpZTUoJQpUd8NLmKGA+dRWemGhjsbVTKmt/kixs1B3wOKcIrvwfJk&#10;xuSgzqZ0oF9RzOtYDUPMcKxZ0ups3odBt/gYuFivUxKKyLKwNTvLI3QkKzL50r8yZ0e6A+7pEc5a&#10;YsU71ofc+Ke360NA7tNKIrEDmyPfKMC01PGxRIW/vaes65Ne/QIAAP//AwBQSwMEFAAGAAgAAAAh&#10;ADSTe8LaAAAABAEAAA8AAABkcnMvZG93bnJldi54bWxMj81OwzAQhO9IfQdrkbhRJ5UIJcSpqvIj&#10;rqRIcHTibRw1Xoes24a3x+VSLiuNZjTzbbGaXC+OOHLnSUE6T0AgNd501Cr42L7cLkFw0GR07wkV&#10;/CDDqpxdFTo3/kTveKxCK2IJca4V2BCGXEpuLDrNcz8gRW/nR6dDlGMrzahPsdz1cpEkmXS6o7hg&#10;9YAbi82+OjgF2dPr2g6f2df3bsFvXPt9qPyzUjfX0/oRRMApXMJwxo/oUEam2h/IsOgVxEfC3z17&#10;6UMGolZwn96BLAv5H778BQAA//8DAFBLAQItABQABgAIAAAAIQC2gziS/gAAAOEBAAATAAAAAAAA&#10;AAAAAAAAAAAAAABbQ29udGVudF9UeXBlc10ueG1sUEsBAi0AFAAGAAgAAAAhADj9If/WAAAAlAEA&#10;AAsAAAAAAAAAAAAAAAAALwEAAF9yZWxzLy5yZWxzUEsBAi0AFAAGAAgAAAAhANzQxmANAgAAGgQA&#10;AA4AAAAAAAAAAAAAAAAALgIAAGRycy9lMm9Eb2MueG1sUEsBAi0AFAAGAAgAAAAhADSTe8LaAAAA&#10;BAEAAA8AAAAAAAAAAAAAAAAAZwQAAGRycy9kb3ducmV2LnhtbFBLBQYAAAAABAAEAPMAAABuBQAA&#10;AAA=&#10;" filled="f" stroked="f">
              <v:textbox style="mso-fit-shape-to-text:t" inset="20pt,0,0,15pt">
                <w:txbxContent>
                  <w:p w14:paraId="78557F2A" w14:textId="02FC7788" w:rsidR="00C87F22" w:rsidRPr="00C87F22" w:rsidRDefault="00C87F22" w:rsidP="00C87F22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2"/>
                        <w:szCs w:val="22"/>
                      </w:rPr>
                    </w:pPr>
                    <w:r w:rsidRPr="00C87F22">
                      <w:rPr>
                        <w:rFonts w:ascii="Calibri" w:eastAsia="Calibri" w:hAnsi="Calibri" w:cs="Calibri"/>
                        <w:noProof/>
                        <w:color w:val="000000"/>
                        <w:sz w:val="22"/>
                        <w:szCs w:val="22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FA76DB" w14:textId="4B7E4C71" w:rsidR="008410BD" w:rsidRPr="00CF61ED" w:rsidRDefault="00C87F22" w:rsidP="00522F8A">
    <w:pPr>
      <w:pStyle w:val="Footer"/>
      <w:rPr>
        <w:rStyle w:val="PageNumber"/>
        <w:sz w:val="15"/>
      </w:rPr>
    </w:pPr>
    <w:r>
      <w:rPr>
        <w:b/>
        <w:color w:val="auto"/>
        <w:sz w:val="15"/>
      </w:rPr>
      <mc:AlternateContent>
        <mc:Choice Requires="wps">
          <w:drawing>
            <wp:anchor distT="0" distB="0" distL="0" distR="0" simplePos="0" relativeHeight="251658244" behindDoc="0" locked="0" layoutInCell="1" allowOverlap="1" wp14:anchorId="72C0E188" wp14:editId="0810886C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759460" cy="454025"/>
              <wp:effectExtent l="0" t="0" r="2540" b="0"/>
              <wp:wrapNone/>
              <wp:docPr id="523714256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9460" cy="454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006340" w14:textId="5FEC6983" w:rsidR="00C87F22" w:rsidRPr="00C87F22" w:rsidRDefault="00C87F22" w:rsidP="00C87F22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2"/>
                              <w:szCs w:val="22"/>
                            </w:rPr>
                          </w:pPr>
                          <w:r w:rsidRPr="00C87F22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2"/>
                              <w:szCs w:val="22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C0E18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59.8pt;height:35.75pt;z-index:25165824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sQ+EAIAACEEAAAOAAAAZHJzL2Uyb0RvYy54bWysU01v2zAMvQ/YfxB0X+wESbcacYqsRYYB&#10;QVsgHXqWZSk2IImCpMTOfv0oOU66bqdhF5kiaX6897S867UiR+F8C6ak00lOiTAc6tbsS/rjZfPp&#10;CyU+MFMzBUaU9CQ8vVt9/LDsbCFm0ICqhSNYxPiisyVtQrBFlnneCM38BKwwGJTgNAt4dfusdqzD&#10;6lplszy/yTpwtXXAhffofRiCdJXqSyl4eJLSi0BUSXG2kE6Xziqe2WrJir1jtmn5eQz2D1No1hps&#10;ein1wAIjB9f+UUq33IEHGSYcdAZStlykHXCbaf5um13DrEi7IDjeXmDy/68sfzzu7LMjof8KPRIY&#10;AemsLzw64z69dDp+cVKCcYTwdIFN9IFwdH5e3M5vMMIxNF/M89kiVsmuP1vnwzcBmkSjpA5ZSWCx&#10;49aHIXVMib0MbFqlEjPK/ObAmtGTXSeMVuirnrT1m+krqE+4lIOBb2/5psXWW+bDM3NIME6Log1P&#10;eEgFXUnhbFHSgPv5N3/MR9wxSkmHgimpQUVTor4b5GOGe+dRYOmGhhuNKhnT23wR4+ag7wG1OMVn&#10;YXkyY3JQoykd6FfU9Dp2wxAzHHuWtBrN+zDIF98EF+t1SkItWRa2Zmd5LB0xi4C+9K/M2TPqAel6&#10;hFFSrHgH/pAb//R2fQhIQWIm4jugeYYddZi4Pb+ZKPS395R1fdmrXwAAAP//AwBQSwMEFAAGAAgA&#10;AAAhADSTe8LaAAAABAEAAA8AAABkcnMvZG93bnJldi54bWxMj81OwzAQhO9IfQdrkbhRJ5UIJcSp&#10;qvIjrqRIcHTibRw1Xoes24a3x+VSLiuNZjTzbbGaXC+OOHLnSUE6T0AgNd501Cr42L7cLkFw0GR0&#10;7wkV/CDDqpxdFTo3/kTveKxCK2IJca4V2BCGXEpuLDrNcz8gRW/nR6dDlGMrzahPsdz1cpEkmXS6&#10;o7hg9YAbi82+OjgF2dPr2g6f2df3bsFvXPt9qPyzUjfX0/oRRMApXMJwxo/oUEam2h/IsOgVxEfC&#10;3z176UMGolZwn96BLAv5H778BQAA//8DAFBLAQItABQABgAIAAAAIQC2gziS/gAAAOEBAAATAAAA&#10;AAAAAAAAAAAAAAAAAABbQ29udGVudF9UeXBlc10ueG1sUEsBAi0AFAAGAAgAAAAhADj9If/WAAAA&#10;lAEAAAsAAAAAAAAAAAAAAAAALwEAAF9yZWxzLy5yZWxzUEsBAi0AFAAGAAgAAAAhANB+xD4QAgAA&#10;IQQAAA4AAAAAAAAAAAAAAAAALgIAAGRycy9lMm9Eb2MueG1sUEsBAi0AFAAGAAgAAAAhADSTe8La&#10;AAAABAEAAA8AAAAAAAAAAAAAAAAAagQAAGRycy9kb3ducmV2LnhtbFBLBQYAAAAABAAEAPMAAABx&#10;BQAAAAA=&#10;" filled="f" stroked="f">
              <v:textbox style="mso-fit-shape-to-text:t" inset="20pt,0,0,15pt">
                <w:txbxContent>
                  <w:p w14:paraId="2E006340" w14:textId="5FEC6983" w:rsidR="00C87F22" w:rsidRPr="00C87F22" w:rsidRDefault="00C87F22" w:rsidP="00C87F22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2"/>
                        <w:szCs w:val="22"/>
                      </w:rPr>
                    </w:pPr>
                    <w:r w:rsidRPr="00C87F22">
                      <w:rPr>
                        <w:rFonts w:ascii="Calibri" w:eastAsia="Calibri" w:hAnsi="Calibri" w:cs="Calibri"/>
                        <w:noProof/>
                        <w:color w:val="000000"/>
                        <w:sz w:val="22"/>
                        <w:szCs w:val="22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410BD" w:rsidRPr="00E21505">
      <w:rPr>
        <w:b/>
        <w:noProof w:val="0"/>
        <w:color w:val="auto"/>
        <w:sz w:val="15"/>
      </w:rPr>
      <w:fldChar w:fldCharType="begin"/>
    </w:r>
    <w:r w:rsidR="008410BD" w:rsidRPr="00E21505">
      <w:rPr>
        <w:b/>
        <w:color w:val="auto"/>
        <w:sz w:val="15"/>
      </w:rPr>
      <w:instrText xml:space="preserve"> StyleRef “Title” </w:instrText>
    </w:r>
    <w:r w:rsidR="008410BD" w:rsidRPr="00E21505">
      <w:rPr>
        <w:b/>
        <w:noProof w:val="0"/>
        <w:color w:val="auto"/>
        <w:sz w:val="15"/>
      </w:rPr>
      <w:fldChar w:fldCharType="separate"/>
    </w:r>
    <w:r w:rsidR="00383C7F">
      <w:rPr>
        <w:b/>
        <w:color w:val="auto"/>
        <w:sz w:val="15"/>
      </w:rPr>
      <w:t>Department of Treasury and Finance 2024–25 Annual Report</w:t>
    </w:r>
    <w:r w:rsidR="008410BD" w:rsidRPr="00E21505">
      <w:rPr>
        <w:b/>
        <w:color w:val="auto"/>
        <w:sz w:val="15"/>
      </w:rPr>
      <w:fldChar w:fldCharType="end"/>
    </w:r>
    <w:r w:rsidR="00732328">
      <w:rPr>
        <w:b/>
        <w:color w:val="auto"/>
        <w:sz w:val="15"/>
      </w:rPr>
      <w:t xml:space="preserve"> – </w:t>
    </w:r>
    <w:r w:rsidR="00E21505" w:rsidRPr="00E21505">
      <w:rPr>
        <w:bCs/>
        <w:color w:val="auto"/>
        <w:sz w:val="15"/>
      </w:rPr>
      <w:t>Consultants</w:t>
    </w:r>
    <w:r w:rsidR="008410BD" w:rsidRPr="00CF61ED">
      <w:rPr>
        <w:sz w:val="15"/>
      </w:rPr>
      <w:tab/>
      <w:t xml:space="preserve">Page </w:t>
    </w:r>
    <w:r w:rsidR="008410BD" w:rsidRPr="00CF61ED">
      <w:rPr>
        <w:rStyle w:val="PageNumber"/>
        <w:sz w:val="15"/>
      </w:rPr>
      <w:fldChar w:fldCharType="begin"/>
    </w:r>
    <w:r w:rsidR="008410BD" w:rsidRPr="00CF61ED">
      <w:rPr>
        <w:rStyle w:val="PageNumber"/>
        <w:sz w:val="15"/>
      </w:rPr>
      <w:instrText xml:space="preserve"> Page </w:instrText>
    </w:r>
    <w:r w:rsidR="008410BD" w:rsidRPr="00CF61ED">
      <w:rPr>
        <w:rStyle w:val="PageNumber"/>
        <w:sz w:val="15"/>
      </w:rPr>
      <w:fldChar w:fldCharType="separate"/>
    </w:r>
    <w:r w:rsidR="008410BD" w:rsidRPr="00CF61ED">
      <w:rPr>
        <w:rStyle w:val="PageNumber"/>
        <w:sz w:val="15"/>
      </w:rPr>
      <w:t>1</w:t>
    </w:r>
    <w:r w:rsidR="008410BD" w:rsidRPr="00CF61ED">
      <w:rPr>
        <w:rStyle w:val="PageNumber"/>
        <w:sz w:val="15"/>
      </w:rPr>
      <w:fldChar w:fldCharType="end"/>
    </w:r>
  </w:p>
  <w:p w14:paraId="23AE4DD5" w14:textId="77777777" w:rsidR="008410BD" w:rsidRPr="00C022F9" w:rsidRDefault="008410BD" w:rsidP="00522F8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97A0C5" w14:textId="1BB70ACC" w:rsidR="008410BD" w:rsidRDefault="00C87F22" w:rsidP="00CA24D2">
    <w:pPr>
      <w:pStyle w:val="Footer"/>
      <w:tabs>
        <w:tab w:val="clear" w:pos="9026"/>
      </w:tabs>
      <w:ind w:right="-604"/>
      <w:jc w:val="right"/>
    </w:pPr>
    <w:r>
      <mc:AlternateContent>
        <mc:Choice Requires="wps">
          <w:drawing>
            <wp:anchor distT="0" distB="0" distL="0" distR="0" simplePos="0" relativeHeight="251658242" behindDoc="0" locked="0" layoutInCell="1" allowOverlap="1" wp14:anchorId="0AFFED49" wp14:editId="5D5AD7C6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759460" cy="454025"/>
              <wp:effectExtent l="0" t="0" r="2540" b="0"/>
              <wp:wrapNone/>
              <wp:docPr id="2050823017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9460" cy="454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3F2E4B" w14:textId="10DFA560" w:rsidR="00C87F22" w:rsidRPr="00C87F22" w:rsidRDefault="00C87F22" w:rsidP="00C87F22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2"/>
                              <w:szCs w:val="22"/>
                            </w:rPr>
                          </w:pPr>
                          <w:r w:rsidRPr="00C87F22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2"/>
                              <w:szCs w:val="22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FFED4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OFFICIAL" style="position:absolute;left:0;text-align:left;margin-left:0;margin-top:0;width:59.8pt;height:35.75pt;z-index:25165824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Dd8EgIAACEEAAAOAAAAZHJzL2Uyb0RvYy54bWysU01v2zAMvQ/YfxB0X+wESbcacYqsRYYB&#10;QVsgHXqWZSk2IImCpMTOfv0oOU66bqdhF5kiaX6897S867UiR+F8C6ak00lOiTAc6tbsS/rjZfPp&#10;CyU+MFMzBUaU9CQ8vVt9/LDsbCFm0ICqhSNYxPiisyVtQrBFlnneCM38BKwwGJTgNAt4dfusdqzD&#10;6lplszy/yTpwtXXAhffofRiCdJXqSyl4eJLSi0BUSXG2kE6Xziqe2WrJir1jtmn5eQz2D1No1hps&#10;ein1wAIjB9f+UUq33IEHGSYcdAZStlykHXCbaf5um13DrEi7IDjeXmDy/68sfzzu7LMjof8KPRIY&#10;AemsLzw64z69dDp+cVKCcYTwdIFN9IFwdH5e3M5vMMIxNF/M89kiVsmuP1vnwzcBmkSjpA5ZSWCx&#10;49aHIXVMib0MbFqlEjPK/ObAmtGTXSeMVuirnrR1SWfj9BXUJ1zKwcC3t3zTYust8+GZOSQYp0XR&#10;hic8pIKupHC2KGnA/fybP+Yj7hilpEPBlNSgoilR3w3yMcO98yiwdEPDjUaVjOltvohxc9D3gFqc&#10;4rOwPJkxOajRlA70K2p6HbthiBmOPUtajeZ9GOSLb4KL9ToloZYsC1uzszyWjphFQF/6V+bsGfWA&#10;dD3CKClWvAN/yI1/ers+BKQgMRPxHdA8w446TNye30wU+tt7yrq+7NUvAAAA//8DAFBLAwQUAAYA&#10;CAAAACEANJN7wtoAAAAEAQAADwAAAGRycy9kb3ducmV2LnhtbEyPzU7DMBCE70h9B2uRuFEnlQgl&#10;xKmq8iOupEhwdOJtHDVeh6zbhrfH5VIuK41mNPNtsZpcL444cudJQTpPQCA13nTUKvjYvtwuQXDQ&#10;ZHTvCRX8IMOqnF0VOjf+RO94rEIrYglxrhXYEIZcSm4sOs1zPyBFb+dHp0OUYyvNqE+x3PVykSSZ&#10;dLqjuGD1gBuLzb46OAXZ0+vaDp/Z1/duwW9c+32o/LNSN9fT+hFEwClcwnDGj+hQRqbaH8iw6BXE&#10;R8LfPXvpQwaiVnCf3oEsC/kfvvwFAAD//wMAUEsBAi0AFAAGAAgAAAAhALaDOJL+AAAA4QEAABMA&#10;AAAAAAAAAAAAAAAAAAAAAFtDb250ZW50X1R5cGVzXS54bWxQSwECLQAUAAYACAAAACEAOP0h/9YA&#10;AACUAQAACwAAAAAAAAAAAAAAAAAvAQAAX3JlbHMvLnJlbHNQSwECLQAUAAYACAAAACEAgeg3fBIC&#10;AAAhBAAADgAAAAAAAAAAAAAAAAAuAgAAZHJzL2Uyb0RvYy54bWxQSwECLQAUAAYACAAAACEANJN7&#10;wtoAAAAEAQAADwAAAAAAAAAAAAAAAABsBAAAZHJzL2Rvd25yZXYueG1sUEsFBgAAAAAEAAQA8wAA&#10;AHMFAAAAAA==&#10;" filled="f" stroked="f">
              <v:textbox style="mso-fit-shape-to-text:t" inset="20pt,0,0,15pt">
                <w:txbxContent>
                  <w:p w14:paraId="163F2E4B" w14:textId="10DFA560" w:rsidR="00C87F22" w:rsidRPr="00C87F22" w:rsidRDefault="00C87F22" w:rsidP="00C87F22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2"/>
                        <w:szCs w:val="22"/>
                      </w:rPr>
                    </w:pPr>
                    <w:r w:rsidRPr="00C87F22">
                      <w:rPr>
                        <w:rFonts w:ascii="Calibri" w:eastAsia="Calibri" w:hAnsi="Calibri" w:cs="Calibri"/>
                        <w:noProof/>
                        <w:color w:val="000000"/>
                        <w:sz w:val="22"/>
                        <w:szCs w:val="22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410BD">
      <w:drawing>
        <wp:inline distT="0" distB="0" distL="0" distR="0" wp14:anchorId="7B469948" wp14:editId="5E736A85">
          <wp:extent cx="1536192" cy="457200"/>
          <wp:effectExtent l="0" t="0" r="6985" b="0"/>
          <wp:docPr id="8" name="Picture 8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Victoria State Gov DTF right pms coolgrey 11 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192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59EBC3" w14:textId="77777777" w:rsidR="00827C9F" w:rsidRDefault="00827C9F" w:rsidP="002D711A">
      <w:pPr>
        <w:spacing w:after="0" w:line="240" w:lineRule="auto"/>
      </w:pPr>
      <w:r>
        <w:separator/>
      </w:r>
    </w:p>
  </w:footnote>
  <w:footnote w:type="continuationSeparator" w:id="0">
    <w:p w14:paraId="62C0F70E" w14:textId="77777777" w:rsidR="00827C9F" w:rsidRDefault="00827C9F" w:rsidP="002D711A">
      <w:pPr>
        <w:spacing w:after="0" w:line="240" w:lineRule="auto"/>
      </w:pPr>
      <w:r>
        <w:continuationSeparator/>
      </w:r>
    </w:p>
  </w:footnote>
  <w:footnote w:type="continuationNotice" w:id="1">
    <w:p w14:paraId="720ADBE3" w14:textId="77777777" w:rsidR="00827C9F" w:rsidRDefault="00827C9F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3B540C" w14:textId="77777777" w:rsidR="008410BD" w:rsidRPr="0041689E" w:rsidRDefault="008410BD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F9E54AC" wp14:editId="78233F38">
              <wp:simplePos x="0" y="0"/>
              <wp:positionH relativeFrom="page">
                <wp:posOffset>0</wp:posOffset>
              </wp:positionH>
              <wp:positionV relativeFrom="page">
                <wp:posOffset>-138</wp:posOffset>
              </wp:positionV>
              <wp:extent cx="7595432" cy="980237"/>
              <wp:effectExtent l="0" t="0" r="5715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95432" cy="980237"/>
                        <a:chOff x="914400" y="3467405"/>
                        <a:chExt cx="5668993" cy="733806"/>
                      </a:xfrm>
                    </wpg:grpSpPr>
                    <wps:wsp>
                      <wps:cNvPr id="43" name="Freeform: Shape 43"/>
                      <wps:cNvSpPr/>
                      <wps:spPr>
                        <a:xfrm>
                          <a:off x="914400" y="3467405"/>
                          <a:ext cx="5644106" cy="733806"/>
                        </a:xfrm>
                        <a:custGeom>
                          <a:avLst/>
                          <a:gdLst>
                            <a:gd name="connsiteX0" fmla="*/ 0 w 5670042"/>
                            <a:gd name="connsiteY0" fmla="*/ 0 h 733806"/>
                            <a:gd name="connsiteX1" fmla="*/ 5670043 w 5670042"/>
                            <a:gd name="connsiteY1" fmla="*/ 0 h 733806"/>
                            <a:gd name="connsiteX2" fmla="*/ 5670043 w 5670042"/>
                            <a:gd name="connsiteY2" fmla="*/ 733806 h 733806"/>
                            <a:gd name="connsiteX3" fmla="*/ 0 w 5670042"/>
                            <a:gd name="connsiteY3" fmla="*/ 733806 h 7338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670042" h="733806">
                              <a:moveTo>
                                <a:pt x="0" y="0"/>
                              </a:moveTo>
                              <a:lnTo>
                                <a:pt x="5670043" y="0"/>
                              </a:lnTo>
                              <a:lnTo>
                                <a:pt x="5670043" y="733806"/>
                              </a:lnTo>
                              <a:lnTo>
                                <a:pt x="0" y="73380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44" name="Graphic 15"/>
                      <wpg:cNvGrpSpPr/>
                      <wpg:grpSpPr>
                        <a:xfrm>
                          <a:off x="4598955" y="3467405"/>
                          <a:ext cx="1984438" cy="733806"/>
                          <a:chOff x="4598955" y="3467405"/>
                          <a:chExt cx="1984438" cy="733806"/>
                        </a:xfrm>
                        <a:solidFill>
                          <a:schemeClr val="accent1"/>
                        </a:solidFill>
                      </wpg:grpSpPr>
                      <wps:wsp>
                        <wps:cNvPr id="45" name="Freeform: Shape 45"/>
                        <wps:cNvSpPr/>
                        <wps:spPr>
                          <a:xfrm>
                            <a:off x="5373814" y="3467405"/>
                            <a:ext cx="1209579" cy="733806"/>
                          </a:xfrm>
                          <a:custGeom>
                            <a:avLst/>
                            <a:gdLst>
                              <a:gd name="connsiteX0" fmla="*/ 1209580 w 1209579"/>
                              <a:gd name="connsiteY0" fmla="*/ 0 h 733806"/>
                              <a:gd name="connsiteX1" fmla="*/ 1209580 w 1209579"/>
                              <a:gd name="connsiteY1" fmla="*/ 733806 h 733806"/>
                              <a:gd name="connsiteX2" fmla="*/ 0 w 1209579"/>
                              <a:gd name="connsiteY2" fmla="*/ 733806 h 733806"/>
                              <a:gd name="connsiteX3" fmla="*/ 346805 w 1209579"/>
                              <a:gd name="connsiteY3" fmla="*/ 0 h 7338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09579" h="733806">
                                <a:moveTo>
                                  <a:pt x="1209580" y="0"/>
                                </a:moveTo>
                                <a:lnTo>
                                  <a:pt x="1209580" y="733806"/>
                                </a:lnTo>
                                <a:lnTo>
                                  <a:pt x="0" y="733806"/>
                                </a:lnTo>
                                <a:lnTo>
                                  <a:pt x="346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Freeform: Shape 46"/>
                        <wps:cNvSpPr/>
                        <wps:spPr>
                          <a:xfrm>
                            <a:off x="4598955" y="3467405"/>
                            <a:ext cx="1121664" cy="733806"/>
                          </a:xfrm>
                          <a:custGeom>
                            <a:avLst/>
                            <a:gdLst>
                              <a:gd name="connsiteX0" fmla="*/ 0 w 1121664"/>
                              <a:gd name="connsiteY0" fmla="*/ 733806 h 733806"/>
                              <a:gd name="connsiteX1" fmla="*/ 774859 w 1121664"/>
                              <a:gd name="connsiteY1" fmla="*/ 733806 h 733806"/>
                              <a:gd name="connsiteX2" fmla="*/ 1121664 w 1121664"/>
                              <a:gd name="connsiteY2" fmla="*/ 0 h 733806"/>
                              <a:gd name="connsiteX3" fmla="*/ 346805 w 1121664"/>
                              <a:gd name="connsiteY3" fmla="*/ 0 h 7338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121664" h="733806">
                                <a:moveTo>
                                  <a:pt x="0" y="733806"/>
                                </a:moveTo>
                                <a:lnTo>
                                  <a:pt x="774859" y="733806"/>
                                </a:lnTo>
                                <a:lnTo>
                                  <a:pt x="1121664" y="0"/>
                                </a:lnTo>
                                <a:lnTo>
                                  <a:pt x="346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Freeform: Shape 47"/>
                        <wps:cNvSpPr/>
                        <wps:spPr>
                          <a:xfrm>
                            <a:off x="5720619" y="3467405"/>
                            <a:ext cx="862774" cy="733710"/>
                          </a:xfrm>
                          <a:custGeom>
                            <a:avLst/>
                            <a:gdLst>
                              <a:gd name="connsiteX0" fmla="*/ 0 w 862774"/>
                              <a:gd name="connsiteY0" fmla="*/ 0 h 733710"/>
                              <a:gd name="connsiteX1" fmla="*/ 346805 w 862774"/>
                              <a:gd name="connsiteY1" fmla="*/ 733711 h 733710"/>
                              <a:gd name="connsiteX2" fmla="*/ 862774 w 862774"/>
                              <a:gd name="connsiteY2" fmla="*/ 733711 h 733710"/>
                              <a:gd name="connsiteX3" fmla="*/ 862774 w 862774"/>
                              <a:gd name="connsiteY3" fmla="*/ 0 h 7337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862774" h="733710">
                                <a:moveTo>
                                  <a:pt x="0" y="0"/>
                                </a:moveTo>
                                <a:lnTo>
                                  <a:pt x="346805" y="733711"/>
                                </a:lnTo>
                                <a:lnTo>
                                  <a:pt x="862774" y="733711"/>
                                </a:lnTo>
                                <a:lnTo>
                                  <a:pt x="862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48" name="Freeform: Shape 48"/>
                      <wps:cNvSpPr/>
                      <wps:spPr>
                        <a:xfrm>
                          <a:off x="4421314" y="3824683"/>
                          <a:ext cx="952500" cy="376237"/>
                        </a:xfrm>
                        <a:custGeom>
                          <a:avLst/>
                          <a:gdLst>
                            <a:gd name="connsiteX0" fmla="*/ 0 w 952500"/>
                            <a:gd name="connsiteY0" fmla="*/ 0 h 376237"/>
                            <a:gd name="connsiteX1" fmla="*/ 774573 w 952500"/>
                            <a:gd name="connsiteY1" fmla="*/ 0 h 376237"/>
                            <a:gd name="connsiteX2" fmla="*/ 952500 w 952500"/>
                            <a:gd name="connsiteY2" fmla="*/ 376238 h 376237"/>
                            <a:gd name="connsiteX3" fmla="*/ 177832 w 952500"/>
                            <a:gd name="connsiteY3" fmla="*/ 376238 h 3762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952500" h="376237">
                              <a:moveTo>
                                <a:pt x="0" y="0"/>
                              </a:moveTo>
                              <a:lnTo>
                                <a:pt x="774573" y="0"/>
                              </a:lnTo>
                              <a:lnTo>
                                <a:pt x="952500" y="376238"/>
                              </a:lnTo>
                              <a:lnTo>
                                <a:pt x="177832" y="3762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0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69CB4BE" id="Group 42" o:spid="_x0000_s1026" style="position:absolute;margin-left:0;margin-top:0;width:598.05pt;height:77.2pt;z-index:251658240;mso-position-horizontal-relative:page;mso-position-vertical-relative:page;mso-width-relative:margin;mso-height-relative:margin" coordorigin="9144,34674" coordsize="56689,7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WpGiwYAAC4mAAAOAAAAZHJzL2Uyb0RvYy54bWzsmlGPmzgQx99Puu+AeDzpGkggkKjZatXe&#10;rk6q2krtqe2jl0CIBJizvZu0n/7+tnFi0hDoNtqTVtmHAOuxxx6P5+cxvHy1LQvnIWV8TauF67/w&#10;XCetErpcV6uF+8+nmz9j1+GCVEtS0CpduN9S7r66+v23l5t6no5pTotlyhw0UvH5pl64uRD1fDTi&#10;SZ6WhL+gdVqhMKOsJAKPbDVaMrJB62UxGnvedLShbFkzmqSc479vdKF7pdrPsjQR77OMp8IpFi76&#10;JtQvU7938nd09ZLMV4zU+TppukEe0YuSrCso3TX1hgji3LP1D02V64RRTjPxIqHliGbZOknVGDAa&#10;3zsYzS2j97Uay2q+WdU7M8G0B3Z6dLPJu4dbVn+sPzBYYlOvYAv1JMeyzVgpr+ils1Um+7YzWboV&#10;ToJ/RuEsDCZj10lQNou98STSNk1yGF5Wm/lB4MH0KJ8E0yjwQiPwV9NGOJ3Gs9lEtxFNJrE3lSIj&#10;04NRq1+bGp7C98bgv2aMjzmpU2VjPocxPjBnvVy4AXpTkRIOe8PSVLrf3FGSDkqUpZT0zm58zmHC&#10;I0brGr2xXzgNAh/jVfY7MnYyT+65uE2pmgny8JYL7bJL3CmHWzYdTWhV8bVIv8DWWVnAi/8YOZ6z&#10;ccJp5HnBWFt9dSj+tS2eO/tOwJsPpb/4VuO64Um/CruS5/SpgDPt+j9YhV1Jj6BXD6Z4p2eAnWzx&#10;IxrgrSszJyQ305Rsq2aecOcQGRQ9FSdqyuXisCcNC8Q8YlL0AkAtOck9lWFfu7L/U5VhObuy8hMM&#10;ZphmGMWurNaGqayvzfAZIrGMwYWKwcJ1EIOZ6yAG32nHrImQVpOjlbfOZuEax3VyxBkdFmRxSR/S&#10;T1QJioO4BJX70qKypRpPUv011jUS5lqr9mzJ/WJA00bMXLW4Dm1HBZOC8lRPpByTCmm7cUrzWEub&#10;02K9vFkXhRyYwl/6umDOA4HR7lZmVlpSRSWtNAvHIcIHATyzggjlXRWVLalAUTMu3hCe65ZUfW3w&#10;ErGC6c4VcDIEWRPE5N0dXX5DLGRUE5PXyc0aLb0lXHwgDMEFwwb2xXv8ZAVFPzAr6s51csq+H/u/&#10;lEewRqnrbIDchcv/vScsdZ3i7wphXMVK+Id6CMJoDB3MLrmzS6r78jWFceD86J26lfKiMLcZo+Vn&#10;7A6upVYUkSqBbiwyAcfTD68FnlGEAJ+k19fqHlzGHL2tPtaJbFz5GUb+afuZsNqR5ly4AuH7HTXo&#10;IHMTlzGnUkDLypoVvb4XNFvLoK0srO3aPABjFnT1rcWgwDDottmf+AqdkoY/ge0gnMWzEC6ChdoC&#10;sEGQP4uDYIJ9mkT43o/hngbhnU0kuWF4RyMwiNlFKNfrcHCSJGklTNyyJP8P9MNUHehvzD8Q/eEk&#10;msQ+JrHT8GNvFkazQ8NbNrMDhPExizM/4ln6smG/L5uPJdnUHRSpgPBDpV/YAQxWYe8AtIv14tkm&#10;+oBB2OIDNdhEx8qIvbDfVnad9lYG03bZAJx3A2D8tmcD0HhhC+1d2wBbdh/rMHcG6ubaC/e2oPaf&#10;VheMwLl2AZ1BUnb+shN4DjuBp8hskWt24E1l3XLzh91Ff2bbuSnY7Sv8sT+dgn/tfcW58KaY0KgY&#10;ALaBTGiBKgricCaZcFpNq47KU34Kbk3r/XpsxLXZcyxTt0m1p9vpkdh12houdBPp1zPTzayPIelt&#10;i1VdcIuUwyoIteQNicxVs814tdyfns6InwxulzQ3wA7+maa5TwG3qBNu6lh6MNzk4cPUR2rWlbvF&#10;0zFW245tkW9WkEl3fyl1k2xrNAxAWxOpmz4cY4FNqB0LTiuwqyCYRL6voXZCi80n3XjvMOwqA7XY&#10;jBqoxa7SNtYFa2fHWuNWTc4m3UUehO2RZSdWZtHsS9uIssCjvUMeYXQma0azPsaCxw6VNt0wys+V&#10;sYmt6YJ1pHXJ1p7Hue3+aFIe3D4F3HBE25G5xdLTB8MtCMb+xBxMxmOcfKmNLZmbzE2+UpCvbGXi&#10;NommzTvdcyZujYaBcNv3oQ9uYHIYyTeSpxXYcJNAOK3AhpRut1eBXUU1HvdqsSHlR1E8Gfdqsasc&#10;0XKB29nhZlYGUrbGZx4PN+2rR48MDYg0K41SsxrVau+koPYdvXOVa/dQ+vFwY6u73SvJG/Wn0E6K&#10;Oif69SKiBuKGZjTX4orXF/zhkxL9QvO5vLZU+MNHSWp+mw+o5FdP9jPu7c+8rv4DAAD//wMAUEsD&#10;BBQABgAIAAAAIQB3WOO+3QAAAAYBAAAPAAAAZHJzL2Rvd25yZXYueG1sTI9BS8NAEIXvgv9hGcGb&#10;3ay2RWM2pRT1VARbofQ2zU6T0OxsyG6T9N+79aKX4Q1veO+bbDHaRvTU+dqxBjVJQBAXztRcavje&#10;vj88g/AB2WDjmDRcyMMiv73JMDVu4C/qN6EUMYR9ihqqENpUSl9UZNFPXEscvaPrLIa4dqU0HQ4x&#10;3DbyMUnm0mLNsaHCllYVFafN2Wr4GHBYPqm3fn06ri777exzt1ak9f3duHwFEWgMf8dwxY/okEem&#10;gzuz8aLREB8Jv/PqqZe5AnGIajadgswz+R8//wEAAP//AwBQSwECLQAUAAYACAAAACEAtoM4kv4A&#10;AADhAQAAEwAAAAAAAAAAAAAAAAAAAAAAW0NvbnRlbnRfVHlwZXNdLnhtbFBLAQItABQABgAIAAAA&#10;IQA4/SH/1gAAAJQBAAALAAAAAAAAAAAAAAAAAC8BAABfcmVscy8ucmVsc1BLAQItABQABgAIAAAA&#10;IQB3+WpGiwYAAC4mAAAOAAAAAAAAAAAAAAAAAC4CAABkcnMvZTJvRG9jLnhtbFBLAQItABQABgAI&#10;AAAAIQB3WOO+3QAAAAYBAAAPAAAAAAAAAAAAAAAAAOUIAABkcnMvZG93bnJldi54bWxQSwUGAAAA&#10;AAQABADzAAAA7wkAAAAA&#10;">
              <v:shape id="Freeform: Shape 43" o:spid="_x0000_s1027" style="position:absolute;left:9144;top:34674;width:56441;height:7338;visibility:visible;mso-wrap-style:square;v-text-anchor:middle" coordsize="5670042,733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qHGwQAAANsAAAAPAAAAZHJzL2Rvd25yZXYueG1sRI9Bi8Iw&#10;FITvgv8hPMGbpq6ySDUtIgiy7MWueH40z7bYvNQm1uqv3wiCx2FmvmHWaW9q0VHrKssKZtMIBHFu&#10;dcWFguPfbrIE4TyyxtoyKXiQgzQZDtYYa3vnA3WZL0SAsItRQel9E0vp8pIMuqltiIN3tq1BH2Rb&#10;SN3iPcBNLb+i6FsarDgslNjQtqT8kt2MAocbM9+b2a15+kf1251w8ZNdlRqP+s0KhKfef8Lv9l4r&#10;WMzh9SX8AJn8AwAA//8DAFBLAQItABQABgAIAAAAIQDb4fbL7gAAAIUBAAATAAAAAAAAAAAAAAAA&#10;AAAAAABbQ29udGVudF9UeXBlc10ueG1sUEsBAi0AFAAGAAgAAAAhAFr0LFu/AAAAFQEAAAsAAAAA&#10;AAAAAAAAAAAAHwEAAF9yZWxzLy5yZWxzUEsBAi0AFAAGAAgAAAAhAM6mocbBAAAA2wAAAA8AAAAA&#10;AAAAAAAAAAAABwIAAGRycy9kb3ducmV2LnhtbFBLBQYAAAAAAwADALcAAAD1AgAAAAA=&#10;" path="m,l5670043,r,733806l,733806,,xe" fillcolor="#c2ebfa [3214]" stroked="f">
                <v:stroke joinstyle="miter"/>
                <v:path arrowok="t" o:connecttype="custom" o:connectlocs="0,0;5644107,0;5644107,733806;0,733806" o:connectangles="0,0,0,0"/>
              </v:shape>
              <v:group id="Graphic 15" o:spid="_x0000_s1028" style="position:absolute;left:45989;top:34674;width:19844;height:7338" coordorigin="45989,34674" coordsize="19844,7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<v:shape id="Freeform: Shape 45" o:spid="_x0000_s1029" style="position:absolute;left:53738;top:34674;width:12095;height:7338;visibility:visible;mso-wrap-style:square;v-text-anchor:middle" coordsize="1209579,733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dK5xAAAANsAAAAPAAAAZHJzL2Rvd25yZXYueG1sRI/RasJA&#10;FETfC/7DcoW+NZtoqyW6iiilVfvS2A+4ZK9JNHs3ZDcx/Xu3UOjjMDNnmOV6MLXoqXWVZQVJFIMg&#10;zq2uuFDwfXp7egXhPLLG2jIp+CEH69XoYYmptjf+oj7zhQgQdikqKL1vUildXpJBF9mGOHhn2xr0&#10;QbaF1C3eAtzUchLHM2mw4rBQYkPbkvJr1hkFl8knTY+0l0Pyft7oA3a7ZE5KPY6HzQKEp8H/h//a&#10;H1rB8wv8fgk/QK7uAAAA//8DAFBLAQItABQABgAIAAAAIQDb4fbL7gAAAIUBAAATAAAAAAAAAAAA&#10;AAAAAAAAAABbQ29udGVudF9UeXBlc10ueG1sUEsBAi0AFAAGAAgAAAAhAFr0LFu/AAAAFQEAAAsA&#10;AAAAAAAAAAAAAAAAHwEAAF9yZWxzLy5yZWxzUEsBAi0AFAAGAAgAAAAhAGtd0rnEAAAA2wAAAA8A&#10;AAAAAAAAAAAAAAAABwIAAGRycy9kb3ducmV2LnhtbFBLBQYAAAAAAwADALcAAAD4AgAAAAA=&#10;" path="m1209580,r,733806l,733806,346805,r862775,xe" fillcolor="#0072ce [3204]" stroked="f">
                  <v:stroke joinstyle="miter"/>
                  <v:path arrowok="t" o:connecttype="custom" o:connectlocs="1209580,0;1209580,733806;0,733806;346805,0" o:connectangles="0,0,0,0"/>
                </v:shape>
                <v:shape id="Freeform: Shape 46" o:spid="_x0000_s1030" style="position:absolute;left:45989;top:34674;width:11217;height:7338;visibility:visible;mso-wrap-style:square;v-text-anchor:middle" coordsize="1121664,733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TSswwAAANsAAAAPAAAAZHJzL2Rvd25yZXYueG1sRI9Pi8Iw&#10;FMTvgt8hPGFvmipSlq5RRFD24CL+Y6+P5m1TtnmpTbat394Iwh6HmfkNs1j1thItNb50rGA6SUAQ&#10;506XXCi4nLfjdxA+IGusHJOCO3lYLYeDBWbadXyk9hQKESHsM1RgQqgzKX1uyKKfuJo4ej+usRii&#10;bAqpG+wi3FZyliSptFhyXDBY08ZQ/nv6swpov75RcU1n5qs7yx1d213yfVDqbdSvP0AE6sN/+NX+&#10;1ArmKTy/xB8glw8AAAD//wMAUEsBAi0AFAAGAAgAAAAhANvh9svuAAAAhQEAABMAAAAAAAAAAAAA&#10;AAAAAAAAAFtDb250ZW50X1R5cGVzXS54bWxQSwECLQAUAAYACAAAACEAWvQsW78AAAAVAQAACwAA&#10;AAAAAAAAAAAAAAAfAQAAX3JlbHMvLnJlbHNQSwECLQAUAAYACAAAACEAB0U0rMMAAADbAAAADwAA&#10;AAAAAAAAAAAAAAAHAgAAZHJzL2Rvd25yZXYueG1sUEsFBgAAAAADAAMAtwAAAPcCAAAAAA==&#10;" path="m,733806r774859,l1121664,,346805,,,733806xe" fillcolor="#68cef2 [3205]" stroked="f">
                  <v:stroke joinstyle="miter"/>
                  <v:path arrowok="t" o:connecttype="custom" o:connectlocs="0,733806;774859,733806;1121664,0;346805,0" o:connectangles="0,0,0,0"/>
                </v:shape>
                <v:shape id="Freeform: Shape 47" o:spid="_x0000_s1031" style="position:absolute;left:57206;top:34674;width:8627;height:7337;visibility:visible;mso-wrap-style:square;v-text-anchor:middle" coordsize="862774,733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25xxgAAANsAAAAPAAAAZHJzL2Rvd25yZXYueG1sRI9BawIx&#10;FITvBf9DeIIXqdmKtbIapVTEXnroKoXeHpvnZnXzst3ENf33TaHQ4zAz3zCrTbSN6KnztWMFD5MM&#10;BHHpdM2VguNhd78A4QOyxsYxKfgmD5v14G6FuXY3fqe+CJVIEPY5KjAhtLmUvjRk0U9cS5y8k+ss&#10;hiS7SuoObwluGznNsrm0WHNaMNjSi6HyUlytguLy9vWx1dn0uDdxHx8/x/15N1ZqNIzPSxCBYvgP&#10;/7VftYLZE/x+ST9Arn8AAAD//wMAUEsBAi0AFAAGAAgAAAAhANvh9svuAAAAhQEAABMAAAAAAAAA&#10;AAAAAAAAAAAAAFtDb250ZW50X1R5cGVzXS54bWxQSwECLQAUAAYACAAAACEAWvQsW78AAAAVAQAA&#10;CwAAAAAAAAAAAAAAAAAfAQAAX3JlbHMvLnJlbHNQSwECLQAUAAYACAAAACEASuNuccYAAADbAAAA&#10;DwAAAAAAAAAAAAAAAAAHAgAAZHJzL2Rvd25yZXYueG1sUEsFBgAAAAADAAMAtwAAAPoCAAAAAA==&#10;" path="m,l346805,733711r515969,l862774,,,xe" fillcolor="#232b39 [3213]" stroked="f">
                  <v:stroke joinstyle="miter"/>
                  <v:path arrowok="t" o:connecttype="custom" o:connectlocs="0,0;346805,733711;862774,733711;862774,0" o:connectangles="0,0,0,0"/>
                </v:shape>
              </v:group>
              <v:shape id="Freeform: Shape 48" o:spid="_x0000_s1032" style="position:absolute;left:44213;top:38246;width:9525;height:3763;visibility:visible;mso-wrap-style:square;v-text-anchor:middle" coordsize="952500,376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rQuwAAAANsAAAAPAAAAZHJzL2Rvd25yZXYueG1sRE/LisIw&#10;FN0L8w/hDrgRTWcYRapRRJjRjYKPjbtLc22LzU1IorZ/bxYDLg/nPV+2phEP8qG2rOBrlIEgLqyu&#10;uVRwPv0OpyBCRNbYWCYFHQVYLj56c8y1ffKBHsdYihTCIUcFVYwulzIUFRkMI+uIE3e13mBM0JdS&#10;e3ymcNPI7yybSIM1p4YKHa0rKm7Hu1FwX+/ipjtf5J+7ORyb08Cvur1S/c92NQMRqY1v8b97qxX8&#10;pLHpS/oBcvECAAD//wMAUEsBAi0AFAAGAAgAAAAhANvh9svuAAAAhQEAABMAAAAAAAAAAAAAAAAA&#10;AAAAAFtDb250ZW50X1R5cGVzXS54bWxQSwECLQAUAAYACAAAACEAWvQsW78AAAAVAQAACwAAAAAA&#10;AAAAAAAAAAAfAQAAX3JlbHMvLnJlbHNQSwECLQAUAAYACAAAACEA37K0LsAAAADbAAAADwAAAAAA&#10;AAAAAAAAAAAHAgAAZHJzL2Rvd25yZXYueG1sUEsFBgAAAAADAAMAtwAAAPQCAAAAAA==&#10;" path="m,l774573,,952500,376238r-774668,l,xe" stroked="f">
                <v:fill opacity="32896f"/>
                <v:stroke joinstyle="miter"/>
                <v:path arrowok="t" o:connecttype="custom" o:connectlocs="0,0;774573,0;952500,376238;177832,376238" o:connectangles="0,0,0,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BDF062" w14:textId="77777777" w:rsidR="008410BD" w:rsidRDefault="008410BD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743AF5BD" wp14:editId="14F24B2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98664" cy="978408"/>
              <wp:effectExtent l="0" t="0" r="254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98664" cy="978408"/>
                        <a:chOff x="914400" y="3467405"/>
                        <a:chExt cx="5668993" cy="733806"/>
                      </a:xfrm>
                    </wpg:grpSpPr>
                    <wps:wsp>
                      <wps:cNvPr id="2" name="Freeform: Shape 2"/>
                      <wps:cNvSpPr/>
                      <wps:spPr>
                        <a:xfrm>
                          <a:off x="914400" y="3467405"/>
                          <a:ext cx="5644106" cy="733806"/>
                        </a:xfrm>
                        <a:custGeom>
                          <a:avLst/>
                          <a:gdLst>
                            <a:gd name="connsiteX0" fmla="*/ 0 w 5670042"/>
                            <a:gd name="connsiteY0" fmla="*/ 0 h 733806"/>
                            <a:gd name="connsiteX1" fmla="*/ 5670043 w 5670042"/>
                            <a:gd name="connsiteY1" fmla="*/ 0 h 733806"/>
                            <a:gd name="connsiteX2" fmla="*/ 5670043 w 5670042"/>
                            <a:gd name="connsiteY2" fmla="*/ 733806 h 733806"/>
                            <a:gd name="connsiteX3" fmla="*/ 0 w 5670042"/>
                            <a:gd name="connsiteY3" fmla="*/ 733806 h 7338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670042" h="733806">
                              <a:moveTo>
                                <a:pt x="0" y="0"/>
                              </a:moveTo>
                              <a:lnTo>
                                <a:pt x="5670043" y="0"/>
                              </a:lnTo>
                              <a:lnTo>
                                <a:pt x="5670043" y="733806"/>
                              </a:lnTo>
                              <a:lnTo>
                                <a:pt x="0" y="73380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Graphic 15"/>
                      <wpg:cNvGrpSpPr/>
                      <wpg:grpSpPr>
                        <a:xfrm>
                          <a:off x="4598955" y="3467405"/>
                          <a:ext cx="1984438" cy="733806"/>
                          <a:chOff x="4598955" y="3467405"/>
                          <a:chExt cx="1984438" cy="733806"/>
                        </a:xfrm>
                        <a:solidFill>
                          <a:schemeClr val="accent1"/>
                        </a:solidFill>
                      </wpg:grpSpPr>
                      <wps:wsp>
                        <wps:cNvPr id="4" name="Freeform: Shape 4"/>
                        <wps:cNvSpPr/>
                        <wps:spPr>
                          <a:xfrm>
                            <a:off x="5373814" y="3467405"/>
                            <a:ext cx="1209579" cy="733806"/>
                          </a:xfrm>
                          <a:custGeom>
                            <a:avLst/>
                            <a:gdLst>
                              <a:gd name="connsiteX0" fmla="*/ 1209580 w 1209579"/>
                              <a:gd name="connsiteY0" fmla="*/ 0 h 733806"/>
                              <a:gd name="connsiteX1" fmla="*/ 1209580 w 1209579"/>
                              <a:gd name="connsiteY1" fmla="*/ 733806 h 733806"/>
                              <a:gd name="connsiteX2" fmla="*/ 0 w 1209579"/>
                              <a:gd name="connsiteY2" fmla="*/ 733806 h 733806"/>
                              <a:gd name="connsiteX3" fmla="*/ 346805 w 1209579"/>
                              <a:gd name="connsiteY3" fmla="*/ 0 h 7338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09579" h="733806">
                                <a:moveTo>
                                  <a:pt x="1209580" y="0"/>
                                </a:moveTo>
                                <a:lnTo>
                                  <a:pt x="1209580" y="733806"/>
                                </a:lnTo>
                                <a:lnTo>
                                  <a:pt x="0" y="733806"/>
                                </a:lnTo>
                                <a:lnTo>
                                  <a:pt x="346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Freeform: Shape 5"/>
                        <wps:cNvSpPr/>
                        <wps:spPr>
                          <a:xfrm>
                            <a:off x="4598955" y="3467405"/>
                            <a:ext cx="1121664" cy="733806"/>
                          </a:xfrm>
                          <a:custGeom>
                            <a:avLst/>
                            <a:gdLst>
                              <a:gd name="connsiteX0" fmla="*/ 0 w 1121664"/>
                              <a:gd name="connsiteY0" fmla="*/ 733806 h 733806"/>
                              <a:gd name="connsiteX1" fmla="*/ 774859 w 1121664"/>
                              <a:gd name="connsiteY1" fmla="*/ 733806 h 733806"/>
                              <a:gd name="connsiteX2" fmla="*/ 1121664 w 1121664"/>
                              <a:gd name="connsiteY2" fmla="*/ 0 h 733806"/>
                              <a:gd name="connsiteX3" fmla="*/ 346805 w 1121664"/>
                              <a:gd name="connsiteY3" fmla="*/ 0 h 7338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121664" h="733806">
                                <a:moveTo>
                                  <a:pt x="0" y="733806"/>
                                </a:moveTo>
                                <a:lnTo>
                                  <a:pt x="774859" y="733806"/>
                                </a:lnTo>
                                <a:lnTo>
                                  <a:pt x="1121664" y="0"/>
                                </a:lnTo>
                                <a:lnTo>
                                  <a:pt x="346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Freeform: Shape 6"/>
                        <wps:cNvSpPr/>
                        <wps:spPr>
                          <a:xfrm>
                            <a:off x="5720619" y="3467405"/>
                            <a:ext cx="862774" cy="733710"/>
                          </a:xfrm>
                          <a:custGeom>
                            <a:avLst/>
                            <a:gdLst>
                              <a:gd name="connsiteX0" fmla="*/ 0 w 862774"/>
                              <a:gd name="connsiteY0" fmla="*/ 0 h 733710"/>
                              <a:gd name="connsiteX1" fmla="*/ 346805 w 862774"/>
                              <a:gd name="connsiteY1" fmla="*/ 733711 h 733710"/>
                              <a:gd name="connsiteX2" fmla="*/ 862774 w 862774"/>
                              <a:gd name="connsiteY2" fmla="*/ 733711 h 733710"/>
                              <a:gd name="connsiteX3" fmla="*/ 862774 w 862774"/>
                              <a:gd name="connsiteY3" fmla="*/ 0 h 7337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862774" h="733710">
                                <a:moveTo>
                                  <a:pt x="0" y="0"/>
                                </a:moveTo>
                                <a:lnTo>
                                  <a:pt x="346805" y="733711"/>
                                </a:lnTo>
                                <a:lnTo>
                                  <a:pt x="862774" y="733711"/>
                                </a:lnTo>
                                <a:lnTo>
                                  <a:pt x="862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7" name="Freeform: Shape 7"/>
                      <wps:cNvSpPr/>
                      <wps:spPr>
                        <a:xfrm>
                          <a:off x="4421314" y="3824683"/>
                          <a:ext cx="952500" cy="376237"/>
                        </a:xfrm>
                        <a:custGeom>
                          <a:avLst/>
                          <a:gdLst>
                            <a:gd name="connsiteX0" fmla="*/ 0 w 952500"/>
                            <a:gd name="connsiteY0" fmla="*/ 0 h 376237"/>
                            <a:gd name="connsiteX1" fmla="*/ 774573 w 952500"/>
                            <a:gd name="connsiteY1" fmla="*/ 0 h 376237"/>
                            <a:gd name="connsiteX2" fmla="*/ 952500 w 952500"/>
                            <a:gd name="connsiteY2" fmla="*/ 376238 h 376237"/>
                            <a:gd name="connsiteX3" fmla="*/ 177832 w 952500"/>
                            <a:gd name="connsiteY3" fmla="*/ 376238 h 3762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952500" h="376237">
                              <a:moveTo>
                                <a:pt x="0" y="0"/>
                              </a:moveTo>
                              <a:lnTo>
                                <a:pt x="774573" y="0"/>
                              </a:lnTo>
                              <a:lnTo>
                                <a:pt x="952500" y="376238"/>
                              </a:lnTo>
                              <a:lnTo>
                                <a:pt x="177832" y="3762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0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01CE7" id="Group 1" o:spid="_x0000_s1026" style="position:absolute;margin-left:0;margin-top:0;width:598.3pt;height:77.05pt;z-index:251658241;mso-position-horizontal-relative:page;mso-position-vertical-relative:page;mso-width-relative:margin;mso-height-relative:margin" coordorigin="9144,34674" coordsize="56689,7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26rgQYAACMmAAAOAAAAZHJzL2Uyb0RvYy54bWzsmlFv2zYQx98H7DsQehywWrIlSzbiFEG7&#10;BAOKtkA7tH1kZMk2IIkaycTuPv3+JEWbSm1LSbwOCJwHmwqPd+TxeD+S8sXrTVmQ+4yLFatmXvDK&#10;90hWpWy+qhYz76/P178nHhGSVnNasCqbed8z4b2+/PWXi3U9zYZsyYp5xgmUVGK6rmfeUsp6OhiI&#10;dJmVVLxidVahMme8pBKPfDGYc7qG9rIYDH1/PFgzPq85SzMh8N+3ptK71PrzPEvlhzwXmSTFzEPf&#10;pP7k+vNWfQ4uL+h0wWm9XKVNN+gTelHSVQWjW1VvqaTkjq9+UFWuUs4Ey+WrlJUDluerNNNjwGgC&#10;/8Fobji7q/VYFtP1ot66Ca594Kcnq03f39/w+lP9kcMT63oBX+gnNZZNzkv1jV6SjXbZ963Lso0k&#10;Kf4ZR5NkPA49kqJuEiehnxifpks4XjWbBGHow/WoH4XjOPQjK/BHoyMaj5PJZGR0xKNR4o+VyMD2&#10;YNDq17pGpIidM8TznPFpSetM+1hM4YyPnKzmM2/okYqWiNdrnmUq+qZEC5Kh6pnqAmS3XhNTAQfu&#10;cdmhsVvvReMwDDBa7b09I6fT9E7Im4zpeaD374Q0ATtHSYfbvOlnyqpKrGT2FZ7OywIx/NuA+GRN&#10;onHs+6HuNqLzofi3tviS7DqxR/pr4Cg3ikfdJtxGPukyAc9v+9/bhNvIjKDTDsJta6eHn1zxPRYQ&#10;qws7J3RppyndVM08oUSoSom+zhI1E2ppuJOG5WEfMSkm/NFKTXJHY/jXbRw8qjE85zbWcYLB9LMM&#10;p7iNR65lo6QZPkceVhm40BlYegQZmHsEGfhWtaHTmkrlNVsk65lnA5cskWVMUlDVJbvPPjMtKB9k&#10;JZjc1RaVK9VEku6v9a6VsN+11udK7hYDVFsx+23ETWLbK5gWTGRmItXwdELbjlO5x1naghWr+fWq&#10;KNTANPyyNwUn9xROu13YWWlJFZXy0iQaRkgfFOjMCyp1dFVMaTJ+5UK+pWJpNOn2xuElcgU3nSsQ&#10;ZEixNomp0i2bf0cm5MzwUtTp9Qqa3lEhP1KO5IJhA/ryAz7ygqEfmBVd8siS8X/2/V/JI1Wj1iNr&#10;AHfmib/vKM88UvxZIYnrXIn40A9hFA9hg7s1t25NdVe+YXAOgh+900UlLwtbzDkrv2BvcKWsoopW&#10;KWxjkUkEnnl4I/GMKuT3NLu60mVQGXP0rvpUp0q5jjOM/PPmC+U1qVGceRLp+z2z4KBTm5cxp0rA&#10;yKqWFbu6kyxfqaStPWz82jwAYg5yTXFHIKwtQ6CbZnMSaG4qFD6C2SHwPIkQIVinLfpaAgWTJAxH&#10;2KQpfu/CGNFp+X1QRbq0AD+gBP6wWwgdeQfim6ZpVkmbthzJ/4H72Mjs536olk1v7kejeJQEUHbQ&#10;7UN/EsWTh253POZmBxtgDmR+IHkL/IFSnyis6RIM6WzwQ6Nn4L+3CRf/JsA62ezivMcgXPGeFlyc&#10;Y10kftTtK7dNex+DaTvT/7T0t3HbQf8mCltcP7QHcGV3mQ5zZ4luvzvJ3hY08dPqghU41RbgYIpU&#10;nT9vA17CNuAnHGqxDdgPt2Zn0fNQe3BDsN1TBMNgeyfQWml2O/AsuGkiNCZ6YK0nEVqYisMkmigi&#10;HDfTaqOPKI9CW6O9244LuDZ59h3SXU7t2HZ8JG6btoUz22T27cRss+ujz8m2tX4OoS3WAasR1JK3&#10;HLLfhmw2qtXu9Phh+Keh7XzCDXEQfaEn3J+ANlyh7kebvknuf27DrcM4wLHs0LktGQ+x1rbHtjiw&#10;6+dkZGss9ABbk6ebPuwjgcunLQmOG3CbIJXEQWCQdsSKSyejHEQ7bsVt0tOKS6ieVtwmbWedoXZy&#10;qDUT3pzXVLioG7AdsNxDlV00u9o2oBzsmOhQ1xcHD2rWsrnAQsT2lbbdsMZPdVqTG9sF5zLrfFJ7&#10;GRe2u0tJcx/4n7+KjA+hLX7UlWQYDoORvZJMhrjz0ptaOrWnNvUmQb2nVRfBo3g8HGn9WHUnQ1tj&#10;oSfadn3oQhuIHMXqReRxAy7aFA6OG3ARZfR2GnCbaOVJpxUXUUEcJ6NhpxW3yR4rZ7SdHG12ZeC4&#10;1sTM09FmYnXvZaHFkCGlNWpXo/5ZxUEGmtgx+1a1dh9KPx1tfHG7fRN5rf802GlRL6l5q4isgbxh&#10;CC2MuKb1GX4zr3mP+VLeVmr44ZdIen6bX02pnzq5zyi7v+26/BcAAP//AwBQSwMEFAAGAAgAAAAh&#10;AJ4mYITdAAAABgEAAA8AAABkcnMvZG93bnJldi54bWxMj0FLw0AQhe+C/2EZwZvdrNqgMZtSinoq&#10;QltBvE2z0yQ0Oxuy2yT992696GV4wxve+yZfTLYVA/W+caxBzRIQxKUzDVcaPndvd08gfEA22Dom&#10;DWfysCiur3LMjBt5Q8M2VCKGsM9QQx1Cl0npy5os+pnriKN3cL3FENe+kqbHMYbbVt4nSSotNhwb&#10;auxoVVN53J6shvcRx+WDeh3Wx8Pq/L2bf3ytFWl9ezMtX0AEmsLfMVzwIzoUkWnvTmy8aDXER8Lv&#10;vHjqOU1B7KOaPyqQRS7/4xc/AAAA//8DAFBLAQItABQABgAIAAAAIQC2gziS/gAAAOEBAAATAAAA&#10;AAAAAAAAAAAAAAAAAABbQ29udGVudF9UeXBlc10ueG1sUEsBAi0AFAAGAAgAAAAhADj9If/WAAAA&#10;lAEAAAsAAAAAAAAAAAAAAAAALwEAAF9yZWxzLy5yZWxzUEsBAi0AFAAGAAgAAAAhAPO3bquBBgAA&#10;IyYAAA4AAAAAAAAAAAAAAAAALgIAAGRycy9lMm9Eb2MueG1sUEsBAi0AFAAGAAgAAAAhAJ4mYITd&#10;AAAABgEAAA8AAAAAAAAAAAAAAAAA2wgAAGRycy9kb3ducmV2LnhtbFBLBQYAAAAABAAEAPMAAADl&#10;CQAAAAA=&#10;">
              <v:shape id="Freeform: Shape 2" o:spid="_x0000_s1027" style="position:absolute;left:9144;top:34674;width:56441;height:7338;visibility:visible;mso-wrap-style:square;v-text-anchor:middle" coordsize="5670042,733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czowgAAANoAAAAPAAAAZHJzL2Rvd25yZXYueG1sRI9Pa8JA&#10;FMTvhX6H5RV6azZakZJmI1IQRLw0iudH9pkEs2/T7Jo/fvquIHgcZuY3TLoaTSN66lxtWcEsikEQ&#10;F1bXXCo4HjYfXyCcR9bYWCYFEzlYZa8vKSbaDvxLfe5LESDsElRQed8mUrqiIoMusi1x8M62M+iD&#10;7EqpOxwC3DRyHsdLabDmsFBhSz8VFZf8ahQ4XJvPrZld25uf6n1/wsUu/1Pq/W1cf4PwNPpn+NHe&#10;agVzuF8JN0Bm/wAAAP//AwBQSwECLQAUAAYACAAAACEA2+H2y+4AAACFAQAAEwAAAAAAAAAAAAAA&#10;AAAAAAAAW0NvbnRlbnRfVHlwZXNdLnhtbFBLAQItABQABgAIAAAAIQBa9CxbvwAAABUBAAALAAAA&#10;AAAAAAAAAAAAAB8BAABfcmVscy8ucmVsc1BLAQItABQABgAIAAAAIQCNzczowgAAANoAAAAPAAAA&#10;AAAAAAAAAAAAAAcCAABkcnMvZG93bnJldi54bWxQSwUGAAAAAAMAAwC3AAAA9gIAAAAA&#10;" path="m,l5670043,r,733806l,733806,,xe" fillcolor="#c2ebfa [3214]" stroked="f">
                <v:stroke joinstyle="miter"/>
                <v:path arrowok="t" o:connecttype="custom" o:connectlocs="0,0;5644107,0;5644107,733806;0,733806" o:connectangles="0,0,0,0"/>
              </v:shape>
              <v:group id="Graphic 15" o:spid="_x0000_s1028" style="position:absolute;left:45989;top:34674;width:19844;height:7338" coordorigin="45989,34674" coordsize="19844,7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 id="Freeform: Shape 4" o:spid="_x0000_s1029" style="position:absolute;left:53738;top:34674;width:12095;height:7338;visibility:visible;mso-wrap-style:square;v-text-anchor:middle" coordsize="1209579,733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LL2wwAAANoAAAAPAAAAZHJzL2Rvd25yZXYueG1sRI/RasJA&#10;FETfhf7Dcgu+NZukYiW6irQUrfpS9QMu2WuSNns37G40/ftuoeDjMDNnmMVqMK24kvONZQVZkoIg&#10;Lq1uuFJwPr0/zUD4gKyxtUwKfsjDavkwWmCh7Y0/6XoMlYgQ9gUqqEPoCil9WZNBn9iOOHoX6wyG&#10;KF0ltcNbhJtW5mk6lQYbjgs1dvRaU/l97I2Cr/xAz3v6kEO2uaz1Dvu37IWUGj8O6zmIQEO4h//b&#10;W61gAn9X4g2Qy18AAAD//wMAUEsBAi0AFAAGAAgAAAAhANvh9svuAAAAhQEAABMAAAAAAAAAAAAA&#10;AAAAAAAAAFtDb250ZW50X1R5cGVzXS54bWxQSwECLQAUAAYACAAAACEAWvQsW78AAAAVAQAACwAA&#10;AAAAAAAAAAAAAAAfAQAAX3JlbHMvLnJlbHNQSwECLQAUAAYACAAAACEAYryy9sMAAADaAAAADwAA&#10;AAAAAAAAAAAAAAAHAgAAZHJzL2Rvd25yZXYueG1sUEsFBgAAAAADAAMAtwAAAPcCAAAAAA==&#10;" path="m1209580,r,733806l,733806,346805,r862775,xe" fillcolor="#0072ce [3204]" stroked="f">
                  <v:stroke joinstyle="miter"/>
                  <v:path arrowok="t" o:connecttype="custom" o:connectlocs="1209580,0;1209580,733806;0,733806;346805,0" o:connectangles="0,0,0,0"/>
                </v:shape>
                <v:shape id="Freeform: Shape 5" o:spid="_x0000_s1030" style="position:absolute;left:45989;top:34674;width:11217;height:7338;visibility:visible;mso-wrap-style:square;v-text-anchor:middle" coordsize="1121664,733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8DIwQAAANoAAAAPAAAAZHJzL2Rvd25yZXYueG1sRI9Pi8Iw&#10;FMTvwn6H8Ba8aaqwIl2jiKDsYUX8x14fzbMpNi+1ybb12xtB8DjMzG+Y2aKzpWio9oVjBaNhAoI4&#10;c7rgXMHpuB5MQfiArLF0TAru5GEx/+jNMNWu5T01h5CLCGGfogITQpVK6TNDFv3QVcTRu7jaYoiy&#10;zqWusY1wW8pxkkykxYLjgsGKVoay6+HfKqDf5Y3y82Rstu1RbujcbJK/nVL9z275DSJQF97hV/tH&#10;K/iC55V4A+T8AQAA//8DAFBLAQItABQABgAIAAAAIQDb4fbL7gAAAIUBAAATAAAAAAAAAAAAAAAA&#10;AAAAAABbQ29udGVudF9UeXBlc10ueG1sUEsBAi0AFAAGAAgAAAAhAFr0LFu/AAAAFQEAAAsAAAAA&#10;AAAAAAAAAAAAHwEAAF9yZWxzLy5yZWxzUEsBAi0AFAAGAAgAAAAhAFGzwMjBAAAA2gAAAA8AAAAA&#10;AAAAAAAAAAAABwIAAGRycy9kb3ducmV2LnhtbFBLBQYAAAAAAwADALcAAAD1AgAAAAA=&#10;" path="m,733806r774859,l1121664,,346805,,,733806xe" fillcolor="#68cef2 [3205]" stroked="f">
                  <v:stroke joinstyle="miter"/>
                  <v:path arrowok="t" o:connecttype="custom" o:connectlocs="0,733806;774859,733806;1121664,0;346805,0" o:connectangles="0,0,0,0"/>
                </v:shape>
                <v:shape id="Freeform: Shape 6" o:spid="_x0000_s1031" style="position:absolute;left:57206;top:34674;width:8627;height:7337;visibility:visible;mso-wrap-style:square;v-text-anchor:middle" coordsize="862774,733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gopxAAAANoAAAAPAAAAZHJzL2Rvd25yZXYueG1sRI9BawIx&#10;FITvQv9DeIVepGYVKrI1SlHEXnpwFaG3x+Z1s3Xzsm7SNf33RhA8DjPzDTNfRtuInjpfO1YwHmUg&#10;iEuna64UHPab1xkIH5A1No5JwT95WC6eBnPMtbvwjvoiVCJB2OeowITQ5lL60pBFP3ItcfJ+XGcx&#10;JNlVUnd4SXDbyEmWTaXFmtOCwZZWhspT8WcVFKev83Gts8lha+I2vn0P+9/NUKmX5/jxDiJQDI/w&#10;vf2pFUzhdiXdALm4AgAA//8DAFBLAQItABQABgAIAAAAIQDb4fbL7gAAAIUBAAATAAAAAAAAAAAA&#10;AAAAAAAAAABbQ29udGVudF9UeXBlc10ueG1sUEsBAi0AFAAGAAgAAAAhAFr0LFu/AAAAFQEAAAsA&#10;AAAAAAAAAAAAAAAAHwEAAF9yZWxzLy5yZWxzUEsBAi0AFAAGAAgAAAAhAA46CinEAAAA2gAAAA8A&#10;AAAAAAAAAAAAAAAABwIAAGRycy9kb3ducmV2LnhtbFBLBQYAAAAAAwADALcAAAD4AgAAAAA=&#10;" path="m,l346805,733711r515969,l862774,,,xe" fillcolor="#232b39 [3213]" stroked="f">
                  <v:stroke joinstyle="miter"/>
                  <v:path arrowok="t" o:connecttype="custom" o:connectlocs="0,0;346805,733711;862774,733711;862774,0" o:connectangles="0,0,0,0"/>
                </v:shape>
              </v:group>
              <v:shape id="Freeform: Shape 7" o:spid="_x0000_s1032" style="position:absolute;left:44213;top:38246;width:9525;height:3763;visibility:visible;mso-wrap-style:square;v-text-anchor:middle" coordsize="952500,376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47+wwAAANoAAAAPAAAAZHJzL2Rvd25yZXYueG1sRI9BawIx&#10;FITvQv9DeIVepGZbUMvWKCJovSi4euntsXndXdy8hCTq7r9vBMHjMDPfMLNFZ1pxJR8aywo+RhkI&#10;4tLqhisFp+P6/QtEiMgaW8ukoKcAi/nLYIa5tjc+0LWIlUgQDjkqqGN0uZShrMlgGFlHnLw/6w3G&#10;JH0ltcdbgptWfmbZRBpsOC3U6GhVU3kuLkbBZbWLP/3pV27c2eHYHId+2e+Venvtlt8gInXxGX60&#10;t1rBFO5X0g2Q838AAAD//wMAUEsBAi0AFAAGAAgAAAAhANvh9svuAAAAhQEAABMAAAAAAAAAAAAA&#10;AAAAAAAAAFtDb250ZW50X1R5cGVzXS54bWxQSwECLQAUAAYACAAAACEAWvQsW78AAAAVAQAACwAA&#10;AAAAAAAAAAAAAAAfAQAAX3JlbHMvLnJlbHNQSwECLQAUAAYACAAAACEAnh+O/sMAAADaAAAADwAA&#10;AAAAAAAAAAAAAAAHAgAAZHJzL2Rvd25yZXYueG1sUEsFBgAAAAADAAMAtwAAAPcCAAAAAA==&#10;" path="m,l774573,,952500,376238r-774668,l,xe" stroked="f">
                <v:fill opacity="32896f"/>
                <v:stroke joinstyle="miter"/>
                <v:path arrowok="t" o:connecttype="custom" o:connectlocs="0,0;774573,0;952500,376238;177832,376238" o:connectangles="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A9CA19B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4B2D3B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27424F2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7B0D03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B461B0E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02E6551A"/>
    <w:multiLevelType w:val="multilevel"/>
    <w:tmpl w:val="318414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1Fin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2Notescontinued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1A36386E"/>
    <w:multiLevelType w:val="multilevel"/>
    <w:tmpl w:val="4C8629F6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pStyle w:val="ListBullet2"/>
      <w:lvlText w:val="–"/>
      <w:lvlJc w:val="left"/>
      <w:pPr>
        <w:ind w:left="568" w:hanging="284"/>
      </w:pPr>
      <w:rPr>
        <w:rFonts w:ascii="Arial" w:hAnsi="Arial" w:hint="default"/>
      </w:rPr>
    </w:lvl>
    <w:lvl w:ilvl="2">
      <w:start w:val="1"/>
      <w:numFmt w:val="bullet"/>
      <w:pStyle w:val="ListBullet3"/>
      <w:lvlText w:val=""/>
      <w:lvlJc w:val="left"/>
      <w:pPr>
        <w:ind w:left="852" w:hanging="284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7" w15:restartNumberingAfterBreak="0">
    <w:nsid w:val="1DFE4963"/>
    <w:multiLevelType w:val="hybridMultilevel"/>
    <w:tmpl w:val="3ECA5C58"/>
    <w:lvl w:ilvl="0" w:tplc="27E4D372">
      <w:start w:val="1"/>
      <w:numFmt w:val="decimal"/>
      <w:pStyle w:val="ListNumb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456FFD"/>
    <w:multiLevelType w:val="multilevel"/>
    <w:tmpl w:val="C0D2F066"/>
    <w:lvl w:ilvl="0">
      <w:start w:val="1"/>
      <w:numFmt w:val="bullet"/>
      <w:pStyle w:val="Tablebullet"/>
      <w:lvlText w:val=""/>
      <w:lvlJc w:val="left"/>
      <w:pPr>
        <w:ind w:left="288" w:hanging="288"/>
      </w:pPr>
      <w:rPr>
        <w:rFonts w:ascii="Symbol" w:hAnsi="Symbol" w:hint="default"/>
        <w:color w:val="auto"/>
      </w:rPr>
    </w:lvl>
    <w:lvl w:ilvl="1">
      <w:start w:val="1"/>
      <w:numFmt w:val="bullet"/>
      <w:pStyle w:val="Tabledash"/>
      <w:lvlText w:val="–"/>
      <w:lvlJc w:val="left"/>
      <w:pPr>
        <w:ind w:left="576" w:hanging="288"/>
      </w:pPr>
      <w:rPr>
        <w:rFonts w:ascii="Calibri" w:hAnsi="Calibri" w:hint="default"/>
        <w:color w:val="auto"/>
      </w:rPr>
    </w:lvl>
    <w:lvl w:ilvl="2">
      <w:start w:val="1"/>
      <w:numFmt w:val="decimal"/>
      <w:pStyle w:val="Tablenum1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lowerLetter"/>
      <w:pStyle w:val="Tablenum2"/>
      <w:lvlText w:val="(%4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36E47BAD"/>
    <w:multiLevelType w:val="multilevel"/>
    <w:tmpl w:val="AFDC0FC6"/>
    <w:lvl w:ilvl="0">
      <w:start w:val="1"/>
      <w:numFmt w:val="bullet"/>
      <w:pStyle w:val="TargetMet"/>
      <w:suff w:val="nothing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pStyle w:val="TargetNotMet5"/>
      <w:suff w:val="nothing"/>
      <w:lvlText w:val=""/>
      <w:lvlJc w:val="left"/>
      <w:pPr>
        <w:ind w:left="360" w:hanging="360"/>
      </w:pPr>
      <w:rPr>
        <w:rFonts w:ascii="Wingdings" w:hAnsi="Wingdings" w:hint="default"/>
      </w:rPr>
    </w:lvl>
    <w:lvl w:ilvl="2">
      <w:start w:val="1"/>
      <w:numFmt w:val="bullet"/>
      <w:pStyle w:val="TargetNotMet50"/>
      <w:suff w:val="nothing"/>
      <w:lvlText w:val=""/>
      <w:lvlJc w:val="left"/>
      <w:pPr>
        <w:ind w:left="360" w:hanging="360"/>
      </w:pPr>
      <w:rPr>
        <w:rFonts w:ascii="Wingdings" w:hAnsi="Wing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46D3A6A"/>
    <w:multiLevelType w:val="multilevel"/>
    <w:tmpl w:val="5D9EE514"/>
    <w:lvl w:ilvl="0">
      <w:start w:val="1"/>
      <w:numFmt w:val="bullet"/>
      <w:pStyle w:val="Bulle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vanish w:val="0"/>
        <w:color w:val="auto"/>
        <w:sz w:val="22"/>
      </w:rPr>
    </w:lvl>
    <w:lvl w:ilvl="1">
      <w:start w:val="1"/>
      <w:numFmt w:val="bullet"/>
      <w:pStyle w:val="Bullet2"/>
      <w:lvlText w:val="–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b w:val="0"/>
        <w:i w:val="0"/>
        <w:vanish w:val="0"/>
        <w:color w:val="auto"/>
        <w:sz w:val="22"/>
      </w:rPr>
    </w:lvl>
    <w:lvl w:ilvl="2">
      <w:start w:val="1"/>
      <w:numFmt w:val="bullet"/>
      <w:pStyle w:val="Bulletindent"/>
      <w:lvlText w:val=""/>
      <w:lvlJc w:val="left"/>
      <w:pPr>
        <w:tabs>
          <w:tab w:val="num" w:pos="1152"/>
        </w:tabs>
        <w:ind w:left="1152" w:hanging="360"/>
      </w:pPr>
      <w:rPr>
        <w:rFonts w:ascii="Symbol" w:hAnsi="Symbol" w:hint="default"/>
        <w:b w:val="0"/>
        <w:i w:val="0"/>
        <w:vanish w:val="0"/>
        <w:color w:val="auto"/>
        <w:sz w:val="22"/>
      </w:rPr>
    </w:lvl>
    <w:lvl w:ilvl="3">
      <w:start w:val="1"/>
      <w:numFmt w:val="bullet"/>
      <w:pStyle w:val="Bulletindent2"/>
      <w:lvlText w:val="–"/>
      <w:lvlJc w:val="left"/>
      <w:pPr>
        <w:tabs>
          <w:tab w:val="num" w:pos="1512"/>
        </w:tabs>
        <w:ind w:left="1512" w:hanging="360"/>
      </w:pPr>
      <w:rPr>
        <w:rFonts w:ascii="Calibri" w:hAnsi="Calibri" w:hint="default"/>
        <w:b w:val="0"/>
        <w:i w:val="0"/>
        <w:vanish w:val="0"/>
        <w:color w:val="auto"/>
        <w:sz w:val="22"/>
      </w:rPr>
    </w:lvl>
    <w:lvl w:ilvl="4">
      <w:start w:val="1"/>
      <w:numFmt w:val="bullet"/>
      <w:lvlText w:val=""/>
      <w:lvlJc w:val="left"/>
      <w:pPr>
        <w:tabs>
          <w:tab w:val="num" w:pos="2211"/>
        </w:tabs>
        <w:ind w:left="2211" w:hanging="283"/>
      </w:pPr>
      <w:rPr>
        <w:rFonts w:ascii="Symbol" w:hAnsi="Symbol" w:hint="default"/>
        <w:b w:val="0"/>
        <w:i w:val="0"/>
        <w:vanish w:val="0"/>
        <w:color w:val="auto"/>
        <w:sz w:val="22"/>
      </w:rPr>
    </w:lvl>
    <w:lvl w:ilvl="5">
      <w:start w:val="1"/>
      <w:numFmt w:val="bullet"/>
      <w:lvlText w:val=""/>
      <w:lvlJc w:val="left"/>
      <w:pPr>
        <w:tabs>
          <w:tab w:val="num" w:pos="2495"/>
        </w:tabs>
        <w:ind w:left="2495" w:hanging="284"/>
      </w:pPr>
      <w:rPr>
        <w:rFonts w:ascii="Symbol" w:hAnsi="Symbol" w:hint="default"/>
        <w:b w:val="0"/>
        <w:i w:val="0"/>
        <w:vanish w:val="0"/>
        <w:color w:val="auto"/>
        <w:sz w:val="22"/>
      </w:rPr>
    </w:lvl>
    <w:lvl w:ilvl="6">
      <w:start w:val="1"/>
      <w:numFmt w:val="bullet"/>
      <w:lvlText w:val=""/>
      <w:lvlJc w:val="left"/>
      <w:pPr>
        <w:tabs>
          <w:tab w:val="num" w:pos="2778"/>
        </w:tabs>
        <w:ind w:left="2778" w:hanging="283"/>
      </w:pPr>
      <w:rPr>
        <w:rFonts w:ascii="Symbol" w:hAnsi="Symbol" w:hint="default"/>
        <w:b w:val="0"/>
        <w:i w:val="0"/>
        <w:vanish w:val="0"/>
        <w:color w:val="auto"/>
        <w:sz w:val="22"/>
      </w:rPr>
    </w:lvl>
    <w:lvl w:ilvl="7">
      <w:start w:val="1"/>
      <w:numFmt w:val="bullet"/>
      <w:lvlText w:val=""/>
      <w:lvlJc w:val="left"/>
      <w:pPr>
        <w:tabs>
          <w:tab w:val="num" w:pos="3062"/>
        </w:tabs>
        <w:ind w:left="3062" w:hanging="284"/>
      </w:pPr>
      <w:rPr>
        <w:rFonts w:ascii="Symbol" w:hAnsi="Symbol" w:hint="default"/>
        <w:b w:val="0"/>
        <w:i w:val="0"/>
        <w:vanish w:val="0"/>
        <w:color w:val="auto"/>
        <w:sz w:val="22"/>
      </w:rPr>
    </w:lvl>
    <w:lvl w:ilvl="8">
      <w:start w:val="1"/>
      <w:numFmt w:val="bullet"/>
      <w:lvlText w:val=""/>
      <w:lvlJc w:val="left"/>
      <w:pPr>
        <w:tabs>
          <w:tab w:val="num" w:pos="3345"/>
        </w:tabs>
        <w:ind w:left="3345" w:hanging="283"/>
      </w:pPr>
      <w:rPr>
        <w:rFonts w:ascii="Symbol" w:hAnsi="Symbol" w:hint="default"/>
        <w:b w:val="0"/>
        <w:i w:val="0"/>
        <w:vanish w:val="0"/>
        <w:color w:val="auto"/>
        <w:sz w:val="22"/>
      </w:rPr>
    </w:lvl>
  </w:abstractNum>
  <w:abstractNum w:abstractNumId="11" w15:restartNumberingAfterBreak="0">
    <w:nsid w:val="4500467F"/>
    <w:multiLevelType w:val="multilevel"/>
    <w:tmpl w:val="91B418E0"/>
    <w:lvl w:ilvl="0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18"/>
      </w:rPr>
    </w:lvl>
    <w:lvl w:ilvl="1">
      <w:start w:val="1"/>
      <w:numFmt w:val="bullet"/>
      <w:pStyle w:val="Dash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</w:rPr>
    </w:lvl>
    <w:lvl w:ilvl="2">
      <w:start w:val="1"/>
      <w:numFmt w:val="decimal"/>
      <w:lvlText w:val="%1.%2.%3"/>
      <w:lvlJc w:val="left"/>
      <w:pPr>
        <w:tabs>
          <w:tab w:val="num" w:pos="1586"/>
        </w:tabs>
        <w:ind w:left="1586" w:hanging="794"/>
      </w:pPr>
      <w:rPr>
        <w:b/>
        <w:i w:val="0"/>
        <w:color w:val="4D4D4D"/>
        <w:sz w:val="26"/>
      </w:rPr>
    </w:lvl>
    <w:lvl w:ilvl="3">
      <w:start w:val="1"/>
      <w:numFmt w:val="decimal"/>
      <w:suff w:val="nothing"/>
      <w:lvlText w:val=""/>
      <w:lvlJc w:val="left"/>
      <w:pPr>
        <w:ind w:left="1586" w:firstLine="0"/>
      </w:pPr>
      <w:rPr>
        <w:b/>
        <w:i w:val="0"/>
        <w:color w:val="4D4D4D"/>
        <w:sz w:val="22"/>
      </w:rPr>
    </w:lvl>
    <w:lvl w:ilvl="4">
      <w:start w:val="1"/>
      <w:numFmt w:val="decimal"/>
      <w:suff w:val="nothing"/>
      <w:lvlText w:val=""/>
      <w:lvlJc w:val="left"/>
      <w:pPr>
        <w:ind w:left="1586" w:firstLine="0"/>
      </w:pPr>
      <w:rPr>
        <w:b/>
        <w:i/>
        <w:color w:val="404040"/>
        <w:sz w:val="22"/>
      </w:rPr>
    </w:lvl>
    <w:lvl w:ilvl="5">
      <w:start w:val="1"/>
      <w:numFmt w:val="decimal"/>
      <w:suff w:val="nothing"/>
      <w:lvlText w:val=""/>
      <w:lvlJc w:val="left"/>
      <w:pPr>
        <w:ind w:left="1586" w:firstLine="0"/>
      </w:pPr>
      <w:rPr>
        <w:b/>
        <w:i/>
        <w:color w:val="404040"/>
        <w:sz w:val="22"/>
      </w:rPr>
    </w:lvl>
    <w:lvl w:ilvl="6">
      <w:start w:val="1"/>
      <w:numFmt w:val="decimal"/>
      <w:suff w:val="nothing"/>
      <w:lvlText w:val=""/>
      <w:lvlJc w:val="left"/>
      <w:pPr>
        <w:ind w:left="1586" w:firstLine="0"/>
      </w:pPr>
      <w:rPr>
        <w:b/>
        <w:i w:val="0"/>
        <w:color w:val="404040"/>
        <w:sz w:val="22"/>
      </w:rPr>
    </w:lvl>
    <w:lvl w:ilvl="7">
      <w:start w:val="1"/>
      <w:numFmt w:val="decimal"/>
      <w:suff w:val="nothing"/>
      <w:lvlText w:val=""/>
      <w:lvlJc w:val="left"/>
      <w:pPr>
        <w:ind w:left="1586" w:firstLine="0"/>
      </w:pPr>
      <w:rPr>
        <w:b w:val="0"/>
        <w:i w:val="0"/>
        <w:color w:val="404040"/>
        <w:sz w:val="22"/>
      </w:rPr>
    </w:lvl>
    <w:lvl w:ilvl="8">
      <w:start w:val="1"/>
      <w:numFmt w:val="decimal"/>
      <w:suff w:val="nothing"/>
      <w:lvlText w:val=""/>
      <w:lvlJc w:val="left"/>
      <w:pPr>
        <w:ind w:left="1586" w:firstLine="0"/>
      </w:pPr>
      <w:rPr>
        <w:b w:val="0"/>
        <w:i w:val="0"/>
        <w:color w:val="404040"/>
        <w:sz w:val="22"/>
      </w:rPr>
    </w:lvl>
  </w:abstractNum>
  <w:abstractNum w:abstractNumId="12" w15:restartNumberingAfterBreak="0">
    <w:nsid w:val="4B6367C4"/>
    <w:multiLevelType w:val="singleLevel"/>
    <w:tmpl w:val="5B461B0E"/>
    <w:styleLink w:val="NumberedHeadings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3" w15:restartNumberingAfterBreak="0">
    <w:nsid w:val="63712782"/>
    <w:multiLevelType w:val="hybridMultilevel"/>
    <w:tmpl w:val="7EC84E4E"/>
    <w:lvl w:ilvl="0" w:tplc="8454F180">
      <w:start w:val="1"/>
      <w:numFmt w:val="bullet"/>
      <w:pStyle w:val="Tabletextnotes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4" w15:restartNumberingAfterBreak="0">
    <w:nsid w:val="6F87598C"/>
    <w:multiLevelType w:val="hybridMultilevel"/>
    <w:tmpl w:val="7806F6AC"/>
    <w:lvl w:ilvl="0" w:tplc="D974E9F2">
      <w:start w:val="1"/>
      <w:numFmt w:val="bullet"/>
      <w:pStyle w:val="Tableheaderbullet"/>
      <w:lvlText w:val=""/>
      <w:lvlJc w:val="left"/>
      <w:pPr>
        <w:ind w:left="720" w:hanging="360"/>
      </w:pPr>
      <w:rPr>
        <w:rFonts w:ascii="Symbol" w:hAnsi="Symbol" w:hint="default"/>
        <w:sz w:val="14"/>
        <w:szCs w:val="1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7E12E5"/>
    <w:multiLevelType w:val="hybridMultilevel"/>
    <w:tmpl w:val="3A5E8A9C"/>
    <w:lvl w:ilvl="0" w:tplc="D52C8DEE">
      <w:start w:val="1"/>
      <w:numFmt w:val="decimal"/>
      <w:pStyle w:val="Numpara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D44514"/>
    <w:multiLevelType w:val="multilevel"/>
    <w:tmpl w:val="D3A4EDA4"/>
    <w:lvl w:ilvl="0">
      <w:start w:val="1"/>
      <w:numFmt w:val="lowerLetter"/>
      <w:pStyle w:val="Listnum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Roman"/>
      <w:pStyle w:val="Listnum2"/>
      <w:lvlText w:val="(%2)"/>
      <w:lvlJc w:val="left"/>
      <w:pPr>
        <w:tabs>
          <w:tab w:val="num" w:pos="864"/>
        </w:tabs>
        <w:ind w:left="720" w:hanging="360"/>
      </w:pPr>
      <w:rPr>
        <w:rFonts w:hint="default"/>
      </w:rPr>
    </w:lvl>
    <w:lvl w:ilvl="2">
      <w:start w:val="1"/>
      <w:numFmt w:val="decimal"/>
      <w:pStyle w:val="Heading1numbered"/>
      <w:lvlText w:val="%3."/>
      <w:lvlJc w:val="left"/>
      <w:pPr>
        <w:tabs>
          <w:tab w:val="num" w:pos="792"/>
        </w:tabs>
        <w:ind w:left="792" w:hanging="792"/>
      </w:pPr>
      <w:rPr>
        <w:rFonts w:hint="default"/>
      </w:rPr>
    </w:lvl>
    <w:lvl w:ilvl="3">
      <w:start w:val="1"/>
      <w:numFmt w:val="decimal"/>
      <w:pStyle w:val="Heading2numbered"/>
      <w:lvlText w:val="%3.%4"/>
      <w:lvlJc w:val="left"/>
      <w:pPr>
        <w:tabs>
          <w:tab w:val="num" w:pos="792"/>
        </w:tabs>
        <w:ind w:left="792" w:hanging="792"/>
      </w:pPr>
      <w:rPr>
        <w:rFonts w:hint="default"/>
      </w:rPr>
    </w:lvl>
    <w:lvl w:ilvl="4">
      <w:start w:val="1"/>
      <w:numFmt w:val="decimal"/>
      <w:pStyle w:val="Heading3numbered"/>
      <w:lvlText w:val="%3.%4.%5"/>
      <w:lvlJc w:val="left"/>
      <w:pPr>
        <w:tabs>
          <w:tab w:val="num" w:pos="792"/>
        </w:tabs>
        <w:ind w:left="792" w:hanging="792"/>
      </w:pPr>
      <w:rPr>
        <w:rFonts w:hint="default"/>
      </w:rPr>
    </w:lvl>
    <w:lvl w:ilvl="5">
      <w:start w:val="1"/>
      <w:numFmt w:val="decimal"/>
      <w:pStyle w:val="Heading4numbered"/>
      <w:lvlText w:val="%3.%4.%5.%6"/>
      <w:lvlJc w:val="left"/>
      <w:pPr>
        <w:tabs>
          <w:tab w:val="num" w:pos="792"/>
        </w:tabs>
        <w:ind w:left="792" w:hanging="792"/>
      </w:pPr>
      <w:rPr>
        <w:rFonts w:hint="default"/>
      </w:rPr>
    </w:lvl>
    <w:lvl w:ilvl="6">
      <w:start w:val="1"/>
      <w:numFmt w:val="lowerLetter"/>
      <w:pStyle w:val="Listnumindent"/>
      <w:lvlText w:val="(%7)"/>
      <w:lvlJc w:val="left"/>
      <w:pPr>
        <w:tabs>
          <w:tab w:val="num" w:pos="1296"/>
        </w:tabs>
        <w:ind w:left="1296" w:hanging="504"/>
      </w:pPr>
      <w:rPr>
        <w:rFonts w:hint="default"/>
      </w:rPr>
    </w:lvl>
    <w:lvl w:ilvl="7">
      <w:start w:val="1"/>
      <w:numFmt w:val="lowerRoman"/>
      <w:pStyle w:val="Listnumindent2"/>
      <w:lvlText w:val="(%8)"/>
      <w:lvlJc w:val="left"/>
      <w:pPr>
        <w:tabs>
          <w:tab w:val="num" w:pos="1800"/>
        </w:tabs>
        <w:ind w:left="1800" w:hanging="504"/>
      </w:pPr>
      <w:rPr>
        <w:rFonts w:hint="default"/>
      </w:rPr>
    </w:lvl>
    <w:lvl w:ilvl="8">
      <w:start w:val="1"/>
      <w:numFmt w:val="decimal"/>
      <w:pStyle w:val="Numparaindent"/>
      <w:lvlText w:val="%9."/>
      <w:lvlJc w:val="left"/>
      <w:pPr>
        <w:tabs>
          <w:tab w:val="num" w:pos="1296"/>
        </w:tabs>
        <w:ind w:left="1296" w:hanging="504"/>
      </w:pPr>
      <w:rPr>
        <w:rFonts w:hint="default"/>
      </w:rPr>
    </w:lvl>
  </w:abstractNum>
  <w:num w:numId="1" w16cid:durableId="1982223947">
    <w:abstractNumId w:val="10"/>
  </w:num>
  <w:num w:numId="2" w16cid:durableId="1704867172">
    <w:abstractNumId w:val="16"/>
  </w:num>
  <w:num w:numId="3" w16cid:durableId="1737510179">
    <w:abstractNumId w:val="8"/>
  </w:num>
  <w:num w:numId="4" w16cid:durableId="1736006332">
    <w:abstractNumId w:val="15"/>
  </w:num>
  <w:num w:numId="5" w16cid:durableId="700783508">
    <w:abstractNumId w:val="9"/>
  </w:num>
  <w:num w:numId="6" w16cid:durableId="1848249254">
    <w:abstractNumId w:val="13"/>
  </w:num>
  <w:num w:numId="7" w16cid:durableId="420685422">
    <w:abstractNumId w:val="12"/>
  </w:num>
  <w:num w:numId="8" w16cid:durableId="229006486">
    <w:abstractNumId w:val="3"/>
  </w:num>
  <w:num w:numId="9" w16cid:durableId="684525924">
    <w:abstractNumId w:val="2"/>
  </w:num>
  <w:num w:numId="10" w16cid:durableId="2062247592">
    <w:abstractNumId w:val="1"/>
  </w:num>
  <w:num w:numId="11" w16cid:durableId="2120834631">
    <w:abstractNumId w:val="0"/>
  </w:num>
  <w:num w:numId="12" w16cid:durableId="515506256">
    <w:abstractNumId w:val="5"/>
  </w:num>
  <w:num w:numId="13" w16cid:durableId="620306215">
    <w:abstractNumId w:val="1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12236157">
    <w:abstractNumId w:val="14"/>
  </w:num>
  <w:num w:numId="15" w16cid:durableId="1423527054">
    <w:abstractNumId w:val="7"/>
  </w:num>
  <w:num w:numId="16" w16cid:durableId="681082588">
    <w:abstractNumId w:val="6"/>
  </w:num>
  <w:num w:numId="17" w16cid:durableId="1545751994">
    <w:abstractNumId w:val="4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ocumentProtection w:edit="trackedChange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FDA"/>
    <w:rsid w:val="000006D5"/>
    <w:rsid w:val="00000B01"/>
    <w:rsid w:val="000010F0"/>
    <w:rsid w:val="00002413"/>
    <w:rsid w:val="000037D6"/>
    <w:rsid w:val="00003FA1"/>
    <w:rsid w:val="00004729"/>
    <w:rsid w:val="00005AA6"/>
    <w:rsid w:val="00006071"/>
    <w:rsid w:val="000062B7"/>
    <w:rsid w:val="00011507"/>
    <w:rsid w:val="00011910"/>
    <w:rsid w:val="00012F6F"/>
    <w:rsid w:val="00013172"/>
    <w:rsid w:val="00014112"/>
    <w:rsid w:val="00014213"/>
    <w:rsid w:val="0001446F"/>
    <w:rsid w:val="000146F4"/>
    <w:rsid w:val="00014809"/>
    <w:rsid w:val="00014B55"/>
    <w:rsid w:val="00015169"/>
    <w:rsid w:val="00015F87"/>
    <w:rsid w:val="000165BB"/>
    <w:rsid w:val="0001683B"/>
    <w:rsid w:val="00017FB9"/>
    <w:rsid w:val="0002027E"/>
    <w:rsid w:val="00020E3E"/>
    <w:rsid w:val="000210FF"/>
    <w:rsid w:val="000216DA"/>
    <w:rsid w:val="00021778"/>
    <w:rsid w:val="00022D0D"/>
    <w:rsid w:val="00022D65"/>
    <w:rsid w:val="00023091"/>
    <w:rsid w:val="000231EC"/>
    <w:rsid w:val="00023441"/>
    <w:rsid w:val="0002354F"/>
    <w:rsid w:val="00023B0E"/>
    <w:rsid w:val="00023BF3"/>
    <w:rsid w:val="00023C2E"/>
    <w:rsid w:val="00023DB3"/>
    <w:rsid w:val="00023DC2"/>
    <w:rsid w:val="0002402F"/>
    <w:rsid w:val="00025092"/>
    <w:rsid w:val="00025C12"/>
    <w:rsid w:val="00026291"/>
    <w:rsid w:val="00026811"/>
    <w:rsid w:val="00027383"/>
    <w:rsid w:val="00027505"/>
    <w:rsid w:val="00030C0C"/>
    <w:rsid w:val="00030DF4"/>
    <w:rsid w:val="00031099"/>
    <w:rsid w:val="00031AA4"/>
    <w:rsid w:val="00032458"/>
    <w:rsid w:val="00032546"/>
    <w:rsid w:val="0003274F"/>
    <w:rsid w:val="00033012"/>
    <w:rsid w:val="0003340A"/>
    <w:rsid w:val="00033507"/>
    <w:rsid w:val="00034476"/>
    <w:rsid w:val="0003471E"/>
    <w:rsid w:val="00034AE1"/>
    <w:rsid w:val="000355F1"/>
    <w:rsid w:val="00035CC4"/>
    <w:rsid w:val="00035E7B"/>
    <w:rsid w:val="0003648C"/>
    <w:rsid w:val="00037674"/>
    <w:rsid w:val="00037BC8"/>
    <w:rsid w:val="00037C00"/>
    <w:rsid w:val="000410C8"/>
    <w:rsid w:val="00041F02"/>
    <w:rsid w:val="000420BF"/>
    <w:rsid w:val="00043296"/>
    <w:rsid w:val="0004356D"/>
    <w:rsid w:val="00045296"/>
    <w:rsid w:val="000458EA"/>
    <w:rsid w:val="00046FBE"/>
    <w:rsid w:val="000476A8"/>
    <w:rsid w:val="00047C49"/>
    <w:rsid w:val="00050AE1"/>
    <w:rsid w:val="00051574"/>
    <w:rsid w:val="00051FB1"/>
    <w:rsid w:val="000521CB"/>
    <w:rsid w:val="00053F78"/>
    <w:rsid w:val="00056EA8"/>
    <w:rsid w:val="0005703B"/>
    <w:rsid w:val="00057312"/>
    <w:rsid w:val="00057FF3"/>
    <w:rsid w:val="00060D3A"/>
    <w:rsid w:val="0006137B"/>
    <w:rsid w:val="00061783"/>
    <w:rsid w:val="000635B3"/>
    <w:rsid w:val="0006599B"/>
    <w:rsid w:val="00065B53"/>
    <w:rsid w:val="00066699"/>
    <w:rsid w:val="00070493"/>
    <w:rsid w:val="00070F3A"/>
    <w:rsid w:val="000714AB"/>
    <w:rsid w:val="0007157A"/>
    <w:rsid w:val="00071A94"/>
    <w:rsid w:val="0007228B"/>
    <w:rsid w:val="00072A2A"/>
    <w:rsid w:val="00072B6E"/>
    <w:rsid w:val="00074303"/>
    <w:rsid w:val="00074DB5"/>
    <w:rsid w:val="00075E6C"/>
    <w:rsid w:val="000762DC"/>
    <w:rsid w:val="000762EE"/>
    <w:rsid w:val="00076F88"/>
    <w:rsid w:val="000770E2"/>
    <w:rsid w:val="00077AEC"/>
    <w:rsid w:val="000809D3"/>
    <w:rsid w:val="000812EB"/>
    <w:rsid w:val="000817B7"/>
    <w:rsid w:val="00081DCC"/>
    <w:rsid w:val="000824BC"/>
    <w:rsid w:val="0008295D"/>
    <w:rsid w:val="00082B36"/>
    <w:rsid w:val="000831D6"/>
    <w:rsid w:val="000837B9"/>
    <w:rsid w:val="0008386D"/>
    <w:rsid w:val="00084E05"/>
    <w:rsid w:val="0008508D"/>
    <w:rsid w:val="00085999"/>
    <w:rsid w:val="00085E22"/>
    <w:rsid w:val="00085ECF"/>
    <w:rsid w:val="00086AB9"/>
    <w:rsid w:val="00087F2D"/>
    <w:rsid w:val="00090171"/>
    <w:rsid w:val="00090855"/>
    <w:rsid w:val="00090B79"/>
    <w:rsid w:val="00090F4A"/>
    <w:rsid w:val="0009141F"/>
    <w:rsid w:val="000915B5"/>
    <w:rsid w:val="00092096"/>
    <w:rsid w:val="00093D21"/>
    <w:rsid w:val="00093D7A"/>
    <w:rsid w:val="0009426C"/>
    <w:rsid w:val="00094383"/>
    <w:rsid w:val="00094DE2"/>
    <w:rsid w:val="00094E7C"/>
    <w:rsid w:val="00095093"/>
    <w:rsid w:val="0009551C"/>
    <w:rsid w:val="00095965"/>
    <w:rsid w:val="00095E02"/>
    <w:rsid w:val="00095ECB"/>
    <w:rsid w:val="00096448"/>
    <w:rsid w:val="00096F47"/>
    <w:rsid w:val="000977F5"/>
    <w:rsid w:val="00097ABC"/>
    <w:rsid w:val="00097DEA"/>
    <w:rsid w:val="000A0181"/>
    <w:rsid w:val="000A074A"/>
    <w:rsid w:val="000A1DCC"/>
    <w:rsid w:val="000A2632"/>
    <w:rsid w:val="000A264F"/>
    <w:rsid w:val="000A304C"/>
    <w:rsid w:val="000A32A8"/>
    <w:rsid w:val="000A3460"/>
    <w:rsid w:val="000A34BB"/>
    <w:rsid w:val="000A3938"/>
    <w:rsid w:val="000A55E0"/>
    <w:rsid w:val="000A59F2"/>
    <w:rsid w:val="000A5C6E"/>
    <w:rsid w:val="000A6FAF"/>
    <w:rsid w:val="000A75C5"/>
    <w:rsid w:val="000B0EB7"/>
    <w:rsid w:val="000B1434"/>
    <w:rsid w:val="000B143A"/>
    <w:rsid w:val="000B1542"/>
    <w:rsid w:val="000B17EC"/>
    <w:rsid w:val="000B26BF"/>
    <w:rsid w:val="000B29AD"/>
    <w:rsid w:val="000B31A4"/>
    <w:rsid w:val="000B31FE"/>
    <w:rsid w:val="000B4637"/>
    <w:rsid w:val="000B483E"/>
    <w:rsid w:val="000B4D3E"/>
    <w:rsid w:val="000B52C2"/>
    <w:rsid w:val="000B5983"/>
    <w:rsid w:val="000B6868"/>
    <w:rsid w:val="000C06ED"/>
    <w:rsid w:val="000C1D65"/>
    <w:rsid w:val="000C22B9"/>
    <w:rsid w:val="000C283F"/>
    <w:rsid w:val="000C2CF2"/>
    <w:rsid w:val="000C4B1D"/>
    <w:rsid w:val="000C6288"/>
    <w:rsid w:val="000C6372"/>
    <w:rsid w:val="000D0151"/>
    <w:rsid w:val="000D2074"/>
    <w:rsid w:val="000D208E"/>
    <w:rsid w:val="000D244B"/>
    <w:rsid w:val="000D25A6"/>
    <w:rsid w:val="000D32EE"/>
    <w:rsid w:val="000D36B6"/>
    <w:rsid w:val="000D3837"/>
    <w:rsid w:val="000D4B85"/>
    <w:rsid w:val="000D548B"/>
    <w:rsid w:val="000D5564"/>
    <w:rsid w:val="000D5825"/>
    <w:rsid w:val="000D593F"/>
    <w:rsid w:val="000D5EF3"/>
    <w:rsid w:val="000D7727"/>
    <w:rsid w:val="000E11FB"/>
    <w:rsid w:val="000E1311"/>
    <w:rsid w:val="000E28F1"/>
    <w:rsid w:val="000E3905"/>
    <w:rsid w:val="000E392D"/>
    <w:rsid w:val="000E53E3"/>
    <w:rsid w:val="000E546D"/>
    <w:rsid w:val="000F02E2"/>
    <w:rsid w:val="000F2A93"/>
    <w:rsid w:val="000F2C3E"/>
    <w:rsid w:val="000F4288"/>
    <w:rsid w:val="000F54C0"/>
    <w:rsid w:val="000F54DF"/>
    <w:rsid w:val="000F5614"/>
    <w:rsid w:val="000F6E41"/>
    <w:rsid w:val="000F7165"/>
    <w:rsid w:val="0010139D"/>
    <w:rsid w:val="00101BE3"/>
    <w:rsid w:val="00102379"/>
    <w:rsid w:val="001024D0"/>
    <w:rsid w:val="001028CE"/>
    <w:rsid w:val="00102B8E"/>
    <w:rsid w:val="00103E1A"/>
    <w:rsid w:val="00104197"/>
    <w:rsid w:val="00104211"/>
    <w:rsid w:val="001046F3"/>
    <w:rsid w:val="00105906"/>
    <w:rsid w:val="00106410"/>
    <w:rsid w:val="0010653B"/>
    <w:rsid w:val="001065D6"/>
    <w:rsid w:val="00106B3B"/>
    <w:rsid w:val="00106C09"/>
    <w:rsid w:val="00106CB5"/>
    <w:rsid w:val="001100EA"/>
    <w:rsid w:val="001107DF"/>
    <w:rsid w:val="0011082C"/>
    <w:rsid w:val="00110B4A"/>
    <w:rsid w:val="001114BC"/>
    <w:rsid w:val="0011166F"/>
    <w:rsid w:val="00112012"/>
    <w:rsid w:val="001122ED"/>
    <w:rsid w:val="001129CE"/>
    <w:rsid w:val="00112FD2"/>
    <w:rsid w:val="001142D5"/>
    <w:rsid w:val="0011459C"/>
    <w:rsid w:val="0011466E"/>
    <w:rsid w:val="00114C11"/>
    <w:rsid w:val="0011567A"/>
    <w:rsid w:val="001157ED"/>
    <w:rsid w:val="00115DEF"/>
    <w:rsid w:val="0011671D"/>
    <w:rsid w:val="0012010C"/>
    <w:rsid w:val="00120316"/>
    <w:rsid w:val="00120709"/>
    <w:rsid w:val="001207A9"/>
    <w:rsid w:val="00121252"/>
    <w:rsid w:val="00122D1B"/>
    <w:rsid w:val="001232AE"/>
    <w:rsid w:val="00123A38"/>
    <w:rsid w:val="00123F07"/>
    <w:rsid w:val="0012429C"/>
    <w:rsid w:val="00124609"/>
    <w:rsid w:val="00124C58"/>
    <w:rsid w:val="00124D68"/>
    <w:rsid w:val="00124E8E"/>
    <w:rsid w:val="001254CE"/>
    <w:rsid w:val="0012565D"/>
    <w:rsid w:val="00125C38"/>
    <w:rsid w:val="0012669C"/>
    <w:rsid w:val="00126AE8"/>
    <w:rsid w:val="00126AF9"/>
    <w:rsid w:val="00127C6F"/>
    <w:rsid w:val="00130DF1"/>
    <w:rsid w:val="001316D9"/>
    <w:rsid w:val="00132503"/>
    <w:rsid w:val="00133CC6"/>
    <w:rsid w:val="001341EB"/>
    <w:rsid w:val="0013429C"/>
    <w:rsid w:val="00134CEA"/>
    <w:rsid w:val="001350A8"/>
    <w:rsid w:val="00135156"/>
    <w:rsid w:val="00135270"/>
    <w:rsid w:val="00135579"/>
    <w:rsid w:val="00135870"/>
    <w:rsid w:val="00135D95"/>
    <w:rsid w:val="00136675"/>
    <w:rsid w:val="00136841"/>
    <w:rsid w:val="00137AD9"/>
    <w:rsid w:val="00137BCE"/>
    <w:rsid w:val="00137D72"/>
    <w:rsid w:val="00141683"/>
    <w:rsid w:val="001422CC"/>
    <w:rsid w:val="001430BB"/>
    <w:rsid w:val="00143B9B"/>
    <w:rsid w:val="001447C3"/>
    <w:rsid w:val="00145049"/>
    <w:rsid w:val="00145627"/>
    <w:rsid w:val="00145950"/>
    <w:rsid w:val="0014648B"/>
    <w:rsid w:val="001464F7"/>
    <w:rsid w:val="00146E3C"/>
    <w:rsid w:val="00150102"/>
    <w:rsid w:val="001506AF"/>
    <w:rsid w:val="00150875"/>
    <w:rsid w:val="00151CD9"/>
    <w:rsid w:val="00151DAC"/>
    <w:rsid w:val="0015241B"/>
    <w:rsid w:val="001526FE"/>
    <w:rsid w:val="00152EDE"/>
    <w:rsid w:val="0015487E"/>
    <w:rsid w:val="00154B18"/>
    <w:rsid w:val="001552AE"/>
    <w:rsid w:val="00155BF0"/>
    <w:rsid w:val="00156289"/>
    <w:rsid w:val="00156A30"/>
    <w:rsid w:val="00156C69"/>
    <w:rsid w:val="001572D6"/>
    <w:rsid w:val="00157A74"/>
    <w:rsid w:val="00160F98"/>
    <w:rsid w:val="0016134F"/>
    <w:rsid w:val="001616A7"/>
    <w:rsid w:val="001617B6"/>
    <w:rsid w:val="001620F1"/>
    <w:rsid w:val="00162479"/>
    <w:rsid w:val="0016335D"/>
    <w:rsid w:val="001637FE"/>
    <w:rsid w:val="00163940"/>
    <w:rsid w:val="00163F0D"/>
    <w:rsid w:val="00164003"/>
    <w:rsid w:val="00164350"/>
    <w:rsid w:val="00164971"/>
    <w:rsid w:val="00164A25"/>
    <w:rsid w:val="00164B29"/>
    <w:rsid w:val="00164B83"/>
    <w:rsid w:val="00164DD9"/>
    <w:rsid w:val="00165305"/>
    <w:rsid w:val="00165E66"/>
    <w:rsid w:val="001661F6"/>
    <w:rsid w:val="0016643E"/>
    <w:rsid w:val="001665F7"/>
    <w:rsid w:val="00166992"/>
    <w:rsid w:val="00166F1F"/>
    <w:rsid w:val="001670D1"/>
    <w:rsid w:val="00167689"/>
    <w:rsid w:val="00170E0B"/>
    <w:rsid w:val="00172386"/>
    <w:rsid w:val="00174030"/>
    <w:rsid w:val="00174996"/>
    <w:rsid w:val="00174EB9"/>
    <w:rsid w:val="00175089"/>
    <w:rsid w:val="001769D6"/>
    <w:rsid w:val="00177745"/>
    <w:rsid w:val="00177755"/>
    <w:rsid w:val="0017784E"/>
    <w:rsid w:val="0018019D"/>
    <w:rsid w:val="00180315"/>
    <w:rsid w:val="00180A4E"/>
    <w:rsid w:val="001831A8"/>
    <w:rsid w:val="001831EC"/>
    <w:rsid w:val="0018382E"/>
    <w:rsid w:val="001841CD"/>
    <w:rsid w:val="001850B9"/>
    <w:rsid w:val="001854BB"/>
    <w:rsid w:val="0018561A"/>
    <w:rsid w:val="00185667"/>
    <w:rsid w:val="00185901"/>
    <w:rsid w:val="001859BF"/>
    <w:rsid w:val="00186272"/>
    <w:rsid w:val="001877F9"/>
    <w:rsid w:val="00187CC9"/>
    <w:rsid w:val="00190D74"/>
    <w:rsid w:val="001911A2"/>
    <w:rsid w:val="00191322"/>
    <w:rsid w:val="00191A9F"/>
    <w:rsid w:val="00191D98"/>
    <w:rsid w:val="00192373"/>
    <w:rsid w:val="00192EFD"/>
    <w:rsid w:val="00193812"/>
    <w:rsid w:val="001943C3"/>
    <w:rsid w:val="0019443B"/>
    <w:rsid w:val="00195338"/>
    <w:rsid w:val="00195BCE"/>
    <w:rsid w:val="00196479"/>
    <w:rsid w:val="00196CF2"/>
    <w:rsid w:val="00196F8E"/>
    <w:rsid w:val="0019726C"/>
    <w:rsid w:val="00197496"/>
    <w:rsid w:val="001975E3"/>
    <w:rsid w:val="00197E41"/>
    <w:rsid w:val="00197E6C"/>
    <w:rsid w:val="001A06D1"/>
    <w:rsid w:val="001A0CC0"/>
    <w:rsid w:val="001A0D1C"/>
    <w:rsid w:val="001A0E25"/>
    <w:rsid w:val="001A1B8C"/>
    <w:rsid w:val="001A2970"/>
    <w:rsid w:val="001A29EA"/>
    <w:rsid w:val="001A36B3"/>
    <w:rsid w:val="001A38A8"/>
    <w:rsid w:val="001A3DD1"/>
    <w:rsid w:val="001A4068"/>
    <w:rsid w:val="001A6652"/>
    <w:rsid w:val="001A68FF"/>
    <w:rsid w:val="001A73FE"/>
    <w:rsid w:val="001A76F7"/>
    <w:rsid w:val="001B030C"/>
    <w:rsid w:val="001B0812"/>
    <w:rsid w:val="001B1FB4"/>
    <w:rsid w:val="001B257E"/>
    <w:rsid w:val="001B36F8"/>
    <w:rsid w:val="001B3856"/>
    <w:rsid w:val="001B4067"/>
    <w:rsid w:val="001B45E5"/>
    <w:rsid w:val="001B55EB"/>
    <w:rsid w:val="001B5881"/>
    <w:rsid w:val="001B5948"/>
    <w:rsid w:val="001B6324"/>
    <w:rsid w:val="001B6885"/>
    <w:rsid w:val="001B6988"/>
    <w:rsid w:val="001B6C99"/>
    <w:rsid w:val="001B6DA8"/>
    <w:rsid w:val="001B7081"/>
    <w:rsid w:val="001B732A"/>
    <w:rsid w:val="001B7AE3"/>
    <w:rsid w:val="001B7EA0"/>
    <w:rsid w:val="001B7EC1"/>
    <w:rsid w:val="001C01C8"/>
    <w:rsid w:val="001C02F3"/>
    <w:rsid w:val="001C1688"/>
    <w:rsid w:val="001C287D"/>
    <w:rsid w:val="001C4265"/>
    <w:rsid w:val="001C4D1F"/>
    <w:rsid w:val="001C5173"/>
    <w:rsid w:val="001C5768"/>
    <w:rsid w:val="001C57BA"/>
    <w:rsid w:val="001C6DA0"/>
    <w:rsid w:val="001C6EF0"/>
    <w:rsid w:val="001C7BAE"/>
    <w:rsid w:val="001C7EBA"/>
    <w:rsid w:val="001D0A92"/>
    <w:rsid w:val="001D167A"/>
    <w:rsid w:val="001D16DA"/>
    <w:rsid w:val="001D1CDB"/>
    <w:rsid w:val="001D250A"/>
    <w:rsid w:val="001D378A"/>
    <w:rsid w:val="001D3838"/>
    <w:rsid w:val="001D3B2A"/>
    <w:rsid w:val="001D4583"/>
    <w:rsid w:val="001D4EC1"/>
    <w:rsid w:val="001D5ADA"/>
    <w:rsid w:val="001D5DB8"/>
    <w:rsid w:val="001D61E2"/>
    <w:rsid w:val="001D6D57"/>
    <w:rsid w:val="001D6DDA"/>
    <w:rsid w:val="001D717E"/>
    <w:rsid w:val="001D79FA"/>
    <w:rsid w:val="001D7D04"/>
    <w:rsid w:val="001D7E26"/>
    <w:rsid w:val="001E054D"/>
    <w:rsid w:val="001E05CA"/>
    <w:rsid w:val="001E0BBF"/>
    <w:rsid w:val="001E1524"/>
    <w:rsid w:val="001E1A88"/>
    <w:rsid w:val="001E1FA7"/>
    <w:rsid w:val="001E22BF"/>
    <w:rsid w:val="001E2F60"/>
    <w:rsid w:val="001E31FA"/>
    <w:rsid w:val="001E34C6"/>
    <w:rsid w:val="001E368E"/>
    <w:rsid w:val="001E4598"/>
    <w:rsid w:val="001E4973"/>
    <w:rsid w:val="001E4A38"/>
    <w:rsid w:val="001E4C76"/>
    <w:rsid w:val="001E4CC3"/>
    <w:rsid w:val="001E4EE9"/>
    <w:rsid w:val="001E64F6"/>
    <w:rsid w:val="001E6F2C"/>
    <w:rsid w:val="001E77B2"/>
    <w:rsid w:val="001E7E54"/>
    <w:rsid w:val="001E7EE3"/>
    <w:rsid w:val="001F0545"/>
    <w:rsid w:val="001F1F34"/>
    <w:rsid w:val="001F3CC5"/>
    <w:rsid w:val="001F3F92"/>
    <w:rsid w:val="001F5C3A"/>
    <w:rsid w:val="001F64D0"/>
    <w:rsid w:val="001F65B5"/>
    <w:rsid w:val="001F6820"/>
    <w:rsid w:val="001F69E8"/>
    <w:rsid w:val="001F7749"/>
    <w:rsid w:val="001F79C7"/>
    <w:rsid w:val="001F79EF"/>
    <w:rsid w:val="001F7DC4"/>
    <w:rsid w:val="002007B7"/>
    <w:rsid w:val="00200BB3"/>
    <w:rsid w:val="00201283"/>
    <w:rsid w:val="002013A9"/>
    <w:rsid w:val="002014DC"/>
    <w:rsid w:val="00201AEE"/>
    <w:rsid w:val="00201AF8"/>
    <w:rsid w:val="00201BC1"/>
    <w:rsid w:val="00201EFA"/>
    <w:rsid w:val="002025E2"/>
    <w:rsid w:val="00202740"/>
    <w:rsid w:val="00202812"/>
    <w:rsid w:val="002029BC"/>
    <w:rsid w:val="002029EC"/>
    <w:rsid w:val="00203122"/>
    <w:rsid w:val="002041BD"/>
    <w:rsid w:val="00204762"/>
    <w:rsid w:val="00204897"/>
    <w:rsid w:val="00204CAE"/>
    <w:rsid w:val="00204DC0"/>
    <w:rsid w:val="002057FD"/>
    <w:rsid w:val="00205B67"/>
    <w:rsid w:val="00206E87"/>
    <w:rsid w:val="00207526"/>
    <w:rsid w:val="002078CC"/>
    <w:rsid w:val="002078FD"/>
    <w:rsid w:val="0021049E"/>
    <w:rsid w:val="002104B1"/>
    <w:rsid w:val="00210975"/>
    <w:rsid w:val="00210B20"/>
    <w:rsid w:val="00211599"/>
    <w:rsid w:val="002116A3"/>
    <w:rsid w:val="00211E37"/>
    <w:rsid w:val="00212F16"/>
    <w:rsid w:val="00213953"/>
    <w:rsid w:val="00213EA0"/>
    <w:rsid w:val="00215BD1"/>
    <w:rsid w:val="002166C5"/>
    <w:rsid w:val="002170C2"/>
    <w:rsid w:val="0021733B"/>
    <w:rsid w:val="002177C1"/>
    <w:rsid w:val="0022100B"/>
    <w:rsid w:val="00221545"/>
    <w:rsid w:val="00222240"/>
    <w:rsid w:val="00222478"/>
    <w:rsid w:val="00222BEB"/>
    <w:rsid w:val="002233A3"/>
    <w:rsid w:val="002236DF"/>
    <w:rsid w:val="002238EF"/>
    <w:rsid w:val="0022449A"/>
    <w:rsid w:val="00225E60"/>
    <w:rsid w:val="00226028"/>
    <w:rsid w:val="00226E51"/>
    <w:rsid w:val="00227855"/>
    <w:rsid w:val="00227A37"/>
    <w:rsid w:val="00227C39"/>
    <w:rsid w:val="00227DC8"/>
    <w:rsid w:val="0023113B"/>
    <w:rsid w:val="002318B2"/>
    <w:rsid w:val="00231B86"/>
    <w:rsid w:val="00231FDF"/>
    <w:rsid w:val="0023202C"/>
    <w:rsid w:val="002329CC"/>
    <w:rsid w:val="00232FDD"/>
    <w:rsid w:val="0023431B"/>
    <w:rsid w:val="0023434F"/>
    <w:rsid w:val="00235358"/>
    <w:rsid w:val="0023554D"/>
    <w:rsid w:val="00235573"/>
    <w:rsid w:val="00235B40"/>
    <w:rsid w:val="00236203"/>
    <w:rsid w:val="00236513"/>
    <w:rsid w:val="00237405"/>
    <w:rsid w:val="0024003B"/>
    <w:rsid w:val="002416C5"/>
    <w:rsid w:val="00241827"/>
    <w:rsid w:val="002426BD"/>
    <w:rsid w:val="00242C95"/>
    <w:rsid w:val="00242F42"/>
    <w:rsid w:val="00242F5E"/>
    <w:rsid w:val="00243F0C"/>
    <w:rsid w:val="0024440D"/>
    <w:rsid w:val="00245043"/>
    <w:rsid w:val="00245394"/>
    <w:rsid w:val="0024577A"/>
    <w:rsid w:val="00245903"/>
    <w:rsid w:val="002462FB"/>
    <w:rsid w:val="00246664"/>
    <w:rsid w:val="0024679C"/>
    <w:rsid w:val="002467F9"/>
    <w:rsid w:val="00246999"/>
    <w:rsid w:val="00246E86"/>
    <w:rsid w:val="00247AE6"/>
    <w:rsid w:val="00250152"/>
    <w:rsid w:val="0025141E"/>
    <w:rsid w:val="002515F4"/>
    <w:rsid w:val="00251808"/>
    <w:rsid w:val="0025185F"/>
    <w:rsid w:val="00251FC6"/>
    <w:rsid w:val="0025240A"/>
    <w:rsid w:val="002526EE"/>
    <w:rsid w:val="002528FB"/>
    <w:rsid w:val="002544E4"/>
    <w:rsid w:val="00254BF1"/>
    <w:rsid w:val="00254F44"/>
    <w:rsid w:val="002551C6"/>
    <w:rsid w:val="002556A4"/>
    <w:rsid w:val="00256A93"/>
    <w:rsid w:val="00257760"/>
    <w:rsid w:val="00257BA4"/>
    <w:rsid w:val="00260019"/>
    <w:rsid w:val="002607C6"/>
    <w:rsid w:val="002609DB"/>
    <w:rsid w:val="00260D37"/>
    <w:rsid w:val="002612DD"/>
    <w:rsid w:val="00262733"/>
    <w:rsid w:val="0026275F"/>
    <w:rsid w:val="00262CD3"/>
    <w:rsid w:val="00262E51"/>
    <w:rsid w:val="00264A66"/>
    <w:rsid w:val="00265377"/>
    <w:rsid w:val="00265C34"/>
    <w:rsid w:val="00267055"/>
    <w:rsid w:val="0026768B"/>
    <w:rsid w:val="00270FA7"/>
    <w:rsid w:val="00271D29"/>
    <w:rsid w:val="0027222C"/>
    <w:rsid w:val="00272B36"/>
    <w:rsid w:val="00273185"/>
    <w:rsid w:val="00273476"/>
    <w:rsid w:val="002740C7"/>
    <w:rsid w:val="002741AF"/>
    <w:rsid w:val="00274680"/>
    <w:rsid w:val="002757EC"/>
    <w:rsid w:val="00276D33"/>
    <w:rsid w:val="00276E36"/>
    <w:rsid w:val="00277280"/>
    <w:rsid w:val="0027764E"/>
    <w:rsid w:val="00277B4D"/>
    <w:rsid w:val="00277DC9"/>
    <w:rsid w:val="002800B3"/>
    <w:rsid w:val="00280C24"/>
    <w:rsid w:val="00281039"/>
    <w:rsid w:val="002814D3"/>
    <w:rsid w:val="002814F1"/>
    <w:rsid w:val="0028177A"/>
    <w:rsid w:val="00281F9B"/>
    <w:rsid w:val="00283A3A"/>
    <w:rsid w:val="00284053"/>
    <w:rsid w:val="00284A46"/>
    <w:rsid w:val="00284A47"/>
    <w:rsid w:val="00285268"/>
    <w:rsid w:val="002863F4"/>
    <w:rsid w:val="00286A71"/>
    <w:rsid w:val="00287054"/>
    <w:rsid w:val="0028708F"/>
    <w:rsid w:val="00287302"/>
    <w:rsid w:val="00287923"/>
    <w:rsid w:val="00287E45"/>
    <w:rsid w:val="0029032B"/>
    <w:rsid w:val="00290549"/>
    <w:rsid w:val="00290C4D"/>
    <w:rsid w:val="002916F1"/>
    <w:rsid w:val="00291B69"/>
    <w:rsid w:val="00291E11"/>
    <w:rsid w:val="00291FD4"/>
    <w:rsid w:val="00292771"/>
    <w:rsid w:val="002927EA"/>
    <w:rsid w:val="00292917"/>
    <w:rsid w:val="00292D21"/>
    <w:rsid w:val="00292D36"/>
    <w:rsid w:val="002933DE"/>
    <w:rsid w:val="00293DB1"/>
    <w:rsid w:val="00294721"/>
    <w:rsid w:val="00294C05"/>
    <w:rsid w:val="0029529B"/>
    <w:rsid w:val="002957BC"/>
    <w:rsid w:val="00295859"/>
    <w:rsid w:val="0029618E"/>
    <w:rsid w:val="00296232"/>
    <w:rsid w:val="00297281"/>
    <w:rsid w:val="0029733B"/>
    <w:rsid w:val="0029781E"/>
    <w:rsid w:val="00297ADE"/>
    <w:rsid w:val="002A0269"/>
    <w:rsid w:val="002A0AA2"/>
    <w:rsid w:val="002A1900"/>
    <w:rsid w:val="002A1B2C"/>
    <w:rsid w:val="002A2A36"/>
    <w:rsid w:val="002A3A33"/>
    <w:rsid w:val="002A3CA0"/>
    <w:rsid w:val="002A40BC"/>
    <w:rsid w:val="002A5190"/>
    <w:rsid w:val="002A6DB5"/>
    <w:rsid w:val="002A7710"/>
    <w:rsid w:val="002A7731"/>
    <w:rsid w:val="002B1093"/>
    <w:rsid w:val="002B1150"/>
    <w:rsid w:val="002B13F5"/>
    <w:rsid w:val="002B2727"/>
    <w:rsid w:val="002B2869"/>
    <w:rsid w:val="002B2E59"/>
    <w:rsid w:val="002B3272"/>
    <w:rsid w:val="002B3971"/>
    <w:rsid w:val="002B3B07"/>
    <w:rsid w:val="002B6A77"/>
    <w:rsid w:val="002B6BEC"/>
    <w:rsid w:val="002B6D15"/>
    <w:rsid w:val="002B761D"/>
    <w:rsid w:val="002C075F"/>
    <w:rsid w:val="002C0A15"/>
    <w:rsid w:val="002C21D3"/>
    <w:rsid w:val="002C252C"/>
    <w:rsid w:val="002C54E0"/>
    <w:rsid w:val="002C64BE"/>
    <w:rsid w:val="002C7DB8"/>
    <w:rsid w:val="002D0846"/>
    <w:rsid w:val="002D1A47"/>
    <w:rsid w:val="002D221F"/>
    <w:rsid w:val="002D28B9"/>
    <w:rsid w:val="002D317A"/>
    <w:rsid w:val="002D352B"/>
    <w:rsid w:val="002D3A3C"/>
    <w:rsid w:val="002D400C"/>
    <w:rsid w:val="002D41D9"/>
    <w:rsid w:val="002D55C2"/>
    <w:rsid w:val="002D5637"/>
    <w:rsid w:val="002D6792"/>
    <w:rsid w:val="002D67DB"/>
    <w:rsid w:val="002D6DDC"/>
    <w:rsid w:val="002D711A"/>
    <w:rsid w:val="002D7336"/>
    <w:rsid w:val="002D74D0"/>
    <w:rsid w:val="002E0421"/>
    <w:rsid w:val="002E0F93"/>
    <w:rsid w:val="002E1969"/>
    <w:rsid w:val="002E27C3"/>
    <w:rsid w:val="002E28B6"/>
    <w:rsid w:val="002E29AB"/>
    <w:rsid w:val="002E2B17"/>
    <w:rsid w:val="002E2E20"/>
    <w:rsid w:val="002E3396"/>
    <w:rsid w:val="002E3BD0"/>
    <w:rsid w:val="002E3BD3"/>
    <w:rsid w:val="002E3CAE"/>
    <w:rsid w:val="002E3CAF"/>
    <w:rsid w:val="002E524E"/>
    <w:rsid w:val="002E5711"/>
    <w:rsid w:val="002E5C9F"/>
    <w:rsid w:val="002E5D48"/>
    <w:rsid w:val="002E6134"/>
    <w:rsid w:val="002E65B4"/>
    <w:rsid w:val="002E6B23"/>
    <w:rsid w:val="002E75BA"/>
    <w:rsid w:val="002F0362"/>
    <w:rsid w:val="002F0546"/>
    <w:rsid w:val="002F0EA4"/>
    <w:rsid w:val="002F180A"/>
    <w:rsid w:val="002F27E6"/>
    <w:rsid w:val="002F2D0F"/>
    <w:rsid w:val="002F2DF4"/>
    <w:rsid w:val="002F2FD5"/>
    <w:rsid w:val="002F2FE7"/>
    <w:rsid w:val="002F37D1"/>
    <w:rsid w:val="002F49C3"/>
    <w:rsid w:val="002F4BDA"/>
    <w:rsid w:val="002F4E89"/>
    <w:rsid w:val="002F5698"/>
    <w:rsid w:val="002F5DBB"/>
    <w:rsid w:val="002F62F4"/>
    <w:rsid w:val="002F6788"/>
    <w:rsid w:val="002F6AB6"/>
    <w:rsid w:val="002F75DB"/>
    <w:rsid w:val="002F7873"/>
    <w:rsid w:val="002F7D0B"/>
    <w:rsid w:val="003002F0"/>
    <w:rsid w:val="00300328"/>
    <w:rsid w:val="003005E1"/>
    <w:rsid w:val="00300F60"/>
    <w:rsid w:val="00301780"/>
    <w:rsid w:val="00301A4A"/>
    <w:rsid w:val="00302285"/>
    <w:rsid w:val="003026ED"/>
    <w:rsid w:val="0030348B"/>
    <w:rsid w:val="00303F53"/>
    <w:rsid w:val="00304E77"/>
    <w:rsid w:val="00306197"/>
    <w:rsid w:val="003073E4"/>
    <w:rsid w:val="00310317"/>
    <w:rsid w:val="003109C5"/>
    <w:rsid w:val="00310AE4"/>
    <w:rsid w:val="00310FC5"/>
    <w:rsid w:val="0031149C"/>
    <w:rsid w:val="003123F7"/>
    <w:rsid w:val="00312948"/>
    <w:rsid w:val="00313484"/>
    <w:rsid w:val="003136D1"/>
    <w:rsid w:val="003138F6"/>
    <w:rsid w:val="00314161"/>
    <w:rsid w:val="00314770"/>
    <w:rsid w:val="00315E9B"/>
    <w:rsid w:val="00316A13"/>
    <w:rsid w:val="00316BDC"/>
    <w:rsid w:val="00316F07"/>
    <w:rsid w:val="003173DA"/>
    <w:rsid w:val="00317402"/>
    <w:rsid w:val="003205B2"/>
    <w:rsid w:val="003206E3"/>
    <w:rsid w:val="00320BA3"/>
    <w:rsid w:val="00320E47"/>
    <w:rsid w:val="00321BDF"/>
    <w:rsid w:val="00322D09"/>
    <w:rsid w:val="00323E70"/>
    <w:rsid w:val="003240AC"/>
    <w:rsid w:val="003244E9"/>
    <w:rsid w:val="003245AC"/>
    <w:rsid w:val="00325A45"/>
    <w:rsid w:val="003262DB"/>
    <w:rsid w:val="00326429"/>
    <w:rsid w:val="00326C5D"/>
    <w:rsid w:val="0032700C"/>
    <w:rsid w:val="00330A9A"/>
    <w:rsid w:val="00330EF6"/>
    <w:rsid w:val="00331005"/>
    <w:rsid w:val="00331C5C"/>
    <w:rsid w:val="00332007"/>
    <w:rsid w:val="00332445"/>
    <w:rsid w:val="0033294E"/>
    <w:rsid w:val="003332EC"/>
    <w:rsid w:val="003342D3"/>
    <w:rsid w:val="0033437A"/>
    <w:rsid w:val="003348F2"/>
    <w:rsid w:val="003350A4"/>
    <w:rsid w:val="003354F5"/>
    <w:rsid w:val="00335BE5"/>
    <w:rsid w:val="00335D3F"/>
    <w:rsid w:val="00335D53"/>
    <w:rsid w:val="003361E2"/>
    <w:rsid w:val="00336333"/>
    <w:rsid w:val="0033780C"/>
    <w:rsid w:val="00337E5D"/>
    <w:rsid w:val="00340808"/>
    <w:rsid w:val="00340A14"/>
    <w:rsid w:val="00340BBE"/>
    <w:rsid w:val="0034134C"/>
    <w:rsid w:val="003429D8"/>
    <w:rsid w:val="00342BBA"/>
    <w:rsid w:val="003431EB"/>
    <w:rsid w:val="003433DC"/>
    <w:rsid w:val="0034362F"/>
    <w:rsid w:val="00343D0A"/>
    <w:rsid w:val="003444A1"/>
    <w:rsid w:val="0034597C"/>
    <w:rsid w:val="00345D54"/>
    <w:rsid w:val="00351896"/>
    <w:rsid w:val="00351E76"/>
    <w:rsid w:val="00351EBD"/>
    <w:rsid w:val="00352420"/>
    <w:rsid w:val="00352458"/>
    <w:rsid w:val="003529C7"/>
    <w:rsid w:val="00352A50"/>
    <w:rsid w:val="00352AF7"/>
    <w:rsid w:val="00352FF5"/>
    <w:rsid w:val="00353158"/>
    <w:rsid w:val="00353FD7"/>
    <w:rsid w:val="003544DF"/>
    <w:rsid w:val="00354AC6"/>
    <w:rsid w:val="00354DC7"/>
    <w:rsid w:val="00354F93"/>
    <w:rsid w:val="0035548F"/>
    <w:rsid w:val="003567A6"/>
    <w:rsid w:val="00356CEC"/>
    <w:rsid w:val="00356FF6"/>
    <w:rsid w:val="0035735C"/>
    <w:rsid w:val="0036198F"/>
    <w:rsid w:val="00361DEE"/>
    <w:rsid w:val="00362D3E"/>
    <w:rsid w:val="00362E1E"/>
    <w:rsid w:val="00363405"/>
    <w:rsid w:val="003645AF"/>
    <w:rsid w:val="00364754"/>
    <w:rsid w:val="003653C1"/>
    <w:rsid w:val="003655F8"/>
    <w:rsid w:val="0036716C"/>
    <w:rsid w:val="00370085"/>
    <w:rsid w:val="00370BE3"/>
    <w:rsid w:val="003710B0"/>
    <w:rsid w:val="00372706"/>
    <w:rsid w:val="00372C4A"/>
    <w:rsid w:val="0037316C"/>
    <w:rsid w:val="003740C6"/>
    <w:rsid w:val="003740D9"/>
    <w:rsid w:val="0037410B"/>
    <w:rsid w:val="00374C73"/>
    <w:rsid w:val="0037509D"/>
    <w:rsid w:val="003751CA"/>
    <w:rsid w:val="00375409"/>
    <w:rsid w:val="00375523"/>
    <w:rsid w:val="00375BC2"/>
    <w:rsid w:val="003766C7"/>
    <w:rsid w:val="00376F61"/>
    <w:rsid w:val="003771D2"/>
    <w:rsid w:val="00377383"/>
    <w:rsid w:val="003773B4"/>
    <w:rsid w:val="00377654"/>
    <w:rsid w:val="00380207"/>
    <w:rsid w:val="00380510"/>
    <w:rsid w:val="0038058E"/>
    <w:rsid w:val="00380657"/>
    <w:rsid w:val="00380740"/>
    <w:rsid w:val="0038144D"/>
    <w:rsid w:val="00381A79"/>
    <w:rsid w:val="00381C5C"/>
    <w:rsid w:val="00381F13"/>
    <w:rsid w:val="0038271A"/>
    <w:rsid w:val="003838FF"/>
    <w:rsid w:val="00383BDD"/>
    <w:rsid w:val="00383C7F"/>
    <w:rsid w:val="00384C0E"/>
    <w:rsid w:val="003850EC"/>
    <w:rsid w:val="00385CAE"/>
    <w:rsid w:val="0038771C"/>
    <w:rsid w:val="003879F4"/>
    <w:rsid w:val="00390781"/>
    <w:rsid w:val="00390A28"/>
    <w:rsid w:val="00390A84"/>
    <w:rsid w:val="00390CF9"/>
    <w:rsid w:val="00391624"/>
    <w:rsid w:val="003920E3"/>
    <w:rsid w:val="00392455"/>
    <w:rsid w:val="00392981"/>
    <w:rsid w:val="00392A8F"/>
    <w:rsid w:val="003933D7"/>
    <w:rsid w:val="003934D4"/>
    <w:rsid w:val="0039389F"/>
    <w:rsid w:val="0039405B"/>
    <w:rsid w:val="00394062"/>
    <w:rsid w:val="00394A4A"/>
    <w:rsid w:val="00394AA8"/>
    <w:rsid w:val="0039563A"/>
    <w:rsid w:val="0039583D"/>
    <w:rsid w:val="003963F2"/>
    <w:rsid w:val="003965BE"/>
    <w:rsid w:val="00396E35"/>
    <w:rsid w:val="00396F5F"/>
    <w:rsid w:val="003970B1"/>
    <w:rsid w:val="00397FBA"/>
    <w:rsid w:val="003A0577"/>
    <w:rsid w:val="003A189D"/>
    <w:rsid w:val="003A1C92"/>
    <w:rsid w:val="003A3167"/>
    <w:rsid w:val="003A3920"/>
    <w:rsid w:val="003A41F2"/>
    <w:rsid w:val="003A541A"/>
    <w:rsid w:val="003A5719"/>
    <w:rsid w:val="003A5D7B"/>
    <w:rsid w:val="003A65A8"/>
    <w:rsid w:val="003A6923"/>
    <w:rsid w:val="003A6AA9"/>
    <w:rsid w:val="003A6D9A"/>
    <w:rsid w:val="003A6DB3"/>
    <w:rsid w:val="003A6FFF"/>
    <w:rsid w:val="003A7061"/>
    <w:rsid w:val="003A7544"/>
    <w:rsid w:val="003A7554"/>
    <w:rsid w:val="003B0890"/>
    <w:rsid w:val="003B0D13"/>
    <w:rsid w:val="003B159E"/>
    <w:rsid w:val="003B1778"/>
    <w:rsid w:val="003B35DB"/>
    <w:rsid w:val="003B3A32"/>
    <w:rsid w:val="003B43DF"/>
    <w:rsid w:val="003B4C82"/>
    <w:rsid w:val="003B50A9"/>
    <w:rsid w:val="003B54FB"/>
    <w:rsid w:val="003B60A4"/>
    <w:rsid w:val="003B70DC"/>
    <w:rsid w:val="003B7604"/>
    <w:rsid w:val="003B7DB6"/>
    <w:rsid w:val="003C0440"/>
    <w:rsid w:val="003C10FB"/>
    <w:rsid w:val="003C175D"/>
    <w:rsid w:val="003C1951"/>
    <w:rsid w:val="003C1E87"/>
    <w:rsid w:val="003C22B1"/>
    <w:rsid w:val="003C23CB"/>
    <w:rsid w:val="003C2C67"/>
    <w:rsid w:val="003C2EA2"/>
    <w:rsid w:val="003C3CA7"/>
    <w:rsid w:val="003C45A6"/>
    <w:rsid w:val="003C47F5"/>
    <w:rsid w:val="003C48C7"/>
    <w:rsid w:val="003C520E"/>
    <w:rsid w:val="003C52BF"/>
    <w:rsid w:val="003C5885"/>
    <w:rsid w:val="003C5BA4"/>
    <w:rsid w:val="003C5F5D"/>
    <w:rsid w:val="003C6317"/>
    <w:rsid w:val="003C6326"/>
    <w:rsid w:val="003C647A"/>
    <w:rsid w:val="003C6619"/>
    <w:rsid w:val="003C6867"/>
    <w:rsid w:val="003C6D8D"/>
    <w:rsid w:val="003C7786"/>
    <w:rsid w:val="003C7B68"/>
    <w:rsid w:val="003D126E"/>
    <w:rsid w:val="003D1BC7"/>
    <w:rsid w:val="003D2CC0"/>
    <w:rsid w:val="003D46F4"/>
    <w:rsid w:val="003D4C1D"/>
    <w:rsid w:val="003D538D"/>
    <w:rsid w:val="003D5727"/>
    <w:rsid w:val="003D5E7A"/>
    <w:rsid w:val="003D6050"/>
    <w:rsid w:val="003D6B83"/>
    <w:rsid w:val="003D7312"/>
    <w:rsid w:val="003E052A"/>
    <w:rsid w:val="003E1549"/>
    <w:rsid w:val="003E18CD"/>
    <w:rsid w:val="003E23EF"/>
    <w:rsid w:val="003E2800"/>
    <w:rsid w:val="003E36F5"/>
    <w:rsid w:val="003E3E26"/>
    <w:rsid w:val="003E4831"/>
    <w:rsid w:val="003E500A"/>
    <w:rsid w:val="003E5E95"/>
    <w:rsid w:val="003E6D1C"/>
    <w:rsid w:val="003F0184"/>
    <w:rsid w:val="003F0232"/>
    <w:rsid w:val="003F027D"/>
    <w:rsid w:val="003F03BA"/>
    <w:rsid w:val="003F0D07"/>
    <w:rsid w:val="003F1295"/>
    <w:rsid w:val="003F1F1C"/>
    <w:rsid w:val="003F2194"/>
    <w:rsid w:val="003F2853"/>
    <w:rsid w:val="003F2913"/>
    <w:rsid w:val="003F2C8C"/>
    <w:rsid w:val="003F37E6"/>
    <w:rsid w:val="003F392E"/>
    <w:rsid w:val="003F59C7"/>
    <w:rsid w:val="003F5E8A"/>
    <w:rsid w:val="003F6339"/>
    <w:rsid w:val="003F76FC"/>
    <w:rsid w:val="00400261"/>
    <w:rsid w:val="004002EB"/>
    <w:rsid w:val="00400972"/>
    <w:rsid w:val="00400D00"/>
    <w:rsid w:val="00401904"/>
    <w:rsid w:val="004022E8"/>
    <w:rsid w:val="00402720"/>
    <w:rsid w:val="00402C22"/>
    <w:rsid w:val="00402D0D"/>
    <w:rsid w:val="00402E40"/>
    <w:rsid w:val="00404068"/>
    <w:rsid w:val="00404D86"/>
    <w:rsid w:val="004050EB"/>
    <w:rsid w:val="004051F4"/>
    <w:rsid w:val="00405789"/>
    <w:rsid w:val="00405C57"/>
    <w:rsid w:val="00405E5C"/>
    <w:rsid w:val="0040669C"/>
    <w:rsid w:val="00406761"/>
    <w:rsid w:val="0040680E"/>
    <w:rsid w:val="00406A01"/>
    <w:rsid w:val="00407A64"/>
    <w:rsid w:val="004105E0"/>
    <w:rsid w:val="0041084E"/>
    <w:rsid w:val="00410EA0"/>
    <w:rsid w:val="0041111D"/>
    <w:rsid w:val="00411DE6"/>
    <w:rsid w:val="00412038"/>
    <w:rsid w:val="004120F5"/>
    <w:rsid w:val="00412F25"/>
    <w:rsid w:val="00413825"/>
    <w:rsid w:val="004144AB"/>
    <w:rsid w:val="0041467E"/>
    <w:rsid w:val="004150DA"/>
    <w:rsid w:val="004152D2"/>
    <w:rsid w:val="0041575C"/>
    <w:rsid w:val="00415D68"/>
    <w:rsid w:val="00416288"/>
    <w:rsid w:val="0041689E"/>
    <w:rsid w:val="004171FE"/>
    <w:rsid w:val="00417220"/>
    <w:rsid w:val="0041740B"/>
    <w:rsid w:val="00417CC8"/>
    <w:rsid w:val="00417F4C"/>
    <w:rsid w:val="00421266"/>
    <w:rsid w:val="0042196E"/>
    <w:rsid w:val="00422C9F"/>
    <w:rsid w:val="004231C7"/>
    <w:rsid w:val="00423246"/>
    <w:rsid w:val="004236C8"/>
    <w:rsid w:val="00423C43"/>
    <w:rsid w:val="00423F42"/>
    <w:rsid w:val="00425668"/>
    <w:rsid w:val="00427281"/>
    <w:rsid w:val="0042736F"/>
    <w:rsid w:val="00427681"/>
    <w:rsid w:val="00427A8C"/>
    <w:rsid w:val="00432259"/>
    <w:rsid w:val="0043255D"/>
    <w:rsid w:val="00432B1B"/>
    <w:rsid w:val="0043301B"/>
    <w:rsid w:val="004333AC"/>
    <w:rsid w:val="00433DB7"/>
    <w:rsid w:val="004344A9"/>
    <w:rsid w:val="00434710"/>
    <w:rsid w:val="00434FE7"/>
    <w:rsid w:val="00435A0A"/>
    <w:rsid w:val="004360FE"/>
    <w:rsid w:val="00437A5C"/>
    <w:rsid w:val="0044029F"/>
    <w:rsid w:val="004402E2"/>
    <w:rsid w:val="00440485"/>
    <w:rsid w:val="00440FDF"/>
    <w:rsid w:val="004411F8"/>
    <w:rsid w:val="004419B9"/>
    <w:rsid w:val="00442C53"/>
    <w:rsid w:val="004438AE"/>
    <w:rsid w:val="00444817"/>
    <w:rsid w:val="00444FE6"/>
    <w:rsid w:val="004457E8"/>
    <w:rsid w:val="0044584B"/>
    <w:rsid w:val="00445E3B"/>
    <w:rsid w:val="004462E5"/>
    <w:rsid w:val="004467AE"/>
    <w:rsid w:val="0044680C"/>
    <w:rsid w:val="00446FD5"/>
    <w:rsid w:val="0044715F"/>
    <w:rsid w:val="004477B1"/>
    <w:rsid w:val="004478BF"/>
    <w:rsid w:val="00447C2B"/>
    <w:rsid w:val="00447DAB"/>
    <w:rsid w:val="004509AF"/>
    <w:rsid w:val="0045227D"/>
    <w:rsid w:val="004529E3"/>
    <w:rsid w:val="00452B95"/>
    <w:rsid w:val="0045354F"/>
    <w:rsid w:val="00453750"/>
    <w:rsid w:val="00453E9D"/>
    <w:rsid w:val="00454391"/>
    <w:rsid w:val="004548B1"/>
    <w:rsid w:val="004564F8"/>
    <w:rsid w:val="00456941"/>
    <w:rsid w:val="00456C40"/>
    <w:rsid w:val="00456DBC"/>
    <w:rsid w:val="004615C6"/>
    <w:rsid w:val="00462017"/>
    <w:rsid w:val="0046320C"/>
    <w:rsid w:val="004634CE"/>
    <w:rsid w:val="004638E3"/>
    <w:rsid w:val="00463B91"/>
    <w:rsid w:val="00463D74"/>
    <w:rsid w:val="00463DD9"/>
    <w:rsid w:val="004647F5"/>
    <w:rsid w:val="00464D48"/>
    <w:rsid w:val="00464D73"/>
    <w:rsid w:val="00465624"/>
    <w:rsid w:val="004656D2"/>
    <w:rsid w:val="004660E1"/>
    <w:rsid w:val="0046673F"/>
    <w:rsid w:val="004669E3"/>
    <w:rsid w:val="004674F5"/>
    <w:rsid w:val="004676D4"/>
    <w:rsid w:val="00467EF0"/>
    <w:rsid w:val="004702EA"/>
    <w:rsid w:val="00470B2C"/>
    <w:rsid w:val="00472533"/>
    <w:rsid w:val="00472841"/>
    <w:rsid w:val="004729D6"/>
    <w:rsid w:val="00472BF8"/>
    <w:rsid w:val="00472CEE"/>
    <w:rsid w:val="00472DA3"/>
    <w:rsid w:val="0047398F"/>
    <w:rsid w:val="004742BF"/>
    <w:rsid w:val="0047436C"/>
    <w:rsid w:val="004743AE"/>
    <w:rsid w:val="004745A7"/>
    <w:rsid w:val="00474764"/>
    <w:rsid w:val="00474D8A"/>
    <w:rsid w:val="0047503B"/>
    <w:rsid w:val="00475645"/>
    <w:rsid w:val="00475EE4"/>
    <w:rsid w:val="004762E6"/>
    <w:rsid w:val="004766D4"/>
    <w:rsid w:val="00476701"/>
    <w:rsid w:val="004767C3"/>
    <w:rsid w:val="00476D4A"/>
    <w:rsid w:val="004770A7"/>
    <w:rsid w:val="004777DC"/>
    <w:rsid w:val="00477CC3"/>
    <w:rsid w:val="004807F4"/>
    <w:rsid w:val="00480862"/>
    <w:rsid w:val="00480F89"/>
    <w:rsid w:val="004814A3"/>
    <w:rsid w:val="00481E29"/>
    <w:rsid w:val="00482D02"/>
    <w:rsid w:val="00482EA6"/>
    <w:rsid w:val="0048310A"/>
    <w:rsid w:val="004834CD"/>
    <w:rsid w:val="0048375A"/>
    <w:rsid w:val="00483C88"/>
    <w:rsid w:val="00483CF6"/>
    <w:rsid w:val="00483DFD"/>
    <w:rsid w:val="0048474E"/>
    <w:rsid w:val="00484A64"/>
    <w:rsid w:val="00487944"/>
    <w:rsid w:val="00487FEF"/>
    <w:rsid w:val="0049261A"/>
    <w:rsid w:val="00492632"/>
    <w:rsid w:val="004926B5"/>
    <w:rsid w:val="00492AB4"/>
    <w:rsid w:val="00492D7D"/>
    <w:rsid w:val="00493113"/>
    <w:rsid w:val="004936E7"/>
    <w:rsid w:val="00494003"/>
    <w:rsid w:val="00494E66"/>
    <w:rsid w:val="00496B32"/>
    <w:rsid w:val="00497108"/>
    <w:rsid w:val="00497285"/>
    <w:rsid w:val="00497682"/>
    <w:rsid w:val="00497955"/>
    <w:rsid w:val="00497A38"/>
    <w:rsid w:val="004A0B56"/>
    <w:rsid w:val="004A1E4B"/>
    <w:rsid w:val="004A1FF4"/>
    <w:rsid w:val="004A2431"/>
    <w:rsid w:val="004A28EC"/>
    <w:rsid w:val="004A3335"/>
    <w:rsid w:val="004A4AF8"/>
    <w:rsid w:val="004A4E99"/>
    <w:rsid w:val="004A50E4"/>
    <w:rsid w:val="004A58B4"/>
    <w:rsid w:val="004A5A0D"/>
    <w:rsid w:val="004A5CD7"/>
    <w:rsid w:val="004A61C1"/>
    <w:rsid w:val="004A6B99"/>
    <w:rsid w:val="004A72AD"/>
    <w:rsid w:val="004A7519"/>
    <w:rsid w:val="004A75D2"/>
    <w:rsid w:val="004A76DA"/>
    <w:rsid w:val="004B0D7F"/>
    <w:rsid w:val="004B1255"/>
    <w:rsid w:val="004B1449"/>
    <w:rsid w:val="004B338F"/>
    <w:rsid w:val="004B3CC2"/>
    <w:rsid w:val="004B3EBF"/>
    <w:rsid w:val="004B41CA"/>
    <w:rsid w:val="004B43DB"/>
    <w:rsid w:val="004B4F45"/>
    <w:rsid w:val="004B5033"/>
    <w:rsid w:val="004B6566"/>
    <w:rsid w:val="004B6E11"/>
    <w:rsid w:val="004C087D"/>
    <w:rsid w:val="004C12B0"/>
    <w:rsid w:val="004C20CA"/>
    <w:rsid w:val="004C334F"/>
    <w:rsid w:val="004C36B7"/>
    <w:rsid w:val="004C4AA5"/>
    <w:rsid w:val="004C5193"/>
    <w:rsid w:val="004C5D07"/>
    <w:rsid w:val="004C5D90"/>
    <w:rsid w:val="004C65CC"/>
    <w:rsid w:val="004C6B5C"/>
    <w:rsid w:val="004C7F93"/>
    <w:rsid w:val="004D0B14"/>
    <w:rsid w:val="004D1465"/>
    <w:rsid w:val="004D3518"/>
    <w:rsid w:val="004D4547"/>
    <w:rsid w:val="004D4AD8"/>
    <w:rsid w:val="004D4EC1"/>
    <w:rsid w:val="004D53C4"/>
    <w:rsid w:val="004D629F"/>
    <w:rsid w:val="004D62B3"/>
    <w:rsid w:val="004D62D6"/>
    <w:rsid w:val="004D6610"/>
    <w:rsid w:val="004D6F81"/>
    <w:rsid w:val="004D735E"/>
    <w:rsid w:val="004D7B4C"/>
    <w:rsid w:val="004E019A"/>
    <w:rsid w:val="004E0502"/>
    <w:rsid w:val="004E0F31"/>
    <w:rsid w:val="004E11E4"/>
    <w:rsid w:val="004E12E8"/>
    <w:rsid w:val="004E147A"/>
    <w:rsid w:val="004E1BF5"/>
    <w:rsid w:val="004E2BDB"/>
    <w:rsid w:val="004E2C90"/>
    <w:rsid w:val="004E3754"/>
    <w:rsid w:val="004E3AE0"/>
    <w:rsid w:val="004E539B"/>
    <w:rsid w:val="004E578D"/>
    <w:rsid w:val="004E5881"/>
    <w:rsid w:val="004E5A28"/>
    <w:rsid w:val="004E5BCC"/>
    <w:rsid w:val="004E5FD0"/>
    <w:rsid w:val="004E64A8"/>
    <w:rsid w:val="004E666D"/>
    <w:rsid w:val="004E713E"/>
    <w:rsid w:val="004E78A5"/>
    <w:rsid w:val="004F0570"/>
    <w:rsid w:val="004F063A"/>
    <w:rsid w:val="004F2500"/>
    <w:rsid w:val="004F2B70"/>
    <w:rsid w:val="004F2C93"/>
    <w:rsid w:val="004F2D08"/>
    <w:rsid w:val="004F2EEE"/>
    <w:rsid w:val="004F5F5D"/>
    <w:rsid w:val="0050057E"/>
    <w:rsid w:val="0050141C"/>
    <w:rsid w:val="00501755"/>
    <w:rsid w:val="00501BC8"/>
    <w:rsid w:val="0050252E"/>
    <w:rsid w:val="0050273E"/>
    <w:rsid w:val="00502A28"/>
    <w:rsid w:val="005031BF"/>
    <w:rsid w:val="00503BE9"/>
    <w:rsid w:val="00504099"/>
    <w:rsid w:val="005046D5"/>
    <w:rsid w:val="0050483F"/>
    <w:rsid w:val="005055B6"/>
    <w:rsid w:val="00505CD9"/>
    <w:rsid w:val="00507233"/>
    <w:rsid w:val="00510404"/>
    <w:rsid w:val="0051085E"/>
    <w:rsid w:val="00511200"/>
    <w:rsid w:val="00511F5F"/>
    <w:rsid w:val="00512554"/>
    <w:rsid w:val="00512CCE"/>
    <w:rsid w:val="00512F3B"/>
    <w:rsid w:val="005147A8"/>
    <w:rsid w:val="00514C2A"/>
    <w:rsid w:val="005153AD"/>
    <w:rsid w:val="005159F8"/>
    <w:rsid w:val="00515F45"/>
    <w:rsid w:val="00516451"/>
    <w:rsid w:val="005178B2"/>
    <w:rsid w:val="00517F86"/>
    <w:rsid w:val="00521DB8"/>
    <w:rsid w:val="00522259"/>
    <w:rsid w:val="005227ED"/>
    <w:rsid w:val="00522996"/>
    <w:rsid w:val="005229D3"/>
    <w:rsid w:val="00522F8A"/>
    <w:rsid w:val="005235B7"/>
    <w:rsid w:val="00523871"/>
    <w:rsid w:val="00523F0C"/>
    <w:rsid w:val="00524273"/>
    <w:rsid w:val="005253AC"/>
    <w:rsid w:val="00525A0F"/>
    <w:rsid w:val="005275D6"/>
    <w:rsid w:val="00527D92"/>
    <w:rsid w:val="00530944"/>
    <w:rsid w:val="00530F2B"/>
    <w:rsid w:val="005311A7"/>
    <w:rsid w:val="00531AC7"/>
    <w:rsid w:val="00531AFE"/>
    <w:rsid w:val="005321D6"/>
    <w:rsid w:val="00532B7F"/>
    <w:rsid w:val="00532EFE"/>
    <w:rsid w:val="00533007"/>
    <w:rsid w:val="005331B4"/>
    <w:rsid w:val="00533D4B"/>
    <w:rsid w:val="0053416C"/>
    <w:rsid w:val="005347B2"/>
    <w:rsid w:val="00534B43"/>
    <w:rsid w:val="00534E83"/>
    <w:rsid w:val="005350C6"/>
    <w:rsid w:val="0053518C"/>
    <w:rsid w:val="005351E3"/>
    <w:rsid w:val="00535281"/>
    <w:rsid w:val="00536883"/>
    <w:rsid w:val="00536970"/>
    <w:rsid w:val="005369B5"/>
    <w:rsid w:val="005370D6"/>
    <w:rsid w:val="00537680"/>
    <w:rsid w:val="00537DD6"/>
    <w:rsid w:val="00540C66"/>
    <w:rsid w:val="005410B8"/>
    <w:rsid w:val="00541C2F"/>
    <w:rsid w:val="00541EA2"/>
    <w:rsid w:val="0054222A"/>
    <w:rsid w:val="00543205"/>
    <w:rsid w:val="005436B0"/>
    <w:rsid w:val="00544AE5"/>
    <w:rsid w:val="00544B3C"/>
    <w:rsid w:val="005451AE"/>
    <w:rsid w:val="0054659A"/>
    <w:rsid w:val="005473B5"/>
    <w:rsid w:val="00547CEC"/>
    <w:rsid w:val="00547DA1"/>
    <w:rsid w:val="00547F01"/>
    <w:rsid w:val="00550243"/>
    <w:rsid w:val="00550699"/>
    <w:rsid w:val="00551512"/>
    <w:rsid w:val="00552746"/>
    <w:rsid w:val="00553066"/>
    <w:rsid w:val="00553FB0"/>
    <w:rsid w:val="00554FD0"/>
    <w:rsid w:val="005553AA"/>
    <w:rsid w:val="0055602E"/>
    <w:rsid w:val="005561DE"/>
    <w:rsid w:val="00556405"/>
    <w:rsid w:val="005568E3"/>
    <w:rsid w:val="00556A92"/>
    <w:rsid w:val="00556B20"/>
    <w:rsid w:val="005606A8"/>
    <w:rsid w:val="005606F3"/>
    <w:rsid w:val="00561D59"/>
    <w:rsid w:val="00562F30"/>
    <w:rsid w:val="00563527"/>
    <w:rsid w:val="0056469D"/>
    <w:rsid w:val="00564847"/>
    <w:rsid w:val="005648E0"/>
    <w:rsid w:val="00564E35"/>
    <w:rsid w:val="00565038"/>
    <w:rsid w:val="005651DC"/>
    <w:rsid w:val="005652C9"/>
    <w:rsid w:val="00565F7D"/>
    <w:rsid w:val="00566BC8"/>
    <w:rsid w:val="005675FD"/>
    <w:rsid w:val="00567A03"/>
    <w:rsid w:val="0057064A"/>
    <w:rsid w:val="00570B07"/>
    <w:rsid w:val="00570FB7"/>
    <w:rsid w:val="00571045"/>
    <w:rsid w:val="0057113D"/>
    <w:rsid w:val="00571895"/>
    <w:rsid w:val="005719F3"/>
    <w:rsid w:val="00571EE9"/>
    <w:rsid w:val="00572108"/>
    <w:rsid w:val="00572586"/>
    <w:rsid w:val="0057283D"/>
    <w:rsid w:val="00572C65"/>
    <w:rsid w:val="00573687"/>
    <w:rsid w:val="005739DB"/>
    <w:rsid w:val="00573F60"/>
    <w:rsid w:val="00576486"/>
    <w:rsid w:val="0057672D"/>
    <w:rsid w:val="005770E0"/>
    <w:rsid w:val="005777F6"/>
    <w:rsid w:val="00577EFE"/>
    <w:rsid w:val="005803C2"/>
    <w:rsid w:val="00580784"/>
    <w:rsid w:val="0058124E"/>
    <w:rsid w:val="00582292"/>
    <w:rsid w:val="005830FB"/>
    <w:rsid w:val="00584207"/>
    <w:rsid w:val="00584301"/>
    <w:rsid w:val="005844A6"/>
    <w:rsid w:val="00584CC2"/>
    <w:rsid w:val="00585A12"/>
    <w:rsid w:val="00585A18"/>
    <w:rsid w:val="00585B6B"/>
    <w:rsid w:val="005860F4"/>
    <w:rsid w:val="00586D2B"/>
    <w:rsid w:val="00586DEA"/>
    <w:rsid w:val="005875A3"/>
    <w:rsid w:val="00587DF5"/>
    <w:rsid w:val="00591361"/>
    <w:rsid w:val="00591728"/>
    <w:rsid w:val="00592FE4"/>
    <w:rsid w:val="0059563E"/>
    <w:rsid w:val="00595B23"/>
    <w:rsid w:val="00596859"/>
    <w:rsid w:val="00596E8C"/>
    <w:rsid w:val="0059726D"/>
    <w:rsid w:val="005A0792"/>
    <w:rsid w:val="005A1B93"/>
    <w:rsid w:val="005A2424"/>
    <w:rsid w:val="005A3416"/>
    <w:rsid w:val="005A454F"/>
    <w:rsid w:val="005A4BE1"/>
    <w:rsid w:val="005A4DE8"/>
    <w:rsid w:val="005A5023"/>
    <w:rsid w:val="005A50B1"/>
    <w:rsid w:val="005A540C"/>
    <w:rsid w:val="005A55C5"/>
    <w:rsid w:val="005A5CC5"/>
    <w:rsid w:val="005A5E10"/>
    <w:rsid w:val="005A715D"/>
    <w:rsid w:val="005A7521"/>
    <w:rsid w:val="005A7BEB"/>
    <w:rsid w:val="005A7CBD"/>
    <w:rsid w:val="005B0F85"/>
    <w:rsid w:val="005B1B06"/>
    <w:rsid w:val="005B1E4B"/>
    <w:rsid w:val="005B1F38"/>
    <w:rsid w:val="005B27FE"/>
    <w:rsid w:val="005B3E85"/>
    <w:rsid w:val="005B4649"/>
    <w:rsid w:val="005B7D04"/>
    <w:rsid w:val="005C0751"/>
    <w:rsid w:val="005C0791"/>
    <w:rsid w:val="005C0C45"/>
    <w:rsid w:val="005C11EB"/>
    <w:rsid w:val="005C1A7F"/>
    <w:rsid w:val="005C1C74"/>
    <w:rsid w:val="005C3B20"/>
    <w:rsid w:val="005C3E0A"/>
    <w:rsid w:val="005C3E6D"/>
    <w:rsid w:val="005C4492"/>
    <w:rsid w:val="005C52FA"/>
    <w:rsid w:val="005C569E"/>
    <w:rsid w:val="005C5803"/>
    <w:rsid w:val="005C5E0F"/>
    <w:rsid w:val="005C62E7"/>
    <w:rsid w:val="005C68B1"/>
    <w:rsid w:val="005C7041"/>
    <w:rsid w:val="005C76FD"/>
    <w:rsid w:val="005D0823"/>
    <w:rsid w:val="005D09C1"/>
    <w:rsid w:val="005D14F5"/>
    <w:rsid w:val="005D2BAC"/>
    <w:rsid w:val="005D3775"/>
    <w:rsid w:val="005D574D"/>
    <w:rsid w:val="005D5B7D"/>
    <w:rsid w:val="005D5DB9"/>
    <w:rsid w:val="005D6119"/>
    <w:rsid w:val="005D73F8"/>
    <w:rsid w:val="005D77AE"/>
    <w:rsid w:val="005E085E"/>
    <w:rsid w:val="005E1ACD"/>
    <w:rsid w:val="005E47FA"/>
    <w:rsid w:val="005E4F6A"/>
    <w:rsid w:val="005E6FE2"/>
    <w:rsid w:val="005E734E"/>
    <w:rsid w:val="005F0322"/>
    <w:rsid w:val="005F1AEB"/>
    <w:rsid w:val="005F1E3A"/>
    <w:rsid w:val="005F2896"/>
    <w:rsid w:val="005F2D3F"/>
    <w:rsid w:val="005F2DEA"/>
    <w:rsid w:val="005F2E61"/>
    <w:rsid w:val="005F331D"/>
    <w:rsid w:val="005F3401"/>
    <w:rsid w:val="005F3CF8"/>
    <w:rsid w:val="005F40E7"/>
    <w:rsid w:val="005F4C90"/>
    <w:rsid w:val="005F54E0"/>
    <w:rsid w:val="005F61DF"/>
    <w:rsid w:val="005F6536"/>
    <w:rsid w:val="005F670A"/>
    <w:rsid w:val="005F6E6C"/>
    <w:rsid w:val="005F726E"/>
    <w:rsid w:val="005F7D33"/>
    <w:rsid w:val="006023F9"/>
    <w:rsid w:val="00603151"/>
    <w:rsid w:val="006031AF"/>
    <w:rsid w:val="006035D2"/>
    <w:rsid w:val="006037F2"/>
    <w:rsid w:val="006042E0"/>
    <w:rsid w:val="00604DFC"/>
    <w:rsid w:val="006052E1"/>
    <w:rsid w:val="00605ED5"/>
    <w:rsid w:val="00606004"/>
    <w:rsid w:val="0061013E"/>
    <w:rsid w:val="006103C3"/>
    <w:rsid w:val="00610559"/>
    <w:rsid w:val="00611D20"/>
    <w:rsid w:val="00612709"/>
    <w:rsid w:val="00613BE9"/>
    <w:rsid w:val="00613F1E"/>
    <w:rsid w:val="0061699B"/>
    <w:rsid w:val="00616DF1"/>
    <w:rsid w:val="006178A4"/>
    <w:rsid w:val="006179B0"/>
    <w:rsid w:val="00620C3F"/>
    <w:rsid w:val="00621C2E"/>
    <w:rsid w:val="00621D2E"/>
    <w:rsid w:val="00622302"/>
    <w:rsid w:val="006226CD"/>
    <w:rsid w:val="006228E4"/>
    <w:rsid w:val="0062380D"/>
    <w:rsid w:val="00624284"/>
    <w:rsid w:val="00627CE0"/>
    <w:rsid w:val="00630EA5"/>
    <w:rsid w:val="006318E8"/>
    <w:rsid w:val="00632AF8"/>
    <w:rsid w:val="0063323A"/>
    <w:rsid w:val="006332F6"/>
    <w:rsid w:val="00634CA5"/>
    <w:rsid w:val="0063576F"/>
    <w:rsid w:val="006357D7"/>
    <w:rsid w:val="00636168"/>
    <w:rsid w:val="006361E7"/>
    <w:rsid w:val="00636A3A"/>
    <w:rsid w:val="006370B0"/>
    <w:rsid w:val="00637A50"/>
    <w:rsid w:val="00637E4E"/>
    <w:rsid w:val="00640402"/>
    <w:rsid w:val="0064056A"/>
    <w:rsid w:val="00640EF3"/>
    <w:rsid w:val="00641096"/>
    <w:rsid w:val="00641180"/>
    <w:rsid w:val="00641EDA"/>
    <w:rsid w:val="00642BB9"/>
    <w:rsid w:val="00642BC4"/>
    <w:rsid w:val="00643241"/>
    <w:rsid w:val="00643AC1"/>
    <w:rsid w:val="00644046"/>
    <w:rsid w:val="006440CD"/>
    <w:rsid w:val="00644276"/>
    <w:rsid w:val="00644EFE"/>
    <w:rsid w:val="00646536"/>
    <w:rsid w:val="006469D5"/>
    <w:rsid w:val="00646CFE"/>
    <w:rsid w:val="0064724F"/>
    <w:rsid w:val="006475EB"/>
    <w:rsid w:val="00650592"/>
    <w:rsid w:val="00650885"/>
    <w:rsid w:val="00650C61"/>
    <w:rsid w:val="00651749"/>
    <w:rsid w:val="00651C8C"/>
    <w:rsid w:val="00651D37"/>
    <w:rsid w:val="00652625"/>
    <w:rsid w:val="00653337"/>
    <w:rsid w:val="006534B2"/>
    <w:rsid w:val="006536A8"/>
    <w:rsid w:val="00654682"/>
    <w:rsid w:val="00655991"/>
    <w:rsid w:val="0065615D"/>
    <w:rsid w:val="00656AE9"/>
    <w:rsid w:val="00657011"/>
    <w:rsid w:val="00660235"/>
    <w:rsid w:val="00660554"/>
    <w:rsid w:val="00661460"/>
    <w:rsid w:val="00662A0A"/>
    <w:rsid w:val="00662A7B"/>
    <w:rsid w:val="00662E40"/>
    <w:rsid w:val="00663107"/>
    <w:rsid w:val="006631FA"/>
    <w:rsid w:val="006633A0"/>
    <w:rsid w:val="00663741"/>
    <w:rsid w:val="00663D64"/>
    <w:rsid w:val="00664BDF"/>
    <w:rsid w:val="006650B5"/>
    <w:rsid w:val="006651B1"/>
    <w:rsid w:val="006653F6"/>
    <w:rsid w:val="00665778"/>
    <w:rsid w:val="00665A42"/>
    <w:rsid w:val="00666D8B"/>
    <w:rsid w:val="00667104"/>
    <w:rsid w:val="00667970"/>
    <w:rsid w:val="0067009B"/>
    <w:rsid w:val="006714C5"/>
    <w:rsid w:val="006738C4"/>
    <w:rsid w:val="00673A3F"/>
    <w:rsid w:val="006745DA"/>
    <w:rsid w:val="006748AF"/>
    <w:rsid w:val="0067543F"/>
    <w:rsid w:val="0067607F"/>
    <w:rsid w:val="00676884"/>
    <w:rsid w:val="0068034C"/>
    <w:rsid w:val="00680396"/>
    <w:rsid w:val="00680970"/>
    <w:rsid w:val="00680A9E"/>
    <w:rsid w:val="006826D2"/>
    <w:rsid w:val="00682837"/>
    <w:rsid w:val="00684F7E"/>
    <w:rsid w:val="006854F0"/>
    <w:rsid w:val="006858F9"/>
    <w:rsid w:val="00686876"/>
    <w:rsid w:val="00687091"/>
    <w:rsid w:val="0068716A"/>
    <w:rsid w:val="00687581"/>
    <w:rsid w:val="0068799D"/>
    <w:rsid w:val="0069063E"/>
    <w:rsid w:val="006908BD"/>
    <w:rsid w:val="0069139A"/>
    <w:rsid w:val="00691C09"/>
    <w:rsid w:val="00691D95"/>
    <w:rsid w:val="00691E40"/>
    <w:rsid w:val="0069208C"/>
    <w:rsid w:val="0069222A"/>
    <w:rsid w:val="00692345"/>
    <w:rsid w:val="00692E47"/>
    <w:rsid w:val="00692E8F"/>
    <w:rsid w:val="006934A4"/>
    <w:rsid w:val="00693AF0"/>
    <w:rsid w:val="006941A1"/>
    <w:rsid w:val="00694D4E"/>
    <w:rsid w:val="00695EFA"/>
    <w:rsid w:val="006A0699"/>
    <w:rsid w:val="006A09DB"/>
    <w:rsid w:val="006A0BD5"/>
    <w:rsid w:val="006A0F51"/>
    <w:rsid w:val="006A113C"/>
    <w:rsid w:val="006A1159"/>
    <w:rsid w:val="006A3C40"/>
    <w:rsid w:val="006A418C"/>
    <w:rsid w:val="006A42FC"/>
    <w:rsid w:val="006A4466"/>
    <w:rsid w:val="006A4611"/>
    <w:rsid w:val="006A52B8"/>
    <w:rsid w:val="006A5B34"/>
    <w:rsid w:val="006A5F5B"/>
    <w:rsid w:val="006A5FFC"/>
    <w:rsid w:val="006A61EC"/>
    <w:rsid w:val="006A6F24"/>
    <w:rsid w:val="006A76C2"/>
    <w:rsid w:val="006A7B0C"/>
    <w:rsid w:val="006A7FA9"/>
    <w:rsid w:val="006B0F71"/>
    <w:rsid w:val="006B12E1"/>
    <w:rsid w:val="006B15BF"/>
    <w:rsid w:val="006B2BB3"/>
    <w:rsid w:val="006B2D6A"/>
    <w:rsid w:val="006B43CE"/>
    <w:rsid w:val="006B52AC"/>
    <w:rsid w:val="006B54E3"/>
    <w:rsid w:val="006B54F0"/>
    <w:rsid w:val="006B57A8"/>
    <w:rsid w:val="006B5EE2"/>
    <w:rsid w:val="006B6BB4"/>
    <w:rsid w:val="006B716E"/>
    <w:rsid w:val="006B7AA7"/>
    <w:rsid w:val="006C0975"/>
    <w:rsid w:val="006C18B9"/>
    <w:rsid w:val="006C1E40"/>
    <w:rsid w:val="006C234D"/>
    <w:rsid w:val="006C3427"/>
    <w:rsid w:val="006C3766"/>
    <w:rsid w:val="006C457F"/>
    <w:rsid w:val="006C4B22"/>
    <w:rsid w:val="006C58FE"/>
    <w:rsid w:val="006C5BB4"/>
    <w:rsid w:val="006C5FDE"/>
    <w:rsid w:val="006C647E"/>
    <w:rsid w:val="006C6AE9"/>
    <w:rsid w:val="006C6ED7"/>
    <w:rsid w:val="006C768D"/>
    <w:rsid w:val="006C77A9"/>
    <w:rsid w:val="006C7DBC"/>
    <w:rsid w:val="006D12BC"/>
    <w:rsid w:val="006D198D"/>
    <w:rsid w:val="006D2EAA"/>
    <w:rsid w:val="006D4357"/>
    <w:rsid w:val="006D4C86"/>
    <w:rsid w:val="006D4D76"/>
    <w:rsid w:val="006D4DCA"/>
    <w:rsid w:val="006D51AD"/>
    <w:rsid w:val="006D51CF"/>
    <w:rsid w:val="006D53F7"/>
    <w:rsid w:val="006D5403"/>
    <w:rsid w:val="006D59FC"/>
    <w:rsid w:val="006E04D5"/>
    <w:rsid w:val="006E0D4C"/>
    <w:rsid w:val="006E199F"/>
    <w:rsid w:val="006E1EDE"/>
    <w:rsid w:val="006E217A"/>
    <w:rsid w:val="006E2D89"/>
    <w:rsid w:val="006E31E0"/>
    <w:rsid w:val="006E3C04"/>
    <w:rsid w:val="006E3F9E"/>
    <w:rsid w:val="006E414F"/>
    <w:rsid w:val="006E4EBC"/>
    <w:rsid w:val="006E550B"/>
    <w:rsid w:val="006E59A8"/>
    <w:rsid w:val="006E6645"/>
    <w:rsid w:val="006E6959"/>
    <w:rsid w:val="006E70F0"/>
    <w:rsid w:val="006E7407"/>
    <w:rsid w:val="006E759F"/>
    <w:rsid w:val="006E75EA"/>
    <w:rsid w:val="006E7B9D"/>
    <w:rsid w:val="006E7BAA"/>
    <w:rsid w:val="006E7E27"/>
    <w:rsid w:val="006F0072"/>
    <w:rsid w:val="006F1307"/>
    <w:rsid w:val="006F18B3"/>
    <w:rsid w:val="006F1E0D"/>
    <w:rsid w:val="006F2885"/>
    <w:rsid w:val="006F3691"/>
    <w:rsid w:val="006F3F64"/>
    <w:rsid w:val="006F40A2"/>
    <w:rsid w:val="006F4884"/>
    <w:rsid w:val="006F55CC"/>
    <w:rsid w:val="006F5E32"/>
    <w:rsid w:val="006F5F8D"/>
    <w:rsid w:val="006F6693"/>
    <w:rsid w:val="006F692B"/>
    <w:rsid w:val="006F770D"/>
    <w:rsid w:val="0070004D"/>
    <w:rsid w:val="00701A02"/>
    <w:rsid w:val="00702106"/>
    <w:rsid w:val="0070261A"/>
    <w:rsid w:val="00703779"/>
    <w:rsid w:val="00704689"/>
    <w:rsid w:val="00704E06"/>
    <w:rsid w:val="00704E78"/>
    <w:rsid w:val="0070540E"/>
    <w:rsid w:val="00705B7E"/>
    <w:rsid w:val="00705E06"/>
    <w:rsid w:val="00706404"/>
    <w:rsid w:val="007067A2"/>
    <w:rsid w:val="0070684F"/>
    <w:rsid w:val="00706D16"/>
    <w:rsid w:val="00706E67"/>
    <w:rsid w:val="007071CC"/>
    <w:rsid w:val="00707DA0"/>
    <w:rsid w:val="00707FE8"/>
    <w:rsid w:val="0071054F"/>
    <w:rsid w:val="00710A40"/>
    <w:rsid w:val="00710B65"/>
    <w:rsid w:val="00710C74"/>
    <w:rsid w:val="00710FF9"/>
    <w:rsid w:val="007119E9"/>
    <w:rsid w:val="00711A42"/>
    <w:rsid w:val="0071200B"/>
    <w:rsid w:val="007125B4"/>
    <w:rsid w:val="00712728"/>
    <w:rsid w:val="007128A1"/>
    <w:rsid w:val="007129B9"/>
    <w:rsid w:val="00712BB9"/>
    <w:rsid w:val="007131ED"/>
    <w:rsid w:val="00713752"/>
    <w:rsid w:val="007142A2"/>
    <w:rsid w:val="00715433"/>
    <w:rsid w:val="0071571B"/>
    <w:rsid w:val="007158BF"/>
    <w:rsid w:val="00715D3B"/>
    <w:rsid w:val="00716A99"/>
    <w:rsid w:val="00717A85"/>
    <w:rsid w:val="00717D73"/>
    <w:rsid w:val="00720927"/>
    <w:rsid w:val="00720B3B"/>
    <w:rsid w:val="007218A3"/>
    <w:rsid w:val="00721A22"/>
    <w:rsid w:val="00722433"/>
    <w:rsid w:val="0072371F"/>
    <w:rsid w:val="00723E16"/>
    <w:rsid w:val="0072420F"/>
    <w:rsid w:val="00724962"/>
    <w:rsid w:val="00724A0F"/>
    <w:rsid w:val="00724EAF"/>
    <w:rsid w:val="007251D4"/>
    <w:rsid w:val="00725A2E"/>
    <w:rsid w:val="00725D1D"/>
    <w:rsid w:val="00725DE9"/>
    <w:rsid w:val="00726CCB"/>
    <w:rsid w:val="00727188"/>
    <w:rsid w:val="00727CC7"/>
    <w:rsid w:val="00727F78"/>
    <w:rsid w:val="00727FD2"/>
    <w:rsid w:val="0073072C"/>
    <w:rsid w:val="00730B78"/>
    <w:rsid w:val="007312AC"/>
    <w:rsid w:val="007316E4"/>
    <w:rsid w:val="007320B4"/>
    <w:rsid w:val="00732162"/>
    <w:rsid w:val="00732328"/>
    <w:rsid w:val="007324B4"/>
    <w:rsid w:val="007324D3"/>
    <w:rsid w:val="007327F4"/>
    <w:rsid w:val="00732EA0"/>
    <w:rsid w:val="00732EC1"/>
    <w:rsid w:val="007340C7"/>
    <w:rsid w:val="007341D7"/>
    <w:rsid w:val="00734736"/>
    <w:rsid w:val="00734B93"/>
    <w:rsid w:val="007358A1"/>
    <w:rsid w:val="00735FFB"/>
    <w:rsid w:val="00736123"/>
    <w:rsid w:val="007361CB"/>
    <w:rsid w:val="007365B5"/>
    <w:rsid w:val="00736732"/>
    <w:rsid w:val="007368B3"/>
    <w:rsid w:val="007376E3"/>
    <w:rsid w:val="0073783A"/>
    <w:rsid w:val="00737A02"/>
    <w:rsid w:val="00737A81"/>
    <w:rsid w:val="00737E8D"/>
    <w:rsid w:val="00740C68"/>
    <w:rsid w:val="00740F45"/>
    <w:rsid w:val="00740F91"/>
    <w:rsid w:val="00741300"/>
    <w:rsid w:val="007421EA"/>
    <w:rsid w:val="0074268F"/>
    <w:rsid w:val="00742A9B"/>
    <w:rsid w:val="00742F54"/>
    <w:rsid w:val="0074393F"/>
    <w:rsid w:val="00743E8B"/>
    <w:rsid w:val="007447D6"/>
    <w:rsid w:val="00744E46"/>
    <w:rsid w:val="007456ED"/>
    <w:rsid w:val="0074583A"/>
    <w:rsid w:val="00746104"/>
    <w:rsid w:val="00746EB8"/>
    <w:rsid w:val="00747997"/>
    <w:rsid w:val="00750012"/>
    <w:rsid w:val="00750CBE"/>
    <w:rsid w:val="00751503"/>
    <w:rsid w:val="00752045"/>
    <w:rsid w:val="007523F1"/>
    <w:rsid w:val="00752753"/>
    <w:rsid w:val="00753D41"/>
    <w:rsid w:val="0075433A"/>
    <w:rsid w:val="0075475C"/>
    <w:rsid w:val="00754BFA"/>
    <w:rsid w:val="00755C32"/>
    <w:rsid w:val="007560B9"/>
    <w:rsid w:val="00756591"/>
    <w:rsid w:val="007574CC"/>
    <w:rsid w:val="007575F7"/>
    <w:rsid w:val="00760381"/>
    <w:rsid w:val="00760981"/>
    <w:rsid w:val="0076163E"/>
    <w:rsid w:val="007617C7"/>
    <w:rsid w:val="007617E0"/>
    <w:rsid w:val="00761C12"/>
    <w:rsid w:val="0076292E"/>
    <w:rsid w:val="00762AB8"/>
    <w:rsid w:val="00763951"/>
    <w:rsid w:val="0076437A"/>
    <w:rsid w:val="00764543"/>
    <w:rsid w:val="00764682"/>
    <w:rsid w:val="00765513"/>
    <w:rsid w:val="0076562A"/>
    <w:rsid w:val="00765946"/>
    <w:rsid w:val="00765F31"/>
    <w:rsid w:val="00766AE8"/>
    <w:rsid w:val="00766B5A"/>
    <w:rsid w:val="00766C62"/>
    <w:rsid w:val="0077059A"/>
    <w:rsid w:val="00771238"/>
    <w:rsid w:val="00771A9D"/>
    <w:rsid w:val="0077261D"/>
    <w:rsid w:val="00772CA0"/>
    <w:rsid w:val="00772E9C"/>
    <w:rsid w:val="00773700"/>
    <w:rsid w:val="00773856"/>
    <w:rsid w:val="00773FD5"/>
    <w:rsid w:val="0077404F"/>
    <w:rsid w:val="00774667"/>
    <w:rsid w:val="007768C9"/>
    <w:rsid w:val="00776CC7"/>
    <w:rsid w:val="00776DAF"/>
    <w:rsid w:val="00776E3E"/>
    <w:rsid w:val="007777C9"/>
    <w:rsid w:val="007804F4"/>
    <w:rsid w:val="007806BE"/>
    <w:rsid w:val="00780EF0"/>
    <w:rsid w:val="00781BC3"/>
    <w:rsid w:val="00782BDA"/>
    <w:rsid w:val="00782E61"/>
    <w:rsid w:val="007834F2"/>
    <w:rsid w:val="007841E5"/>
    <w:rsid w:val="00784357"/>
    <w:rsid w:val="0078524E"/>
    <w:rsid w:val="007857D5"/>
    <w:rsid w:val="00785B17"/>
    <w:rsid w:val="007869CA"/>
    <w:rsid w:val="007873A5"/>
    <w:rsid w:val="007879A4"/>
    <w:rsid w:val="00790DEB"/>
    <w:rsid w:val="00791020"/>
    <w:rsid w:val="00791226"/>
    <w:rsid w:val="00791951"/>
    <w:rsid w:val="00791C9B"/>
    <w:rsid w:val="007926E8"/>
    <w:rsid w:val="00793A74"/>
    <w:rsid w:val="00794714"/>
    <w:rsid w:val="007949E7"/>
    <w:rsid w:val="00794F97"/>
    <w:rsid w:val="0079686B"/>
    <w:rsid w:val="00796E0F"/>
    <w:rsid w:val="00797099"/>
    <w:rsid w:val="007975F1"/>
    <w:rsid w:val="007A0BA9"/>
    <w:rsid w:val="007A0E34"/>
    <w:rsid w:val="007A337D"/>
    <w:rsid w:val="007A34AC"/>
    <w:rsid w:val="007A390D"/>
    <w:rsid w:val="007A3FDA"/>
    <w:rsid w:val="007A4C5D"/>
    <w:rsid w:val="007A4C5E"/>
    <w:rsid w:val="007A4F1C"/>
    <w:rsid w:val="007A5878"/>
    <w:rsid w:val="007A5F82"/>
    <w:rsid w:val="007A686A"/>
    <w:rsid w:val="007A6A5A"/>
    <w:rsid w:val="007A6D86"/>
    <w:rsid w:val="007A6F54"/>
    <w:rsid w:val="007A6F8F"/>
    <w:rsid w:val="007A77DD"/>
    <w:rsid w:val="007A7A10"/>
    <w:rsid w:val="007B1624"/>
    <w:rsid w:val="007B2927"/>
    <w:rsid w:val="007B2A21"/>
    <w:rsid w:val="007B2E30"/>
    <w:rsid w:val="007B3D1B"/>
    <w:rsid w:val="007B446D"/>
    <w:rsid w:val="007B4515"/>
    <w:rsid w:val="007B50AF"/>
    <w:rsid w:val="007B5662"/>
    <w:rsid w:val="007B5BB5"/>
    <w:rsid w:val="007B648B"/>
    <w:rsid w:val="007B75A4"/>
    <w:rsid w:val="007C07BD"/>
    <w:rsid w:val="007C0E6D"/>
    <w:rsid w:val="007C13A6"/>
    <w:rsid w:val="007C14D0"/>
    <w:rsid w:val="007C1BAF"/>
    <w:rsid w:val="007C2585"/>
    <w:rsid w:val="007C2D29"/>
    <w:rsid w:val="007C3087"/>
    <w:rsid w:val="007C30A4"/>
    <w:rsid w:val="007C333E"/>
    <w:rsid w:val="007C4495"/>
    <w:rsid w:val="007C4544"/>
    <w:rsid w:val="007C4815"/>
    <w:rsid w:val="007C54E0"/>
    <w:rsid w:val="007C7AE6"/>
    <w:rsid w:val="007C7DBC"/>
    <w:rsid w:val="007D027F"/>
    <w:rsid w:val="007D03B7"/>
    <w:rsid w:val="007D16A0"/>
    <w:rsid w:val="007D1A0C"/>
    <w:rsid w:val="007D2482"/>
    <w:rsid w:val="007D3950"/>
    <w:rsid w:val="007D4971"/>
    <w:rsid w:val="007D6753"/>
    <w:rsid w:val="007D6B49"/>
    <w:rsid w:val="007E0100"/>
    <w:rsid w:val="007E1E33"/>
    <w:rsid w:val="007E1F2E"/>
    <w:rsid w:val="007E2307"/>
    <w:rsid w:val="007E240A"/>
    <w:rsid w:val="007E24EA"/>
    <w:rsid w:val="007E2649"/>
    <w:rsid w:val="007E3E3F"/>
    <w:rsid w:val="007E3FD4"/>
    <w:rsid w:val="007E4040"/>
    <w:rsid w:val="007E475F"/>
    <w:rsid w:val="007E541E"/>
    <w:rsid w:val="007E57AC"/>
    <w:rsid w:val="007E5DC3"/>
    <w:rsid w:val="007E640F"/>
    <w:rsid w:val="007E664E"/>
    <w:rsid w:val="007E721D"/>
    <w:rsid w:val="007E747D"/>
    <w:rsid w:val="007E75F0"/>
    <w:rsid w:val="007F19B4"/>
    <w:rsid w:val="007F1A4C"/>
    <w:rsid w:val="007F1FC7"/>
    <w:rsid w:val="007F24D6"/>
    <w:rsid w:val="007F25BC"/>
    <w:rsid w:val="007F2768"/>
    <w:rsid w:val="007F3EE8"/>
    <w:rsid w:val="007F4074"/>
    <w:rsid w:val="007F447A"/>
    <w:rsid w:val="007F504F"/>
    <w:rsid w:val="007F51E8"/>
    <w:rsid w:val="007F587E"/>
    <w:rsid w:val="007F5DE2"/>
    <w:rsid w:val="007F60C4"/>
    <w:rsid w:val="007F6625"/>
    <w:rsid w:val="007F6A65"/>
    <w:rsid w:val="007F6C56"/>
    <w:rsid w:val="007F7D4C"/>
    <w:rsid w:val="0080041A"/>
    <w:rsid w:val="00800601"/>
    <w:rsid w:val="00800CD8"/>
    <w:rsid w:val="0080114A"/>
    <w:rsid w:val="0080119C"/>
    <w:rsid w:val="008012F9"/>
    <w:rsid w:val="00801858"/>
    <w:rsid w:val="00801E37"/>
    <w:rsid w:val="008022C3"/>
    <w:rsid w:val="00802B75"/>
    <w:rsid w:val="00803C48"/>
    <w:rsid w:val="00803EFC"/>
    <w:rsid w:val="008040C9"/>
    <w:rsid w:val="008041E6"/>
    <w:rsid w:val="0080579A"/>
    <w:rsid w:val="008060C3"/>
    <w:rsid w:val="00806112"/>
    <w:rsid w:val="008064E8"/>
    <w:rsid w:val="008065D2"/>
    <w:rsid w:val="00806A22"/>
    <w:rsid w:val="00806B1D"/>
    <w:rsid w:val="008072F7"/>
    <w:rsid w:val="008076A5"/>
    <w:rsid w:val="00807C5B"/>
    <w:rsid w:val="00810A4F"/>
    <w:rsid w:val="00810CC2"/>
    <w:rsid w:val="00812199"/>
    <w:rsid w:val="00812ABB"/>
    <w:rsid w:val="0081336F"/>
    <w:rsid w:val="0081367D"/>
    <w:rsid w:val="008136AF"/>
    <w:rsid w:val="008140DD"/>
    <w:rsid w:val="00814523"/>
    <w:rsid w:val="00814CB0"/>
    <w:rsid w:val="00815072"/>
    <w:rsid w:val="00815DEC"/>
    <w:rsid w:val="00816301"/>
    <w:rsid w:val="00816E92"/>
    <w:rsid w:val="00817324"/>
    <w:rsid w:val="008173D1"/>
    <w:rsid w:val="00817EDC"/>
    <w:rsid w:val="008207EC"/>
    <w:rsid w:val="0082123D"/>
    <w:rsid w:val="0082194C"/>
    <w:rsid w:val="00821CD1"/>
    <w:rsid w:val="00821D7E"/>
    <w:rsid w:val="00821DF8"/>
    <w:rsid w:val="008220C4"/>
    <w:rsid w:val="008222FF"/>
    <w:rsid w:val="008223FA"/>
    <w:rsid w:val="008232A3"/>
    <w:rsid w:val="008237EC"/>
    <w:rsid w:val="0082393B"/>
    <w:rsid w:val="00823BF0"/>
    <w:rsid w:val="008241FF"/>
    <w:rsid w:val="00825C70"/>
    <w:rsid w:val="00826D69"/>
    <w:rsid w:val="00827C9F"/>
    <w:rsid w:val="0083055E"/>
    <w:rsid w:val="00831CF5"/>
    <w:rsid w:val="00831EFE"/>
    <w:rsid w:val="008322EB"/>
    <w:rsid w:val="00832E30"/>
    <w:rsid w:val="0083397D"/>
    <w:rsid w:val="00833FBB"/>
    <w:rsid w:val="008343D0"/>
    <w:rsid w:val="00835749"/>
    <w:rsid w:val="00835E19"/>
    <w:rsid w:val="0083658F"/>
    <w:rsid w:val="00836687"/>
    <w:rsid w:val="0083729B"/>
    <w:rsid w:val="0083763A"/>
    <w:rsid w:val="008406E7"/>
    <w:rsid w:val="00840D69"/>
    <w:rsid w:val="008410BD"/>
    <w:rsid w:val="008411E9"/>
    <w:rsid w:val="008418C6"/>
    <w:rsid w:val="00841AF0"/>
    <w:rsid w:val="00841B99"/>
    <w:rsid w:val="0084200F"/>
    <w:rsid w:val="00843210"/>
    <w:rsid w:val="00843A38"/>
    <w:rsid w:val="00843A42"/>
    <w:rsid w:val="00843B2C"/>
    <w:rsid w:val="00844668"/>
    <w:rsid w:val="008456E6"/>
    <w:rsid w:val="008471C4"/>
    <w:rsid w:val="008478ED"/>
    <w:rsid w:val="008500A3"/>
    <w:rsid w:val="00850206"/>
    <w:rsid w:val="00850F7B"/>
    <w:rsid w:val="008519A7"/>
    <w:rsid w:val="00851FAE"/>
    <w:rsid w:val="008521F2"/>
    <w:rsid w:val="008523BD"/>
    <w:rsid w:val="00852638"/>
    <w:rsid w:val="00854245"/>
    <w:rsid w:val="008542FC"/>
    <w:rsid w:val="00854555"/>
    <w:rsid w:val="00855221"/>
    <w:rsid w:val="0085565C"/>
    <w:rsid w:val="00855B62"/>
    <w:rsid w:val="00855E7A"/>
    <w:rsid w:val="008566E1"/>
    <w:rsid w:val="00856873"/>
    <w:rsid w:val="008568C2"/>
    <w:rsid w:val="00856ADF"/>
    <w:rsid w:val="008573B2"/>
    <w:rsid w:val="0085743C"/>
    <w:rsid w:val="008609A4"/>
    <w:rsid w:val="008612D9"/>
    <w:rsid w:val="00862500"/>
    <w:rsid w:val="00863D7D"/>
    <w:rsid w:val="00865168"/>
    <w:rsid w:val="008651A1"/>
    <w:rsid w:val="00865A2C"/>
    <w:rsid w:val="0086684B"/>
    <w:rsid w:val="00866B7D"/>
    <w:rsid w:val="00867690"/>
    <w:rsid w:val="008676F9"/>
    <w:rsid w:val="0087048A"/>
    <w:rsid w:val="008719C9"/>
    <w:rsid w:val="00871CDF"/>
    <w:rsid w:val="0087357C"/>
    <w:rsid w:val="00873804"/>
    <w:rsid w:val="00874A78"/>
    <w:rsid w:val="00876123"/>
    <w:rsid w:val="008763AC"/>
    <w:rsid w:val="008770B9"/>
    <w:rsid w:val="0087725F"/>
    <w:rsid w:val="008803E7"/>
    <w:rsid w:val="0088073B"/>
    <w:rsid w:val="0088183F"/>
    <w:rsid w:val="00882B09"/>
    <w:rsid w:val="00883CEA"/>
    <w:rsid w:val="008847A7"/>
    <w:rsid w:val="00884AFC"/>
    <w:rsid w:val="00885472"/>
    <w:rsid w:val="00885D86"/>
    <w:rsid w:val="0088756A"/>
    <w:rsid w:val="0089014D"/>
    <w:rsid w:val="008903A9"/>
    <w:rsid w:val="00891488"/>
    <w:rsid w:val="00891BDA"/>
    <w:rsid w:val="00891CF5"/>
    <w:rsid w:val="00891E45"/>
    <w:rsid w:val="00893151"/>
    <w:rsid w:val="00893355"/>
    <w:rsid w:val="008935FF"/>
    <w:rsid w:val="00893656"/>
    <w:rsid w:val="00893B26"/>
    <w:rsid w:val="008942CC"/>
    <w:rsid w:val="0089452B"/>
    <w:rsid w:val="0089488C"/>
    <w:rsid w:val="00894F05"/>
    <w:rsid w:val="0089676F"/>
    <w:rsid w:val="00896807"/>
    <w:rsid w:val="00897EAD"/>
    <w:rsid w:val="008A041A"/>
    <w:rsid w:val="008A17EF"/>
    <w:rsid w:val="008A1AC8"/>
    <w:rsid w:val="008A1BAE"/>
    <w:rsid w:val="008A24AC"/>
    <w:rsid w:val="008A2A44"/>
    <w:rsid w:val="008A2E9C"/>
    <w:rsid w:val="008A2EFC"/>
    <w:rsid w:val="008A38AF"/>
    <w:rsid w:val="008A4900"/>
    <w:rsid w:val="008A4CB0"/>
    <w:rsid w:val="008A63C1"/>
    <w:rsid w:val="008A6D2C"/>
    <w:rsid w:val="008A7304"/>
    <w:rsid w:val="008A792A"/>
    <w:rsid w:val="008B060B"/>
    <w:rsid w:val="008B0699"/>
    <w:rsid w:val="008B07CF"/>
    <w:rsid w:val="008B0F87"/>
    <w:rsid w:val="008B0FDC"/>
    <w:rsid w:val="008B101F"/>
    <w:rsid w:val="008B1E3E"/>
    <w:rsid w:val="008B2071"/>
    <w:rsid w:val="008B2214"/>
    <w:rsid w:val="008B29BA"/>
    <w:rsid w:val="008B2CD2"/>
    <w:rsid w:val="008B38F3"/>
    <w:rsid w:val="008B4F91"/>
    <w:rsid w:val="008B5025"/>
    <w:rsid w:val="008B5B52"/>
    <w:rsid w:val="008B6458"/>
    <w:rsid w:val="008B64E0"/>
    <w:rsid w:val="008B657B"/>
    <w:rsid w:val="008B6713"/>
    <w:rsid w:val="008B6CF3"/>
    <w:rsid w:val="008B74E2"/>
    <w:rsid w:val="008B7A1C"/>
    <w:rsid w:val="008B7C26"/>
    <w:rsid w:val="008C072D"/>
    <w:rsid w:val="008C294F"/>
    <w:rsid w:val="008C31E8"/>
    <w:rsid w:val="008C3232"/>
    <w:rsid w:val="008C3262"/>
    <w:rsid w:val="008C4F88"/>
    <w:rsid w:val="008C567A"/>
    <w:rsid w:val="008C58A6"/>
    <w:rsid w:val="008C60A9"/>
    <w:rsid w:val="008C6104"/>
    <w:rsid w:val="008C693F"/>
    <w:rsid w:val="008C7CDC"/>
    <w:rsid w:val="008D024C"/>
    <w:rsid w:val="008D0281"/>
    <w:rsid w:val="008D05BC"/>
    <w:rsid w:val="008D0A84"/>
    <w:rsid w:val="008D17C3"/>
    <w:rsid w:val="008D2842"/>
    <w:rsid w:val="008D2A13"/>
    <w:rsid w:val="008D3BD9"/>
    <w:rsid w:val="008D3FDA"/>
    <w:rsid w:val="008D47CE"/>
    <w:rsid w:val="008D49F8"/>
    <w:rsid w:val="008D5797"/>
    <w:rsid w:val="008D5A73"/>
    <w:rsid w:val="008D5AC7"/>
    <w:rsid w:val="008D6623"/>
    <w:rsid w:val="008D68BA"/>
    <w:rsid w:val="008D7058"/>
    <w:rsid w:val="008E06DB"/>
    <w:rsid w:val="008E287A"/>
    <w:rsid w:val="008E3C4E"/>
    <w:rsid w:val="008E3C64"/>
    <w:rsid w:val="008E4082"/>
    <w:rsid w:val="008E479C"/>
    <w:rsid w:val="008E4AF8"/>
    <w:rsid w:val="008E4E45"/>
    <w:rsid w:val="008E56B8"/>
    <w:rsid w:val="008E6516"/>
    <w:rsid w:val="008E68F7"/>
    <w:rsid w:val="008E6BD2"/>
    <w:rsid w:val="008E6EE3"/>
    <w:rsid w:val="008E71CD"/>
    <w:rsid w:val="008E7BD2"/>
    <w:rsid w:val="008E7C41"/>
    <w:rsid w:val="008F0023"/>
    <w:rsid w:val="008F26C5"/>
    <w:rsid w:val="008F272E"/>
    <w:rsid w:val="008F27D2"/>
    <w:rsid w:val="008F2C32"/>
    <w:rsid w:val="008F2FD4"/>
    <w:rsid w:val="008F32BF"/>
    <w:rsid w:val="008F3AC0"/>
    <w:rsid w:val="008F42F4"/>
    <w:rsid w:val="008F469B"/>
    <w:rsid w:val="008F4961"/>
    <w:rsid w:val="008F5FFD"/>
    <w:rsid w:val="008F6D45"/>
    <w:rsid w:val="008F6D9A"/>
    <w:rsid w:val="008F78A7"/>
    <w:rsid w:val="008F7941"/>
    <w:rsid w:val="008F7BCD"/>
    <w:rsid w:val="0090079E"/>
    <w:rsid w:val="0090359D"/>
    <w:rsid w:val="00903615"/>
    <w:rsid w:val="0090369A"/>
    <w:rsid w:val="00903B89"/>
    <w:rsid w:val="0090401A"/>
    <w:rsid w:val="009057EE"/>
    <w:rsid w:val="009063BE"/>
    <w:rsid w:val="009065DB"/>
    <w:rsid w:val="0090667D"/>
    <w:rsid w:val="00907120"/>
    <w:rsid w:val="00907C44"/>
    <w:rsid w:val="00907CCE"/>
    <w:rsid w:val="009113B6"/>
    <w:rsid w:val="009120DA"/>
    <w:rsid w:val="00912392"/>
    <w:rsid w:val="009125E3"/>
    <w:rsid w:val="00912A15"/>
    <w:rsid w:val="00912D85"/>
    <w:rsid w:val="0091452E"/>
    <w:rsid w:val="009146F2"/>
    <w:rsid w:val="00914C9F"/>
    <w:rsid w:val="009150A0"/>
    <w:rsid w:val="009154FC"/>
    <w:rsid w:val="00915D67"/>
    <w:rsid w:val="00916D96"/>
    <w:rsid w:val="0091707B"/>
    <w:rsid w:val="009172DD"/>
    <w:rsid w:val="00917BD2"/>
    <w:rsid w:val="009213A7"/>
    <w:rsid w:val="00921C52"/>
    <w:rsid w:val="00921D60"/>
    <w:rsid w:val="009220ED"/>
    <w:rsid w:val="00922A1B"/>
    <w:rsid w:val="00923EBC"/>
    <w:rsid w:val="00924340"/>
    <w:rsid w:val="009247F2"/>
    <w:rsid w:val="00924AA7"/>
    <w:rsid w:val="00924BFD"/>
    <w:rsid w:val="00925993"/>
    <w:rsid w:val="00925ED2"/>
    <w:rsid w:val="0092613B"/>
    <w:rsid w:val="00926629"/>
    <w:rsid w:val="00926ABB"/>
    <w:rsid w:val="00926C06"/>
    <w:rsid w:val="00926CDA"/>
    <w:rsid w:val="00927638"/>
    <w:rsid w:val="00927E9C"/>
    <w:rsid w:val="009304D6"/>
    <w:rsid w:val="0093195F"/>
    <w:rsid w:val="00931ED0"/>
    <w:rsid w:val="00932E27"/>
    <w:rsid w:val="009348A0"/>
    <w:rsid w:val="00934B2B"/>
    <w:rsid w:val="009375FE"/>
    <w:rsid w:val="00940932"/>
    <w:rsid w:val="00940F62"/>
    <w:rsid w:val="0094144C"/>
    <w:rsid w:val="009419EC"/>
    <w:rsid w:val="00941C91"/>
    <w:rsid w:val="00942BEB"/>
    <w:rsid w:val="009430DB"/>
    <w:rsid w:val="00943FDA"/>
    <w:rsid w:val="009444F2"/>
    <w:rsid w:val="00945887"/>
    <w:rsid w:val="00945D65"/>
    <w:rsid w:val="009461FF"/>
    <w:rsid w:val="00950775"/>
    <w:rsid w:val="00950795"/>
    <w:rsid w:val="00950FAF"/>
    <w:rsid w:val="00951845"/>
    <w:rsid w:val="00955331"/>
    <w:rsid w:val="009554A9"/>
    <w:rsid w:val="00955535"/>
    <w:rsid w:val="00955E5B"/>
    <w:rsid w:val="00956781"/>
    <w:rsid w:val="009568A3"/>
    <w:rsid w:val="00960011"/>
    <w:rsid w:val="00960113"/>
    <w:rsid w:val="00961325"/>
    <w:rsid w:val="00961477"/>
    <w:rsid w:val="00961C7E"/>
    <w:rsid w:val="009626E6"/>
    <w:rsid w:val="00962C6E"/>
    <w:rsid w:val="00963469"/>
    <w:rsid w:val="00963475"/>
    <w:rsid w:val="00963896"/>
    <w:rsid w:val="009641C1"/>
    <w:rsid w:val="009652A5"/>
    <w:rsid w:val="00965948"/>
    <w:rsid w:val="009667B8"/>
    <w:rsid w:val="00967954"/>
    <w:rsid w:val="00971036"/>
    <w:rsid w:val="009720D7"/>
    <w:rsid w:val="00972F78"/>
    <w:rsid w:val="00973844"/>
    <w:rsid w:val="0097434D"/>
    <w:rsid w:val="0097573B"/>
    <w:rsid w:val="00976C53"/>
    <w:rsid w:val="00977D46"/>
    <w:rsid w:val="009801C2"/>
    <w:rsid w:val="009827CE"/>
    <w:rsid w:val="00982E45"/>
    <w:rsid w:val="00983167"/>
    <w:rsid w:val="0098349C"/>
    <w:rsid w:val="009834C0"/>
    <w:rsid w:val="00983707"/>
    <w:rsid w:val="00984C95"/>
    <w:rsid w:val="00984DF5"/>
    <w:rsid w:val="00985B27"/>
    <w:rsid w:val="00985D36"/>
    <w:rsid w:val="009869E1"/>
    <w:rsid w:val="00986AAC"/>
    <w:rsid w:val="009870E7"/>
    <w:rsid w:val="00987761"/>
    <w:rsid w:val="00987916"/>
    <w:rsid w:val="009919BC"/>
    <w:rsid w:val="00992A5E"/>
    <w:rsid w:val="00992E00"/>
    <w:rsid w:val="00993001"/>
    <w:rsid w:val="009931A7"/>
    <w:rsid w:val="0099387E"/>
    <w:rsid w:val="0099449F"/>
    <w:rsid w:val="009946DF"/>
    <w:rsid w:val="00995CD8"/>
    <w:rsid w:val="00996CE8"/>
    <w:rsid w:val="0099754E"/>
    <w:rsid w:val="00997644"/>
    <w:rsid w:val="009976A5"/>
    <w:rsid w:val="00997844"/>
    <w:rsid w:val="009A16A7"/>
    <w:rsid w:val="009A1DA2"/>
    <w:rsid w:val="009A23E8"/>
    <w:rsid w:val="009A2C36"/>
    <w:rsid w:val="009A34AB"/>
    <w:rsid w:val="009A3704"/>
    <w:rsid w:val="009A3F57"/>
    <w:rsid w:val="009A4009"/>
    <w:rsid w:val="009A4739"/>
    <w:rsid w:val="009A4FD8"/>
    <w:rsid w:val="009A55D3"/>
    <w:rsid w:val="009A5809"/>
    <w:rsid w:val="009A5DED"/>
    <w:rsid w:val="009A62C0"/>
    <w:rsid w:val="009A674F"/>
    <w:rsid w:val="009A6783"/>
    <w:rsid w:val="009A6CF2"/>
    <w:rsid w:val="009A73A1"/>
    <w:rsid w:val="009A7947"/>
    <w:rsid w:val="009B054E"/>
    <w:rsid w:val="009B0687"/>
    <w:rsid w:val="009B199C"/>
    <w:rsid w:val="009B1D6D"/>
    <w:rsid w:val="009B2532"/>
    <w:rsid w:val="009B2563"/>
    <w:rsid w:val="009B257C"/>
    <w:rsid w:val="009B2AB4"/>
    <w:rsid w:val="009B3725"/>
    <w:rsid w:val="009B387D"/>
    <w:rsid w:val="009B39E7"/>
    <w:rsid w:val="009B54C8"/>
    <w:rsid w:val="009B5F1F"/>
    <w:rsid w:val="009B5F95"/>
    <w:rsid w:val="009B61F1"/>
    <w:rsid w:val="009B62D7"/>
    <w:rsid w:val="009B62E0"/>
    <w:rsid w:val="009B637A"/>
    <w:rsid w:val="009B6DCE"/>
    <w:rsid w:val="009B7830"/>
    <w:rsid w:val="009B7F22"/>
    <w:rsid w:val="009B7F28"/>
    <w:rsid w:val="009C04EE"/>
    <w:rsid w:val="009C1566"/>
    <w:rsid w:val="009C2CED"/>
    <w:rsid w:val="009C2D9D"/>
    <w:rsid w:val="009C2DD3"/>
    <w:rsid w:val="009C3260"/>
    <w:rsid w:val="009C3512"/>
    <w:rsid w:val="009C352E"/>
    <w:rsid w:val="009C3B4B"/>
    <w:rsid w:val="009C3D88"/>
    <w:rsid w:val="009C4160"/>
    <w:rsid w:val="009C45D5"/>
    <w:rsid w:val="009C5078"/>
    <w:rsid w:val="009C5C14"/>
    <w:rsid w:val="009C63BD"/>
    <w:rsid w:val="009C6490"/>
    <w:rsid w:val="009C6CF7"/>
    <w:rsid w:val="009C717C"/>
    <w:rsid w:val="009C78ED"/>
    <w:rsid w:val="009D084E"/>
    <w:rsid w:val="009D0D7A"/>
    <w:rsid w:val="009D118A"/>
    <w:rsid w:val="009D155D"/>
    <w:rsid w:val="009D26D5"/>
    <w:rsid w:val="009D29DB"/>
    <w:rsid w:val="009D3079"/>
    <w:rsid w:val="009D339B"/>
    <w:rsid w:val="009D3679"/>
    <w:rsid w:val="009D4708"/>
    <w:rsid w:val="009D48D5"/>
    <w:rsid w:val="009D5004"/>
    <w:rsid w:val="009D5210"/>
    <w:rsid w:val="009D58B6"/>
    <w:rsid w:val="009D5A7D"/>
    <w:rsid w:val="009D7054"/>
    <w:rsid w:val="009D75AE"/>
    <w:rsid w:val="009D7D21"/>
    <w:rsid w:val="009E02B2"/>
    <w:rsid w:val="009E0422"/>
    <w:rsid w:val="009E058A"/>
    <w:rsid w:val="009E1706"/>
    <w:rsid w:val="009E1B6A"/>
    <w:rsid w:val="009E2548"/>
    <w:rsid w:val="009E2D82"/>
    <w:rsid w:val="009E3858"/>
    <w:rsid w:val="009E38B1"/>
    <w:rsid w:val="009E3E23"/>
    <w:rsid w:val="009E4980"/>
    <w:rsid w:val="009E5118"/>
    <w:rsid w:val="009E5FF2"/>
    <w:rsid w:val="009E6B32"/>
    <w:rsid w:val="009E70DD"/>
    <w:rsid w:val="009E7103"/>
    <w:rsid w:val="009E77E8"/>
    <w:rsid w:val="009E7E50"/>
    <w:rsid w:val="009F09F1"/>
    <w:rsid w:val="009F1D87"/>
    <w:rsid w:val="009F2ED9"/>
    <w:rsid w:val="009F3231"/>
    <w:rsid w:val="009F3285"/>
    <w:rsid w:val="009F407C"/>
    <w:rsid w:val="009F4724"/>
    <w:rsid w:val="009F4F49"/>
    <w:rsid w:val="009F5C58"/>
    <w:rsid w:val="009F5E75"/>
    <w:rsid w:val="009F6271"/>
    <w:rsid w:val="009F6EFF"/>
    <w:rsid w:val="009F6F40"/>
    <w:rsid w:val="009F78BA"/>
    <w:rsid w:val="009F7B2B"/>
    <w:rsid w:val="00A00E22"/>
    <w:rsid w:val="00A01D55"/>
    <w:rsid w:val="00A023A0"/>
    <w:rsid w:val="00A02606"/>
    <w:rsid w:val="00A0282B"/>
    <w:rsid w:val="00A03102"/>
    <w:rsid w:val="00A04ABD"/>
    <w:rsid w:val="00A05C99"/>
    <w:rsid w:val="00A0645E"/>
    <w:rsid w:val="00A064E1"/>
    <w:rsid w:val="00A078BD"/>
    <w:rsid w:val="00A07BAE"/>
    <w:rsid w:val="00A10F76"/>
    <w:rsid w:val="00A11186"/>
    <w:rsid w:val="00A11615"/>
    <w:rsid w:val="00A11627"/>
    <w:rsid w:val="00A11CDB"/>
    <w:rsid w:val="00A1429B"/>
    <w:rsid w:val="00A14680"/>
    <w:rsid w:val="00A1475D"/>
    <w:rsid w:val="00A1498C"/>
    <w:rsid w:val="00A15216"/>
    <w:rsid w:val="00A1526C"/>
    <w:rsid w:val="00A1537C"/>
    <w:rsid w:val="00A1562B"/>
    <w:rsid w:val="00A1653C"/>
    <w:rsid w:val="00A170F4"/>
    <w:rsid w:val="00A17FF4"/>
    <w:rsid w:val="00A2064B"/>
    <w:rsid w:val="00A21368"/>
    <w:rsid w:val="00A217F5"/>
    <w:rsid w:val="00A21FF2"/>
    <w:rsid w:val="00A2244E"/>
    <w:rsid w:val="00A2270F"/>
    <w:rsid w:val="00A231A8"/>
    <w:rsid w:val="00A2355F"/>
    <w:rsid w:val="00A23A02"/>
    <w:rsid w:val="00A24B88"/>
    <w:rsid w:val="00A24C44"/>
    <w:rsid w:val="00A24C48"/>
    <w:rsid w:val="00A2559E"/>
    <w:rsid w:val="00A258E6"/>
    <w:rsid w:val="00A25FD9"/>
    <w:rsid w:val="00A27000"/>
    <w:rsid w:val="00A27266"/>
    <w:rsid w:val="00A3058A"/>
    <w:rsid w:val="00A31132"/>
    <w:rsid w:val="00A314C5"/>
    <w:rsid w:val="00A3256B"/>
    <w:rsid w:val="00A327D5"/>
    <w:rsid w:val="00A32B78"/>
    <w:rsid w:val="00A33244"/>
    <w:rsid w:val="00A3412F"/>
    <w:rsid w:val="00A3451A"/>
    <w:rsid w:val="00A34B09"/>
    <w:rsid w:val="00A3610E"/>
    <w:rsid w:val="00A36148"/>
    <w:rsid w:val="00A36258"/>
    <w:rsid w:val="00A414F9"/>
    <w:rsid w:val="00A422A5"/>
    <w:rsid w:val="00A422C2"/>
    <w:rsid w:val="00A422D5"/>
    <w:rsid w:val="00A433E4"/>
    <w:rsid w:val="00A43630"/>
    <w:rsid w:val="00A4440A"/>
    <w:rsid w:val="00A44677"/>
    <w:rsid w:val="00A44E89"/>
    <w:rsid w:val="00A45B13"/>
    <w:rsid w:val="00A462C6"/>
    <w:rsid w:val="00A4663E"/>
    <w:rsid w:val="00A466E3"/>
    <w:rsid w:val="00A4683E"/>
    <w:rsid w:val="00A46BA8"/>
    <w:rsid w:val="00A47634"/>
    <w:rsid w:val="00A47FCB"/>
    <w:rsid w:val="00A50071"/>
    <w:rsid w:val="00A52148"/>
    <w:rsid w:val="00A52783"/>
    <w:rsid w:val="00A52D66"/>
    <w:rsid w:val="00A55672"/>
    <w:rsid w:val="00A55710"/>
    <w:rsid w:val="00A558B6"/>
    <w:rsid w:val="00A55B3B"/>
    <w:rsid w:val="00A5653B"/>
    <w:rsid w:val="00A57FCA"/>
    <w:rsid w:val="00A60FD5"/>
    <w:rsid w:val="00A612FE"/>
    <w:rsid w:val="00A61DFB"/>
    <w:rsid w:val="00A626EA"/>
    <w:rsid w:val="00A62905"/>
    <w:rsid w:val="00A63EF4"/>
    <w:rsid w:val="00A6437F"/>
    <w:rsid w:val="00A64704"/>
    <w:rsid w:val="00A648AD"/>
    <w:rsid w:val="00A64A8F"/>
    <w:rsid w:val="00A64D6D"/>
    <w:rsid w:val="00A65542"/>
    <w:rsid w:val="00A66735"/>
    <w:rsid w:val="00A670B5"/>
    <w:rsid w:val="00A671C0"/>
    <w:rsid w:val="00A674B2"/>
    <w:rsid w:val="00A67B92"/>
    <w:rsid w:val="00A7150F"/>
    <w:rsid w:val="00A7161E"/>
    <w:rsid w:val="00A717F1"/>
    <w:rsid w:val="00A71E91"/>
    <w:rsid w:val="00A72280"/>
    <w:rsid w:val="00A72E89"/>
    <w:rsid w:val="00A7323A"/>
    <w:rsid w:val="00A7358E"/>
    <w:rsid w:val="00A73F0F"/>
    <w:rsid w:val="00A75AE2"/>
    <w:rsid w:val="00A76A8F"/>
    <w:rsid w:val="00A76E5D"/>
    <w:rsid w:val="00A77A35"/>
    <w:rsid w:val="00A77B2A"/>
    <w:rsid w:val="00A77F12"/>
    <w:rsid w:val="00A801D5"/>
    <w:rsid w:val="00A809C3"/>
    <w:rsid w:val="00A81976"/>
    <w:rsid w:val="00A827E2"/>
    <w:rsid w:val="00A829A0"/>
    <w:rsid w:val="00A83C75"/>
    <w:rsid w:val="00A83EFC"/>
    <w:rsid w:val="00A84E29"/>
    <w:rsid w:val="00A86E26"/>
    <w:rsid w:val="00A87B6A"/>
    <w:rsid w:val="00A90444"/>
    <w:rsid w:val="00A9126A"/>
    <w:rsid w:val="00A9168E"/>
    <w:rsid w:val="00A93770"/>
    <w:rsid w:val="00A93CFC"/>
    <w:rsid w:val="00A952EA"/>
    <w:rsid w:val="00A95CD9"/>
    <w:rsid w:val="00A96411"/>
    <w:rsid w:val="00A96521"/>
    <w:rsid w:val="00A97760"/>
    <w:rsid w:val="00A97785"/>
    <w:rsid w:val="00AA0137"/>
    <w:rsid w:val="00AA0938"/>
    <w:rsid w:val="00AA26B8"/>
    <w:rsid w:val="00AA2778"/>
    <w:rsid w:val="00AA2FE9"/>
    <w:rsid w:val="00AA370E"/>
    <w:rsid w:val="00AA4A44"/>
    <w:rsid w:val="00AA5CC1"/>
    <w:rsid w:val="00AA5EE6"/>
    <w:rsid w:val="00AA66E2"/>
    <w:rsid w:val="00AA6DF3"/>
    <w:rsid w:val="00AA6FB5"/>
    <w:rsid w:val="00AA7680"/>
    <w:rsid w:val="00AB0764"/>
    <w:rsid w:val="00AB0D3B"/>
    <w:rsid w:val="00AB0E90"/>
    <w:rsid w:val="00AB0F4D"/>
    <w:rsid w:val="00AB18B4"/>
    <w:rsid w:val="00AB240D"/>
    <w:rsid w:val="00AB366C"/>
    <w:rsid w:val="00AB3A2F"/>
    <w:rsid w:val="00AB3FE2"/>
    <w:rsid w:val="00AB4253"/>
    <w:rsid w:val="00AB565C"/>
    <w:rsid w:val="00AB5B4A"/>
    <w:rsid w:val="00AB6463"/>
    <w:rsid w:val="00AB7A95"/>
    <w:rsid w:val="00AB7E92"/>
    <w:rsid w:val="00AC04BA"/>
    <w:rsid w:val="00AC0690"/>
    <w:rsid w:val="00AC0A23"/>
    <w:rsid w:val="00AC0C6F"/>
    <w:rsid w:val="00AC1988"/>
    <w:rsid w:val="00AC3234"/>
    <w:rsid w:val="00AC3871"/>
    <w:rsid w:val="00AC4168"/>
    <w:rsid w:val="00AC49C5"/>
    <w:rsid w:val="00AC57AD"/>
    <w:rsid w:val="00AC5994"/>
    <w:rsid w:val="00AC5F4D"/>
    <w:rsid w:val="00AC6186"/>
    <w:rsid w:val="00AC75D0"/>
    <w:rsid w:val="00AD0771"/>
    <w:rsid w:val="00AD0B6C"/>
    <w:rsid w:val="00AD1751"/>
    <w:rsid w:val="00AD1DBE"/>
    <w:rsid w:val="00AD3322"/>
    <w:rsid w:val="00AD37C5"/>
    <w:rsid w:val="00AD39E8"/>
    <w:rsid w:val="00AD4593"/>
    <w:rsid w:val="00AD52FA"/>
    <w:rsid w:val="00AD53E3"/>
    <w:rsid w:val="00AD5D95"/>
    <w:rsid w:val="00AD6BFA"/>
    <w:rsid w:val="00AD6F0D"/>
    <w:rsid w:val="00AD7013"/>
    <w:rsid w:val="00AD7E4E"/>
    <w:rsid w:val="00AE0551"/>
    <w:rsid w:val="00AE0990"/>
    <w:rsid w:val="00AE0BEF"/>
    <w:rsid w:val="00AE1D98"/>
    <w:rsid w:val="00AE2001"/>
    <w:rsid w:val="00AE225E"/>
    <w:rsid w:val="00AE293E"/>
    <w:rsid w:val="00AE2A79"/>
    <w:rsid w:val="00AE3745"/>
    <w:rsid w:val="00AE39A6"/>
    <w:rsid w:val="00AE48BD"/>
    <w:rsid w:val="00AE48F5"/>
    <w:rsid w:val="00AE564A"/>
    <w:rsid w:val="00AE5E8A"/>
    <w:rsid w:val="00AE6012"/>
    <w:rsid w:val="00AE632D"/>
    <w:rsid w:val="00AE78F1"/>
    <w:rsid w:val="00AE7BCF"/>
    <w:rsid w:val="00AE7CBF"/>
    <w:rsid w:val="00AF073A"/>
    <w:rsid w:val="00AF0AF3"/>
    <w:rsid w:val="00AF0D33"/>
    <w:rsid w:val="00AF0E4C"/>
    <w:rsid w:val="00AF17F1"/>
    <w:rsid w:val="00AF2801"/>
    <w:rsid w:val="00AF29FE"/>
    <w:rsid w:val="00AF2F85"/>
    <w:rsid w:val="00AF34DE"/>
    <w:rsid w:val="00AF352E"/>
    <w:rsid w:val="00AF35C9"/>
    <w:rsid w:val="00AF4D58"/>
    <w:rsid w:val="00AF4FC2"/>
    <w:rsid w:val="00AF5458"/>
    <w:rsid w:val="00AF5ED0"/>
    <w:rsid w:val="00AF6210"/>
    <w:rsid w:val="00AF622A"/>
    <w:rsid w:val="00AF6666"/>
    <w:rsid w:val="00AF6C94"/>
    <w:rsid w:val="00AF6DE2"/>
    <w:rsid w:val="00AF6F5D"/>
    <w:rsid w:val="00AF7DFD"/>
    <w:rsid w:val="00AF7FA4"/>
    <w:rsid w:val="00B01E5F"/>
    <w:rsid w:val="00B0210A"/>
    <w:rsid w:val="00B021E6"/>
    <w:rsid w:val="00B02A63"/>
    <w:rsid w:val="00B0394D"/>
    <w:rsid w:val="00B04910"/>
    <w:rsid w:val="00B04F45"/>
    <w:rsid w:val="00B05258"/>
    <w:rsid w:val="00B05DB8"/>
    <w:rsid w:val="00B05DC8"/>
    <w:rsid w:val="00B06502"/>
    <w:rsid w:val="00B069EB"/>
    <w:rsid w:val="00B07135"/>
    <w:rsid w:val="00B07FC2"/>
    <w:rsid w:val="00B10154"/>
    <w:rsid w:val="00B10A38"/>
    <w:rsid w:val="00B10FC6"/>
    <w:rsid w:val="00B112C7"/>
    <w:rsid w:val="00B13605"/>
    <w:rsid w:val="00B13B8A"/>
    <w:rsid w:val="00B14C43"/>
    <w:rsid w:val="00B15469"/>
    <w:rsid w:val="00B15757"/>
    <w:rsid w:val="00B15D73"/>
    <w:rsid w:val="00B15F57"/>
    <w:rsid w:val="00B161BC"/>
    <w:rsid w:val="00B166AA"/>
    <w:rsid w:val="00B16B72"/>
    <w:rsid w:val="00B16CDB"/>
    <w:rsid w:val="00B1700E"/>
    <w:rsid w:val="00B17ABE"/>
    <w:rsid w:val="00B200BF"/>
    <w:rsid w:val="00B219C5"/>
    <w:rsid w:val="00B21FF0"/>
    <w:rsid w:val="00B22731"/>
    <w:rsid w:val="00B229D0"/>
    <w:rsid w:val="00B24419"/>
    <w:rsid w:val="00B2459D"/>
    <w:rsid w:val="00B24D73"/>
    <w:rsid w:val="00B25FB5"/>
    <w:rsid w:val="00B271FB"/>
    <w:rsid w:val="00B274F6"/>
    <w:rsid w:val="00B2775B"/>
    <w:rsid w:val="00B3071C"/>
    <w:rsid w:val="00B31628"/>
    <w:rsid w:val="00B31896"/>
    <w:rsid w:val="00B31B90"/>
    <w:rsid w:val="00B323A5"/>
    <w:rsid w:val="00B324A5"/>
    <w:rsid w:val="00B32C24"/>
    <w:rsid w:val="00B32CB2"/>
    <w:rsid w:val="00B3324E"/>
    <w:rsid w:val="00B33392"/>
    <w:rsid w:val="00B355AA"/>
    <w:rsid w:val="00B356E4"/>
    <w:rsid w:val="00B35C9D"/>
    <w:rsid w:val="00B37182"/>
    <w:rsid w:val="00B37792"/>
    <w:rsid w:val="00B37A7F"/>
    <w:rsid w:val="00B401C6"/>
    <w:rsid w:val="00B4058E"/>
    <w:rsid w:val="00B4062D"/>
    <w:rsid w:val="00B40ABA"/>
    <w:rsid w:val="00B424F6"/>
    <w:rsid w:val="00B426EC"/>
    <w:rsid w:val="00B42879"/>
    <w:rsid w:val="00B42CF2"/>
    <w:rsid w:val="00B43034"/>
    <w:rsid w:val="00B43366"/>
    <w:rsid w:val="00B43DB1"/>
    <w:rsid w:val="00B4411B"/>
    <w:rsid w:val="00B44427"/>
    <w:rsid w:val="00B452E5"/>
    <w:rsid w:val="00B45394"/>
    <w:rsid w:val="00B45968"/>
    <w:rsid w:val="00B47A91"/>
    <w:rsid w:val="00B47D19"/>
    <w:rsid w:val="00B5015F"/>
    <w:rsid w:val="00B5022F"/>
    <w:rsid w:val="00B50BDA"/>
    <w:rsid w:val="00B51AD5"/>
    <w:rsid w:val="00B52184"/>
    <w:rsid w:val="00B522A3"/>
    <w:rsid w:val="00B52737"/>
    <w:rsid w:val="00B52797"/>
    <w:rsid w:val="00B52C2A"/>
    <w:rsid w:val="00B5452C"/>
    <w:rsid w:val="00B54A9E"/>
    <w:rsid w:val="00B550AA"/>
    <w:rsid w:val="00B56419"/>
    <w:rsid w:val="00B566F7"/>
    <w:rsid w:val="00B571D9"/>
    <w:rsid w:val="00B57565"/>
    <w:rsid w:val="00B57C5A"/>
    <w:rsid w:val="00B60918"/>
    <w:rsid w:val="00B60993"/>
    <w:rsid w:val="00B61ECB"/>
    <w:rsid w:val="00B62E8F"/>
    <w:rsid w:val="00B63093"/>
    <w:rsid w:val="00B63106"/>
    <w:rsid w:val="00B632ED"/>
    <w:rsid w:val="00B6371A"/>
    <w:rsid w:val="00B645C7"/>
    <w:rsid w:val="00B6581C"/>
    <w:rsid w:val="00B658C8"/>
    <w:rsid w:val="00B66605"/>
    <w:rsid w:val="00B66CAC"/>
    <w:rsid w:val="00B67A75"/>
    <w:rsid w:val="00B70729"/>
    <w:rsid w:val="00B70CB6"/>
    <w:rsid w:val="00B71030"/>
    <w:rsid w:val="00B716E3"/>
    <w:rsid w:val="00B72585"/>
    <w:rsid w:val="00B72E56"/>
    <w:rsid w:val="00B73ED8"/>
    <w:rsid w:val="00B7449B"/>
    <w:rsid w:val="00B75903"/>
    <w:rsid w:val="00B75910"/>
    <w:rsid w:val="00B75B0D"/>
    <w:rsid w:val="00B767B7"/>
    <w:rsid w:val="00B76B89"/>
    <w:rsid w:val="00B773EF"/>
    <w:rsid w:val="00B77B07"/>
    <w:rsid w:val="00B77C43"/>
    <w:rsid w:val="00B8029E"/>
    <w:rsid w:val="00B80B3B"/>
    <w:rsid w:val="00B813C5"/>
    <w:rsid w:val="00B819C2"/>
    <w:rsid w:val="00B81B44"/>
    <w:rsid w:val="00B825A2"/>
    <w:rsid w:val="00B82B70"/>
    <w:rsid w:val="00B82C9E"/>
    <w:rsid w:val="00B82F3B"/>
    <w:rsid w:val="00B83077"/>
    <w:rsid w:val="00B83105"/>
    <w:rsid w:val="00B848DD"/>
    <w:rsid w:val="00B8572E"/>
    <w:rsid w:val="00B87344"/>
    <w:rsid w:val="00B873B5"/>
    <w:rsid w:val="00B904E0"/>
    <w:rsid w:val="00B9053B"/>
    <w:rsid w:val="00B915F5"/>
    <w:rsid w:val="00B92BE2"/>
    <w:rsid w:val="00B92D9C"/>
    <w:rsid w:val="00B95565"/>
    <w:rsid w:val="00B96338"/>
    <w:rsid w:val="00B9754D"/>
    <w:rsid w:val="00B976DC"/>
    <w:rsid w:val="00B9773D"/>
    <w:rsid w:val="00B978B2"/>
    <w:rsid w:val="00BA01B6"/>
    <w:rsid w:val="00BA08DE"/>
    <w:rsid w:val="00BA0D1E"/>
    <w:rsid w:val="00BA0DCE"/>
    <w:rsid w:val="00BA0F21"/>
    <w:rsid w:val="00BA1030"/>
    <w:rsid w:val="00BA143F"/>
    <w:rsid w:val="00BA2693"/>
    <w:rsid w:val="00BA2E75"/>
    <w:rsid w:val="00BA3260"/>
    <w:rsid w:val="00BA3741"/>
    <w:rsid w:val="00BA386E"/>
    <w:rsid w:val="00BA584D"/>
    <w:rsid w:val="00BA64AB"/>
    <w:rsid w:val="00BA6786"/>
    <w:rsid w:val="00BB00EF"/>
    <w:rsid w:val="00BB0D03"/>
    <w:rsid w:val="00BB1074"/>
    <w:rsid w:val="00BB27E9"/>
    <w:rsid w:val="00BB2B8D"/>
    <w:rsid w:val="00BB2C07"/>
    <w:rsid w:val="00BB371E"/>
    <w:rsid w:val="00BB41CD"/>
    <w:rsid w:val="00BB5C11"/>
    <w:rsid w:val="00BB6654"/>
    <w:rsid w:val="00BB69B4"/>
    <w:rsid w:val="00BB6F99"/>
    <w:rsid w:val="00BB73D2"/>
    <w:rsid w:val="00BB7651"/>
    <w:rsid w:val="00BB7E2E"/>
    <w:rsid w:val="00BC076F"/>
    <w:rsid w:val="00BC099A"/>
    <w:rsid w:val="00BC2D8A"/>
    <w:rsid w:val="00BC30C7"/>
    <w:rsid w:val="00BC3356"/>
    <w:rsid w:val="00BC3422"/>
    <w:rsid w:val="00BC3C9F"/>
    <w:rsid w:val="00BC3CF4"/>
    <w:rsid w:val="00BC42AA"/>
    <w:rsid w:val="00BC4CDE"/>
    <w:rsid w:val="00BC5357"/>
    <w:rsid w:val="00BC5441"/>
    <w:rsid w:val="00BC58DA"/>
    <w:rsid w:val="00BD14D7"/>
    <w:rsid w:val="00BD20DD"/>
    <w:rsid w:val="00BD232B"/>
    <w:rsid w:val="00BD3172"/>
    <w:rsid w:val="00BD46DB"/>
    <w:rsid w:val="00BD48C9"/>
    <w:rsid w:val="00BD5DC9"/>
    <w:rsid w:val="00BD6193"/>
    <w:rsid w:val="00BD6477"/>
    <w:rsid w:val="00BD6968"/>
    <w:rsid w:val="00BD6EF4"/>
    <w:rsid w:val="00BD7F27"/>
    <w:rsid w:val="00BE072D"/>
    <w:rsid w:val="00BE14AD"/>
    <w:rsid w:val="00BE212D"/>
    <w:rsid w:val="00BE245A"/>
    <w:rsid w:val="00BE245E"/>
    <w:rsid w:val="00BE28D9"/>
    <w:rsid w:val="00BE2CCE"/>
    <w:rsid w:val="00BE37B3"/>
    <w:rsid w:val="00BE4B3C"/>
    <w:rsid w:val="00BE51F6"/>
    <w:rsid w:val="00BE596A"/>
    <w:rsid w:val="00BE5E23"/>
    <w:rsid w:val="00BE676F"/>
    <w:rsid w:val="00BE7386"/>
    <w:rsid w:val="00BF0160"/>
    <w:rsid w:val="00BF0A06"/>
    <w:rsid w:val="00BF0AB7"/>
    <w:rsid w:val="00BF0C0B"/>
    <w:rsid w:val="00BF0D74"/>
    <w:rsid w:val="00BF0E46"/>
    <w:rsid w:val="00BF4A86"/>
    <w:rsid w:val="00BF57C8"/>
    <w:rsid w:val="00BF60CD"/>
    <w:rsid w:val="00BF6D63"/>
    <w:rsid w:val="00BF6F3C"/>
    <w:rsid w:val="00BF6F72"/>
    <w:rsid w:val="00BF700B"/>
    <w:rsid w:val="00C00FA9"/>
    <w:rsid w:val="00C01204"/>
    <w:rsid w:val="00C015B9"/>
    <w:rsid w:val="00C019FC"/>
    <w:rsid w:val="00C01ACE"/>
    <w:rsid w:val="00C01B46"/>
    <w:rsid w:val="00C01EF1"/>
    <w:rsid w:val="00C01F0F"/>
    <w:rsid w:val="00C022F9"/>
    <w:rsid w:val="00C02852"/>
    <w:rsid w:val="00C032EA"/>
    <w:rsid w:val="00C03A7B"/>
    <w:rsid w:val="00C046FC"/>
    <w:rsid w:val="00C0480E"/>
    <w:rsid w:val="00C04AFF"/>
    <w:rsid w:val="00C04D8E"/>
    <w:rsid w:val="00C04F0D"/>
    <w:rsid w:val="00C0532E"/>
    <w:rsid w:val="00C05CD7"/>
    <w:rsid w:val="00C05CF3"/>
    <w:rsid w:val="00C05D44"/>
    <w:rsid w:val="00C067AA"/>
    <w:rsid w:val="00C06EB5"/>
    <w:rsid w:val="00C0734C"/>
    <w:rsid w:val="00C0772B"/>
    <w:rsid w:val="00C078B3"/>
    <w:rsid w:val="00C07A6C"/>
    <w:rsid w:val="00C10010"/>
    <w:rsid w:val="00C101ED"/>
    <w:rsid w:val="00C107F1"/>
    <w:rsid w:val="00C11175"/>
    <w:rsid w:val="00C1145F"/>
    <w:rsid w:val="00C11760"/>
    <w:rsid w:val="00C11D48"/>
    <w:rsid w:val="00C129F8"/>
    <w:rsid w:val="00C12D7B"/>
    <w:rsid w:val="00C13722"/>
    <w:rsid w:val="00C1500B"/>
    <w:rsid w:val="00C1537D"/>
    <w:rsid w:val="00C15393"/>
    <w:rsid w:val="00C15B88"/>
    <w:rsid w:val="00C15F45"/>
    <w:rsid w:val="00C15F96"/>
    <w:rsid w:val="00C15FB3"/>
    <w:rsid w:val="00C16E0A"/>
    <w:rsid w:val="00C200D9"/>
    <w:rsid w:val="00C20ACF"/>
    <w:rsid w:val="00C21704"/>
    <w:rsid w:val="00C217CA"/>
    <w:rsid w:val="00C21BCC"/>
    <w:rsid w:val="00C2370F"/>
    <w:rsid w:val="00C239E5"/>
    <w:rsid w:val="00C2414C"/>
    <w:rsid w:val="00C24419"/>
    <w:rsid w:val="00C252D6"/>
    <w:rsid w:val="00C2531F"/>
    <w:rsid w:val="00C25F12"/>
    <w:rsid w:val="00C260F6"/>
    <w:rsid w:val="00C27343"/>
    <w:rsid w:val="00C27BB9"/>
    <w:rsid w:val="00C27CCE"/>
    <w:rsid w:val="00C305D9"/>
    <w:rsid w:val="00C310E7"/>
    <w:rsid w:val="00C314B8"/>
    <w:rsid w:val="00C3249F"/>
    <w:rsid w:val="00C3366F"/>
    <w:rsid w:val="00C339E1"/>
    <w:rsid w:val="00C33ACC"/>
    <w:rsid w:val="00C33ED7"/>
    <w:rsid w:val="00C34024"/>
    <w:rsid w:val="00C356BB"/>
    <w:rsid w:val="00C35796"/>
    <w:rsid w:val="00C358CE"/>
    <w:rsid w:val="00C36726"/>
    <w:rsid w:val="00C3679A"/>
    <w:rsid w:val="00C36C79"/>
    <w:rsid w:val="00C3775B"/>
    <w:rsid w:val="00C40797"/>
    <w:rsid w:val="00C40C47"/>
    <w:rsid w:val="00C40D82"/>
    <w:rsid w:val="00C41DB9"/>
    <w:rsid w:val="00C4311A"/>
    <w:rsid w:val="00C433BE"/>
    <w:rsid w:val="00C43458"/>
    <w:rsid w:val="00C43FE9"/>
    <w:rsid w:val="00C45975"/>
    <w:rsid w:val="00C463F0"/>
    <w:rsid w:val="00C46B56"/>
    <w:rsid w:val="00C46BFD"/>
    <w:rsid w:val="00C479FF"/>
    <w:rsid w:val="00C50F93"/>
    <w:rsid w:val="00C51C27"/>
    <w:rsid w:val="00C51F20"/>
    <w:rsid w:val="00C52321"/>
    <w:rsid w:val="00C5236E"/>
    <w:rsid w:val="00C52835"/>
    <w:rsid w:val="00C5316E"/>
    <w:rsid w:val="00C53366"/>
    <w:rsid w:val="00C54701"/>
    <w:rsid w:val="00C54815"/>
    <w:rsid w:val="00C54DEA"/>
    <w:rsid w:val="00C54E49"/>
    <w:rsid w:val="00C550C0"/>
    <w:rsid w:val="00C56168"/>
    <w:rsid w:val="00C56A30"/>
    <w:rsid w:val="00C56E55"/>
    <w:rsid w:val="00C57CB9"/>
    <w:rsid w:val="00C57D15"/>
    <w:rsid w:val="00C57D2B"/>
    <w:rsid w:val="00C6127E"/>
    <w:rsid w:val="00C61AF2"/>
    <w:rsid w:val="00C62A1D"/>
    <w:rsid w:val="00C62A88"/>
    <w:rsid w:val="00C62F63"/>
    <w:rsid w:val="00C637E1"/>
    <w:rsid w:val="00C63C24"/>
    <w:rsid w:val="00C643D9"/>
    <w:rsid w:val="00C660EA"/>
    <w:rsid w:val="00C66784"/>
    <w:rsid w:val="00C66A8A"/>
    <w:rsid w:val="00C66B57"/>
    <w:rsid w:val="00C67873"/>
    <w:rsid w:val="00C67E4A"/>
    <w:rsid w:val="00C67E60"/>
    <w:rsid w:val="00C708EF"/>
    <w:rsid w:val="00C70D50"/>
    <w:rsid w:val="00C70D54"/>
    <w:rsid w:val="00C734B7"/>
    <w:rsid w:val="00C73A02"/>
    <w:rsid w:val="00C73E3E"/>
    <w:rsid w:val="00C74B68"/>
    <w:rsid w:val="00C74BD2"/>
    <w:rsid w:val="00C760DC"/>
    <w:rsid w:val="00C761D0"/>
    <w:rsid w:val="00C769F3"/>
    <w:rsid w:val="00C76F0C"/>
    <w:rsid w:val="00C7749C"/>
    <w:rsid w:val="00C807AA"/>
    <w:rsid w:val="00C80874"/>
    <w:rsid w:val="00C80CD8"/>
    <w:rsid w:val="00C80CE9"/>
    <w:rsid w:val="00C815C9"/>
    <w:rsid w:val="00C8162C"/>
    <w:rsid w:val="00C819B6"/>
    <w:rsid w:val="00C8243E"/>
    <w:rsid w:val="00C825E9"/>
    <w:rsid w:val="00C848B2"/>
    <w:rsid w:val="00C84E23"/>
    <w:rsid w:val="00C856CF"/>
    <w:rsid w:val="00C86537"/>
    <w:rsid w:val="00C86567"/>
    <w:rsid w:val="00C86589"/>
    <w:rsid w:val="00C870D8"/>
    <w:rsid w:val="00C87635"/>
    <w:rsid w:val="00C87849"/>
    <w:rsid w:val="00C87D3F"/>
    <w:rsid w:val="00C87DB9"/>
    <w:rsid w:val="00C87F22"/>
    <w:rsid w:val="00C902F3"/>
    <w:rsid w:val="00C907D7"/>
    <w:rsid w:val="00C90D67"/>
    <w:rsid w:val="00C91839"/>
    <w:rsid w:val="00C91B04"/>
    <w:rsid w:val="00C92338"/>
    <w:rsid w:val="00C93085"/>
    <w:rsid w:val="00C9309F"/>
    <w:rsid w:val="00C947F4"/>
    <w:rsid w:val="00C95997"/>
    <w:rsid w:val="00C95E94"/>
    <w:rsid w:val="00C96362"/>
    <w:rsid w:val="00C96EF0"/>
    <w:rsid w:val="00C9727F"/>
    <w:rsid w:val="00C9775B"/>
    <w:rsid w:val="00CA04FF"/>
    <w:rsid w:val="00CA0A6F"/>
    <w:rsid w:val="00CA1073"/>
    <w:rsid w:val="00CA1666"/>
    <w:rsid w:val="00CA170A"/>
    <w:rsid w:val="00CA1891"/>
    <w:rsid w:val="00CA208A"/>
    <w:rsid w:val="00CA2258"/>
    <w:rsid w:val="00CA24D2"/>
    <w:rsid w:val="00CA279F"/>
    <w:rsid w:val="00CA33A3"/>
    <w:rsid w:val="00CA42A9"/>
    <w:rsid w:val="00CA4C8C"/>
    <w:rsid w:val="00CA58FC"/>
    <w:rsid w:val="00CA6190"/>
    <w:rsid w:val="00CA662D"/>
    <w:rsid w:val="00CA69C8"/>
    <w:rsid w:val="00CA6DFD"/>
    <w:rsid w:val="00CA7342"/>
    <w:rsid w:val="00CA7C07"/>
    <w:rsid w:val="00CA7C3A"/>
    <w:rsid w:val="00CB0106"/>
    <w:rsid w:val="00CB01B8"/>
    <w:rsid w:val="00CB0B01"/>
    <w:rsid w:val="00CB0C87"/>
    <w:rsid w:val="00CB1319"/>
    <w:rsid w:val="00CB1BDD"/>
    <w:rsid w:val="00CB1D52"/>
    <w:rsid w:val="00CB1F71"/>
    <w:rsid w:val="00CB2AA2"/>
    <w:rsid w:val="00CB37A3"/>
    <w:rsid w:val="00CB3C12"/>
    <w:rsid w:val="00CB4B80"/>
    <w:rsid w:val="00CB53DE"/>
    <w:rsid w:val="00CB574E"/>
    <w:rsid w:val="00CB5960"/>
    <w:rsid w:val="00CB5ACD"/>
    <w:rsid w:val="00CB5DC2"/>
    <w:rsid w:val="00CB5E23"/>
    <w:rsid w:val="00CB5F75"/>
    <w:rsid w:val="00CB79F9"/>
    <w:rsid w:val="00CB7C4B"/>
    <w:rsid w:val="00CC07F2"/>
    <w:rsid w:val="00CC12F4"/>
    <w:rsid w:val="00CC1E21"/>
    <w:rsid w:val="00CC200C"/>
    <w:rsid w:val="00CC2DB2"/>
    <w:rsid w:val="00CC3045"/>
    <w:rsid w:val="00CC45AA"/>
    <w:rsid w:val="00CC4E67"/>
    <w:rsid w:val="00CC5E38"/>
    <w:rsid w:val="00CC60F9"/>
    <w:rsid w:val="00CC73F2"/>
    <w:rsid w:val="00CC7570"/>
    <w:rsid w:val="00CD0307"/>
    <w:rsid w:val="00CD186D"/>
    <w:rsid w:val="00CD1933"/>
    <w:rsid w:val="00CD1966"/>
    <w:rsid w:val="00CD198C"/>
    <w:rsid w:val="00CD1B0B"/>
    <w:rsid w:val="00CD2B0B"/>
    <w:rsid w:val="00CD2E96"/>
    <w:rsid w:val="00CD33E9"/>
    <w:rsid w:val="00CD366E"/>
    <w:rsid w:val="00CD3728"/>
    <w:rsid w:val="00CD388C"/>
    <w:rsid w:val="00CD3D1B"/>
    <w:rsid w:val="00CD46CD"/>
    <w:rsid w:val="00CD533E"/>
    <w:rsid w:val="00CD557A"/>
    <w:rsid w:val="00CD5B44"/>
    <w:rsid w:val="00CD625F"/>
    <w:rsid w:val="00CD68E7"/>
    <w:rsid w:val="00CD6AE7"/>
    <w:rsid w:val="00CD6B0D"/>
    <w:rsid w:val="00CD718F"/>
    <w:rsid w:val="00CD78C9"/>
    <w:rsid w:val="00CE0106"/>
    <w:rsid w:val="00CE0408"/>
    <w:rsid w:val="00CE0579"/>
    <w:rsid w:val="00CE0B72"/>
    <w:rsid w:val="00CE0E11"/>
    <w:rsid w:val="00CE1657"/>
    <w:rsid w:val="00CE22A0"/>
    <w:rsid w:val="00CE2D07"/>
    <w:rsid w:val="00CE2E58"/>
    <w:rsid w:val="00CE2F96"/>
    <w:rsid w:val="00CE3269"/>
    <w:rsid w:val="00CE3B03"/>
    <w:rsid w:val="00CE3E25"/>
    <w:rsid w:val="00CE4735"/>
    <w:rsid w:val="00CE481C"/>
    <w:rsid w:val="00CE4BE7"/>
    <w:rsid w:val="00CE55ED"/>
    <w:rsid w:val="00CE5D2E"/>
    <w:rsid w:val="00CE62B3"/>
    <w:rsid w:val="00CE6ADA"/>
    <w:rsid w:val="00CE6E2F"/>
    <w:rsid w:val="00CE74DA"/>
    <w:rsid w:val="00CE772D"/>
    <w:rsid w:val="00CF0395"/>
    <w:rsid w:val="00CF0924"/>
    <w:rsid w:val="00CF1431"/>
    <w:rsid w:val="00CF1A2B"/>
    <w:rsid w:val="00CF1EC7"/>
    <w:rsid w:val="00CF2F6F"/>
    <w:rsid w:val="00CF397B"/>
    <w:rsid w:val="00CF4007"/>
    <w:rsid w:val="00CF43F7"/>
    <w:rsid w:val="00CF46C6"/>
    <w:rsid w:val="00CF490C"/>
    <w:rsid w:val="00CF491E"/>
    <w:rsid w:val="00CF5056"/>
    <w:rsid w:val="00CF61ED"/>
    <w:rsid w:val="00CF6271"/>
    <w:rsid w:val="00CF6CA5"/>
    <w:rsid w:val="00CF7469"/>
    <w:rsid w:val="00CF7DCA"/>
    <w:rsid w:val="00D0008C"/>
    <w:rsid w:val="00D007F5"/>
    <w:rsid w:val="00D0083A"/>
    <w:rsid w:val="00D01E78"/>
    <w:rsid w:val="00D01FCA"/>
    <w:rsid w:val="00D0323A"/>
    <w:rsid w:val="00D05174"/>
    <w:rsid w:val="00D05242"/>
    <w:rsid w:val="00D05355"/>
    <w:rsid w:val="00D057C2"/>
    <w:rsid w:val="00D05E29"/>
    <w:rsid w:val="00D068B0"/>
    <w:rsid w:val="00D069E3"/>
    <w:rsid w:val="00D07261"/>
    <w:rsid w:val="00D077E4"/>
    <w:rsid w:val="00D07D6A"/>
    <w:rsid w:val="00D10A49"/>
    <w:rsid w:val="00D119DE"/>
    <w:rsid w:val="00D1251B"/>
    <w:rsid w:val="00D12B1F"/>
    <w:rsid w:val="00D136D1"/>
    <w:rsid w:val="00D13D1D"/>
    <w:rsid w:val="00D14021"/>
    <w:rsid w:val="00D140B8"/>
    <w:rsid w:val="00D14317"/>
    <w:rsid w:val="00D14618"/>
    <w:rsid w:val="00D147D3"/>
    <w:rsid w:val="00D15399"/>
    <w:rsid w:val="00D168FB"/>
    <w:rsid w:val="00D16B23"/>
    <w:rsid w:val="00D17083"/>
    <w:rsid w:val="00D17F6D"/>
    <w:rsid w:val="00D17FFE"/>
    <w:rsid w:val="00D208E5"/>
    <w:rsid w:val="00D20E45"/>
    <w:rsid w:val="00D210C9"/>
    <w:rsid w:val="00D211E9"/>
    <w:rsid w:val="00D2155C"/>
    <w:rsid w:val="00D2168C"/>
    <w:rsid w:val="00D21A9D"/>
    <w:rsid w:val="00D2253E"/>
    <w:rsid w:val="00D2273C"/>
    <w:rsid w:val="00D2294A"/>
    <w:rsid w:val="00D22C04"/>
    <w:rsid w:val="00D2312F"/>
    <w:rsid w:val="00D23437"/>
    <w:rsid w:val="00D24058"/>
    <w:rsid w:val="00D24420"/>
    <w:rsid w:val="00D24716"/>
    <w:rsid w:val="00D24F09"/>
    <w:rsid w:val="00D2519B"/>
    <w:rsid w:val="00D256BF"/>
    <w:rsid w:val="00D25C6E"/>
    <w:rsid w:val="00D26077"/>
    <w:rsid w:val="00D26238"/>
    <w:rsid w:val="00D267A8"/>
    <w:rsid w:val="00D269B0"/>
    <w:rsid w:val="00D269C1"/>
    <w:rsid w:val="00D27E18"/>
    <w:rsid w:val="00D3013E"/>
    <w:rsid w:val="00D30AF4"/>
    <w:rsid w:val="00D30C70"/>
    <w:rsid w:val="00D31765"/>
    <w:rsid w:val="00D3296B"/>
    <w:rsid w:val="00D3456C"/>
    <w:rsid w:val="00D34A93"/>
    <w:rsid w:val="00D35105"/>
    <w:rsid w:val="00D35444"/>
    <w:rsid w:val="00D37469"/>
    <w:rsid w:val="00D37D00"/>
    <w:rsid w:val="00D37F0C"/>
    <w:rsid w:val="00D40F28"/>
    <w:rsid w:val="00D4163D"/>
    <w:rsid w:val="00D41EB0"/>
    <w:rsid w:val="00D42AF2"/>
    <w:rsid w:val="00D44238"/>
    <w:rsid w:val="00D4424F"/>
    <w:rsid w:val="00D44325"/>
    <w:rsid w:val="00D44953"/>
    <w:rsid w:val="00D45496"/>
    <w:rsid w:val="00D46305"/>
    <w:rsid w:val="00D466D0"/>
    <w:rsid w:val="00D477CD"/>
    <w:rsid w:val="00D47F9B"/>
    <w:rsid w:val="00D517D1"/>
    <w:rsid w:val="00D52284"/>
    <w:rsid w:val="00D52306"/>
    <w:rsid w:val="00D527C7"/>
    <w:rsid w:val="00D5314D"/>
    <w:rsid w:val="00D532E5"/>
    <w:rsid w:val="00D538A6"/>
    <w:rsid w:val="00D53D5E"/>
    <w:rsid w:val="00D542F3"/>
    <w:rsid w:val="00D543E5"/>
    <w:rsid w:val="00D54880"/>
    <w:rsid w:val="00D54F4E"/>
    <w:rsid w:val="00D5534D"/>
    <w:rsid w:val="00D5644B"/>
    <w:rsid w:val="00D564E8"/>
    <w:rsid w:val="00D568A1"/>
    <w:rsid w:val="00D56E25"/>
    <w:rsid w:val="00D576E4"/>
    <w:rsid w:val="00D57DD0"/>
    <w:rsid w:val="00D60082"/>
    <w:rsid w:val="00D609E8"/>
    <w:rsid w:val="00D60ABA"/>
    <w:rsid w:val="00D62A5A"/>
    <w:rsid w:val="00D62E66"/>
    <w:rsid w:val="00D62E72"/>
    <w:rsid w:val="00D640B8"/>
    <w:rsid w:val="00D64F06"/>
    <w:rsid w:val="00D6553A"/>
    <w:rsid w:val="00D65773"/>
    <w:rsid w:val="00D6600C"/>
    <w:rsid w:val="00D66153"/>
    <w:rsid w:val="00D66608"/>
    <w:rsid w:val="00D67877"/>
    <w:rsid w:val="00D70E22"/>
    <w:rsid w:val="00D70FA3"/>
    <w:rsid w:val="00D71048"/>
    <w:rsid w:val="00D71896"/>
    <w:rsid w:val="00D718D7"/>
    <w:rsid w:val="00D72999"/>
    <w:rsid w:val="00D72C19"/>
    <w:rsid w:val="00D72EE4"/>
    <w:rsid w:val="00D73027"/>
    <w:rsid w:val="00D731BD"/>
    <w:rsid w:val="00D73212"/>
    <w:rsid w:val="00D744A5"/>
    <w:rsid w:val="00D747F5"/>
    <w:rsid w:val="00D74A40"/>
    <w:rsid w:val="00D74BA1"/>
    <w:rsid w:val="00D75518"/>
    <w:rsid w:val="00D7570C"/>
    <w:rsid w:val="00D76A98"/>
    <w:rsid w:val="00D77283"/>
    <w:rsid w:val="00D777A6"/>
    <w:rsid w:val="00D77EA6"/>
    <w:rsid w:val="00D804DB"/>
    <w:rsid w:val="00D80DFE"/>
    <w:rsid w:val="00D814B7"/>
    <w:rsid w:val="00D81B9C"/>
    <w:rsid w:val="00D825FA"/>
    <w:rsid w:val="00D82ADB"/>
    <w:rsid w:val="00D84480"/>
    <w:rsid w:val="00D86A94"/>
    <w:rsid w:val="00D86B15"/>
    <w:rsid w:val="00D86B70"/>
    <w:rsid w:val="00D86FE3"/>
    <w:rsid w:val="00D870BF"/>
    <w:rsid w:val="00D87CC7"/>
    <w:rsid w:val="00D90688"/>
    <w:rsid w:val="00D90827"/>
    <w:rsid w:val="00D90A2D"/>
    <w:rsid w:val="00D9117C"/>
    <w:rsid w:val="00D914A9"/>
    <w:rsid w:val="00D917CC"/>
    <w:rsid w:val="00D91950"/>
    <w:rsid w:val="00D92169"/>
    <w:rsid w:val="00D94611"/>
    <w:rsid w:val="00D95756"/>
    <w:rsid w:val="00D97220"/>
    <w:rsid w:val="00DA0324"/>
    <w:rsid w:val="00DA0415"/>
    <w:rsid w:val="00DA056F"/>
    <w:rsid w:val="00DA0730"/>
    <w:rsid w:val="00DA0764"/>
    <w:rsid w:val="00DA0C5A"/>
    <w:rsid w:val="00DA13FD"/>
    <w:rsid w:val="00DA27A1"/>
    <w:rsid w:val="00DA307C"/>
    <w:rsid w:val="00DA3AAD"/>
    <w:rsid w:val="00DA3B09"/>
    <w:rsid w:val="00DA476F"/>
    <w:rsid w:val="00DA4D81"/>
    <w:rsid w:val="00DA52CE"/>
    <w:rsid w:val="00DA5BFB"/>
    <w:rsid w:val="00DA5EBC"/>
    <w:rsid w:val="00DA6436"/>
    <w:rsid w:val="00DA646A"/>
    <w:rsid w:val="00DA6A98"/>
    <w:rsid w:val="00DA7B28"/>
    <w:rsid w:val="00DB0553"/>
    <w:rsid w:val="00DB0F06"/>
    <w:rsid w:val="00DB145C"/>
    <w:rsid w:val="00DB312B"/>
    <w:rsid w:val="00DB31F1"/>
    <w:rsid w:val="00DB3B86"/>
    <w:rsid w:val="00DB3FE5"/>
    <w:rsid w:val="00DB4549"/>
    <w:rsid w:val="00DB46D7"/>
    <w:rsid w:val="00DB5AB6"/>
    <w:rsid w:val="00DB5F08"/>
    <w:rsid w:val="00DB6010"/>
    <w:rsid w:val="00DB66BA"/>
    <w:rsid w:val="00DB6772"/>
    <w:rsid w:val="00DB70D0"/>
    <w:rsid w:val="00DB7D5A"/>
    <w:rsid w:val="00DC268A"/>
    <w:rsid w:val="00DC2C1B"/>
    <w:rsid w:val="00DC36E7"/>
    <w:rsid w:val="00DC5654"/>
    <w:rsid w:val="00DC658F"/>
    <w:rsid w:val="00DC690D"/>
    <w:rsid w:val="00DC74A9"/>
    <w:rsid w:val="00DC7C54"/>
    <w:rsid w:val="00DD0D07"/>
    <w:rsid w:val="00DD14CA"/>
    <w:rsid w:val="00DD18FD"/>
    <w:rsid w:val="00DD1E88"/>
    <w:rsid w:val="00DD1F96"/>
    <w:rsid w:val="00DD1FDB"/>
    <w:rsid w:val="00DD2347"/>
    <w:rsid w:val="00DD2C13"/>
    <w:rsid w:val="00DD31AF"/>
    <w:rsid w:val="00DD32C5"/>
    <w:rsid w:val="00DD32D9"/>
    <w:rsid w:val="00DD486F"/>
    <w:rsid w:val="00DD5DE8"/>
    <w:rsid w:val="00DD657C"/>
    <w:rsid w:val="00DD6794"/>
    <w:rsid w:val="00DD710A"/>
    <w:rsid w:val="00DD73EC"/>
    <w:rsid w:val="00DD7852"/>
    <w:rsid w:val="00DD7DE7"/>
    <w:rsid w:val="00DD7FE1"/>
    <w:rsid w:val="00DE06C3"/>
    <w:rsid w:val="00DE17EE"/>
    <w:rsid w:val="00DE1A70"/>
    <w:rsid w:val="00DE1DE4"/>
    <w:rsid w:val="00DE2079"/>
    <w:rsid w:val="00DE236E"/>
    <w:rsid w:val="00DE241B"/>
    <w:rsid w:val="00DE2DDA"/>
    <w:rsid w:val="00DE33FF"/>
    <w:rsid w:val="00DE36FE"/>
    <w:rsid w:val="00DE43F2"/>
    <w:rsid w:val="00DE468E"/>
    <w:rsid w:val="00DE4A10"/>
    <w:rsid w:val="00DE4F26"/>
    <w:rsid w:val="00DE59BF"/>
    <w:rsid w:val="00DE60CC"/>
    <w:rsid w:val="00DE7491"/>
    <w:rsid w:val="00DE74C8"/>
    <w:rsid w:val="00DF00BA"/>
    <w:rsid w:val="00DF06D9"/>
    <w:rsid w:val="00DF07B0"/>
    <w:rsid w:val="00DF188E"/>
    <w:rsid w:val="00DF2307"/>
    <w:rsid w:val="00DF38EB"/>
    <w:rsid w:val="00DF401A"/>
    <w:rsid w:val="00DF418E"/>
    <w:rsid w:val="00DF4C1B"/>
    <w:rsid w:val="00DF55BC"/>
    <w:rsid w:val="00DF5971"/>
    <w:rsid w:val="00DF5C21"/>
    <w:rsid w:val="00DF627D"/>
    <w:rsid w:val="00DF64CA"/>
    <w:rsid w:val="00DF6C34"/>
    <w:rsid w:val="00DF7D5B"/>
    <w:rsid w:val="00DF7F4E"/>
    <w:rsid w:val="00E00BCD"/>
    <w:rsid w:val="00E012E5"/>
    <w:rsid w:val="00E022C1"/>
    <w:rsid w:val="00E0300B"/>
    <w:rsid w:val="00E0314E"/>
    <w:rsid w:val="00E03B78"/>
    <w:rsid w:val="00E03D01"/>
    <w:rsid w:val="00E05A90"/>
    <w:rsid w:val="00E073D6"/>
    <w:rsid w:val="00E07470"/>
    <w:rsid w:val="00E076AC"/>
    <w:rsid w:val="00E076B7"/>
    <w:rsid w:val="00E1010A"/>
    <w:rsid w:val="00E10793"/>
    <w:rsid w:val="00E107A4"/>
    <w:rsid w:val="00E10C7B"/>
    <w:rsid w:val="00E11196"/>
    <w:rsid w:val="00E1194D"/>
    <w:rsid w:val="00E130C1"/>
    <w:rsid w:val="00E13B5F"/>
    <w:rsid w:val="00E13CAD"/>
    <w:rsid w:val="00E1566D"/>
    <w:rsid w:val="00E15A27"/>
    <w:rsid w:val="00E15F52"/>
    <w:rsid w:val="00E16B0E"/>
    <w:rsid w:val="00E16D45"/>
    <w:rsid w:val="00E17086"/>
    <w:rsid w:val="00E17903"/>
    <w:rsid w:val="00E2032B"/>
    <w:rsid w:val="00E20BDA"/>
    <w:rsid w:val="00E20F29"/>
    <w:rsid w:val="00E21505"/>
    <w:rsid w:val="00E222F2"/>
    <w:rsid w:val="00E2262D"/>
    <w:rsid w:val="00E231EA"/>
    <w:rsid w:val="00E238C5"/>
    <w:rsid w:val="00E23C0B"/>
    <w:rsid w:val="00E24221"/>
    <w:rsid w:val="00E24F13"/>
    <w:rsid w:val="00E258E4"/>
    <w:rsid w:val="00E25907"/>
    <w:rsid w:val="00E25BB9"/>
    <w:rsid w:val="00E25BD6"/>
    <w:rsid w:val="00E26B32"/>
    <w:rsid w:val="00E302FD"/>
    <w:rsid w:val="00E303D4"/>
    <w:rsid w:val="00E30465"/>
    <w:rsid w:val="00E30CE0"/>
    <w:rsid w:val="00E3101E"/>
    <w:rsid w:val="00E31444"/>
    <w:rsid w:val="00E32266"/>
    <w:rsid w:val="00E328FA"/>
    <w:rsid w:val="00E33ADF"/>
    <w:rsid w:val="00E345D7"/>
    <w:rsid w:val="00E359E5"/>
    <w:rsid w:val="00E35AF7"/>
    <w:rsid w:val="00E364F8"/>
    <w:rsid w:val="00E36955"/>
    <w:rsid w:val="00E403C1"/>
    <w:rsid w:val="00E407B6"/>
    <w:rsid w:val="00E41512"/>
    <w:rsid w:val="00E41649"/>
    <w:rsid w:val="00E41EB6"/>
    <w:rsid w:val="00E41EF1"/>
    <w:rsid w:val="00E42942"/>
    <w:rsid w:val="00E43064"/>
    <w:rsid w:val="00E44631"/>
    <w:rsid w:val="00E446CF"/>
    <w:rsid w:val="00E44B77"/>
    <w:rsid w:val="00E45013"/>
    <w:rsid w:val="00E4539B"/>
    <w:rsid w:val="00E453C8"/>
    <w:rsid w:val="00E454D7"/>
    <w:rsid w:val="00E4566E"/>
    <w:rsid w:val="00E45C7E"/>
    <w:rsid w:val="00E468A6"/>
    <w:rsid w:val="00E4715F"/>
    <w:rsid w:val="00E500F9"/>
    <w:rsid w:val="00E50261"/>
    <w:rsid w:val="00E50BE0"/>
    <w:rsid w:val="00E50BE3"/>
    <w:rsid w:val="00E50C07"/>
    <w:rsid w:val="00E514F2"/>
    <w:rsid w:val="00E51F00"/>
    <w:rsid w:val="00E5214F"/>
    <w:rsid w:val="00E52FED"/>
    <w:rsid w:val="00E5457A"/>
    <w:rsid w:val="00E5573E"/>
    <w:rsid w:val="00E55E35"/>
    <w:rsid w:val="00E56516"/>
    <w:rsid w:val="00E569C2"/>
    <w:rsid w:val="00E579DD"/>
    <w:rsid w:val="00E57C4D"/>
    <w:rsid w:val="00E61271"/>
    <w:rsid w:val="00E61DEE"/>
    <w:rsid w:val="00E61E75"/>
    <w:rsid w:val="00E61F8F"/>
    <w:rsid w:val="00E62C67"/>
    <w:rsid w:val="00E632AB"/>
    <w:rsid w:val="00E634A6"/>
    <w:rsid w:val="00E6493F"/>
    <w:rsid w:val="00E651BD"/>
    <w:rsid w:val="00E6529F"/>
    <w:rsid w:val="00E65359"/>
    <w:rsid w:val="00E6668C"/>
    <w:rsid w:val="00E672FD"/>
    <w:rsid w:val="00E711A3"/>
    <w:rsid w:val="00E71AC3"/>
    <w:rsid w:val="00E71AE7"/>
    <w:rsid w:val="00E71BDF"/>
    <w:rsid w:val="00E71D33"/>
    <w:rsid w:val="00E72092"/>
    <w:rsid w:val="00E72AF6"/>
    <w:rsid w:val="00E735A7"/>
    <w:rsid w:val="00E7405E"/>
    <w:rsid w:val="00E7499C"/>
    <w:rsid w:val="00E749E5"/>
    <w:rsid w:val="00E74A00"/>
    <w:rsid w:val="00E75D38"/>
    <w:rsid w:val="00E75FBC"/>
    <w:rsid w:val="00E76B83"/>
    <w:rsid w:val="00E77870"/>
    <w:rsid w:val="00E8027D"/>
    <w:rsid w:val="00E80F58"/>
    <w:rsid w:val="00E811DF"/>
    <w:rsid w:val="00E813B0"/>
    <w:rsid w:val="00E81609"/>
    <w:rsid w:val="00E8318F"/>
    <w:rsid w:val="00E83CA7"/>
    <w:rsid w:val="00E8407A"/>
    <w:rsid w:val="00E8468F"/>
    <w:rsid w:val="00E85C4D"/>
    <w:rsid w:val="00E85EF2"/>
    <w:rsid w:val="00E85F2D"/>
    <w:rsid w:val="00E87C9D"/>
    <w:rsid w:val="00E90B7B"/>
    <w:rsid w:val="00E90D08"/>
    <w:rsid w:val="00E90E3C"/>
    <w:rsid w:val="00E91235"/>
    <w:rsid w:val="00E91A82"/>
    <w:rsid w:val="00E92767"/>
    <w:rsid w:val="00E9318B"/>
    <w:rsid w:val="00E932B6"/>
    <w:rsid w:val="00E94BE0"/>
    <w:rsid w:val="00E95151"/>
    <w:rsid w:val="00E9636A"/>
    <w:rsid w:val="00E97A0E"/>
    <w:rsid w:val="00EA20A3"/>
    <w:rsid w:val="00EA26B7"/>
    <w:rsid w:val="00EA2AA9"/>
    <w:rsid w:val="00EA4E8C"/>
    <w:rsid w:val="00EA52F3"/>
    <w:rsid w:val="00EA5CD1"/>
    <w:rsid w:val="00EA667D"/>
    <w:rsid w:val="00EA6A1D"/>
    <w:rsid w:val="00EA6B97"/>
    <w:rsid w:val="00EA76B6"/>
    <w:rsid w:val="00EA7EC3"/>
    <w:rsid w:val="00EA7F62"/>
    <w:rsid w:val="00EB06FA"/>
    <w:rsid w:val="00EB0EBA"/>
    <w:rsid w:val="00EB0F22"/>
    <w:rsid w:val="00EB1DFC"/>
    <w:rsid w:val="00EB20AB"/>
    <w:rsid w:val="00EB2E18"/>
    <w:rsid w:val="00EB315C"/>
    <w:rsid w:val="00EB35AE"/>
    <w:rsid w:val="00EB3A44"/>
    <w:rsid w:val="00EB45A8"/>
    <w:rsid w:val="00EB71C7"/>
    <w:rsid w:val="00EC12C1"/>
    <w:rsid w:val="00EC171D"/>
    <w:rsid w:val="00EC188D"/>
    <w:rsid w:val="00EC1BF1"/>
    <w:rsid w:val="00EC1E56"/>
    <w:rsid w:val="00EC29C1"/>
    <w:rsid w:val="00EC2CFD"/>
    <w:rsid w:val="00EC2F6B"/>
    <w:rsid w:val="00EC35AD"/>
    <w:rsid w:val="00EC3D3B"/>
    <w:rsid w:val="00EC4777"/>
    <w:rsid w:val="00EC4B08"/>
    <w:rsid w:val="00EC5A92"/>
    <w:rsid w:val="00EC5D97"/>
    <w:rsid w:val="00EC6DA6"/>
    <w:rsid w:val="00EC7432"/>
    <w:rsid w:val="00ED167D"/>
    <w:rsid w:val="00ED16F4"/>
    <w:rsid w:val="00ED3CC0"/>
    <w:rsid w:val="00ED4096"/>
    <w:rsid w:val="00ED4183"/>
    <w:rsid w:val="00ED430C"/>
    <w:rsid w:val="00ED487E"/>
    <w:rsid w:val="00ED4AC5"/>
    <w:rsid w:val="00ED524A"/>
    <w:rsid w:val="00ED5CFF"/>
    <w:rsid w:val="00ED611E"/>
    <w:rsid w:val="00ED68DE"/>
    <w:rsid w:val="00ED6F76"/>
    <w:rsid w:val="00ED74B7"/>
    <w:rsid w:val="00ED74C4"/>
    <w:rsid w:val="00ED7F94"/>
    <w:rsid w:val="00EE03F0"/>
    <w:rsid w:val="00EE0E90"/>
    <w:rsid w:val="00EE1B94"/>
    <w:rsid w:val="00EE1FE2"/>
    <w:rsid w:val="00EE35A0"/>
    <w:rsid w:val="00EE5090"/>
    <w:rsid w:val="00EE525B"/>
    <w:rsid w:val="00EE5E5B"/>
    <w:rsid w:val="00EE5EF7"/>
    <w:rsid w:val="00EE603F"/>
    <w:rsid w:val="00EE68F9"/>
    <w:rsid w:val="00EE6CAB"/>
    <w:rsid w:val="00EE7A0D"/>
    <w:rsid w:val="00EF09AB"/>
    <w:rsid w:val="00EF0D21"/>
    <w:rsid w:val="00EF2115"/>
    <w:rsid w:val="00EF2FE3"/>
    <w:rsid w:val="00EF39BA"/>
    <w:rsid w:val="00EF4E69"/>
    <w:rsid w:val="00EF5BAA"/>
    <w:rsid w:val="00EF6549"/>
    <w:rsid w:val="00EF6E13"/>
    <w:rsid w:val="00EF78EC"/>
    <w:rsid w:val="00F001C1"/>
    <w:rsid w:val="00F0062F"/>
    <w:rsid w:val="00F0076A"/>
    <w:rsid w:val="00F02EBB"/>
    <w:rsid w:val="00F03DF2"/>
    <w:rsid w:val="00F0489B"/>
    <w:rsid w:val="00F050D6"/>
    <w:rsid w:val="00F05A4A"/>
    <w:rsid w:val="00F06404"/>
    <w:rsid w:val="00F0661F"/>
    <w:rsid w:val="00F06FA3"/>
    <w:rsid w:val="00F0712C"/>
    <w:rsid w:val="00F079A3"/>
    <w:rsid w:val="00F10126"/>
    <w:rsid w:val="00F101E9"/>
    <w:rsid w:val="00F10982"/>
    <w:rsid w:val="00F10D8F"/>
    <w:rsid w:val="00F112E0"/>
    <w:rsid w:val="00F119E5"/>
    <w:rsid w:val="00F11C5E"/>
    <w:rsid w:val="00F12B3B"/>
    <w:rsid w:val="00F12EB8"/>
    <w:rsid w:val="00F13559"/>
    <w:rsid w:val="00F135F2"/>
    <w:rsid w:val="00F1390F"/>
    <w:rsid w:val="00F13FD3"/>
    <w:rsid w:val="00F14422"/>
    <w:rsid w:val="00F14441"/>
    <w:rsid w:val="00F14BAD"/>
    <w:rsid w:val="00F14EB0"/>
    <w:rsid w:val="00F156B1"/>
    <w:rsid w:val="00F15B83"/>
    <w:rsid w:val="00F15E5F"/>
    <w:rsid w:val="00F164D5"/>
    <w:rsid w:val="00F16DB5"/>
    <w:rsid w:val="00F170A3"/>
    <w:rsid w:val="00F17CE1"/>
    <w:rsid w:val="00F2084E"/>
    <w:rsid w:val="00F2115C"/>
    <w:rsid w:val="00F211E9"/>
    <w:rsid w:val="00F21419"/>
    <w:rsid w:val="00F21CA8"/>
    <w:rsid w:val="00F21F34"/>
    <w:rsid w:val="00F22ABA"/>
    <w:rsid w:val="00F22F9F"/>
    <w:rsid w:val="00F23DCC"/>
    <w:rsid w:val="00F24360"/>
    <w:rsid w:val="00F24D4A"/>
    <w:rsid w:val="00F2526A"/>
    <w:rsid w:val="00F252DE"/>
    <w:rsid w:val="00F26129"/>
    <w:rsid w:val="00F27299"/>
    <w:rsid w:val="00F27594"/>
    <w:rsid w:val="00F27C67"/>
    <w:rsid w:val="00F30381"/>
    <w:rsid w:val="00F30712"/>
    <w:rsid w:val="00F30B1D"/>
    <w:rsid w:val="00F30BDC"/>
    <w:rsid w:val="00F3123C"/>
    <w:rsid w:val="00F31270"/>
    <w:rsid w:val="00F3141C"/>
    <w:rsid w:val="00F321DE"/>
    <w:rsid w:val="00F325D8"/>
    <w:rsid w:val="00F3313B"/>
    <w:rsid w:val="00F33154"/>
    <w:rsid w:val="00F33734"/>
    <w:rsid w:val="00F33B4C"/>
    <w:rsid w:val="00F33E41"/>
    <w:rsid w:val="00F349E5"/>
    <w:rsid w:val="00F34F95"/>
    <w:rsid w:val="00F357A1"/>
    <w:rsid w:val="00F35AB0"/>
    <w:rsid w:val="00F36856"/>
    <w:rsid w:val="00F36B12"/>
    <w:rsid w:val="00F36B6C"/>
    <w:rsid w:val="00F36E03"/>
    <w:rsid w:val="00F36E7D"/>
    <w:rsid w:val="00F36F04"/>
    <w:rsid w:val="00F37B78"/>
    <w:rsid w:val="00F37ECA"/>
    <w:rsid w:val="00F40171"/>
    <w:rsid w:val="00F40211"/>
    <w:rsid w:val="00F40240"/>
    <w:rsid w:val="00F408C8"/>
    <w:rsid w:val="00F40E0C"/>
    <w:rsid w:val="00F40FFB"/>
    <w:rsid w:val="00F413A4"/>
    <w:rsid w:val="00F417C3"/>
    <w:rsid w:val="00F429B4"/>
    <w:rsid w:val="00F42C33"/>
    <w:rsid w:val="00F435FD"/>
    <w:rsid w:val="00F43C91"/>
    <w:rsid w:val="00F44139"/>
    <w:rsid w:val="00F4479C"/>
    <w:rsid w:val="00F45004"/>
    <w:rsid w:val="00F45B24"/>
    <w:rsid w:val="00F4605D"/>
    <w:rsid w:val="00F46CD9"/>
    <w:rsid w:val="00F46E8E"/>
    <w:rsid w:val="00F50451"/>
    <w:rsid w:val="00F50552"/>
    <w:rsid w:val="00F51732"/>
    <w:rsid w:val="00F52BF2"/>
    <w:rsid w:val="00F5429F"/>
    <w:rsid w:val="00F547F1"/>
    <w:rsid w:val="00F5531B"/>
    <w:rsid w:val="00F56189"/>
    <w:rsid w:val="00F56A36"/>
    <w:rsid w:val="00F57B03"/>
    <w:rsid w:val="00F57B6F"/>
    <w:rsid w:val="00F604B1"/>
    <w:rsid w:val="00F606E8"/>
    <w:rsid w:val="00F6079A"/>
    <w:rsid w:val="00F60F9F"/>
    <w:rsid w:val="00F6204B"/>
    <w:rsid w:val="00F62C0A"/>
    <w:rsid w:val="00F637F4"/>
    <w:rsid w:val="00F63ED4"/>
    <w:rsid w:val="00F64598"/>
    <w:rsid w:val="00F64B0F"/>
    <w:rsid w:val="00F64E62"/>
    <w:rsid w:val="00F64F08"/>
    <w:rsid w:val="00F660F9"/>
    <w:rsid w:val="00F66740"/>
    <w:rsid w:val="00F66D9F"/>
    <w:rsid w:val="00F70241"/>
    <w:rsid w:val="00F70242"/>
    <w:rsid w:val="00F70827"/>
    <w:rsid w:val="00F70E68"/>
    <w:rsid w:val="00F70EC2"/>
    <w:rsid w:val="00F714A4"/>
    <w:rsid w:val="00F71B7E"/>
    <w:rsid w:val="00F71C0F"/>
    <w:rsid w:val="00F725BF"/>
    <w:rsid w:val="00F727F7"/>
    <w:rsid w:val="00F734F5"/>
    <w:rsid w:val="00F73E23"/>
    <w:rsid w:val="00F73F46"/>
    <w:rsid w:val="00F7533F"/>
    <w:rsid w:val="00F76938"/>
    <w:rsid w:val="00F77327"/>
    <w:rsid w:val="00F776FA"/>
    <w:rsid w:val="00F77D61"/>
    <w:rsid w:val="00F77DFF"/>
    <w:rsid w:val="00F77EEA"/>
    <w:rsid w:val="00F77EED"/>
    <w:rsid w:val="00F801C2"/>
    <w:rsid w:val="00F81199"/>
    <w:rsid w:val="00F81206"/>
    <w:rsid w:val="00F813F0"/>
    <w:rsid w:val="00F81E33"/>
    <w:rsid w:val="00F821A4"/>
    <w:rsid w:val="00F83059"/>
    <w:rsid w:val="00F836EB"/>
    <w:rsid w:val="00F83A0D"/>
    <w:rsid w:val="00F83EB9"/>
    <w:rsid w:val="00F84B25"/>
    <w:rsid w:val="00F84E36"/>
    <w:rsid w:val="00F851B7"/>
    <w:rsid w:val="00F85940"/>
    <w:rsid w:val="00F8739E"/>
    <w:rsid w:val="00F87973"/>
    <w:rsid w:val="00F87CE4"/>
    <w:rsid w:val="00F92116"/>
    <w:rsid w:val="00F92198"/>
    <w:rsid w:val="00F92887"/>
    <w:rsid w:val="00F93090"/>
    <w:rsid w:val="00F94947"/>
    <w:rsid w:val="00F94C17"/>
    <w:rsid w:val="00F95898"/>
    <w:rsid w:val="00F966B1"/>
    <w:rsid w:val="00F966E2"/>
    <w:rsid w:val="00F96E6D"/>
    <w:rsid w:val="00F96F05"/>
    <w:rsid w:val="00F978AB"/>
    <w:rsid w:val="00F97AD7"/>
    <w:rsid w:val="00F97D48"/>
    <w:rsid w:val="00FA0311"/>
    <w:rsid w:val="00FA076D"/>
    <w:rsid w:val="00FA0B2A"/>
    <w:rsid w:val="00FA0BB6"/>
    <w:rsid w:val="00FA1E3B"/>
    <w:rsid w:val="00FA21C9"/>
    <w:rsid w:val="00FA2E65"/>
    <w:rsid w:val="00FA47BA"/>
    <w:rsid w:val="00FA48E8"/>
    <w:rsid w:val="00FA5E8A"/>
    <w:rsid w:val="00FA5F5C"/>
    <w:rsid w:val="00FA6B02"/>
    <w:rsid w:val="00FA7DC1"/>
    <w:rsid w:val="00FB15BD"/>
    <w:rsid w:val="00FB1616"/>
    <w:rsid w:val="00FB2943"/>
    <w:rsid w:val="00FB2CF8"/>
    <w:rsid w:val="00FB2EA3"/>
    <w:rsid w:val="00FB35C5"/>
    <w:rsid w:val="00FB3D2C"/>
    <w:rsid w:val="00FB4408"/>
    <w:rsid w:val="00FB4DBA"/>
    <w:rsid w:val="00FB5312"/>
    <w:rsid w:val="00FB58CC"/>
    <w:rsid w:val="00FB58DA"/>
    <w:rsid w:val="00FB6063"/>
    <w:rsid w:val="00FB62E1"/>
    <w:rsid w:val="00FB77DA"/>
    <w:rsid w:val="00FB7B6A"/>
    <w:rsid w:val="00FC12A7"/>
    <w:rsid w:val="00FC204C"/>
    <w:rsid w:val="00FC3C98"/>
    <w:rsid w:val="00FC3E81"/>
    <w:rsid w:val="00FC4111"/>
    <w:rsid w:val="00FC42A6"/>
    <w:rsid w:val="00FC42E5"/>
    <w:rsid w:val="00FC4303"/>
    <w:rsid w:val="00FC5719"/>
    <w:rsid w:val="00FC576B"/>
    <w:rsid w:val="00FC62AB"/>
    <w:rsid w:val="00FC7624"/>
    <w:rsid w:val="00FC765C"/>
    <w:rsid w:val="00FC787A"/>
    <w:rsid w:val="00FC7922"/>
    <w:rsid w:val="00FD2376"/>
    <w:rsid w:val="00FD23A1"/>
    <w:rsid w:val="00FD2424"/>
    <w:rsid w:val="00FD2470"/>
    <w:rsid w:val="00FD2BC5"/>
    <w:rsid w:val="00FD3D07"/>
    <w:rsid w:val="00FD4191"/>
    <w:rsid w:val="00FD51EA"/>
    <w:rsid w:val="00FD5D4F"/>
    <w:rsid w:val="00FD640F"/>
    <w:rsid w:val="00FD6B4C"/>
    <w:rsid w:val="00FD6BE9"/>
    <w:rsid w:val="00FE0020"/>
    <w:rsid w:val="00FE379A"/>
    <w:rsid w:val="00FE3D27"/>
    <w:rsid w:val="00FE3FD1"/>
    <w:rsid w:val="00FE435D"/>
    <w:rsid w:val="00FE46F3"/>
    <w:rsid w:val="00FE4B0A"/>
    <w:rsid w:val="00FE550B"/>
    <w:rsid w:val="00FE604E"/>
    <w:rsid w:val="00FE6224"/>
    <w:rsid w:val="00FE631E"/>
    <w:rsid w:val="00FE6625"/>
    <w:rsid w:val="00FF01E4"/>
    <w:rsid w:val="00FF035E"/>
    <w:rsid w:val="00FF17CB"/>
    <w:rsid w:val="00FF35FB"/>
    <w:rsid w:val="00FF3BC1"/>
    <w:rsid w:val="00FF3CDD"/>
    <w:rsid w:val="00FF4BFA"/>
    <w:rsid w:val="00FF4E99"/>
    <w:rsid w:val="00FF6964"/>
    <w:rsid w:val="00FF7577"/>
    <w:rsid w:val="00FF76A2"/>
    <w:rsid w:val="0136E5E3"/>
    <w:rsid w:val="016F2CD3"/>
    <w:rsid w:val="01C536FC"/>
    <w:rsid w:val="022FE549"/>
    <w:rsid w:val="027660E0"/>
    <w:rsid w:val="02AA41DB"/>
    <w:rsid w:val="04B74957"/>
    <w:rsid w:val="0567FFB9"/>
    <w:rsid w:val="05819293"/>
    <w:rsid w:val="059570BD"/>
    <w:rsid w:val="05F26119"/>
    <w:rsid w:val="076765AE"/>
    <w:rsid w:val="08789CA3"/>
    <w:rsid w:val="0AA650EB"/>
    <w:rsid w:val="0B799573"/>
    <w:rsid w:val="0C8559CA"/>
    <w:rsid w:val="0EE526EE"/>
    <w:rsid w:val="0F43B3A9"/>
    <w:rsid w:val="10676597"/>
    <w:rsid w:val="11499CC3"/>
    <w:rsid w:val="12A94374"/>
    <w:rsid w:val="12E24EEE"/>
    <w:rsid w:val="13101789"/>
    <w:rsid w:val="137C87FC"/>
    <w:rsid w:val="13F48A91"/>
    <w:rsid w:val="147609E6"/>
    <w:rsid w:val="14B8D662"/>
    <w:rsid w:val="14DCE28B"/>
    <w:rsid w:val="15586324"/>
    <w:rsid w:val="15B34D60"/>
    <w:rsid w:val="16C7B94F"/>
    <w:rsid w:val="17629165"/>
    <w:rsid w:val="17AAE8BD"/>
    <w:rsid w:val="189EF1DC"/>
    <w:rsid w:val="18DB15ED"/>
    <w:rsid w:val="197EA6BC"/>
    <w:rsid w:val="1998A49D"/>
    <w:rsid w:val="1A10FAC8"/>
    <w:rsid w:val="1AAC35FD"/>
    <w:rsid w:val="1D9740B5"/>
    <w:rsid w:val="1DAEA2AA"/>
    <w:rsid w:val="1E075324"/>
    <w:rsid w:val="1EA93A6F"/>
    <w:rsid w:val="1FDCD600"/>
    <w:rsid w:val="20905AB3"/>
    <w:rsid w:val="23CEF774"/>
    <w:rsid w:val="23DF362C"/>
    <w:rsid w:val="24EDB134"/>
    <w:rsid w:val="25EEBB4A"/>
    <w:rsid w:val="26890941"/>
    <w:rsid w:val="290CC991"/>
    <w:rsid w:val="2B0E1700"/>
    <w:rsid w:val="2B424AAA"/>
    <w:rsid w:val="2D1C218E"/>
    <w:rsid w:val="2D82112F"/>
    <w:rsid w:val="2D93BBE1"/>
    <w:rsid w:val="2DF980D4"/>
    <w:rsid w:val="2EF97DDD"/>
    <w:rsid w:val="2FFC15E9"/>
    <w:rsid w:val="31F268EF"/>
    <w:rsid w:val="3286CA5F"/>
    <w:rsid w:val="331DBE46"/>
    <w:rsid w:val="33FC3FCA"/>
    <w:rsid w:val="35B79930"/>
    <w:rsid w:val="382EF892"/>
    <w:rsid w:val="3A08CF76"/>
    <w:rsid w:val="3DC8D517"/>
    <w:rsid w:val="3E5C5071"/>
    <w:rsid w:val="3FCD4634"/>
    <w:rsid w:val="40A643BA"/>
    <w:rsid w:val="427A6709"/>
    <w:rsid w:val="428F39A2"/>
    <w:rsid w:val="479BAD2D"/>
    <w:rsid w:val="47BFCC9D"/>
    <w:rsid w:val="4A0A33BC"/>
    <w:rsid w:val="4B7C602B"/>
    <w:rsid w:val="4B887C2A"/>
    <w:rsid w:val="4B8A6C20"/>
    <w:rsid w:val="4C35F04A"/>
    <w:rsid w:val="4CFFE42D"/>
    <w:rsid w:val="4DCBCDED"/>
    <w:rsid w:val="521449FC"/>
    <w:rsid w:val="53784E86"/>
    <w:rsid w:val="53F1283A"/>
    <w:rsid w:val="55B67F4F"/>
    <w:rsid w:val="58089358"/>
    <w:rsid w:val="5868A52F"/>
    <w:rsid w:val="5B7F5B51"/>
    <w:rsid w:val="5CA75BD0"/>
    <w:rsid w:val="60AC29C3"/>
    <w:rsid w:val="615C6703"/>
    <w:rsid w:val="629F9D15"/>
    <w:rsid w:val="636425C2"/>
    <w:rsid w:val="64E8ABAE"/>
    <w:rsid w:val="661B3FD7"/>
    <w:rsid w:val="6A464D3E"/>
    <w:rsid w:val="6B813F89"/>
    <w:rsid w:val="6B9D695D"/>
    <w:rsid w:val="6BF19DA1"/>
    <w:rsid w:val="6C202422"/>
    <w:rsid w:val="6D8C535F"/>
    <w:rsid w:val="7037C17E"/>
    <w:rsid w:val="72138B71"/>
    <w:rsid w:val="729E5D01"/>
    <w:rsid w:val="72BFE0DD"/>
    <w:rsid w:val="7317CA85"/>
    <w:rsid w:val="73BE6B9A"/>
    <w:rsid w:val="74095525"/>
    <w:rsid w:val="7518D4F7"/>
    <w:rsid w:val="775A1FF5"/>
    <w:rsid w:val="7942A15E"/>
    <w:rsid w:val="7A4C3250"/>
    <w:rsid w:val="7B58CF4C"/>
    <w:rsid w:val="7CB456CD"/>
    <w:rsid w:val="7D304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DF4097F"/>
  <w15:docId w15:val="{95A0146C-8440-493D-8083-3267E6898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qFormat="1"/>
    <w:lsdException w:name="heading 7" w:semiHidden="1" w:uiPriority="0" w:qFormat="1"/>
    <w:lsdException w:name="heading 8" w:semiHidden="1" w:uiPriority="9" w:qFormat="1"/>
    <w:lsdException w:name="heading 9" w:semiHidden="1" w:uiPriority="0" w:qFormat="1"/>
    <w:lsdException w:name="index 1" w:unhideWhenUsed="1"/>
    <w:lsdException w:name="index 2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iPriority="0" w:unhideWhenUsed="1"/>
    <w:lsdException w:name="index 9" w:semiHidden="1" w:uiPriority="0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semiHidden="1" w:uiPriority="39"/>
    <w:lsdException w:name="toc 8" w:semiHidden="1" w:uiPriority="39"/>
    <w:lsdException w:name="toc 9" w:semiHidden="1" w:uiPriority="39"/>
    <w:lsdException w:name="Normal Indent" w:uiPriority="9" w:unhideWhenUsed="1" w:qFormat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unhideWhenUsed="1"/>
    <w:lsdException w:name="caption" w:uiPriority="5" w:unhideWhenUsed="1" w:qFormat="1"/>
    <w:lsdException w:name="table of figures" w:semiHidden="1" w:uiPriority="0" w:unhideWhenUsed="1" w:qFormat="1"/>
    <w:lsdException w:name="envelope address" w:semiHidden="1" w:uiPriority="0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49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iPriority="0"/>
    <w:lsdException w:name="macro" w:semiHidden="1" w:uiPriority="0" w:unhideWhenUsed="1"/>
    <w:lsdException w:name="toa heading" w:semiHidden="1" w:uiPriority="0" w:unhideWhenUsed="1"/>
    <w:lsdException w:name="List" w:semiHidden="1" w:uiPriority="0"/>
    <w:lsdException w:name="List Bullet" w:semiHidden="1" w:uiPriority="0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19" w:unhideWhenUsed="1"/>
    <w:lsdException w:name="List Bullet 3" w:semiHidden="1" w:uiPriority="19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44" w:qFormat="1"/>
    <w:lsdException w:name="Closing" w:semiHidden="1" w:uiPriority="0"/>
    <w:lsdException w:name="Signature" w:semiHidden="1" w:uiPriority="0" w:unhideWhenUsed="1"/>
    <w:lsdException w:name="Default Paragraph Font" w:semiHidden="1" w:uiPriority="1" w:unhideWhenUsed="1"/>
    <w:lsdException w:name="Body Text" w:semiHidden="1" w:uiPriority="49" w:unhideWhenUsed="1"/>
    <w:lsdException w:name="Body Text Indent" w:semiHidden="1" w:uiPriority="0"/>
    <w:lsdException w:name="List Continue" w:semiHidden="1" w:uiPriority="0" w:unhideWhenUsed="1"/>
    <w:lsdException w:name="List Continue 2" w:semiHidden="1" w:uiPriority="0"/>
    <w:lsdException w:name="List Continue 3" w:semiHidden="1" w:uiPriority="0"/>
    <w:lsdException w:name="List Continue 4" w:semiHidden="1" w:uiPriority="0"/>
    <w:lsdException w:name="List Continue 5" w:semiHidden="1" w:uiPriority="0"/>
    <w:lsdException w:name="Message Header" w:semiHidden="1" w:uiPriority="0" w:unhideWhenUsed="1"/>
    <w:lsdException w:name="Subtitle" w:uiPriority="45"/>
    <w:lsdException w:name="Salutation" w:semiHidden="1" w:uiPriority="0" w:unhideWhenUsed="1"/>
    <w:lsdException w:name="Date" w:semiHidden="1" w:uiPriority="0" w:unhideWhenUsed="1"/>
    <w:lsdException w:name="Body Text First Indent" w:semiHidden="1" w:uiPriority="0"/>
    <w:lsdException w:name="Body Text First Indent 2" w:semiHidden="1" w:uiPriority="0"/>
    <w:lsdException w:name="Note Heading" w:semiHidden="1" w:uiPriority="0" w:unhideWhenUsed="1"/>
    <w:lsdException w:name="Body Text 2" w:semiHidden="1"/>
    <w:lsdException w:name="Body Text 3" w:semiHidden="1" w:uiPriority="0"/>
    <w:lsdException w:name="Body Text Indent 2" w:semiHidden="1"/>
    <w:lsdException w:name="Body Text Indent 3" w:semiHidden="1" w:uiPriority="0"/>
    <w:lsdException w:name="Block Text" w:semiHidden="1" w:uiPriority="0"/>
    <w:lsdException w:name="Hyperlink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iPriority="0"/>
    <w:lsdException w:name="Plain Text" w:semiHidden="1" w:uiPriority="0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4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uiPriority="38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FB77DA"/>
    <w:pPr>
      <w:spacing w:before="120" w:after="120" w:line="264" w:lineRule="auto"/>
    </w:pPr>
    <w:rPr>
      <w:color w:val="232B39" w:themeColor="text1"/>
    </w:rPr>
  </w:style>
  <w:style w:type="paragraph" w:styleId="Heading1">
    <w:name w:val="heading 1"/>
    <w:next w:val="Normal"/>
    <w:link w:val="Heading1Char"/>
    <w:qFormat/>
    <w:rsid w:val="00FB77DA"/>
    <w:pPr>
      <w:keepNext/>
      <w:keepLines/>
      <w:spacing w:before="360" w:after="240"/>
      <w:outlineLvl w:val="0"/>
    </w:pPr>
    <w:rPr>
      <w:rFonts w:asciiTheme="majorHAnsi" w:eastAsiaTheme="majorEastAsia" w:hAnsiTheme="majorHAnsi" w:cstheme="majorBidi"/>
      <w:b/>
      <w:bCs/>
      <w:color w:val="3A3467" w:themeColor="text2"/>
      <w:sz w:val="36"/>
      <w:szCs w:val="28"/>
    </w:rPr>
  </w:style>
  <w:style w:type="paragraph" w:styleId="Heading2">
    <w:name w:val="heading 2"/>
    <w:basedOn w:val="Normal"/>
    <w:next w:val="Normal"/>
    <w:link w:val="Heading2Char"/>
    <w:qFormat/>
    <w:rsid w:val="00FB77DA"/>
    <w:pPr>
      <w:keepNext/>
      <w:keepLines/>
      <w:spacing w:before="280" w:after="240"/>
      <w:outlineLvl w:val="1"/>
    </w:pPr>
    <w:rPr>
      <w:rFonts w:asciiTheme="majorHAnsi" w:eastAsiaTheme="majorEastAsia" w:hAnsiTheme="majorHAnsi" w:cstheme="majorBidi"/>
      <w:b/>
      <w:bCs/>
      <w:color w:val="3A3467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qFormat/>
    <w:rsid w:val="00A1653C"/>
    <w:pPr>
      <w:keepNext/>
      <w:keepLines/>
      <w:spacing w:before="240"/>
      <w:outlineLvl w:val="2"/>
    </w:pPr>
    <w:rPr>
      <w:rFonts w:asciiTheme="majorHAnsi" w:eastAsiaTheme="majorEastAsia" w:hAnsiTheme="majorHAnsi" w:cstheme="majorBidi"/>
      <w:bCs/>
      <w:color w:val="3A3467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qFormat/>
    <w:rsid w:val="00FB77D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Cs/>
      <w:color w:val="3A3467" w:themeColor="text2"/>
      <w:sz w:val="21"/>
      <w:szCs w:val="21"/>
    </w:rPr>
  </w:style>
  <w:style w:type="paragraph" w:styleId="Heading5">
    <w:name w:val="heading 5"/>
    <w:basedOn w:val="Normal"/>
    <w:next w:val="Normal"/>
    <w:link w:val="Heading5Char"/>
    <w:qFormat/>
    <w:rsid w:val="00FB77DA"/>
    <w:pPr>
      <w:keepNext/>
      <w:keepLines/>
      <w:spacing w:before="60" w:after="60"/>
      <w:outlineLvl w:val="4"/>
    </w:pPr>
    <w:rPr>
      <w:rFonts w:asciiTheme="majorHAnsi" w:eastAsiaTheme="majorEastAsia" w:hAnsiTheme="majorHAnsi" w:cstheme="majorBidi"/>
      <w:color w:val="3A3467" w:themeColor="text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46664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003866" w:themeColor="accent1" w:themeShade="7F"/>
      <w:sz w:val="17"/>
      <w:szCs w:val="24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246664"/>
    <w:pPr>
      <w:keepNext/>
      <w:keepLines/>
      <w:spacing w:before="40" w:after="0" w:line="240" w:lineRule="auto"/>
      <w:outlineLvl w:val="6"/>
    </w:pPr>
    <w:rPr>
      <w:rFonts w:asciiTheme="majorHAnsi" w:eastAsiaTheme="majorEastAsia" w:hAnsiTheme="majorHAnsi" w:cstheme="majorBidi"/>
      <w:i/>
      <w:iCs/>
      <w:color w:val="003866" w:themeColor="accent1" w:themeShade="7F"/>
      <w:sz w:val="17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46664"/>
    <w:pPr>
      <w:keepNext/>
      <w:keepLines/>
      <w:spacing w:before="200" w:after="0" w:line="240" w:lineRule="auto"/>
      <w:outlineLvl w:val="7"/>
    </w:pPr>
    <w:rPr>
      <w:rFonts w:asciiTheme="majorHAnsi" w:eastAsiaTheme="majorEastAsia" w:hAnsiTheme="majorHAnsi" w:cstheme="majorBidi"/>
      <w:color w:val="4B5B79" w:themeColor="text1" w:themeTint="BF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246664"/>
    <w:pPr>
      <w:keepNext/>
      <w:keepLines/>
      <w:spacing w:before="40" w:after="0" w:line="240" w:lineRule="auto"/>
      <w:outlineLvl w:val="8"/>
    </w:pPr>
    <w:rPr>
      <w:rFonts w:asciiTheme="majorHAnsi" w:eastAsiaTheme="majorEastAsia" w:hAnsiTheme="majorHAnsi" w:cstheme="majorBidi"/>
      <w:i/>
      <w:iCs/>
      <w:color w:val="3B4860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Shading">
    <w:name w:val="Light Shading"/>
    <w:basedOn w:val="TableNormal"/>
    <w:uiPriority w:val="60"/>
    <w:rsid w:val="00FB77DA"/>
    <w:pPr>
      <w:spacing w:after="0" w:line="240" w:lineRule="auto"/>
    </w:pPr>
    <w:rPr>
      <w:color w:val="1A202A" w:themeColor="text1" w:themeShade="BF"/>
    </w:rPr>
    <w:tblPr>
      <w:tblStyleRowBandSize w:val="1"/>
      <w:tblStyleColBandSize w:val="1"/>
      <w:tblBorders>
        <w:top w:val="single" w:sz="8" w:space="0" w:color="232B39" w:themeColor="text1"/>
        <w:bottom w:val="single" w:sz="8" w:space="0" w:color="232B39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2B39" w:themeColor="text1"/>
          <w:left w:val="nil"/>
          <w:bottom w:val="single" w:sz="8" w:space="0" w:color="232B39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2B39" w:themeColor="text1"/>
          <w:left w:val="nil"/>
          <w:bottom w:val="single" w:sz="8" w:space="0" w:color="232B39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C7D7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FC7D7" w:themeFill="text1" w:themeFillTint="3F"/>
      </w:tcPr>
    </w:tblStylePr>
  </w:style>
  <w:style w:type="table" w:styleId="TableGrid">
    <w:name w:val="Table Grid"/>
    <w:basedOn w:val="TableNormal"/>
    <w:uiPriority w:val="59"/>
    <w:rsid w:val="00FB77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4">
    <w:name w:val="Light List Accent 4"/>
    <w:basedOn w:val="TableNormal"/>
    <w:uiPriority w:val="61"/>
    <w:rsid w:val="00FB77DA"/>
    <w:pPr>
      <w:spacing w:after="0" w:line="240" w:lineRule="auto"/>
    </w:pPr>
    <w:tblPr>
      <w:tblStyleRowBandSize w:val="1"/>
      <w:tblStyleColBandSize w:val="1"/>
      <w:tblBorders>
        <w:top w:val="single" w:sz="8" w:space="0" w:color="D3D5D7" w:themeColor="accent4"/>
        <w:left w:val="single" w:sz="8" w:space="0" w:color="D3D5D7" w:themeColor="accent4"/>
        <w:bottom w:val="single" w:sz="8" w:space="0" w:color="D3D5D7" w:themeColor="accent4"/>
        <w:right w:val="single" w:sz="8" w:space="0" w:color="D3D5D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3D5D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3D5D7" w:themeColor="accent4"/>
          <w:left w:val="single" w:sz="8" w:space="0" w:color="D3D5D7" w:themeColor="accent4"/>
          <w:bottom w:val="single" w:sz="8" w:space="0" w:color="D3D5D7" w:themeColor="accent4"/>
          <w:right w:val="single" w:sz="8" w:space="0" w:color="D3D5D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3D5D7" w:themeColor="accent4"/>
          <w:left w:val="single" w:sz="8" w:space="0" w:color="D3D5D7" w:themeColor="accent4"/>
          <w:bottom w:val="single" w:sz="8" w:space="0" w:color="D3D5D7" w:themeColor="accent4"/>
          <w:right w:val="single" w:sz="8" w:space="0" w:color="D3D5D7" w:themeColor="accent4"/>
        </w:tcBorders>
      </w:tcPr>
    </w:tblStylePr>
    <w:tblStylePr w:type="band1Horz">
      <w:tblPr/>
      <w:tcPr>
        <w:tcBorders>
          <w:top w:val="single" w:sz="8" w:space="0" w:color="D3D5D7" w:themeColor="accent4"/>
          <w:left w:val="single" w:sz="8" w:space="0" w:color="D3D5D7" w:themeColor="accent4"/>
          <w:bottom w:val="single" w:sz="8" w:space="0" w:color="D3D5D7" w:themeColor="accent4"/>
          <w:right w:val="single" w:sz="8" w:space="0" w:color="D3D5D7" w:themeColor="accent4"/>
        </w:tcBorders>
      </w:tcPr>
    </w:tblStylePr>
  </w:style>
  <w:style w:type="table" w:styleId="LightList-Accent1">
    <w:name w:val="Light List Accent 1"/>
    <w:basedOn w:val="TableNormal"/>
    <w:uiPriority w:val="61"/>
    <w:rsid w:val="00FB77DA"/>
    <w:pPr>
      <w:spacing w:after="0" w:line="240" w:lineRule="auto"/>
    </w:pPr>
    <w:tblPr>
      <w:tblStyleRowBandSize w:val="1"/>
      <w:tblStyleColBandSize w:val="1"/>
      <w:tblBorders>
        <w:top w:val="single" w:sz="8" w:space="0" w:color="0072CE" w:themeColor="accent1"/>
        <w:left w:val="single" w:sz="8" w:space="0" w:color="0072CE" w:themeColor="accent1"/>
        <w:bottom w:val="single" w:sz="8" w:space="0" w:color="0072CE" w:themeColor="accent1"/>
        <w:right w:val="single" w:sz="8" w:space="0" w:color="0072C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E" w:themeColor="accent1"/>
          <w:left w:val="single" w:sz="8" w:space="0" w:color="0072CE" w:themeColor="accent1"/>
          <w:bottom w:val="single" w:sz="8" w:space="0" w:color="0072CE" w:themeColor="accent1"/>
          <w:right w:val="single" w:sz="8" w:space="0" w:color="0072C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E" w:themeColor="accent1"/>
          <w:left w:val="single" w:sz="8" w:space="0" w:color="0072CE" w:themeColor="accent1"/>
          <w:bottom w:val="single" w:sz="8" w:space="0" w:color="0072CE" w:themeColor="accent1"/>
          <w:right w:val="single" w:sz="8" w:space="0" w:color="0072CE" w:themeColor="accent1"/>
        </w:tcBorders>
      </w:tcPr>
    </w:tblStylePr>
    <w:tblStylePr w:type="band1Horz">
      <w:tblPr/>
      <w:tcPr>
        <w:tcBorders>
          <w:top w:val="single" w:sz="8" w:space="0" w:color="0072CE" w:themeColor="accent1"/>
          <w:left w:val="single" w:sz="8" w:space="0" w:color="0072CE" w:themeColor="accent1"/>
          <w:bottom w:val="single" w:sz="8" w:space="0" w:color="0072CE" w:themeColor="accent1"/>
          <w:right w:val="single" w:sz="8" w:space="0" w:color="0072CE" w:themeColor="accent1"/>
        </w:tcBorders>
      </w:tcPr>
    </w:tblStylePr>
  </w:style>
  <w:style w:type="paragraph" w:styleId="TOC1">
    <w:name w:val="toc 1"/>
    <w:basedOn w:val="Normal"/>
    <w:next w:val="Normal"/>
    <w:uiPriority w:val="39"/>
    <w:rsid w:val="00FB77DA"/>
    <w:pPr>
      <w:pBdr>
        <w:bottom w:val="single" w:sz="12" w:space="4" w:color="auto"/>
      </w:pBdr>
      <w:tabs>
        <w:tab w:val="right" w:pos="9000"/>
      </w:tabs>
      <w:ind w:right="26"/>
    </w:pPr>
    <w:rPr>
      <w:sz w:val="24"/>
      <w:szCs w:val="24"/>
    </w:rPr>
  </w:style>
  <w:style w:type="paragraph" w:styleId="TOC2">
    <w:name w:val="toc 2"/>
    <w:next w:val="Normal"/>
    <w:uiPriority w:val="39"/>
    <w:rsid w:val="00FB77DA"/>
    <w:pPr>
      <w:tabs>
        <w:tab w:val="right" w:pos="9000"/>
      </w:tabs>
      <w:spacing w:after="100"/>
      <w:ind w:left="446" w:right="432"/>
      <w:contextualSpacing/>
    </w:pPr>
    <w:rPr>
      <w:noProof/>
      <w:spacing w:val="2"/>
    </w:rPr>
  </w:style>
  <w:style w:type="paragraph" w:styleId="TOC3">
    <w:name w:val="toc 3"/>
    <w:basedOn w:val="Normal"/>
    <w:next w:val="Normal"/>
    <w:uiPriority w:val="39"/>
    <w:rsid w:val="00FB77DA"/>
    <w:pPr>
      <w:tabs>
        <w:tab w:val="right" w:pos="9000"/>
      </w:tabs>
      <w:spacing w:before="0"/>
      <w:ind w:left="450" w:right="432"/>
      <w:contextualSpacing/>
    </w:pPr>
    <w:rPr>
      <w:noProof/>
      <w:sz w:val="18"/>
      <w:szCs w:val="18"/>
    </w:rPr>
  </w:style>
  <w:style w:type="paragraph" w:styleId="Index1">
    <w:name w:val="index 1"/>
    <w:basedOn w:val="Normal"/>
    <w:next w:val="Normal"/>
    <w:uiPriority w:val="99"/>
    <w:semiHidden/>
    <w:rsid w:val="00FB77DA"/>
    <w:pPr>
      <w:spacing w:after="60" w:line="240" w:lineRule="auto"/>
    </w:pPr>
    <w:rPr>
      <w:sz w:val="16"/>
    </w:rPr>
  </w:style>
  <w:style w:type="paragraph" w:styleId="Index2">
    <w:name w:val="index 2"/>
    <w:basedOn w:val="Normal"/>
    <w:next w:val="Normal"/>
    <w:uiPriority w:val="99"/>
    <w:semiHidden/>
    <w:rsid w:val="00FB77DA"/>
    <w:pPr>
      <w:spacing w:after="0" w:line="240" w:lineRule="auto"/>
      <w:ind w:left="216"/>
    </w:pPr>
    <w:rPr>
      <w:sz w:val="16"/>
      <w:szCs w:val="16"/>
    </w:rPr>
  </w:style>
  <w:style w:type="character" w:styleId="Hyperlink">
    <w:name w:val="Hyperlink"/>
    <w:basedOn w:val="DefaultParagraphFont"/>
    <w:uiPriority w:val="99"/>
    <w:rsid w:val="00FB77DA"/>
    <w:rPr>
      <w:color w:val="808080" w:themeColor="background1" w:themeShade="80"/>
      <w:u w:val="none"/>
    </w:rPr>
  </w:style>
  <w:style w:type="character" w:customStyle="1" w:styleId="Heading1Char">
    <w:name w:val="Heading 1 Char"/>
    <w:basedOn w:val="DefaultParagraphFont"/>
    <w:link w:val="Heading1"/>
    <w:rsid w:val="00FB77DA"/>
    <w:rPr>
      <w:rFonts w:asciiTheme="majorHAnsi" w:eastAsiaTheme="majorEastAsia" w:hAnsiTheme="majorHAnsi" w:cstheme="majorBidi"/>
      <w:b/>
      <w:bCs/>
      <w:color w:val="3A3467" w:themeColor="text2"/>
      <w:sz w:val="36"/>
      <w:szCs w:val="28"/>
    </w:rPr>
  </w:style>
  <w:style w:type="character" w:customStyle="1" w:styleId="Heading2Char">
    <w:name w:val="Heading 2 Char"/>
    <w:basedOn w:val="DefaultParagraphFont"/>
    <w:link w:val="Heading2"/>
    <w:rsid w:val="00FB77DA"/>
    <w:rPr>
      <w:rFonts w:asciiTheme="majorHAnsi" w:eastAsiaTheme="majorEastAsia" w:hAnsiTheme="majorHAnsi" w:cstheme="majorBidi"/>
      <w:b/>
      <w:bCs/>
      <w:color w:val="3A3467" w:themeColor="text2"/>
      <w:sz w:val="28"/>
      <w:szCs w:val="26"/>
    </w:rPr>
  </w:style>
  <w:style w:type="paragraph" w:customStyle="1" w:styleId="Bullet1">
    <w:name w:val="Bullet 1"/>
    <w:uiPriority w:val="1"/>
    <w:qFormat/>
    <w:rsid w:val="00FB77DA"/>
    <w:pPr>
      <w:numPr>
        <w:numId w:val="1"/>
      </w:numPr>
      <w:spacing w:before="100" w:after="100" w:line="240" w:lineRule="auto"/>
      <w:contextualSpacing/>
    </w:pPr>
    <w:rPr>
      <w:rFonts w:eastAsia="Times New Roman" w:cs="Calibri"/>
      <w:color w:val="232B39" w:themeColor="text1"/>
    </w:rPr>
  </w:style>
  <w:style w:type="paragraph" w:customStyle="1" w:styleId="Bullet2">
    <w:name w:val="Bullet 2"/>
    <w:basedOn w:val="Bullet1"/>
    <w:uiPriority w:val="1"/>
    <w:qFormat/>
    <w:rsid w:val="00FB77DA"/>
    <w:pPr>
      <w:numPr>
        <w:ilvl w:val="1"/>
      </w:numPr>
    </w:pPr>
  </w:style>
  <w:style w:type="paragraph" w:customStyle="1" w:styleId="Bulletindent">
    <w:name w:val="Bullet indent"/>
    <w:basedOn w:val="Bullet2"/>
    <w:uiPriority w:val="9"/>
    <w:qFormat/>
    <w:rsid w:val="00FB77DA"/>
    <w:pPr>
      <w:numPr>
        <w:ilvl w:val="2"/>
      </w:numPr>
      <w:spacing w:line="264" w:lineRule="auto"/>
    </w:pPr>
  </w:style>
  <w:style w:type="paragraph" w:customStyle="1" w:styleId="Heading1numbered">
    <w:name w:val="Heading 1 numbered"/>
    <w:basedOn w:val="Heading1"/>
    <w:next w:val="NormalIndent"/>
    <w:link w:val="Heading1numberedChar"/>
    <w:uiPriority w:val="8"/>
    <w:qFormat/>
    <w:rsid w:val="00FB77DA"/>
    <w:pPr>
      <w:numPr>
        <w:ilvl w:val="2"/>
        <w:numId w:val="2"/>
      </w:numPr>
    </w:pPr>
  </w:style>
  <w:style w:type="paragraph" w:customStyle="1" w:styleId="Heading2numbered">
    <w:name w:val="Heading 2 numbered"/>
    <w:basedOn w:val="Heading2"/>
    <w:next w:val="NormalIndent"/>
    <w:uiPriority w:val="8"/>
    <w:qFormat/>
    <w:rsid w:val="00FB77DA"/>
    <w:pPr>
      <w:numPr>
        <w:ilvl w:val="3"/>
        <w:numId w:val="2"/>
      </w:numPr>
    </w:pPr>
  </w:style>
  <w:style w:type="paragraph" w:customStyle="1" w:styleId="Heading3numbered">
    <w:name w:val="Heading 3 numbered"/>
    <w:basedOn w:val="Heading3"/>
    <w:next w:val="NormalIndent"/>
    <w:uiPriority w:val="8"/>
    <w:qFormat/>
    <w:rsid w:val="00FB77DA"/>
    <w:pPr>
      <w:numPr>
        <w:ilvl w:val="4"/>
        <w:numId w:val="2"/>
      </w:numPr>
    </w:pPr>
  </w:style>
  <w:style w:type="character" w:customStyle="1" w:styleId="Heading3Char">
    <w:name w:val="Heading 3 Char"/>
    <w:basedOn w:val="DefaultParagraphFont"/>
    <w:link w:val="Heading3"/>
    <w:rsid w:val="00A1653C"/>
    <w:rPr>
      <w:rFonts w:asciiTheme="majorHAnsi" w:eastAsiaTheme="majorEastAsia" w:hAnsiTheme="majorHAnsi" w:cstheme="majorBidi"/>
      <w:bCs/>
      <w:color w:val="3A3467" w:themeColor="text2"/>
      <w:sz w:val="24"/>
      <w:szCs w:val="24"/>
    </w:rPr>
  </w:style>
  <w:style w:type="paragraph" w:customStyle="1" w:styleId="Heading4numbered">
    <w:name w:val="Heading 4 numbered"/>
    <w:basedOn w:val="Heading4"/>
    <w:next w:val="NormalIndent"/>
    <w:uiPriority w:val="8"/>
    <w:qFormat/>
    <w:rsid w:val="00FB77DA"/>
    <w:pPr>
      <w:numPr>
        <w:ilvl w:val="5"/>
        <w:numId w:val="2"/>
      </w:numPr>
    </w:pPr>
  </w:style>
  <w:style w:type="character" w:customStyle="1" w:styleId="Heading4Char">
    <w:name w:val="Heading 4 Char"/>
    <w:basedOn w:val="DefaultParagraphFont"/>
    <w:link w:val="Heading4"/>
    <w:rsid w:val="00FB77DA"/>
    <w:rPr>
      <w:rFonts w:asciiTheme="majorHAnsi" w:eastAsiaTheme="majorEastAsia" w:hAnsiTheme="majorHAnsi" w:cstheme="majorBidi"/>
      <w:b/>
      <w:bCs/>
      <w:iCs/>
      <w:color w:val="3A3467" w:themeColor="text2"/>
      <w:sz w:val="21"/>
      <w:szCs w:val="21"/>
    </w:rPr>
  </w:style>
  <w:style w:type="paragraph" w:styleId="NormalIndent">
    <w:name w:val="Normal Indent"/>
    <w:basedOn w:val="Normal"/>
    <w:uiPriority w:val="9"/>
    <w:qFormat/>
    <w:rsid w:val="00FB77DA"/>
    <w:pPr>
      <w:ind w:left="792"/>
    </w:pPr>
  </w:style>
  <w:style w:type="paragraph" w:customStyle="1" w:styleId="NoteNormal">
    <w:name w:val="Note Normal"/>
    <w:basedOn w:val="Normal"/>
    <w:rsid w:val="00FB77DA"/>
    <w:pPr>
      <w:keepNext/>
      <w:keepLines/>
      <w:spacing w:before="80" w:line="240" w:lineRule="auto"/>
    </w:pPr>
    <w:rPr>
      <w:rFonts w:eastAsia="Times New Roman" w:cstheme="minorHAnsi"/>
      <w:color w:val="000000"/>
      <w:spacing w:val="1"/>
      <w:sz w:val="16"/>
      <w:szCs w:val="16"/>
      <w:lang w:eastAsia="en-US"/>
    </w:rPr>
  </w:style>
  <w:style w:type="paragraph" w:customStyle="1" w:styleId="Spacer">
    <w:name w:val="Spacer"/>
    <w:basedOn w:val="Normal"/>
    <w:uiPriority w:val="13"/>
    <w:qFormat/>
    <w:rsid w:val="00FB77DA"/>
    <w:pPr>
      <w:spacing w:before="0" w:after="0" w:line="120" w:lineRule="atLeast"/>
    </w:pPr>
    <w:rPr>
      <w:rFonts w:eastAsia="Times New Roman" w:cs="Calibri"/>
      <w:sz w:val="10"/>
      <w:szCs w:val="22"/>
    </w:rPr>
  </w:style>
  <w:style w:type="paragraph" w:styleId="Subtitle">
    <w:name w:val="Subtitle"/>
    <w:next w:val="TertiaryTitle"/>
    <w:link w:val="SubtitleChar"/>
    <w:uiPriority w:val="45"/>
    <w:rsid w:val="00FB77DA"/>
    <w:pPr>
      <w:spacing w:before="200" w:after="120" w:line="440" w:lineRule="exact"/>
      <w:ind w:right="1829"/>
    </w:pPr>
    <w:rPr>
      <w:rFonts w:asciiTheme="majorHAnsi" w:eastAsia="Times New Roman" w:hAnsiTheme="majorHAnsi" w:cstheme="majorHAnsi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45"/>
    <w:rsid w:val="00FB77DA"/>
    <w:rPr>
      <w:rFonts w:asciiTheme="majorHAnsi" w:eastAsia="Times New Roman" w:hAnsiTheme="majorHAnsi" w:cstheme="majorHAnsi"/>
      <w:sz w:val="32"/>
      <w:szCs w:val="32"/>
    </w:rPr>
  </w:style>
  <w:style w:type="paragraph" w:customStyle="1" w:styleId="TertiaryTitle">
    <w:name w:val="Tertiary Title"/>
    <w:next w:val="Normal"/>
    <w:uiPriority w:val="99"/>
    <w:rsid w:val="00FB77DA"/>
    <w:pPr>
      <w:spacing w:after="0"/>
    </w:pPr>
    <w:rPr>
      <w:rFonts w:asciiTheme="majorHAnsi" w:eastAsia="Times New Roman" w:hAnsiTheme="majorHAnsi" w:cstheme="majorHAnsi"/>
      <w:color w:val="FFFFFF" w:themeColor="background1"/>
      <w:spacing w:val="-2"/>
      <w:szCs w:val="40"/>
      <w:lang w:eastAsia="en-US"/>
    </w:rPr>
  </w:style>
  <w:style w:type="paragraph" w:styleId="Title">
    <w:name w:val="Title"/>
    <w:next w:val="Subtitle"/>
    <w:link w:val="TitleChar"/>
    <w:uiPriority w:val="44"/>
    <w:qFormat/>
    <w:rsid w:val="00A1653C"/>
    <w:pPr>
      <w:spacing w:before="200" w:after="0" w:line="264" w:lineRule="auto"/>
      <w:ind w:right="389"/>
    </w:pPr>
    <w:rPr>
      <w:rFonts w:asciiTheme="majorHAnsi" w:eastAsia="Times New Roman" w:hAnsiTheme="majorHAnsi" w:cstheme="majorHAnsi"/>
      <w:color w:val="3A3467" w:themeColor="text2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44"/>
    <w:rsid w:val="00A1653C"/>
    <w:rPr>
      <w:rFonts w:asciiTheme="majorHAnsi" w:eastAsia="Times New Roman" w:hAnsiTheme="majorHAnsi" w:cstheme="majorHAnsi"/>
      <w:color w:val="3A3467" w:themeColor="text2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rsid w:val="00FB7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77DA"/>
    <w:rPr>
      <w:rFonts w:ascii="Tahoma" w:hAnsi="Tahoma" w:cs="Tahoma"/>
      <w:color w:val="232B39" w:themeColor="text1"/>
      <w:sz w:val="16"/>
      <w:szCs w:val="16"/>
    </w:rPr>
  </w:style>
  <w:style w:type="paragraph" w:customStyle="1" w:styleId="Bulletindent2">
    <w:name w:val="Bullet indent 2"/>
    <w:basedOn w:val="Normal"/>
    <w:uiPriority w:val="9"/>
    <w:qFormat/>
    <w:rsid w:val="00FB77DA"/>
    <w:pPr>
      <w:numPr>
        <w:ilvl w:val="3"/>
        <w:numId w:val="1"/>
      </w:numPr>
      <w:contextualSpacing/>
    </w:pPr>
  </w:style>
  <w:style w:type="paragraph" w:styleId="IndexHeading">
    <w:name w:val="index heading"/>
    <w:basedOn w:val="Normal"/>
    <w:next w:val="Index1"/>
    <w:uiPriority w:val="99"/>
    <w:semiHidden/>
    <w:rsid w:val="00FB77DA"/>
    <w:rPr>
      <w:rFonts w:asciiTheme="majorHAnsi" w:eastAsiaTheme="majorEastAsia" w:hAnsiTheme="majorHAnsi" w:cstheme="majorBidi"/>
      <w:b/>
      <w:bCs/>
    </w:rPr>
  </w:style>
  <w:style w:type="paragraph" w:styleId="Header">
    <w:name w:val="header"/>
    <w:basedOn w:val="Normal"/>
    <w:link w:val="HeaderChar"/>
    <w:uiPriority w:val="99"/>
    <w:rsid w:val="00FB77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77DA"/>
    <w:rPr>
      <w:color w:val="232B39" w:themeColor="text1"/>
    </w:rPr>
  </w:style>
  <w:style w:type="paragraph" w:styleId="Footer">
    <w:name w:val="footer"/>
    <w:basedOn w:val="Normal"/>
    <w:link w:val="FooterChar"/>
    <w:uiPriority w:val="99"/>
    <w:rsid w:val="00FB77DA"/>
    <w:pPr>
      <w:tabs>
        <w:tab w:val="right" w:pos="9026"/>
      </w:tabs>
      <w:spacing w:before="0" w:after="0" w:line="240" w:lineRule="auto"/>
    </w:pPr>
    <w:rPr>
      <w:noProof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FB77DA"/>
    <w:rPr>
      <w:noProof/>
      <w:color w:val="232B39" w:themeColor="text1"/>
      <w:sz w:val="18"/>
      <w:szCs w:val="18"/>
    </w:rPr>
  </w:style>
  <w:style w:type="character" w:styleId="PageNumber">
    <w:name w:val="page number"/>
    <w:uiPriority w:val="49"/>
    <w:rsid w:val="00FB77DA"/>
    <w:rPr>
      <w:rFonts w:asciiTheme="minorHAnsi" w:hAnsiTheme="minorHAnsi"/>
      <w:b w:val="0"/>
      <w:color w:val="232B39" w:themeColor="text1"/>
    </w:rPr>
  </w:style>
  <w:style w:type="paragraph" w:styleId="TOCHeading">
    <w:name w:val="TOC Heading"/>
    <w:basedOn w:val="Heading1"/>
    <w:next w:val="Normal"/>
    <w:uiPriority w:val="38"/>
    <w:qFormat/>
    <w:rsid w:val="00FB77DA"/>
    <w:pPr>
      <w:spacing w:before="480" w:after="720"/>
      <w:outlineLvl w:val="9"/>
    </w:pPr>
    <w:rPr>
      <w:spacing w:val="2"/>
    </w:rPr>
  </w:style>
  <w:style w:type="paragraph" w:customStyle="1" w:styleId="NormalTight">
    <w:name w:val="Normal Tight"/>
    <w:uiPriority w:val="99"/>
    <w:semiHidden/>
    <w:rsid w:val="00FB77DA"/>
    <w:pPr>
      <w:spacing w:after="0" w:line="240" w:lineRule="auto"/>
      <w:ind w:right="2366"/>
    </w:pPr>
    <w:rPr>
      <w:rFonts w:eastAsia="Times New Roman" w:cs="Calibri"/>
      <w:sz w:val="18"/>
      <w:szCs w:val="19"/>
      <w:lang w:eastAsia="en-US"/>
    </w:rPr>
  </w:style>
  <w:style w:type="paragraph" w:styleId="BodyText">
    <w:name w:val="Body Text"/>
    <w:basedOn w:val="Normal"/>
    <w:link w:val="BodyTextChar"/>
    <w:uiPriority w:val="49"/>
    <w:semiHidden/>
    <w:rsid w:val="00FB77DA"/>
    <w:pPr>
      <w:spacing w:before="100" w:line="240" w:lineRule="auto"/>
      <w:ind w:left="794"/>
    </w:pPr>
    <w:rPr>
      <w:rFonts w:ascii="Calibri" w:eastAsia="Times New Roman" w:hAnsi="Calibri" w:cs="Calibr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49"/>
    <w:semiHidden/>
    <w:rsid w:val="00FB77DA"/>
    <w:rPr>
      <w:rFonts w:ascii="Calibri" w:eastAsia="Times New Roman" w:hAnsi="Calibri" w:cs="Calibri"/>
      <w:color w:val="232B39" w:themeColor="text1"/>
      <w:sz w:val="22"/>
      <w:szCs w:val="22"/>
    </w:rPr>
  </w:style>
  <w:style w:type="paragraph" w:customStyle="1" w:styleId="Insidecoverspacer">
    <w:name w:val="Inside cover spacer"/>
    <w:basedOn w:val="NormalTight"/>
    <w:uiPriority w:val="99"/>
    <w:semiHidden/>
    <w:qFormat/>
    <w:rsid w:val="00FB77DA"/>
    <w:pPr>
      <w:spacing w:before="3800"/>
      <w:ind w:right="1382"/>
    </w:pPr>
  </w:style>
  <w:style w:type="paragraph" w:styleId="TOC4">
    <w:name w:val="toc 4"/>
    <w:basedOn w:val="TOC1"/>
    <w:next w:val="Normal"/>
    <w:uiPriority w:val="39"/>
    <w:rsid w:val="00FB77DA"/>
    <w:pPr>
      <w:spacing w:before="280"/>
      <w:ind w:left="446" w:right="29" w:hanging="446"/>
    </w:pPr>
    <w:rPr>
      <w:noProof/>
      <w:lang w:eastAsia="en-US"/>
    </w:rPr>
  </w:style>
  <w:style w:type="paragraph" w:styleId="TOC5">
    <w:name w:val="toc 5"/>
    <w:basedOn w:val="TOC2"/>
    <w:next w:val="Normal"/>
    <w:uiPriority w:val="39"/>
    <w:rsid w:val="00FB77DA"/>
    <w:pPr>
      <w:ind w:left="1080" w:hanging="634"/>
    </w:pPr>
    <w:rPr>
      <w:lang w:eastAsia="en-US"/>
    </w:rPr>
  </w:style>
  <w:style w:type="paragraph" w:styleId="TOC6">
    <w:name w:val="toc 6"/>
    <w:basedOn w:val="TOC3"/>
    <w:next w:val="Normal"/>
    <w:uiPriority w:val="39"/>
    <w:rsid w:val="00FB77DA"/>
    <w:pPr>
      <w:ind w:left="1800" w:hanging="720"/>
    </w:pPr>
    <w:rPr>
      <w:lang w:eastAsia="en-US"/>
    </w:rPr>
  </w:style>
  <w:style w:type="table" w:customStyle="1" w:styleId="DTFtexttable">
    <w:name w:val="DTF text table"/>
    <w:basedOn w:val="TableNormal"/>
    <w:uiPriority w:val="99"/>
    <w:rsid w:val="00FB77DA"/>
    <w:pPr>
      <w:spacing w:before="30" w:after="30" w:line="264" w:lineRule="auto"/>
    </w:pPr>
    <w:rPr>
      <w:rFonts w:eastAsiaTheme="minorHAnsi"/>
      <w:spacing w:val="2"/>
      <w:sz w:val="17"/>
      <w:szCs w:val="21"/>
      <w:lang w:eastAsia="en-US"/>
    </w:rPr>
    <w:tblPr>
      <w:tblStyleRowBandSize w:val="1"/>
      <w:tblStyleColBandSize w:val="1"/>
      <w:tblBorders>
        <w:bottom w:val="single" w:sz="12" w:space="0" w:color="68CEF2" w:themeColor="accent2"/>
        <w:insideH w:val="single" w:sz="6" w:space="0" w:color="A6A6A6" w:themeColor="background1" w:themeShade="A6"/>
      </w:tblBorders>
      <w:tblCellMar>
        <w:left w:w="57" w:type="dxa"/>
        <w:right w:w="57" w:type="dxa"/>
      </w:tblCellMar>
    </w:tblPr>
    <w:trPr>
      <w:cantSplit/>
    </w:trPr>
    <w:tblStylePr w:type="firstRow">
      <w:pPr>
        <w:keepNext/>
        <w:keepLines/>
        <w:widowControl/>
        <w:wordWrap/>
        <w:spacing w:beforeLines="0" w:before="120" w:beforeAutospacing="0" w:afterLines="0" w:after="30" w:afterAutospacing="0"/>
        <w:jc w:val="left"/>
      </w:pPr>
      <w:rPr>
        <w:b/>
        <w:i w:val="0"/>
        <w:color w:val="auto"/>
        <w:sz w:val="18"/>
      </w:rPr>
      <w:tblPr/>
      <w:tcPr>
        <w:shd w:val="clear" w:color="auto" w:fill="C2EBFA" w:themeFill="background2"/>
      </w:tcPr>
    </w:tblStylePr>
    <w:tblStylePr w:type="lastRow">
      <w:rPr>
        <w:b/>
      </w:rPr>
      <w:tblPr/>
      <w:tcPr>
        <w:tcBorders>
          <w:top w:val="single" w:sz="6" w:space="0" w:color="68CEF2" w:themeColor="accent2"/>
          <w:left w:val="nil"/>
          <w:bottom w:val="single" w:sz="12" w:space="0" w:color="68CEF2" w:themeColor="accent2"/>
          <w:right w:val="nil"/>
          <w:insideV w:val="nil"/>
        </w:tcBorders>
      </w:tcPr>
    </w:tblStylePr>
    <w:tblStylePr w:type="firstCol">
      <w:pPr>
        <w:jc w:val="left"/>
      </w:pPr>
      <w:tblPr/>
      <w:tcPr>
        <w:shd w:val="clear" w:color="auto" w:fill="F2F2F2" w:themeFill="background1" w:themeFillShade="F2"/>
      </w:tcPr>
    </w:tblStylePr>
    <w:tblStylePr w:type="lastCol">
      <w:pPr>
        <w:jc w:val="left"/>
      </w:pPr>
    </w:tblStylePr>
    <w:tblStylePr w:type="band1Vert">
      <w:pPr>
        <w:jc w:val="left"/>
      </w:pPr>
    </w:tblStylePr>
    <w:tblStylePr w:type="band2Vert">
      <w:pPr>
        <w:jc w:val="left"/>
      </w:pPr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FFFFF" w:themeFill="background1"/>
      </w:tcPr>
    </w:tblStylePr>
    <w:tblStylePr w:type="neCell">
      <w:pPr>
        <w:jc w:val="left"/>
      </w:pPr>
    </w:tblStylePr>
    <w:tblStylePr w:type="nwCell">
      <w:pPr>
        <w:jc w:val="left"/>
      </w:pPr>
    </w:tblStylePr>
    <w:tblStylePr w:type="seCell">
      <w:pPr>
        <w:jc w:val="left"/>
      </w:pPr>
    </w:tblStylePr>
    <w:tblStylePr w:type="swCell">
      <w:pPr>
        <w:jc w:val="left"/>
      </w:pPr>
    </w:tblStylePr>
  </w:style>
  <w:style w:type="table" w:customStyle="1" w:styleId="DTFfinancialtable">
    <w:name w:val="DTF financial table"/>
    <w:basedOn w:val="TableNormal"/>
    <w:uiPriority w:val="99"/>
    <w:rsid w:val="00FB77DA"/>
    <w:pPr>
      <w:spacing w:before="30" w:after="30" w:line="264" w:lineRule="auto"/>
      <w:jc w:val="right"/>
    </w:pPr>
    <w:rPr>
      <w:rFonts w:eastAsiaTheme="minorHAnsi"/>
      <w:spacing w:val="2"/>
      <w:sz w:val="17"/>
      <w:szCs w:val="21"/>
      <w:lang w:eastAsia="en-US"/>
    </w:rPr>
    <w:tblPr>
      <w:tblStyleRowBandSize w:val="1"/>
      <w:tblStyleColBandSize w:val="1"/>
      <w:tblBorders>
        <w:bottom w:val="single" w:sz="12" w:space="0" w:color="68CEF2" w:themeColor="accent2"/>
      </w:tblBorders>
      <w:tblCellMar>
        <w:left w:w="57" w:type="dxa"/>
        <w:right w:w="57" w:type="dxa"/>
      </w:tblCellMar>
    </w:tblPr>
    <w:tblStylePr w:type="firstRow">
      <w:pPr>
        <w:keepNext/>
        <w:keepLines/>
        <w:widowControl/>
        <w:wordWrap/>
        <w:spacing w:beforeLines="0" w:before="120" w:beforeAutospacing="0" w:afterLines="0" w:after="30" w:afterAutospacing="0"/>
        <w:jc w:val="right"/>
      </w:pPr>
      <w:rPr>
        <w:b/>
        <w:i w:val="0"/>
        <w:color w:val="auto"/>
        <w:sz w:val="18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C2EBFA" w:themeFill="background2"/>
      </w:tcPr>
    </w:tblStylePr>
    <w:tblStylePr w:type="lastRow">
      <w:rPr>
        <w:b/>
      </w:rPr>
      <w:tblPr/>
      <w:tcPr>
        <w:tcBorders>
          <w:top w:val="single" w:sz="6" w:space="0" w:color="0072CE" w:themeColor="accent1"/>
          <w:left w:val="nil"/>
          <w:bottom w:val="single" w:sz="12" w:space="0" w:color="0072CE" w:themeColor="accent1"/>
          <w:right w:val="nil"/>
          <w:insideV w:val="nil"/>
        </w:tcBorders>
      </w:tcPr>
    </w:tblStylePr>
    <w:tblStylePr w:type="firstCol">
      <w:pPr>
        <w:jc w:val="left"/>
      </w:pPr>
      <w:rPr>
        <w:color w:val="F2F2F2" w:themeColor="background1" w:themeShade="F2"/>
      </w:rPr>
      <w:tblPr/>
      <w:tcPr>
        <w:shd w:val="clear" w:color="auto" w:fill="F2F2F2" w:themeFill="background1" w:themeFillShade="F2"/>
      </w:tcPr>
    </w:tblStylePr>
    <w:tblStylePr w:type="band1Vert">
      <w:pPr>
        <w:jc w:val="right"/>
      </w:pPr>
    </w:tblStylePr>
    <w:tblStylePr w:type="band2Vert">
      <w:pPr>
        <w:jc w:val="right"/>
      </w:pPr>
    </w:tblStylePr>
    <w:tblStylePr w:type="band2Horz">
      <w:tblPr/>
      <w:tcPr>
        <w:shd w:val="clear" w:color="auto" w:fill="FFFFFF" w:themeFill="background1"/>
      </w:tcPr>
    </w:tblStylePr>
    <w:tblStylePr w:type="nwCell">
      <w:pPr>
        <w:jc w:val="left"/>
      </w:pPr>
      <w:tblPr/>
      <w:tcPr>
        <w:vAlign w:val="bottom"/>
      </w:tcPr>
    </w:tblStylePr>
  </w:style>
  <w:style w:type="paragraph" w:customStyle="1" w:styleId="Tabletext">
    <w:name w:val="Table text"/>
    <w:basedOn w:val="Normal"/>
    <w:link w:val="TabletextChar"/>
    <w:uiPriority w:val="5"/>
    <w:qFormat/>
    <w:rsid w:val="00CF61ED"/>
    <w:pPr>
      <w:spacing w:before="60" w:after="60" w:line="252" w:lineRule="auto"/>
    </w:pPr>
    <w:rPr>
      <w:sz w:val="16"/>
    </w:rPr>
  </w:style>
  <w:style w:type="paragraph" w:customStyle="1" w:styleId="Tabletextright">
    <w:name w:val="Table text right"/>
    <w:basedOn w:val="Tabletext"/>
    <w:link w:val="TabletextrightChar"/>
    <w:uiPriority w:val="5"/>
    <w:qFormat/>
    <w:rsid w:val="00FB77DA"/>
    <w:pPr>
      <w:jc w:val="right"/>
    </w:pPr>
  </w:style>
  <w:style w:type="paragraph" w:customStyle="1" w:styleId="Listnumindent2">
    <w:name w:val="List num indent 2"/>
    <w:basedOn w:val="Normal"/>
    <w:uiPriority w:val="9"/>
    <w:qFormat/>
    <w:rsid w:val="00FB77DA"/>
    <w:pPr>
      <w:numPr>
        <w:ilvl w:val="7"/>
        <w:numId w:val="2"/>
      </w:numPr>
      <w:spacing w:before="100"/>
      <w:contextualSpacing/>
    </w:pPr>
  </w:style>
  <w:style w:type="paragraph" w:customStyle="1" w:styleId="Listnumindent">
    <w:name w:val="List num indent"/>
    <w:basedOn w:val="Normal"/>
    <w:uiPriority w:val="9"/>
    <w:qFormat/>
    <w:rsid w:val="00FB77DA"/>
    <w:pPr>
      <w:numPr>
        <w:ilvl w:val="6"/>
        <w:numId w:val="2"/>
      </w:numPr>
      <w:spacing w:before="100"/>
    </w:pPr>
  </w:style>
  <w:style w:type="paragraph" w:customStyle="1" w:styleId="Listnum">
    <w:name w:val="List num"/>
    <w:basedOn w:val="Normal"/>
    <w:uiPriority w:val="2"/>
    <w:qFormat/>
    <w:rsid w:val="00FB77DA"/>
    <w:pPr>
      <w:numPr>
        <w:numId w:val="2"/>
      </w:numPr>
    </w:pPr>
  </w:style>
  <w:style w:type="paragraph" w:customStyle="1" w:styleId="Listnum2">
    <w:name w:val="List num 2"/>
    <w:basedOn w:val="Normal"/>
    <w:uiPriority w:val="2"/>
    <w:qFormat/>
    <w:rsid w:val="00FB77DA"/>
    <w:pPr>
      <w:numPr>
        <w:ilvl w:val="1"/>
        <w:numId w:val="2"/>
      </w:numPr>
    </w:pPr>
  </w:style>
  <w:style w:type="paragraph" w:customStyle="1" w:styleId="Tabletextcentred">
    <w:name w:val="Table text centred"/>
    <w:basedOn w:val="Tabletext"/>
    <w:uiPriority w:val="5"/>
    <w:qFormat/>
    <w:rsid w:val="00FB77DA"/>
    <w:pPr>
      <w:jc w:val="center"/>
    </w:pPr>
  </w:style>
  <w:style w:type="paragraph" w:customStyle="1" w:styleId="Tableheader">
    <w:name w:val="Table header"/>
    <w:basedOn w:val="Tabletext"/>
    <w:uiPriority w:val="5"/>
    <w:qFormat/>
    <w:rsid w:val="00FB77DA"/>
    <w:pPr>
      <w:keepNext/>
      <w:keepLines/>
      <w:spacing w:before="120"/>
    </w:pPr>
    <w:rPr>
      <w:rFonts w:eastAsiaTheme="minorHAnsi"/>
      <w:spacing w:val="2"/>
      <w:sz w:val="18"/>
      <w:szCs w:val="18"/>
      <w:lang w:eastAsia="en-US"/>
    </w:rPr>
  </w:style>
  <w:style w:type="paragraph" w:customStyle="1" w:styleId="Tablebullet">
    <w:name w:val="Table bullet"/>
    <w:basedOn w:val="Tabletext"/>
    <w:uiPriority w:val="6"/>
    <w:qFormat/>
    <w:rsid w:val="00FB77DA"/>
    <w:pPr>
      <w:numPr>
        <w:numId w:val="3"/>
      </w:numPr>
    </w:pPr>
  </w:style>
  <w:style w:type="paragraph" w:customStyle="1" w:styleId="Tabledash">
    <w:name w:val="Table dash"/>
    <w:basedOn w:val="Tablebullet"/>
    <w:uiPriority w:val="6"/>
    <w:rsid w:val="00FB77DA"/>
    <w:pPr>
      <w:numPr>
        <w:ilvl w:val="1"/>
      </w:numPr>
    </w:pPr>
  </w:style>
  <w:style w:type="paragraph" w:customStyle="1" w:styleId="Tabletextindent">
    <w:name w:val="Table text indent"/>
    <w:basedOn w:val="Tabletext"/>
    <w:uiPriority w:val="5"/>
    <w:qFormat/>
    <w:rsid w:val="00FB77DA"/>
    <w:pPr>
      <w:ind w:left="288"/>
    </w:pPr>
  </w:style>
  <w:style w:type="paragraph" w:customStyle="1" w:styleId="Numpara">
    <w:name w:val="Num para"/>
    <w:basedOn w:val="ListParagraph"/>
    <w:uiPriority w:val="2"/>
    <w:qFormat/>
    <w:rsid w:val="00FB77DA"/>
    <w:pPr>
      <w:numPr>
        <w:numId w:val="4"/>
      </w:numPr>
      <w:tabs>
        <w:tab w:val="left" w:pos="540"/>
      </w:tabs>
    </w:pPr>
  </w:style>
  <w:style w:type="paragraph" w:styleId="ListParagraph">
    <w:name w:val="List Paragraph"/>
    <w:basedOn w:val="Normal"/>
    <w:uiPriority w:val="34"/>
    <w:qFormat/>
    <w:rsid w:val="00FB77DA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rsid w:val="00FB77DA"/>
    <w:pPr>
      <w:spacing w:before="0" w:after="0" w:line="240" w:lineRule="auto"/>
    </w:pPr>
    <w:rPr>
      <w:sz w:val="17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B77DA"/>
    <w:rPr>
      <w:color w:val="232B39" w:themeColor="text1"/>
      <w:sz w:val="17"/>
    </w:rPr>
  </w:style>
  <w:style w:type="character" w:styleId="FootnoteReference">
    <w:name w:val="footnote reference"/>
    <w:basedOn w:val="DefaultParagraphFont"/>
    <w:uiPriority w:val="99"/>
    <w:rsid w:val="00FB77DA"/>
    <w:rPr>
      <w:vertAlign w:val="superscript"/>
    </w:rPr>
  </w:style>
  <w:style w:type="table" w:customStyle="1" w:styleId="DTFfinancialtableindent">
    <w:name w:val="DTF financial table indent"/>
    <w:basedOn w:val="DTFfinancialtable"/>
    <w:uiPriority w:val="99"/>
    <w:rsid w:val="00FB77DA"/>
    <w:pPr>
      <w:spacing w:after="0" w:line="240" w:lineRule="auto"/>
    </w:pPr>
    <w:tblPr>
      <w:tblInd w:w="864" w:type="dxa"/>
    </w:tblPr>
    <w:tblStylePr w:type="firstRow">
      <w:pPr>
        <w:keepNext/>
        <w:keepLines/>
        <w:widowControl/>
        <w:wordWrap/>
        <w:spacing w:beforeLines="0" w:before="120" w:beforeAutospacing="0" w:afterLines="0" w:after="30" w:afterAutospacing="0"/>
        <w:jc w:val="right"/>
      </w:pPr>
      <w:rPr>
        <w:b/>
        <w:i w:val="0"/>
        <w:color w:val="auto"/>
        <w:sz w:val="18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C2EBFA" w:themeFill="background2"/>
      </w:tcPr>
    </w:tblStylePr>
    <w:tblStylePr w:type="lastRow">
      <w:rPr>
        <w:b/>
      </w:rPr>
      <w:tblPr/>
      <w:tcPr>
        <w:tcBorders>
          <w:top w:val="single" w:sz="6" w:space="0" w:color="0072CE" w:themeColor="accent1"/>
          <w:left w:val="nil"/>
          <w:bottom w:val="single" w:sz="12" w:space="0" w:color="0072CE" w:themeColor="accent1"/>
          <w:right w:val="nil"/>
          <w:insideV w:val="nil"/>
        </w:tcBorders>
      </w:tcPr>
    </w:tblStylePr>
    <w:tblStylePr w:type="firstCol">
      <w:pPr>
        <w:jc w:val="left"/>
      </w:pPr>
      <w:rPr>
        <w:color w:val="F2F2F2" w:themeColor="background1" w:themeShade="F2"/>
      </w:rPr>
      <w:tblPr/>
      <w:tcPr>
        <w:shd w:val="clear" w:color="auto" w:fill="F2F2F2" w:themeFill="background1" w:themeFillShade="F2"/>
      </w:tcPr>
    </w:tblStylePr>
    <w:tblStylePr w:type="band1Vert">
      <w:pPr>
        <w:jc w:val="right"/>
      </w:pPr>
    </w:tblStylePr>
    <w:tblStylePr w:type="band2Vert">
      <w:pPr>
        <w:jc w:val="right"/>
      </w:pPr>
    </w:tblStylePr>
    <w:tblStylePr w:type="band2Horz">
      <w:tblPr/>
      <w:tcPr>
        <w:shd w:val="clear" w:color="auto" w:fill="FFFFFF" w:themeFill="background1"/>
      </w:tcPr>
    </w:tblStylePr>
    <w:tblStylePr w:type="nwCell">
      <w:pPr>
        <w:jc w:val="left"/>
      </w:pPr>
      <w:tblPr/>
      <w:tcPr>
        <w:vAlign w:val="bottom"/>
      </w:tcPr>
    </w:tblStylePr>
  </w:style>
  <w:style w:type="table" w:customStyle="1" w:styleId="DTFtexttableindent">
    <w:name w:val="DTF text table indent"/>
    <w:basedOn w:val="DTFtexttable"/>
    <w:uiPriority w:val="99"/>
    <w:rsid w:val="00FB77DA"/>
    <w:pPr>
      <w:spacing w:after="0" w:line="240" w:lineRule="auto"/>
    </w:pPr>
    <w:tblPr>
      <w:tblInd w:w="864" w:type="dxa"/>
    </w:tblPr>
    <w:tblStylePr w:type="firstRow">
      <w:pPr>
        <w:keepNext/>
        <w:keepLines/>
        <w:widowControl/>
        <w:wordWrap/>
        <w:spacing w:beforeLines="0" w:before="120" w:beforeAutospacing="0" w:afterLines="0" w:after="30" w:afterAutospacing="0"/>
        <w:jc w:val="left"/>
      </w:pPr>
      <w:rPr>
        <w:b/>
        <w:i w:val="0"/>
        <w:color w:val="auto"/>
        <w:sz w:val="18"/>
      </w:rPr>
      <w:tblPr/>
      <w:tcPr>
        <w:shd w:val="clear" w:color="auto" w:fill="C2EBFA" w:themeFill="background2"/>
      </w:tcPr>
    </w:tblStylePr>
    <w:tblStylePr w:type="lastRow">
      <w:rPr>
        <w:b/>
      </w:rPr>
      <w:tblPr/>
      <w:tcPr>
        <w:tcBorders>
          <w:top w:val="single" w:sz="6" w:space="0" w:color="0072CE" w:themeColor="accent1"/>
          <w:left w:val="nil"/>
          <w:bottom w:val="single" w:sz="12" w:space="0" w:color="0072CE" w:themeColor="accent1"/>
          <w:right w:val="nil"/>
          <w:insideV w:val="nil"/>
        </w:tcBorders>
      </w:tcPr>
    </w:tblStylePr>
    <w:tblStylePr w:type="firstCol">
      <w:pPr>
        <w:jc w:val="left"/>
      </w:pPr>
      <w:tblPr/>
      <w:tcPr>
        <w:shd w:val="clear" w:color="auto" w:fill="F2F2F2" w:themeFill="background1" w:themeFillShade="F2"/>
      </w:tcPr>
    </w:tblStylePr>
    <w:tblStylePr w:type="lastCol">
      <w:pPr>
        <w:jc w:val="left"/>
      </w:pPr>
    </w:tblStylePr>
    <w:tblStylePr w:type="band1Vert">
      <w:pPr>
        <w:jc w:val="left"/>
      </w:pPr>
    </w:tblStylePr>
    <w:tblStylePr w:type="band2Vert">
      <w:pPr>
        <w:jc w:val="left"/>
      </w:pPr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FFFFF" w:themeFill="background1"/>
      </w:tcPr>
    </w:tblStylePr>
    <w:tblStylePr w:type="neCell">
      <w:pPr>
        <w:jc w:val="left"/>
      </w:pPr>
    </w:tblStylePr>
    <w:tblStylePr w:type="nwCell">
      <w:pPr>
        <w:jc w:val="left"/>
      </w:pPr>
    </w:tblStylePr>
    <w:tblStylePr w:type="seCell">
      <w:pPr>
        <w:jc w:val="left"/>
      </w:pPr>
    </w:tblStylePr>
    <w:tblStylePr w:type="swCell">
      <w:pPr>
        <w:jc w:val="left"/>
      </w:pPr>
    </w:tblStylePr>
  </w:style>
  <w:style w:type="paragraph" w:customStyle="1" w:styleId="Numparaindent">
    <w:name w:val="Num para indent"/>
    <w:basedOn w:val="Numpara"/>
    <w:uiPriority w:val="9"/>
    <w:qFormat/>
    <w:rsid w:val="00FB77DA"/>
    <w:pPr>
      <w:numPr>
        <w:ilvl w:val="8"/>
        <w:numId w:val="2"/>
      </w:numPr>
      <w:tabs>
        <w:tab w:val="clear" w:pos="540"/>
      </w:tabs>
    </w:pPr>
  </w:style>
  <w:style w:type="paragraph" w:customStyle="1" w:styleId="Tablenum1">
    <w:name w:val="Table num 1"/>
    <w:basedOn w:val="Normal"/>
    <w:uiPriority w:val="6"/>
    <w:rsid w:val="00FB77DA"/>
    <w:pPr>
      <w:numPr>
        <w:ilvl w:val="2"/>
        <w:numId w:val="3"/>
      </w:numPr>
      <w:spacing w:before="60" w:after="60"/>
    </w:pPr>
    <w:rPr>
      <w:sz w:val="17"/>
    </w:rPr>
  </w:style>
  <w:style w:type="paragraph" w:customStyle="1" w:styleId="Tablenum2">
    <w:name w:val="Table num 2"/>
    <w:basedOn w:val="Normal"/>
    <w:uiPriority w:val="6"/>
    <w:rsid w:val="00FB77DA"/>
    <w:pPr>
      <w:numPr>
        <w:ilvl w:val="3"/>
        <w:numId w:val="3"/>
      </w:numPr>
      <w:spacing w:before="60" w:after="60"/>
    </w:pPr>
    <w:rPr>
      <w:sz w:val="17"/>
    </w:rPr>
  </w:style>
  <w:style w:type="paragraph" w:customStyle="1" w:styleId="NoteNormalindent">
    <w:name w:val="Note Normal indent"/>
    <w:basedOn w:val="NoteNormal"/>
    <w:uiPriority w:val="9"/>
    <w:rsid w:val="00FB77DA"/>
    <w:pPr>
      <w:ind w:left="792"/>
    </w:pPr>
  </w:style>
  <w:style w:type="paragraph" w:styleId="Caption">
    <w:name w:val="caption"/>
    <w:basedOn w:val="Normal"/>
    <w:next w:val="Normal"/>
    <w:uiPriority w:val="5"/>
    <w:qFormat/>
    <w:rsid w:val="00FB77DA"/>
    <w:pPr>
      <w:spacing w:before="200" w:after="60" w:line="240" w:lineRule="auto"/>
    </w:pPr>
    <w:rPr>
      <w:b/>
      <w:bCs/>
      <w:color w:val="3A3467" w:themeColor="text2"/>
      <w:sz w:val="18"/>
      <w:szCs w:val="18"/>
    </w:rPr>
  </w:style>
  <w:style w:type="paragraph" w:customStyle="1" w:styleId="Captionindent">
    <w:name w:val="Caption indent"/>
    <w:basedOn w:val="Caption"/>
    <w:uiPriority w:val="7"/>
    <w:qFormat/>
    <w:rsid w:val="00FB77DA"/>
    <w:pPr>
      <w:spacing w:before="240"/>
      <w:ind w:left="792"/>
    </w:pPr>
  </w:style>
  <w:style w:type="paragraph" w:customStyle="1" w:styleId="CM">
    <w:name w:val="CM"/>
    <w:next w:val="Normal"/>
    <w:uiPriority w:val="79"/>
    <w:rsid w:val="00FB77DA"/>
    <w:pPr>
      <w:spacing w:after="800" w:line="240" w:lineRule="auto"/>
      <w:ind w:right="2909"/>
    </w:pPr>
    <w:rPr>
      <w:caps/>
    </w:rPr>
  </w:style>
  <w:style w:type="paragraph" w:customStyle="1" w:styleId="CoverSpacer">
    <w:name w:val="CoverSpacer"/>
    <w:basedOn w:val="Normal"/>
    <w:semiHidden/>
    <w:qFormat/>
    <w:rsid w:val="00FB77DA"/>
    <w:pPr>
      <w:spacing w:before="4600" w:after="0"/>
    </w:pPr>
  </w:style>
  <w:style w:type="character" w:styleId="FollowedHyperlink">
    <w:name w:val="FollowedHyperlink"/>
    <w:basedOn w:val="DefaultParagraphFont"/>
    <w:uiPriority w:val="99"/>
    <w:semiHidden/>
    <w:rsid w:val="00FB77DA"/>
    <w:rPr>
      <w:color w:val="808080" w:themeColor="background1" w:themeShade="80"/>
      <w:u w:val="none"/>
    </w:rPr>
  </w:style>
  <w:style w:type="character" w:customStyle="1" w:styleId="Heading5Char">
    <w:name w:val="Heading 5 Char"/>
    <w:basedOn w:val="DefaultParagraphFont"/>
    <w:link w:val="Heading5"/>
    <w:rsid w:val="00FB77DA"/>
    <w:rPr>
      <w:rFonts w:asciiTheme="majorHAnsi" w:eastAsiaTheme="majorEastAsia" w:hAnsiTheme="majorHAnsi" w:cstheme="majorBidi"/>
      <w:color w:val="3A3467" w:themeColor="text2"/>
    </w:rPr>
  </w:style>
  <w:style w:type="character" w:styleId="PlaceholderText">
    <w:name w:val="Placeholder Text"/>
    <w:basedOn w:val="DefaultParagraphFont"/>
    <w:uiPriority w:val="99"/>
    <w:semiHidden/>
    <w:rsid w:val="00FB77DA"/>
    <w:rPr>
      <w:color w:val="808080"/>
    </w:rPr>
  </w:style>
  <w:style w:type="table" w:styleId="PlainTable4">
    <w:name w:val="Plain Table 4"/>
    <w:basedOn w:val="TableNormal"/>
    <w:uiPriority w:val="44"/>
    <w:rsid w:val="00FB77D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Quote">
    <w:name w:val="Quote"/>
    <w:basedOn w:val="Normal"/>
    <w:next w:val="Normal"/>
    <w:link w:val="QuoteChar"/>
    <w:uiPriority w:val="14"/>
    <w:qFormat/>
    <w:rsid w:val="00FB77DA"/>
    <w:pPr>
      <w:pBdr>
        <w:top w:val="single" w:sz="12" w:space="6" w:color="C2EBFA" w:themeColor="background2"/>
        <w:bottom w:val="single" w:sz="12" w:space="4" w:color="C2EBFA" w:themeColor="background2"/>
      </w:pBdr>
      <w:tabs>
        <w:tab w:val="right" w:pos="8162"/>
      </w:tabs>
      <w:spacing w:before="200" w:after="200" w:line="288" w:lineRule="auto"/>
      <w:ind w:left="720" w:right="864"/>
    </w:pPr>
    <w:rPr>
      <w:i/>
      <w:iCs/>
      <w:color w:val="4B5B79" w:themeColor="text1" w:themeTint="BF"/>
      <w:sz w:val="18"/>
      <w:szCs w:val="18"/>
    </w:rPr>
  </w:style>
  <w:style w:type="character" w:customStyle="1" w:styleId="QuoteChar">
    <w:name w:val="Quote Char"/>
    <w:basedOn w:val="DefaultParagraphFont"/>
    <w:link w:val="Quote"/>
    <w:uiPriority w:val="14"/>
    <w:rsid w:val="00FB77DA"/>
    <w:rPr>
      <w:i/>
      <w:iCs/>
      <w:color w:val="4B5B79" w:themeColor="text1" w:themeTint="BF"/>
      <w:sz w:val="18"/>
      <w:szCs w:val="18"/>
    </w:rPr>
  </w:style>
  <w:style w:type="paragraph" w:customStyle="1" w:styleId="ReportDate">
    <w:name w:val="ReportDate"/>
    <w:uiPriority w:val="79"/>
    <w:rsid w:val="00FB77DA"/>
    <w:pPr>
      <w:spacing w:after="0" w:line="240" w:lineRule="auto"/>
      <w:ind w:right="2909"/>
    </w:pPr>
    <w:rPr>
      <w:b/>
      <w:bCs/>
      <w:caps/>
    </w:rPr>
  </w:style>
  <w:style w:type="paragraph" w:customStyle="1" w:styleId="Tabletextboldwhite">
    <w:name w:val="Table text bold white"/>
    <w:basedOn w:val="Tabletext"/>
    <w:qFormat/>
    <w:rsid w:val="007A3FDA"/>
    <w:rPr>
      <w:rFonts w:eastAsia="Times New Roman"/>
      <w:b/>
      <w:color w:val="FFFFFF" w:themeColor="background1"/>
    </w:rPr>
  </w:style>
  <w:style w:type="paragraph" w:customStyle="1" w:styleId="Tabletextrightbold">
    <w:name w:val="Table text right bold"/>
    <w:basedOn w:val="Tabletextright"/>
    <w:qFormat/>
    <w:rsid w:val="007A3FDA"/>
    <w:rPr>
      <w:rFonts w:eastAsia="Times New Roman"/>
      <w:b/>
      <w:color w:val="FFFFFF" w:themeColor="background1"/>
    </w:rPr>
  </w:style>
  <w:style w:type="character" w:customStyle="1" w:styleId="TabletextChar">
    <w:name w:val="Table text Char"/>
    <w:link w:val="Tabletext"/>
    <w:uiPriority w:val="5"/>
    <w:rsid w:val="00CF61ED"/>
    <w:rPr>
      <w:color w:val="232B39" w:themeColor="text1"/>
      <w:sz w:val="16"/>
    </w:rPr>
  </w:style>
  <w:style w:type="character" w:styleId="UnresolvedMention">
    <w:name w:val="Unresolved Mention"/>
    <w:basedOn w:val="DefaultParagraphFont"/>
    <w:uiPriority w:val="99"/>
    <w:rsid w:val="00FB77D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3141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14161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314161"/>
    <w:rPr>
      <w:color w:val="232B39" w:themeColor="text1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41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4161"/>
    <w:rPr>
      <w:b/>
      <w:bCs/>
      <w:color w:val="232B39" w:themeColor="text1"/>
    </w:rPr>
  </w:style>
  <w:style w:type="paragraph" w:styleId="Revision">
    <w:name w:val="Revision"/>
    <w:hidden/>
    <w:uiPriority w:val="99"/>
    <w:semiHidden/>
    <w:rsid w:val="001A29EA"/>
    <w:pPr>
      <w:spacing w:after="0" w:line="240" w:lineRule="auto"/>
    </w:pPr>
    <w:rPr>
      <w:color w:val="232B39" w:themeColor="tex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46664"/>
    <w:rPr>
      <w:rFonts w:asciiTheme="majorHAnsi" w:eastAsiaTheme="majorEastAsia" w:hAnsiTheme="majorHAnsi" w:cstheme="majorBidi"/>
      <w:i/>
      <w:iCs/>
      <w:color w:val="003866" w:themeColor="accent1" w:themeShade="7F"/>
      <w:sz w:val="17"/>
      <w:szCs w:val="24"/>
    </w:rPr>
  </w:style>
  <w:style w:type="character" w:customStyle="1" w:styleId="Heading7Char">
    <w:name w:val="Heading 7 Char"/>
    <w:basedOn w:val="DefaultParagraphFont"/>
    <w:link w:val="Heading7"/>
    <w:semiHidden/>
    <w:rsid w:val="00246664"/>
    <w:rPr>
      <w:rFonts w:asciiTheme="majorHAnsi" w:eastAsiaTheme="majorEastAsia" w:hAnsiTheme="majorHAnsi" w:cstheme="majorBidi"/>
      <w:i/>
      <w:iCs/>
      <w:color w:val="003866" w:themeColor="accent1" w:themeShade="7F"/>
      <w:sz w:val="17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46664"/>
    <w:rPr>
      <w:rFonts w:asciiTheme="majorHAnsi" w:eastAsiaTheme="majorEastAsia" w:hAnsiTheme="majorHAnsi" w:cstheme="majorBidi"/>
      <w:color w:val="4B5B79" w:themeColor="text1" w:themeTint="BF"/>
    </w:rPr>
  </w:style>
  <w:style w:type="character" w:customStyle="1" w:styleId="Heading9Char">
    <w:name w:val="Heading 9 Char"/>
    <w:basedOn w:val="DefaultParagraphFont"/>
    <w:link w:val="Heading9"/>
    <w:semiHidden/>
    <w:rsid w:val="00246664"/>
    <w:rPr>
      <w:rFonts w:asciiTheme="majorHAnsi" w:eastAsiaTheme="majorEastAsia" w:hAnsiTheme="majorHAnsi" w:cstheme="majorBidi"/>
      <w:i/>
      <w:iCs/>
      <w:color w:val="3B4860" w:themeColor="text1" w:themeTint="D8"/>
      <w:sz w:val="21"/>
      <w:szCs w:val="21"/>
    </w:rPr>
  </w:style>
  <w:style w:type="paragraph" w:customStyle="1" w:styleId="Bullet">
    <w:name w:val="Bullet"/>
    <w:basedOn w:val="Normal"/>
    <w:link w:val="BulletChar"/>
    <w:qFormat/>
    <w:rsid w:val="00246664"/>
    <w:pPr>
      <w:keepLines/>
      <w:numPr>
        <w:numId w:val="13"/>
      </w:numPr>
      <w:spacing w:before="80" w:after="80" w:line="240" w:lineRule="auto"/>
    </w:pPr>
    <w:rPr>
      <w:rFonts w:eastAsia="Times New Roman" w:cs="Times New Roman"/>
      <w:color w:val="auto"/>
      <w:sz w:val="17"/>
      <w:szCs w:val="24"/>
    </w:rPr>
  </w:style>
  <w:style w:type="character" w:customStyle="1" w:styleId="BulletChar">
    <w:name w:val="Bullet Char"/>
    <w:link w:val="Bullet"/>
    <w:rsid w:val="00246664"/>
    <w:rPr>
      <w:rFonts w:eastAsia="Times New Roman" w:cs="Times New Roman"/>
      <w:sz w:val="17"/>
      <w:szCs w:val="24"/>
    </w:rPr>
  </w:style>
  <w:style w:type="paragraph" w:customStyle="1" w:styleId="Dash">
    <w:name w:val="Dash"/>
    <w:basedOn w:val="Normal"/>
    <w:link w:val="DashChar"/>
    <w:qFormat/>
    <w:rsid w:val="00246664"/>
    <w:pPr>
      <w:keepLines/>
      <w:numPr>
        <w:ilvl w:val="1"/>
        <w:numId w:val="13"/>
      </w:numPr>
      <w:spacing w:before="60" w:after="60" w:line="240" w:lineRule="auto"/>
    </w:pPr>
    <w:rPr>
      <w:rFonts w:eastAsia="Times New Roman" w:cs="Times New Roman"/>
      <w:color w:val="auto"/>
      <w:sz w:val="17"/>
      <w:szCs w:val="24"/>
    </w:rPr>
  </w:style>
  <w:style w:type="character" w:customStyle="1" w:styleId="DashChar">
    <w:name w:val="Dash Char"/>
    <w:link w:val="Dash"/>
    <w:rsid w:val="00246664"/>
    <w:rPr>
      <w:rFonts w:eastAsia="Times New Roman" w:cs="Times New Roman"/>
      <w:sz w:val="17"/>
      <w:szCs w:val="24"/>
    </w:rPr>
  </w:style>
  <w:style w:type="character" w:customStyle="1" w:styleId="Heading1numberedChar">
    <w:name w:val="Heading 1 numbered Char"/>
    <w:basedOn w:val="Heading1Char"/>
    <w:link w:val="Heading1numbered"/>
    <w:uiPriority w:val="8"/>
    <w:rsid w:val="00246664"/>
    <w:rPr>
      <w:rFonts w:asciiTheme="majorHAnsi" w:eastAsiaTheme="majorEastAsia" w:hAnsiTheme="majorHAnsi" w:cstheme="majorBidi"/>
      <w:b/>
      <w:bCs/>
      <w:color w:val="3A3467" w:themeColor="text2"/>
      <w:sz w:val="36"/>
      <w:szCs w:val="28"/>
    </w:rPr>
  </w:style>
  <w:style w:type="paragraph" w:styleId="ListNumber">
    <w:name w:val="List Number"/>
    <w:basedOn w:val="Normal"/>
    <w:rsid w:val="00246664"/>
    <w:pPr>
      <w:keepLines/>
      <w:numPr>
        <w:numId w:val="15"/>
      </w:numPr>
      <w:tabs>
        <w:tab w:val="num" w:pos="360"/>
      </w:tabs>
      <w:spacing w:before="20" w:after="60" w:line="240" w:lineRule="auto"/>
    </w:pPr>
    <w:rPr>
      <w:rFonts w:eastAsia="Times New Roman" w:cs="Times New Roman"/>
      <w:color w:val="auto"/>
      <w:sz w:val="17"/>
      <w:szCs w:val="24"/>
    </w:rPr>
  </w:style>
  <w:style w:type="paragraph" w:customStyle="1" w:styleId="FooterEven">
    <w:name w:val="Footer Even"/>
    <w:basedOn w:val="Footer"/>
    <w:rsid w:val="00246664"/>
    <w:pPr>
      <w:keepLines/>
      <w:tabs>
        <w:tab w:val="clear" w:pos="9026"/>
        <w:tab w:val="center" w:pos="4153"/>
        <w:tab w:val="right" w:pos="8306"/>
      </w:tabs>
      <w:spacing w:before="120" w:after="120"/>
    </w:pPr>
    <w:rPr>
      <w:rFonts w:eastAsia="Times New Roman" w:cs="Times New Roman"/>
      <w:noProof w:val="0"/>
      <w:color w:val="auto"/>
      <w:sz w:val="16"/>
      <w:szCs w:val="16"/>
    </w:rPr>
  </w:style>
  <w:style w:type="paragraph" w:customStyle="1" w:styleId="Notes">
    <w:name w:val="Notes"/>
    <w:basedOn w:val="Normal"/>
    <w:link w:val="NotesChar"/>
    <w:qFormat/>
    <w:rsid w:val="00246664"/>
    <w:pPr>
      <w:keepLines/>
      <w:spacing w:before="60" w:after="60" w:line="240" w:lineRule="auto"/>
    </w:pPr>
    <w:rPr>
      <w:rFonts w:eastAsia="Times New Roman" w:cs="AGaramondPro-Regular"/>
      <w:color w:val="4A4A4A"/>
      <w:sz w:val="14"/>
      <w:szCs w:val="18"/>
    </w:rPr>
  </w:style>
  <w:style w:type="character" w:customStyle="1" w:styleId="NotesChar">
    <w:name w:val="Notes Char"/>
    <w:link w:val="Notes"/>
    <w:locked/>
    <w:rsid w:val="00246664"/>
    <w:rPr>
      <w:rFonts w:eastAsia="Times New Roman" w:cs="AGaramondPro-Regular"/>
      <w:color w:val="4A4A4A"/>
      <w:sz w:val="14"/>
      <w:szCs w:val="18"/>
    </w:rPr>
  </w:style>
  <w:style w:type="paragraph" w:customStyle="1" w:styleId="Tabletextheadingleft">
    <w:name w:val="Table text heading left"/>
    <w:basedOn w:val="Tabletextcentred"/>
    <w:rsid w:val="00246664"/>
    <w:pPr>
      <w:keepLines/>
      <w:spacing w:before="40" w:after="40" w:line="240" w:lineRule="auto"/>
      <w:jc w:val="left"/>
    </w:pPr>
    <w:rPr>
      <w:rFonts w:asciiTheme="majorHAnsi" w:eastAsia="Times New Roman" w:hAnsiTheme="majorHAnsi" w:cs="Times New Roman"/>
      <w:color w:val="4D4D4D"/>
      <w:szCs w:val="24"/>
    </w:rPr>
  </w:style>
  <w:style w:type="paragraph" w:customStyle="1" w:styleId="Tabletextheadingright">
    <w:name w:val="Table text heading right"/>
    <w:basedOn w:val="Tabletextheadingleft"/>
    <w:qFormat/>
    <w:rsid w:val="00246664"/>
    <w:pPr>
      <w:jc w:val="right"/>
    </w:pPr>
  </w:style>
  <w:style w:type="paragraph" w:customStyle="1" w:styleId="Tabletextheadingcentred">
    <w:name w:val="Table text heading centred"/>
    <w:basedOn w:val="Tabletextheadingleft"/>
    <w:rsid w:val="00246664"/>
    <w:pPr>
      <w:jc w:val="center"/>
    </w:pPr>
  </w:style>
  <w:style w:type="paragraph" w:customStyle="1" w:styleId="PageNumberLeft">
    <w:name w:val="Page Number Left"/>
    <w:basedOn w:val="Normal"/>
    <w:rsid w:val="00246664"/>
    <w:pPr>
      <w:keepLines/>
      <w:tabs>
        <w:tab w:val="center" w:pos="4153"/>
        <w:tab w:val="right" w:pos="8306"/>
      </w:tabs>
      <w:spacing w:line="240" w:lineRule="auto"/>
    </w:pPr>
    <w:rPr>
      <w:rFonts w:ascii="Calibri" w:eastAsia="Times New Roman" w:hAnsi="Calibri" w:cs="Times New Roman"/>
      <w:color w:val="auto"/>
      <w:sz w:val="16"/>
      <w:szCs w:val="16"/>
    </w:rPr>
  </w:style>
  <w:style w:type="paragraph" w:customStyle="1" w:styleId="TargetMet">
    <w:name w:val="TargetMet"/>
    <w:basedOn w:val="Normal"/>
    <w:qFormat/>
    <w:rsid w:val="00246664"/>
    <w:pPr>
      <w:keepLines/>
      <w:numPr>
        <w:numId w:val="5"/>
      </w:numPr>
      <w:spacing w:before="30" w:after="30" w:line="240" w:lineRule="auto"/>
      <w:jc w:val="right"/>
    </w:pPr>
    <w:rPr>
      <w:rFonts w:eastAsia="Times New Roman" w:cs="Times New Roman"/>
      <w:color w:val="4D4D4D"/>
      <w:sz w:val="16"/>
      <w:szCs w:val="24"/>
    </w:rPr>
  </w:style>
  <w:style w:type="paragraph" w:customStyle="1" w:styleId="TargetNotMet5">
    <w:name w:val="TargetNotMet&lt;5"/>
    <w:basedOn w:val="Normal"/>
    <w:qFormat/>
    <w:rsid w:val="00246664"/>
    <w:pPr>
      <w:keepLines/>
      <w:numPr>
        <w:ilvl w:val="1"/>
        <w:numId w:val="5"/>
      </w:numPr>
      <w:spacing w:before="30" w:after="30" w:line="240" w:lineRule="auto"/>
      <w:jc w:val="right"/>
    </w:pPr>
    <w:rPr>
      <w:rFonts w:eastAsia="Times New Roman" w:cs="Times New Roman"/>
      <w:color w:val="4D4D4D"/>
      <w:sz w:val="16"/>
      <w:szCs w:val="24"/>
    </w:rPr>
  </w:style>
  <w:style w:type="paragraph" w:customStyle="1" w:styleId="TargetNotMet50">
    <w:name w:val="TargetNotMet&gt;5"/>
    <w:basedOn w:val="Normal"/>
    <w:qFormat/>
    <w:rsid w:val="00246664"/>
    <w:pPr>
      <w:keepLines/>
      <w:numPr>
        <w:ilvl w:val="2"/>
        <w:numId w:val="5"/>
      </w:numPr>
      <w:spacing w:before="30" w:after="30" w:line="240" w:lineRule="auto"/>
      <w:jc w:val="right"/>
    </w:pPr>
    <w:rPr>
      <w:rFonts w:eastAsia="Times New Roman" w:cs="Times New Roman"/>
      <w:color w:val="4D4D4D"/>
      <w:sz w:val="16"/>
      <w:szCs w:val="24"/>
    </w:rPr>
  </w:style>
  <w:style w:type="table" w:styleId="TableColumns3">
    <w:name w:val="Table Columns 3"/>
    <w:basedOn w:val="TableNormal"/>
    <w:uiPriority w:val="99"/>
    <w:rsid w:val="00246664"/>
    <w:pPr>
      <w:spacing w:before="100" w:after="100" w:line="264" w:lineRule="auto"/>
    </w:pPr>
    <w:rPr>
      <w:rFonts w:ascii="Times New Roman" w:eastAsia="Times New Roman" w:hAnsi="Times New Roman" w:cs="Times New Roman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AnnualReporttexttable">
    <w:name w:val="Annual Report text table"/>
    <w:basedOn w:val="TableNormal"/>
    <w:uiPriority w:val="99"/>
    <w:rsid w:val="00246664"/>
    <w:pPr>
      <w:spacing w:before="30" w:after="30" w:line="240" w:lineRule="auto"/>
    </w:pPr>
    <w:rPr>
      <w:rFonts w:eastAsia="Times New Roman" w:cs="Times New Roman"/>
      <w:color w:val="4D4D4D"/>
      <w:sz w:val="16"/>
    </w:rPr>
    <w:tblPr>
      <w:tblStyleColBandSize w:val="1"/>
    </w:tblPr>
    <w:trPr>
      <w:cantSplit/>
    </w:trPr>
    <w:tcPr>
      <w:shd w:val="clear" w:color="auto" w:fill="FFFFFF" w:themeFill="background1"/>
    </w:tcPr>
    <w:tblStylePr w:type="firstRow">
      <w:pPr>
        <w:jc w:val="right"/>
      </w:pPr>
      <w:rPr>
        <w:b/>
        <w:color w:val="4D4D4D"/>
        <w:sz w:val="16"/>
      </w:rPr>
    </w:tblStylePr>
    <w:tblStylePr w:type="firstCol">
      <w:pPr>
        <w:jc w:val="left"/>
      </w:pPr>
    </w:tblStylePr>
    <w:tblStylePr w:type="band1Vert">
      <w:tblPr/>
      <w:tcPr>
        <w:shd w:val="clear" w:color="auto" w:fill="E0E0E0"/>
      </w:tcPr>
    </w:tblStylePr>
    <w:tblStylePr w:type="band2Vert">
      <w:rPr>
        <w:color w:val="auto"/>
      </w:rPr>
    </w:tblStylePr>
  </w:style>
  <w:style w:type="table" w:customStyle="1" w:styleId="AnnualReportfinancialtable">
    <w:name w:val="Annual Report financial table"/>
    <w:basedOn w:val="TableNormal"/>
    <w:uiPriority w:val="99"/>
    <w:rsid w:val="00246664"/>
    <w:pPr>
      <w:spacing w:before="30" w:after="30" w:line="240" w:lineRule="auto"/>
      <w:jc w:val="right"/>
    </w:pPr>
    <w:rPr>
      <w:rFonts w:eastAsia="Times New Roman" w:cs="Times New Roman"/>
      <w:color w:val="4D4D4D"/>
      <w:sz w:val="16"/>
    </w:rPr>
    <w:tblPr>
      <w:tblStyleRowBandSize w:val="1"/>
      <w:tblStyleColBandSize w:val="1"/>
      <w:tblCellMar>
        <w:left w:w="86" w:type="dxa"/>
        <w:right w:w="86" w:type="dxa"/>
      </w:tblCellMar>
    </w:tblPr>
    <w:trPr>
      <w:cantSplit/>
    </w:trPr>
    <w:tblStylePr w:type="firstRow">
      <w:rPr>
        <w:b w:val="0"/>
      </w:rPr>
      <w:tblPr/>
      <w:tcPr>
        <w:shd w:val="clear" w:color="auto" w:fill="FFFFFF" w:themeFill="background1"/>
      </w:tcPr>
    </w:tblStylePr>
    <w:tblStylePr w:type="firstCol">
      <w:pPr>
        <w:jc w:val="left"/>
      </w:pPr>
    </w:tblStylePr>
    <w:tblStylePr w:type="band1Vert">
      <w:tblPr/>
      <w:tcPr>
        <w:shd w:val="clear" w:color="auto" w:fill="E0E0E0"/>
      </w:tcPr>
    </w:tblStylePr>
    <w:tblStylePr w:type="band2Vert">
      <w:rPr>
        <w:color w:val="auto"/>
      </w:rPr>
      <w:tblPr/>
      <w:tcPr>
        <w:shd w:val="clear" w:color="auto" w:fill="FFFFFF" w:themeFill="background1"/>
      </w:tcPr>
    </w:tblStylePr>
  </w:style>
  <w:style w:type="paragraph" w:customStyle="1" w:styleId="Heading1a">
    <w:name w:val="Heading 1a"/>
    <w:basedOn w:val="Heading1"/>
    <w:qFormat/>
    <w:rsid w:val="00246664"/>
    <w:pPr>
      <w:tabs>
        <w:tab w:val="left" w:pos="5180"/>
      </w:tabs>
      <w:spacing w:before="120" w:after="120" w:line="216" w:lineRule="auto"/>
    </w:pPr>
    <w:rPr>
      <w:rFonts w:eastAsia="Times New Roman" w:cs="Times New Roman"/>
      <w:b w:val="0"/>
      <w:bCs w:val="0"/>
      <w:color w:val="4C4C4C"/>
      <w:sz w:val="40"/>
      <w:szCs w:val="48"/>
    </w:rPr>
  </w:style>
  <w:style w:type="character" w:customStyle="1" w:styleId="TabletextrightChar">
    <w:name w:val="Table text right Char"/>
    <w:link w:val="Tabletextright"/>
    <w:uiPriority w:val="5"/>
    <w:rsid w:val="00246664"/>
    <w:rPr>
      <w:color w:val="232B39" w:themeColor="text1"/>
      <w:sz w:val="16"/>
    </w:rPr>
  </w:style>
  <w:style w:type="paragraph" w:customStyle="1" w:styleId="Tableheading">
    <w:name w:val="Table heading"/>
    <w:basedOn w:val="Normal"/>
    <w:link w:val="TableheadingChar"/>
    <w:qFormat/>
    <w:rsid w:val="00246664"/>
    <w:pPr>
      <w:keepNext/>
      <w:keepLines/>
      <w:tabs>
        <w:tab w:val="right" w:pos="9605"/>
      </w:tabs>
      <w:spacing w:before="30" w:after="30"/>
    </w:pPr>
    <w:rPr>
      <w:rFonts w:asciiTheme="majorHAnsi" w:eastAsia="Times New Roman" w:hAnsiTheme="majorHAnsi" w:cs="Times New Roman"/>
      <w:color w:val="4D4D4D"/>
      <w:sz w:val="17"/>
      <w:szCs w:val="24"/>
    </w:rPr>
  </w:style>
  <w:style w:type="character" w:customStyle="1" w:styleId="TableheadingChar">
    <w:name w:val="Table heading Char"/>
    <w:link w:val="Tableheading"/>
    <w:rsid w:val="00246664"/>
    <w:rPr>
      <w:rFonts w:asciiTheme="majorHAnsi" w:eastAsia="Times New Roman" w:hAnsiTheme="majorHAnsi" w:cs="Times New Roman"/>
      <w:color w:val="4D4D4D"/>
      <w:sz w:val="17"/>
      <w:szCs w:val="24"/>
    </w:rPr>
  </w:style>
  <w:style w:type="paragraph" w:customStyle="1" w:styleId="Tabletextbold">
    <w:name w:val="Table text bold"/>
    <w:basedOn w:val="Tabletext"/>
    <w:qFormat/>
    <w:rsid w:val="00246664"/>
    <w:pPr>
      <w:keepLines/>
      <w:spacing w:before="30" w:after="30" w:line="240" w:lineRule="auto"/>
    </w:pPr>
    <w:rPr>
      <w:rFonts w:asciiTheme="majorHAnsi" w:eastAsia="Times New Roman" w:hAnsiTheme="majorHAnsi" w:cs="Times New Roman"/>
      <w:color w:val="4D4D4D"/>
      <w:sz w:val="15"/>
      <w:szCs w:val="24"/>
    </w:rPr>
  </w:style>
  <w:style w:type="paragraph" w:customStyle="1" w:styleId="Heading1App">
    <w:name w:val="Heading 1 App"/>
    <w:basedOn w:val="Heading1a"/>
    <w:qFormat/>
    <w:rsid w:val="00246664"/>
    <w:pPr>
      <w:tabs>
        <w:tab w:val="clear" w:pos="5180"/>
        <w:tab w:val="left" w:pos="2430"/>
      </w:tabs>
      <w:spacing w:before="100" w:after="160"/>
    </w:pPr>
    <w:rPr>
      <w:rFonts w:cstheme="minorHAnsi"/>
    </w:rPr>
  </w:style>
  <w:style w:type="paragraph" w:customStyle="1" w:styleId="Footerodd">
    <w:name w:val="Footer (odd)"/>
    <w:basedOn w:val="Normal"/>
    <w:uiPriority w:val="84"/>
    <w:rsid w:val="00246664"/>
    <w:pPr>
      <w:keepLines/>
      <w:pBdr>
        <w:top w:val="single" w:sz="6" w:space="1" w:color="auto"/>
      </w:pBdr>
      <w:tabs>
        <w:tab w:val="center" w:pos="4876"/>
        <w:tab w:val="right" w:pos="7710"/>
      </w:tabs>
      <w:spacing w:before="0" w:line="240" w:lineRule="auto"/>
    </w:pPr>
    <w:rPr>
      <w:rFonts w:asciiTheme="majorHAnsi" w:eastAsia="Times New Roman" w:hAnsiTheme="majorHAnsi" w:cs="Times New Roman"/>
      <w:color w:val="auto"/>
      <w:sz w:val="18"/>
      <w:lang w:eastAsia="en-US"/>
    </w:rPr>
  </w:style>
  <w:style w:type="paragraph" w:customStyle="1" w:styleId="NoteDash">
    <w:name w:val="Note Dash"/>
    <w:basedOn w:val="Normal"/>
    <w:next w:val="Normal"/>
    <w:uiPriority w:val="53"/>
    <w:rsid w:val="00246664"/>
    <w:pPr>
      <w:keepLines/>
      <w:spacing w:before="20" w:line="240" w:lineRule="auto"/>
      <w:ind w:left="568" w:hanging="284"/>
      <w:contextualSpacing/>
    </w:pPr>
    <w:rPr>
      <w:rFonts w:eastAsia="Times New Roman" w:cs="Times New Roman"/>
      <w:i/>
      <w:color w:val="auto"/>
      <w:spacing w:val="-2"/>
      <w:sz w:val="14"/>
      <w:lang w:eastAsia="en-US"/>
    </w:rPr>
  </w:style>
  <w:style w:type="paragraph" w:customStyle="1" w:styleId="Tabletextnotes">
    <w:name w:val="Table text notes"/>
    <w:basedOn w:val="Tabletext"/>
    <w:qFormat/>
    <w:rsid w:val="00246664"/>
    <w:pPr>
      <w:keepLines/>
      <w:spacing w:before="30" w:line="240" w:lineRule="auto"/>
      <w:ind w:left="144"/>
    </w:pPr>
    <w:rPr>
      <w:rFonts w:eastAsia="Times New Roman" w:cs="Times New Roman"/>
      <w:color w:val="4D4D4D"/>
      <w:sz w:val="13"/>
      <w:szCs w:val="24"/>
    </w:rPr>
  </w:style>
  <w:style w:type="paragraph" w:customStyle="1" w:styleId="Normalhanging">
    <w:name w:val="Normal hanging"/>
    <w:basedOn w:val="Normal"/>
    <w:qFormat/>
    <w:rsid w:val="00246664"/>
    <w:pPr>
      <w:keepLines/>
      <w:spacing w:line="240" w:lineRule="auto"/>
      <w:ind w:left="360" w:hanging="360"/>
    </w:pPr>
    <w:rPr>
      <w:rFonts w:eastAsia="Times New Roman" w:cs="Times New Roman"/>
      <w:color w:val="000000"/>
      <w:sz w:val="17"/>
      <w:szCs w:val="24"/>
    </w:rPr>
  </w:style>
  <w:style w:type="paragraph" w:customStyle="1" w:styleId="Tabletexthanging">
    <w:name w:val="Table text hanging"/>
    <w:basedOn w:val="Tabletext"/>
    <w:qFormat/>
    <w:rsid w:val="00246664"/>
    <w:pPr>
      <w:keepLines/>
      <w:spacing w:before="30" w:after="30" w:line="240" w:lineRule="auto"/>
      <w:ind w:left="630" w:hanging="270"/>
    </w:pPr>
    <w:rPr>
      <w:rFonts w:eastAsia="Times New Roman" w:cs="Times New Roman"/>
      <w:color w:val="4D4D4D"/>
      <w:sz w:val="15"/>
      <w:szCs w:val="24"/>
    </w:rPr>
  </w:style>
  <w:style w:type="paragraph" w:styleId="TOC9">
    <w:name w:val="toc 9"/>
    <w:basedOn w:val="Normal"/>
    <w:next w:val="Normal"/>
    <w:autoRedefine/>
    <w:uiPriority w:val="39"/>
    <w:rsid w:val="00246664"/>
    <w:pPr>
      <w:keepLines/>
      <w:spacing w:after="100" w:line="240" w:lineRule="auto"/>
      <w:ind w:left="1360"/>
    </w:pPr>
    <w:rPr>
      <w:rFonts w:eastAsia="Times New Roman" w:cs="Times New Roman"/>
      <w:color w:val="auto"/>
      <w:sz w:val="17"/>
      <w:szCs w:val="24"/>
    </w:rPr>
  </w:style>
  <w:style w:type="paragraph" w:customStyle="1" w:styleId="FooterEvenpage">
    <w:name w:val="Footer (Even page)"/>
    <w:basedOn w:val="Footer"/>
    <w:uiPriority w:val="98"/>
    <w:qFormat/>
    <w:rsid w:val="00246664"/>
    <w:pPr>
      <w:keepLines/>
      <w:pBdr>
        <w:top w:val="single" w:sz="6" w:space="1" w:color="0072CE" w:themeColor="accent1"/>
      </w:pBdr>
      <w:tabs>
        <w:tab w:val="clear" w:pos="9026"/>
        <w:tab w:val="center" w:pos="3686"/>
        <w:tab w:val="right" w:pos="9639"/>
      </w:tabs>
      <w:spacing w:line="264" w:lineRule="auto"/>
    </w:pPr>
    <w:rPr>
      <w:rFonts w:asciiTheme="majorHAnsi" w:eastAsiaTheme="minorHAnsi" w:hAnsiTheme="majorHAnsi"/>
      <w:noProof w:val="0"/>
      <w:color w:val="auto"/>
      <w:szCs w:val="22"/>
      <w:lang w:eastAsia="en-US"/>
    </w:rPr>
  </w:style>
  <w:style w:type="paragraph" w:customStyle="1" w:styleId="Heading1b">
    <w:name w:val="Heading 1b"/>
    <w:basedOn w:val="Heading1App"/>
    <w:qFormat/>
    <w:rsid w:val="00246664"/>
    <w:rPr>
      <w:sz w:val="30"/>
    </w:rPr>
  </w:style>
  <w:style w:type="paragraph" w:styleId="TOC7">
    <w:name w:val="toc 7"/>
    <w:basedOn w:val="Normal"/>
    <w:next w:val="Normal"/>
    <w:autoRedefine/>
    <w:uiPriority w:val="39"/>
    <w:unhideWhenUsed/>
    <w:rsid w:val="00246664"/>
    <w:pPr>
      <w:keepLines/>
      <w:spacing w:before="0" w:after="100" w:line="276" w:lineRule="auto"/>
      <w:ind w:left="1320"/>
    </w:pPr>
    <w:rPr>
      <w:color w:val="auto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246664"/>
    <w:pPr>
      <w:keepLines/>
      <w:spacing w:before="0" w:after="100" w:line="276" w:lineRule="auto"/>
      <w:ind w:left="1540"/>
    </w:pPr>
    <w:rPr>
      <w:color w:val="auto"/>
      <w:sz w:val="22"/>
      <w:szCs w:val="22"/>
    </w:rPr>
  </w:style>
  <w:style w:type="paragraph" w:customStyle="1" w:styleId="HeadingFin">
    <w:name w:val="Heading Fin"/>
    <w:basedOn w:val="Heading1a"/>
    <w:qFormat/>
    <w:rsid w:val="00246664"/>
  </w:style>
  <w:style w:type="paragraph" w:customStyle="1" w:styleId="Tabletextmeasure">
    <w:name w:val="Table text measure"/>
    <w:basedOn w:val="Tabletext"/>
    <w:qFormat/>
    <w:rsid w:val="00246664"/>
    <w:pPr>
      <w:keepNext/>
      <w:keepLines/>
      <w:spacing w:after="30" w:line="240" w:lineRule="auto"/>
    </w:pPr>
    <w:rPr>
      <w:rFonts w:eastAsia="Times New Roman" w:cs="Times New Roman"/>
      <w:b/>
      <w:color w:val="4D4D4D"/>
      <w:szCs w:val="24"/>
    </w:rPr>
  </w:style>
  <w:style w:type="table" w:styleId="TableColumns1">
    <w:name w:val="Table Columns 1"/>
    <w:basedOn w:val="TableNormal"/>
    <w:uiPriority w:val="99"/>
    <w:rsid w:val="00246664"/>
    <w:pPr>
      <w:spacing w:before="120" w:after="120" w:line="240" w:lineRule="auto"/>
    </w:pPr>
    <w:rPr>
      <w:rFonts w:ascii="Times New Roman" w:eastAsia="Times New Roman" w:hAnsi="Times New Roman" w:cs="Times New Roman"/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textheading">
    <w:name w:val="Table text heading"/>
    <w:basedOn w:val="Tabletextright"/>
    <w:qFormat/>
    <w:rsid w:val="00246664"/>
    <w:pPr>
      <w:keepLines/>
      <w:spacing w:before="30" w:after="30" w:line="240" w:lineRule="auto"/>
    </w:pPr>
    <w:rPr>
      <w:rFonts w:asciiTheme="majorHAnsi" w:eastAsia="Times New Roman" w:hAnsiTheme="majorHAnsi" w:cs="Times New Roman"/>
      <w:color w:val="4D4D4D"/>
      <w:sz w:val="15"/>
      <w:szCs w:val="18"/>
    </w:rPr>
  </w:style>
  <w:style w:type="paragraph" w:customStyle="1" w:styleId="Normalbold">
    <w:name w:val="Normal bold"/>
    <w:basedOn w:val="Normal"/>
    <w:qFormat/>
    <w:rsid w:val="00246664"/>
    <w:pPr>
      <w:keepNext/>
      <w:keepLines/>
      <w:spacing w:before="240" w:line="240" w:lineRule="auto"/>
    </w:pPr>
    <w:rPr>
      <w:rFonts w:asciiTheme="majorHAnsi" w:eastAsia="Times New Roman" w:hAnsiTheme="majorHAnsi" w:cs="Times New Roman"/>
      <w:color w:val="auto"/>
      <w:sz w:val="17"/>
      <w:szCs w:val="2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246664"/>
    <w:pPr>
      <w:keepLines/>
      <w:spacing w:line="480" w:lineRule="auto"/>
      <w:ind w:left="283"/>
    </w:pPr>
    <w:rPr>
      <w:rFonts w:eastAsia="Times New Roman" w:cs="Times New Roman"/>
      <w:color w:val="auto"/>
      <w:sz w:val="17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246664"/>
    <w:rPr>
      <w:rFonts w:eastAsia="Times New Roman" w:cs="Times New Roman"/>
      <w:sz w:val="17"/>
      <w:szCs w:val="24"/>
    </w:rPr>
  </w:style>
  <w:style w:type="paragraph" w:customStyle="1" w:styleId="Tabletextheadingrightbold">
    <w:name w:val="Table text heading right bold"/>
    <w:basedOn w:val="Tabletextheadingright"/>
    <w:qFormat/>
    <w:rsid w:val="00246664"/>
  </w:style>
  <w:style w:type="paragraph" w:customStyle="1" w:styleId="Tabletextnotesbullet">
    <w:name w:val="Table text notes bullet"/>
    <w:basedOn w:val="Tabletextnotes"/>
    <w:qFormat/>
    <w:rsid w:val="00246664"/>
    <w:pPr>
      <w:numPr>
        <w:numId w:val="6"/>
      </w:numPr>
    </w:pPr>
  </w:style>
  <w:style w:type="numbering" w:customStyle="1" w:styleId="NumberedHeadings">
    <w:name w:val="Numbered Headings"/>
    <w:uiPriority w:val="99"/>
    <w:rsid w:val="00246664"/>
    <w:pPr>
      <w:numPr>
        <w:numId w:val="7"/>
      </w:numPr>
    </w:pPr>
  </w:style>
  <w:style w:type="paragraph" w:customStyle="1" w:styleId="Heading1Fin">
    <w:name w:val="Heading 1 Fin"/>
    <w:basedOn w:val="Heading1"/>
    <w:link w:val="Heading1FinChar"/>
    <w:rsid w:val="00246664"/>
    <w:pPr>
      <w:numPr>
        <w:ilvl w:val="1"/>
        <w:numId w:val="12"/>
      </w:numPr>
      <w:tabs>
        <w:tab w:val="clear" w:pos="1440"/>
        <w:tab w:val="num" w:pos="926"/>
        <w:tab w:val="left" w:pos="5180"/>
      </w:tabs>
      <w:spacing w:before="120" w:after="120" w:line="240" w:lineRule="auto"/>
      <w:ind w:left="926" w:hanging="360"/>
    </w:pPr>
    <w:rPr>
      <w:rFonts w:eastAsia="Times New Roman" w:cs="Times New Roman"/>
      <w:b w:val="0"/>
      <w:bCs w:val="0"/>
      <w:color w:val="4C4C4C"/>
      <w:sz w:val="44"/>
      <w:szCs w:val="48"/>
    </w:rPr>
  </w:style>
  <w:style w:type="paragraph" w:customStyle="1" w:styleId="Heading2Notes">
    <w:name w:val="Heading 2 Notes"/>
    <w:basedOn w:val="Heading2"/>
    <w:rsid w:val="00246664"/>
    <w:pPr>
      <w:tabs>
        <w:tab w:val="left" w:pos="5180"/>
      </w:tabs>
      <w:spacing w:before="120" w:after="120" w:line="240" w:lineRule="auto"/>
      <w:ind w:left="1080" w:hanging="1080"/>
    </w:pPr>
    <w:rPr>
      <w:rFonts w:eastAsia="Times New Roman" w:cstheme="minorHAnsi"/>
      <w:b w:val="0"/>
      <w:bCs w:val="0"/>
      <w:color w:val="404040"/>
      <w:sz w:val="26"/>
      <w:szCs w:val="28"/>
    </w:rPr>
  </w:style>
  <w:style w:type="paragraph" w:customStyle="1" w:styleId="Heading2Notescontinued">
    <w:name w:val="Heading 2 Notes continued"/>
    <w:basedOn w:val="Heading2Notes"/>
    <w:rsid w:val="00246664"/>
    <w:pPr>
      <w:numPr>
        <w:ilvl w:val="2"/>
        <w:numId w:val="12"/>
      </w:numPr>
      <w:tabs>
        <w:tab w:val="clear" w:pos="2160"/>
        <w:tab w:val="num" w:pos="926"/>
      </w:tabs>
      <w:ind w:left="720" w:hanging="360"/>
    </w:pPr>
  </w:style>
  <w:style w:type="character" w:customStyle="1" w:styleId="Heading1FinChar">
    <w:name w:val="Heading 1 Fin Char"/>
    <w:basedOn w:val="Heading1Char"/>
    <w:link w:val="Heading1Fin"/>
    <w:rsid w:val="00246664"/>
    <w:rPr>
      <w:rFonts w:asciiTheme="majorHAnsi" w:eastAsia="Times New Roman" w:hAnsiTheme="majorHAnsi" w:cs="Times New Roman"/>
      <w:b w:val="0"/>
      <w:bCs w:val="0"/>
      <w:color w:val="4C4C4C"/>
      <w:sz w:val="44"/>
      <w:szCs w:val="48"/>
    </w:rPr>
  </w:style>
  <w:style w:type="character" w:customStyle="1" w:styleId="CommentTextChar1">
    <w:name w:val="Comment Text Char1"/>
    <w:basedOn w:val="DefaultParagraphFont"/>
    <w:uiPriority w:val="99"/>
    <w:semiHidden/>
    <w:rsid w:val="00246664"/>
    <w:rPr>
      <w:rFonts w:asciiTheme="minorHAnsi" w:hAnsiTheme="minorHAnsi"/>
    </w:rPr>
  </w:style>
  <w:style w:type="character" w:customStyle="1" w:styleId="CommentSubjectChar1">
    <w:name w:val="Comment Subject Char1"/>
    <w:basedOn w:val="CommentTextChar1"/>
    <w:uiPriority w:val="99"/>
    <w:semiHidden/>
    <w:rsid w:val="00246664"/>
    <w:rPr>
      <w:rFonts w:asciiTheme="minorHAnsi" w:hAnsiTheme="minorHAnsi"/>
      <w:b/>
      <w:bCs/>
    </w:rPr>
  </w:style>
  <w:style w:type="table" w:customStyle="1" w:styleId="DTFTextTable0">
    <w:name w:val="DTF Text Table"/>
    <w:basedOn w:val="TableNormal"/>
    <w:uiPriority w:val="99"/>
    <w:rsid w:val="00246664"/>
    <w:pPr>
      <w:spacing w:before="60" w:after="60" w:line="216" w:lineRule="auto"/>
    </w:pPr>
    <w:rPr>
      <w:rFonts w:asciiTheme="majorHAnsi" w:eastAsiaTheme="minorHAnsi" w:hAnsiTheme="majorHAnsi"/>
      <w:sz w:val="18"/>
      <w:szCs w:val="22"/>
      <w:lang w:eastAsia="en-US"/>
    </w:rPr>
    <w:tblPr>
      <w:tblStyleRowBandSize w:val="1"/>
      <w:tblInd w:w="28" w:type="dxa"/>
      <w:tblBorders>
        <w:bottom w:val="single" w:sz="12" w:space="0" w:color="auto"/>
      </w:tblBorders>
      <w:tblCellMar>
        <w:left w:w="57" w:type="dxa"/>
        <w:right w:w="57" w:type="dxa"/>
      </w:tblCellMar>
    </w:tblPr>
    <w:trPr>
      <w:cantSplit/>
    </w:trPr>
    <w:tblStylePr w:type="firstRow">
      <w:pPr>
        <w:wordWrap/>
        <w:spacing w:beforeLines="0" w:before="20" w:beforeAutospacing="0" w:afterLines="0" w:after="20" w:afterAutospacing="0" w:line="240" w:lineRule="auto"/>
        <w:jc w:val="left"/>
      </w:pPr>
      <w:rPr>
        <w:i/>
      </w:rPr>
      <w:tblPr/>
      <w:trPr>
        <w:cantSplit w:val="0"/>
      </w:trPr>
      <w:tcPr>
        <w:shd w:val="clear" w:color="auto" w:fill="232B39" w:themeFill="text1"/>
        <w:vAlign w:val="bottom"/>
      </w:tcPr>
    </w:tblStylePr>
    <w:tblStylePr w:type="lastRow">
      <w:rPr>
        <w:b w:val="0"/>
      </w:rPr>
      <w:tblPr/>
      <w:tcPr>
        <w:tcBorders>
          <w:top w:val="single" w:sz="6" w:space="0" w:color="232B39" w:themeColor="text1"/>
          <w:left w:val="nil"/>
          <w:bottom w:val="single" w:sz="12" w:space="0" w:color="232B39" w:themeColor="text1"/>
          <w:right w:val="nil"/>
          <w:insideH w:val="nil"/>
          <w:insideV w:val="nil"/>
          <w:tl2br w:val="nil"/>
          <w:tr2bl w:val="nil"/>
        </w:tcBorders>
        <w:shd w:val="clear" w:color="auto" w:fill="5AC8F1" w:themeFill="background2" w:themeFillShade="BF"/>
      </w:tcPr>
    </w:tblStylePr>
    <w:tblStylePr w:type="firstCol">
      <w:pPr>
        <w:wordWrap/>
        <w:spacing w:line="240" w:lineRule="auto"/>
        <w:ind w:leftChars="0" w:left="170" w:rightChars="0" w:right="0" w:firstLineChars="0" w:hanging="170"/>
        <w:jc w:val="left"/>
      </w:pPr>
    </w:tblStylePr>
    <w:tblStylePr w:type="lastCol">
      <w:rPr>
        <w:b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C2EBFA" w:themeFill="background2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5AC8F1" w:themeFill="background2" w:themeFillShade="BF"/>
      </w:tcPr>
    </w:tblStylePr>
  </w:style>
  <w:style w:type="paragraph" w:styleId="BodyText2">
    <w:name w:val="Body Text 2"/>
    <w:basedOn w:val="Normal"/>
    <w:link w:val="BodyText2Char"/>
    <w:uiPriority w:val="99"/>
    <w:semiHidden/>
    <w:unhideWhenUsed/>
    <w:rsid w:val="00246664"/>
    <w:pPr>
      <w:keepLines/>
      <w:spacing w:line="480" w:lineRule="auto"/>
    </w:pPr>
    <w:rPr>
      <w:rFonts w:eastAsia="Times New Roman" w:cs="Times New Roman"/>
      <w:color w:val="auto"/>
      <w:sz w:val="17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246664"/>
    <w:rPr>
      <w:rFonts w:eastAsia="Times New Roman" w:cs="Times New Roman"/>
      <w:sz w:val="17"/>
      <w:szCs w:val="24"/>
    </w:rPr>
  </w:style>
  <w:style w:type="table" w:styleId="TableElegant">
    <w:name w:val="Table Elegant"/>
    <w:basedOn w:val="TableNormal"/>
    <w:uiPriority w:val="99"/>
    <w:semiHidden/>
    <w:unhideWhenUsed/>
    <w:rsid w:val="00246664"/>
    <w:pPr>
      <w:spacing w:before="120" w:after="120" w:line="240" w:lineRule="auto"/>
    </w:pPr>
    <w:rPr>
      <w:rFonts w:ascii="Times New Roman" w:eastAsia="Times New Roman" w:hAnsi="Times New Roman" w:cs="Times New Roman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Note">
    <w:name w:val="Note"/>
    <w:basedOn w:val="Normal"/>
    <w:link w:val="NoteChar"/>
    <w:uiPriority w:val="52"/>
    <w:qFormat/>
    <w:rsid w:val="00246664"/>
    <w:pPr>
      <w:keepLines/>
      <w:spacing w:before="20" w:after="0" w:line="240" w:lineRule="auto"/>
      <w:ind w:left="284" w:hanging="284"/>
      <w:contextualSpacing/>
    </w:pPr>
    <w:rPr>
      <w:rFonts w:eastAsiaTheme="minorHAnsi"/>
      <w:color w:val="auto"/>
      <w:spacing w:val="-2"/>
      <w:sz w:val="14"/>
      <w:szCs w:val="18"/>
      <w:lang w:eastAsia="en-US"/>
    </w:rPr>
  </w:style>
  <w:style w:type="character" w:customStyle="1" w:styleId="NoteChar">
    <w:name w:val="Note Char"/>
    <w:basedOn w:val="DefaultParagraphFont"/>
    <w:link w:val="Note"/>
    <w:uiPriority w:val="52"/>
    <w:rsid w:val="00246664"/>
    <w:rPr>
      <w:rFonts w:eastAsiaTheme="minorHAnsi"/>
      <w:spacing w:val="-2"/>
      <w:sz w:val="14"/>
      <w:szCs w:val="18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246664"/>
    <w:pPr>
      <w:keepLines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CommentTextChar11">
    <w:name w:val="Comment Text Char11"/>
    <w:basedOn w:val="DefaultParagraphFont"/>
    <w:semiHidden/>
    <w:rsid w:val="00246664"/>
    <w:rPr>
      <w:rFonts w:asciiTheme="minorHAnsi" w:hAnsiTheme="minorHAnsi" w:cs="Times New Roman"/>
    </w:rPr>
  </w:style>
  <w:style w:type="character" w:customStyle="1" w:styleId="CommentSubjectChar11">
    <w:name w:val="Comment Subject Char11"/>
    <w:basedOn w:val="CommentTextChar11"/>
    <w:semiHidden/>
    <w:rsid w:val="00246664"/>
    <w:rPr>
      <w:rFonts w:asciiTheme="minorHAnsi" w:hAnsiTheme="minorHAnsi" w:cs="Times New Roman"/>
      <w:b/>
      <w:bCs/>
    </w:rPr>
  </w:style>
  <w:style w:type="table" w:customStyle="1" w:styleId="DTFFinancialTable0">
    <w:name w:val="DTF Financial Table"/>
    <w:basedOn w:val="TableNormal"/>
    <w:uiPriority w:val="99"/>
    <w:rsid w:val="00246664"/>
    <w:pPr>
      <w:spacing w:before="20" w:after="20" w:line="240" w:lineRule="auto"/>
      <w:jc w:val="right"/>
    </w:pPr>
    <w:rPr>
      <w:rFonts w:eastAsiaTheme="minorHAnsi"/>
      <w:sz w:val="17"/>
      <w:szCs w:val="18"/>
      <w:lang w:eastAsia="en-US"/>
    </w:rPr>
    <w:tblPr>
      <w:tblStyleRowBandSize w:val="1"/>
      <w:tblStyleColBandSize w:val="1"/>
      <w:tblBorders>
        <w:bottom w:val="single" w:sz="12" w:space="0" w:color="auto"/>
      </w:tblBorders>
      <w:tblCellMar>
        <w:left w:w="57" w:type="dxa"/>
        <w:right w:w="57" w:type="dxa"/>
      </w:tblCellMar>
    </w:tblPr>
    <w:tblStylePr w:type="firstRow">
      <w:pPr>
        <w:keepNext/>
        <w:keepLines/>
        <w:widowControl/>
        <w:wordWrap/>
        <w:spacing w:beforeLines="0" w:before="40" w:beforeAutospacing="0" w:afterLines="0" w:after="40" w:afterAutospacing="0"/>
        <w:jc w:val="right"/>
      </w:pPr>
      <w:rPr>
        <w:b w:val="0"/>
        <w:bCs/>
        <w:i/>
        <w:color w:val="FFFFFF" w:themeColor="background1"/>
        <w:sz w:val="18"/>
      </w:rPr>
      <w:tblPr/>
      <w:trPr>
        <w:tblHeader/>
      </w:trPr>
      <w:tcPr>
        <w:shd w:val="clear" w:color="auto" w:fill="232B39" w:themeFill="text1"/>
        <w:vAlign w:val="bottom"/>
      </w:tcPr>
    </w:tblStylePr>
    <w:tblStylePr w:type="lastRow">
      <w:rPr>
        <w:b/>
        <w:bCs/>
      </w:rPr>
      <w:tblPr/>
      <w:tcPr>
        <w:tcBorders>
          <w:top w:val="single" w:sz="6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jc w:val="left"/>
      </w:pPr>
      <w:rPr>
        <w:b w:val="0"/>
        <w:bCs/>
        <w:color w:val="FFFFFF" w:themeColor="background1"/>
      </w:rPr>
      <w:tblPr/>
      <w:tcPr>
        <w:shd w:val="clear" w:color="auto" w:fill="0072CE" w:themeFill="accent1"/>
        <w:vAlign w:val="bottom"/>
      </w:tcPr>
    </w:tblStylePr>
    <w:tblStylePr w:type="lastCol">
      <w:pPr>
        <w:jc w:val="left"/>
      </w:pPr>
      <w:rPr>
        <w:b/>
        <w:bCs/>
      </w:rPr>
    </w:tblStylePr>
    <w:tblStylePr w:type="band1Vert">
      <w:pPr>
        <w:jc w:val="left"/>
      </w:pPr>
      <w:tblPr/>
      <w:tcPr>
        <w:shd w:val="clear" w:color="auto" w:fill="F2F2F2" w:themeFill="background1" w:themeFillShade="F2"/>
      </w:tcPr>
    </w:tblStylePr>
    <w:tblStylePr w:type="band2Vert">
      <w:pPr>
        <w:jc w:val="left"/>
      </w:pPr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  <w:tblStylePr w:type="neCell">
      <w:pPr>
        <w:jc w:val="left"/>
      </w:pPr>
    </w:tblStylePr>
    <w:tblStylePr w:type="nwCell">
      <w:pPr>
        <w:jc w:val="left"/>
      </w:pPr>
      <w:tblPr/>
      <w:tcPr>
        <w:vAlign w:val="bottom"/>
      </w:tcPr>
    </w:tblStylePr>
    <w:tblStylePr w:type="seCell">
      <w:pPr>
        <w:jc w:val="left"/>
      </w:pPr>
    </w:tblStylePr>
    <w:tblStylePr w:type="swCell">
      <w:pPr>
        <w:jc w:val="left"/>
      </w:pPr>
    </w:tblStylePr>
  </w:style>
  <w:style w:type="table" w:customStyle="1" w:styleId="DTFTable">
    <w:name w:val="DTF Table"/>
    <w:basedOn w:val="DTFTextTable0"/>
    <w:uiPriority w:val="99"/>
    <w:rsid w:val="00246664"/>
    <w:pPr>
      <w:spacing w:before="20" w:after="20" w:line="240" w:lineRule="auto"/>
      <w:jc w:val="right"/>
    </w:pPr>
    <w:rPr>
      <w:rFonts w:asciiTheme="minorHAnsi" w:hAnsiTheme="minorHAnsi"/>
      <w:sz w:val="16"/>
      <w:szCs w:val="18"/>
    </w:rPr>
    <w:tblPr>
      <w:tblStyleColBandSize w:val="1"/>
      <w:tblInd w:w="0" w:type="dxa"/>
    </w:tblPr>
    <w:trPr>
      <w:cantSplit w:val="0"/>
    </w:trPr>
    <w:tblStylePr w:type="firstRow">
      <w:pPr>
        <w:wordWrap/>
        <w:spacing w:beforeLines="0" w:before="40" w:beforeAutospacing="0" w:afterLines="0" w:after="40" w:afterAutospacing="0" w:line="240" w:lineRule="auto"/>
        <w:jc w:val="right"/>
      </w:pPr>
      <w:rPr>
        <w:b w:val="0"/>
        <w:bCs/>
        <w:i/>
      </w:rPr>
      <w:tblPr/>
      <w:trPr>
        <w:cantSplit w:val="0"/>
        <w:tblHeader/>
      </w:trPr>
      <w:tcPr>
        <w:shd w:val="clear" w:color="auto" w:fill="232B39" w:themeFill="text1"/>
        <w:vAlign w:val="bottom"/>
      </w:tcPr>
    </w:tblStylePr>
    <w:tblStylePr w:type="lastRow">
      <w:rPr>
        <w:b/>
        <w:bCs/>
      </w:rPr>
      <w:tblPr/>
      <w:tcPr>
        <w:tcBorders>
          <w:top w:val="single" w:sz="6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  <w:shd w:val="clear" w:color="auto" w:fill="5AC8F1" w:themeFill="background2" w:themeFillShade="BF"/>
      </w:tcPr>
    </w:tblStylePr>
    <w:tblStylePr w:type="firstCol">
      <w:pPr>
        <w:wordWrap/>
        <w:spacing w:line="240" w:lineRule="auto"/>
        <w:ind w:leftChars="0" w:left="170" w:rightChars="0" w:right="0" w:firstLineChars="0" w:hanging="170"/>
        <w:jc w:val="left"/>
      </w:pPr>
      <w:rPr>
        <w:b w:val="0"/>
        <w:bCs/>
      </w:rPr>
      <w:tblPr/>
      <w:tcPr>
        <w:vAlign w:val="bottom"/>
      </w:tcPr>
    </w:tblStylePr>
    <w:tblStylePr w:type="lastCol">
      <w:rPr>
        <w:b/>
        <w:bCs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  <w:tblStylePr w:type="nwCell">
      <w:pPr>
        <w:jc w:val="left"/>
      </w:pPr>
      <w:tblPr/>
      <w:tcPr>
        <w:vAlign w:val="bottom"/>
      </w:tcPr>
    </w:tblStylePr>
  </w:style>
  <w:style w:type="paragraph" w:customStyle="1" w:styleId="PerformanceMeasureNote">
    <w:name w:val="Performance Measure Note"/>
    <w:basedOn w:val="Normal"/>
    <w:uiPriority w:val="63"/>
    <w:qFormat/>
    <w:rsid w:val="00246664"/>
    <w:pPr>
      <w:keepLines/>
      <w:spacing w:before="20" w:after="20" w:line="240" w:lineRule="auto"/>
      <w:ind w:left="142"/>
      <w:contextualSpacing/>
    </w:pPr>
    <w:rPr>
      <w:rFonts w:eastAsiaTheme="minorHAnsi"/>
      <w:i/>
      <w:color w:val="auto"/>
      <w:spacing w:val="-2"/>
      <w:sz w:val="15"/>
      <w:szCs w:val="15"/>
      <w:lang w:eastAsia="en-US"/>
    </w:rPr>
  </w:style>
  <w:style w:type="paragraph" w:customStyle="1" w:styleId="Normalsemibold">
    <w:name w:val="Normal semi bold"/>
    <w:basedOn w:val="Normal"/>
    <w:qFormat/>
    <w:rsid w:val="00246664"/>
    <w:pPr>
      <w:keepNext/>
      <w:keepLines/>
      <w:spacing w:line="240" w:lineRule="auto"/>
    </w:pPr>
    <w:rPr>
      <w:rFonts w:ascii="VIC Medium" w:eastAsia="Times New Roman" w:hAnsi="VIC Medium" w:cs="Times New Roman"/>
      <w:color w:val="auto"/>
      <w:sz w:val="17"/>
      <w:szCs w:val="24"/>
    </w:rPr>
  </w:style>
  <w:style w:type="paragraph" w:styleId="Bibliography">
    <w:name w:val="Bibliography"/>
    <w:basedOn w:val="Normal"/>
    <w:next w:val="Normal"/>
    <w:uiPriority w:val="37"/>
    <w:semiHidden/>
    <w:unhideWhenUsed/>
    <w:rsid w:val="00246664"/>
    <w:pPr>
      <w:keepLines/>
      <w:spacing w:line="240" w:lineRule="auto"/>
    </w:pPr>
    <w:rPr>
      <w:rFonts w:eastAsia="Times New Roman" w:cs="Times New Roman"/>
      <w:color w:val="auto"/>
      <w:sz w:val="17"/>
      <w:szCs w:val="24"/>
    </w:rPr>
  </w:style>
  <w:style w:type="paragraph" w:styleId="BodyText3">
    <w:name w:val="Body Text 3"/>
    <w:basedOn w:val="Normal"/>
    <w:link w:val="BodyText3Char"/>
    <w:semiHidden/>
    <w:unhideWhenUsed/>
    <w:rsid w:val="00246664"/>
    <w:pPr>
      <w:keepLines/>
      <w:spacing w:line="240" w:lineRule="auto"/>
    </w:pPr>
    <w:rPr>
      <w:rFonts w:eastAsia="Times New Roman" w:cs="Times New Roman"/>
      <w:color w:val="auto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246664"/>
    <w:rPr>
      <w:rFonts w:eastAsia="Times New Roman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246664"/>
    <w:pPr>
      <w:keepLines/>
      <w:spacing w:before="120"/>
      <w:ind w:left="0" w:firstLine="360"/>
    </w:pPr>
    <w:rPr>
      <w:rFonts w:asciiTheme="minorHAnsi" w:hAnsiTheme="minorHAnsi" w:cs="Times New Roman"/>
      <w:color w:val="auto"/>
      <w:sz w:val="17"/>
      <w:szCs w:val="24"/>
    </w:rPr>
  </w:style>
  <w:style w:type="character" w:customStyle="1" w:styleId="BodyTextFirstIndentChar">
    <w:name w:val="Body Text First Indent Char"/>
    <w:basedOn w:val="BodyTextChar"/>
    <w:link w:val="BodyTextFirstIndent"/>
    <w:semiHidden/>
    <w:rsid w:val="00246664"/>
    <w:rPr>
      <w:rFonts w:ascii="Calibri" w:eastAsia="Times New Roman" w:hAnsi="Calibri" w:cs="Times New Roman"/>
      <w:color w:val="232B39" w:themeColor="text1"/>
      <w:sz w:val="17"/>
      <w:szCs w:val="24"/>
    </w:rPr>
  </w:style>
  <w:style w:type="paragraph" w:styleId="BodyTextIndent">
    <w:name w:val="Body Text Indent"/>
    <w:basedOn w:val="Normal"/>
    <w:link w:val="BodyTextIndentChar"/>
    <w:semiHidden/>
    <w:unhideWhenUsed/>
    <w:rsid w:val="00246664"/>
    <w:pPr>
      <w:keepLines/>
      <w:spacing w:line="240" w:lineRule="auto"/>
      <w:ind w:left="283"/>
    </w:pPr>
    <w:rPr>
      <w:rFonts w:eastAsia="Times New Roman" w:cs="Times New Roman"/>
      <w:color w:val="auto"/>
      <w:sz w:val="17"/>
      <w:szCs w:val="24"/>
    </w:rPr>
  </w:style>
  <w:style w:type="character" w:customStyle="1" w:styleId="BodyTextIndentChar">
    <w:name w:val="Body Text Indent Char"/>
    <w:basedOn w:val="DefaultParagraphFont"/>
    <w:link w:val="BodyTextIndent"/>
    <w:semiHidden/>
    <w:rsid w:val="00246664"/>
    <w:rPr>
      <w:rFonts w:eastAsia="Times New Roman" w:cs="Times New Roman"/>
      <w:sz w:val="17"/>
      <w:szCs w:val="24"/>
    </w:rPr>
  </w:style>
  <w:style w:type="paragraph" w:styleId="BodyTextFirstIndent2">
    <w:name w:val="Body Text First Indent 2"/>
    <w:basedOn w:val="BodyTextIndent"/>
    <w:link w:val="BodyTextFirstIndent2Char"/>
    <w:semiHidden/>
    <w:unhideWhenUsed/>
    <w:rsid w:val="00246664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246664"/>
    <w:rPr>
      <w:rFonts w:eastAsia="Times New Roman" w:cs="Times New Roman"/>
      <w:sz w:val="17"/>
      <w:szCs w:val="24"/>
    </w:rPr>
  </w:style>
  <w:style w:type="paragraph" w:styleId="BodyTextIndent3">
    <w:name w:val="Body Text Indent 3"/>
    <w:basedOn w:val="Normal"/>
    <w:link w:val="BodyTextIndent3Char"/>
    <w:semiHidden/>
    <w:unhideWhenUsed/>
    <w:rsid w:val="00246664"/>
    <w:pPr>
      <w:keepLines/>
      <w:spacing w:line="240" w:lineRule="auto"/>
      <w:ind w:left="283"/>
    </w:pPr>
    <w:rPr>
      <w:rFonts w:eastAsia="Times New Roman" w:cs="Times New Roman"/>
      <w:color w:val="auto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246664"/>
    <w:rPr>
      <w:rFonts w:eastAsia="Times New Roman" w:cs="Times New Roman"/>
      <w:sz w:val="16"/>
      <w:szCs w:val="16"/>
    </w:rPr>
  </w:style>
  <w:style w:type="paragraph" w:styleId="Closing">
    <w:name w:val="Closing"/>
    <w:basedOn w:val="Normal"/>
    <w:link w:val="ClosingChar"/>
    <w:semiHidden/>
    <w:unhideWhenUsed/>
    <w:rsid w:val="00246664"/>
    <w:pPr>
      <w:keepLines/>
      <w:spacing w:before="0" w:after="0" w:line="240" w:lineRule="auto"/>
      <w:ind w:left="4252"/>
    </w:pPr>
    <w:rPr>
      <w:rFonts w:eastAsia="Times New Roman" w:cs="Times New Roman"/>
      <w:color w:val="auto"/>
      <w:sz w:val="17"/>
      <w:szCs w:val="24"/>
    </w:rPr>
  </w:style>
  <w:style w:type="character" w:customStyle="1" w:styleId="ClosingChar">
    <w:name w:val="Closing Char"/>
    <w:basedOn w:val="DefaultParagraphFont"/>
    <w:link w:val="Closing"/>
    <w:semiHidden/>
    <w:rsid w:val="00246664"/>
    <w:rPr>
      <w:rFonts w:eastAsia="Times New Roman" w:cs="Times New Roman"/>
      <w:sz w:val="17"/>
      <w:szCs w:val="24"/>
    </w:rPr>
  </w:style>
  <w:style w:type="paragraph" w:styleId="Date">
    <w:name w:val="Date"/>
    <w:basedOn w:val="Normal"/>
    <w:next w:val="Normal"/>
    <w:link w:val="DateChar"/>
    <w:semiHidden/>
    <w:unhideWhenUsed/>
    <w:rsid w:val="00246664"/>
    <w:pPr>
      <w:keepLines/>
      <w:spacing w:line="240" w:lineRule="auto"/>
    </w:pPr>
    <w:rPr>
      <w:rFonts w:eastAsia="Times New Roman" w:cs="Times New Roman"/>
      <w:color w:val="auto"/>
      <w:sz w:val="17"/>
      <w:szCs w:val="24"/>
    </w:rPr>
  </w:style>
  <w:style w:type="character" w:customStyle="1" w:styleId="DateChar">
    <w:name w:val="Date Char"/>
    <w:basedOn w:val="DefaultParagraphFont"/>
    <w:link w:val="Date"/>
    <w:semiHidden/>
    <w:rsid w:val="00246664"/>
    <w:rPr>
      <w:rFonts w:eastAsia="Times New Roman" w:cs="Times New Roman"/>
      <w:sz w:val="17"/>
      <w:szCs w:val="24"/>
    </w:rPr>
  </w:style>
  <w:style w:type="paragraph" w:styleId="DocumentMap">
    <w:name w:val="Document Map"/>
    <w:basedOn w:val="Normal"/>
    <w:link w:val="DocumentMapChar"/>
    <w:semiHidden/>
    <w:unhideWhenUsed/>
    <w:rsid w:val="00246664"/>
    <w:pPr>
      <w:keepLines/>
      <w:spacing w:before="0" w:after="0" w:line="240" w:lineRule="auto"/>
    </w:pPr>
    <w:rPr>
      <w:rFonts w:ascii="Segoe UI" w:eastAsia="Times New Roman" w:hAnsi="Segoe UI" w:cs="Segoe UI"/>
      <w:color w:val="auto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246664"/>
    <w:rPr>
      <w:rFonts w:ascii="Segoe UI" w:eastAsia="Times New Roman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246664"/>
    <w:pPr>
      <w:keepLines/>
      <w:spacing w:before="0" w:after="0" w:line="240" w:lineRule="auto"/>
    </w:pPr>
    <w:rPr>
      <w:rFonts w:eastAsia="Times New Roman" w:cs="Times New Roman"/>
      <w:color w:val="auto"/>
      <w:sz w:val="17"/>
      <w:szCs w:val="24"/>
    </w:rPr>
  </w:style>
  <w:style w:type="character" w:customStyle="1" w:styleId="E-mailSignatureChar">
    <w:name w:val="E-mail Signature Char"/>
    <w:basedOn w:val="DefaultParagraphFont"/>
    <w:link w:val="E-mailSignature"/>
    <w:semiHidden/>
    <w:rsid w:val="00246664"/>
    <w:rPr>
      <w:rFonts w:eastAsia="Times New Roman" w:cs="Times New Roman"/>
      <w:sz w:val="17"/>
      <w:szCs w:val="24"/>
    </w:rPr>
  </w:style>
  <w:style w:type="paragraph" w:styleId="EndnoteText">
    <w:name w:val="endnote text"/>
    <w:basedOn w:val="Normal"/>
    <w:link w:val="EndnoteTextChar"/>
    <w:semiHidden/>
    <w:unhideWhenUsed/>
    <w:rsid w:val="00246664"/>
    <w:pPr>
      <w:keepLines/>
      <w:spacing w:before="0" w:after="0" w:line="240" w:lineRule="auto"/>
    </w:pPr>
    <w:rPr>
      <w:rFonts w:eastAsia="Times New Roman" w:cs="Times New Roman"/>
      <w:color w:val="auto"/>
    </w:rPr>
  </w:style>
  <w:style w:type="character" w:customStyle="1" w:styleId="EndnoteTextChar">
    <w:name w:val="Endnote Text Char"/>
    <w:basedOn w:val="DefaultParagraphFont"/>
    <w:link w:val="EndnoteText"/>
    <w:semiHidden/>
    <w:rsid w:val="00246664"/>
    <w:rPr>
      <w:rFonts w:eastAsia="Times New Roman" w:cs="Times New Roman"/>
    </w:rPr>
  </w:style>
  <w:style w:type="paragraph" w:styleId="EnvelopeAddress">
    <w:name w:val="envelope address"/>
    <w:basedOn w:val="Normal"/>
    <w:semiHidden/>
    <w:unhideWhenUsed/>
    <w:rsid w:val="00246664"/>
    <w:pPr>
      <w:keepLines/>
      <w:framePr w:w="7920" w:h="1980" w:hRule="exact" w:hSpace="180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color w:val="auto"/>
      <w:sz w:val="24"/>
      <w:szCs w:val="24"/>
    </w:rPr>
  </w:style>
  <w:style w:type="paragraph" w:styleId="EnvelopeReturn">
    <w:name w:val="envelope return"/>
    <w:basedOn w:val="Normal"/>
    <w:semiHidden/>
    <w:unhideWhenUsed/>
    <w:rsid w:val="00246664"/>
    <w:pPr>
      <w:keepLines/>
      <w:spacing w:before="0" w:after="0" w:line="240" w:lineRule="auto"/>
    </w:pPr>
    <w:rPr>
      <w:rFonts w:asciiTheme="majorHAnsi" w:eastAsiaTheme="majorEastAsia" w:hAnsiTheme="majorHAnsi" w:cstheme="majorBidi"/>
      <w:color w:val="auto"/>
    </w:rPr>
  </w:style>
  <w:style w:type="paragraph" w:styleId="HTMLAddress">
    <w:name w:val="HTML Address"/>
    <w:basedOn w:val="Normal"/>
    <w:link w:val="HTMLAddressChar"/>
    <w:semiHidden/>
    <w:unhideWhenUsed/>
    <w:rsid w:val="00246664"/>
    <w:pPr>
      <w:keepLines/>
      <w:spacing w:before="0" w:after="0" w:line="240" w:lineRule="auto"/>
    </w:pPr>
    <w:rPr>
      <w:rFonts w:eastAsia="Times New Roman" w:cs="Times New Roman"/>
      <w:i/>
      <w:iCs/>
      <w:color w:val="auto"/>
      <w:sz w:val="17"/>
      <w:szCs w:val="24"/>
    </w:rPr>
  </w:style>
  <w:style w:type="character" w:customStyle="1" w:styleId="HTMLAddressChar">
    <w:name w:val="HTML Address Char"/>
    <w:basedOn w:val="DefaultParagraphFont"/>
    <w:link w:val="HTMLAddress"/>
    <w:semiHidden/>
    <w:rsid w:val="00246664"/>
    <w:rPr>
      <w:rFonts w:eastAsia="Times New Roman" w:cs="Times New Roman"/>
      <w:i/>
      <w:iCs/>
      <w:sz w:val="17"/>
      <w:szCs w:val="24"/>
    </w:rPr>
  </w:style>
  <w:style w:type="paragraph" w:styleId="HTMLPreformatted">
    <w:name w:val="HTML Preformatted"/>
    <w:basedOn w:val="Normal"/>
    <w:link w:val="HTMLPreformattedChar"/>
    <w:semiHidden/>
    <w:unhideWhenUsed/>
    <w:rsid w:val="00246664"/>
    <w:pPr>
      <w:keepLines/>
      <w:spacing w:before="0" w:after="0" w:line="240" w:lineRule="auto"/>
    </w:pPr>
    <w:rPr>
      <w:rFonts w:ascii="Consolas" w:eastAsia="Times New Roman" w:hAnsi="Consolas" w:cs="Times New Roman"/>
      <w:color w:val="auto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246664"/>
    <w:rPr>
      <w:rFonts w:ascii="Consolas" w:eastAsia="Times New Roman" w:hAnsi="Consolas" w:cs="Times New Roman"/>
    </w:rPr>
  </w:style>
  <w:style w:type="paragraph" w:styleId="Index3">
    <w:name w:val="index 3"/>
    <w:basedOn w:val="Normal"/>
    <w:next w:val="Normal"/>
    <w:autoRedefine/>
    <w:semiHidden/>
    <w:unhideWhenUsed/>
    <w:rsid w:val="00246664"/>
    <w:pPr>
      <w:keepLines/>
      <w:spacing w:before="0" w:after="0" w:line="240" w:lineRule="auto"/>
      <w:ind w:left="510" w:hanging="170"/>
    </w:pPr>
    <w:rPr>
      <w:rFonts w:eastAsia="Times New Roman" w:cs="Times New Roman"/>
      <w:color w:val="auto"/>
      <w:sz w:val="17"/>
      <w:szCs w:val="24"/>
    </w:rPr>
  </w:style>
  <w:style w:type="paragraph" w:styleId="Index4">
    <w:name w:val="index 4"/>
    <w:basedOn w:val="Normal"/>
    <w:next w:val="Normal"/>
    <w:autoRedefine/>
    <w:semiHidden/>
    <w:unhideWhenUsed/>
    <w:rsid w:val="00246664"/>
    <w:pPr>
      <w:keepLines/>
      <w:spacing w:before="0" w:after="0" w:line="240" w:lineRule="auto"/>
      <w:ind w:left="680" w:hanging="170"/>
    </w:pPr>
    <w:rPr>
      <w:rFonts w:eastAsia="Times New Roman" w:cs="Times New Roman"/>
      <w:color w:val="auto"/>
      <w:sz w:val="17"/>
      <w:szCs w:val="24"/>
    </w:rPr>
  </w:style>
  <w:style w:type="paragraph" w:styleId="Index5">
    <w:name w:val="index 5"/>
    <w:basedOn w:val="Normal"/>
    <w:next w:val="Normal"/>
    <w:autoRedefine/>
    <w:semiHidden/>
    <w:unhideWhenUsed/>
    <w:rsid w:val="00246664"/>
    <w:pPr>
      <w:keepLines/>
      <w:spacing w:before="0" w:after="0" w:line="240" w:lineRule="auto"/>
      <w:ind w:left="850" w:hanging="170"/>
    </w:pPr>
    <w:rPr>
      <w:rFonts w:eastAsia="Times New Roman" w:cs="Times New Roman"/>
      <w:color w:val="auto"/>
      <w:sz w:val="17"/>
      <w:szCs w:val="24"/>
    </w:rPr>
  </w:style>
  <w:style w:type="paragraph" w:styleId="Index6">
    <w:name w:val="index 6"/>
    <w:basedOn w:val="Normal"/>
    <w:next w:val="Normal"/>
    <w:autoRedefine/>
    <w:semiHidden/>
    <w:unhideWhenUsed/>
    <w:rsid w:val="00246664"/>
    <w:pPr>
      <w:keepLines/>
      <w:spacing w:before="0" w:after="0" w:line="240" w:lineRule="auto"/>
      <w:ind w:left="1020" w:hanging="170"/>
    </w:pPr>
    <w:rPr>
      <w:rFonts w:eastAsia="Times New Roman" w:cs="Times New Roman"/>
      <w:color w:val="auto"/>
      <w:sz w:val="17"/>
      <w:szCs w:val="24"/>
    </w:rPr>
  </w:style>
  <w:style w:type="paragraph" w:styleId="Index7">
    <w:name w:val="index 7"/>
    <w:basedOn w:val="Normal"/>
    <w:next w:val="Normal"/>
    <w:autoRedefine/>
    <w:semiHidden/>
    <w:unhideWhenUsed/>
    <w:rsid w:val="00246664"/>
    <w:pPr>
      <w:keepLines/>
      <w:spacing w:before="0" w:after="0" w:line="240" w:lineRule="auto"/>
      <w:ind w:left="1190" w:hanging="170"/>
    </w:pPr>
    <w:rPr>
      <w:rFonts w:eastAsia="Times New Roman" w:cs="Times New Roman"/>
      <w:color w:val="auto"/>
      <w:sz w:val="17"/>
      <w:szCs w:val="24"/>
    </w:rPr>
  </w:style>
  <w:style w:type="paragraph" w:styleId="Index8">
    <w:name w:val="index 8"/>
    <w:basedOn w:val="Normal"/>
    <w:next w:val="Normal"/>
    <w:autoRedefine/>
    <w:semiHidden/>
    <w:unhideWhenUsed/>
    <w:rsid w:val="00246664"/>
    <w:pPr>
      <w:keepLines/>
      <w:spacing w:before="0" w:after="0" w:line="240" w:lineRule="auto"/>
      <w:ind w:left="1360" w:hanging="170"/>
    </w:pPr>
    <w:rPr>
      <w:rFonts w:eastAsia="Times New Roman" w:cs="Times New Roman"/>
      <w:color w:val="auto"/>
      <w:sz w:val="17"/>
      <w:szCs w:val="24"/>
    </w:rPr>
  </w:style>
  <w:style w:type="paragraph" w:styleId="Index9">
    <w:name w:val="index 9"/>
    <w:basedOn w:val="Normal"/>
    <w:next w:val="Normal"/>
    <w:autoRedefine/>
    <w:semiHidden/>
    <w:unhideWhenUsed/>
    <w:rsid w:val="00246664"/>
    <w:pPr>
      <w:keepLines/>
      <w:spacing w:before="0" w:after="0" w:line="240" w:lineRule="auto"/>
      <w:ind w:left="1530" w:hanging="170"/>
    </w:pPr>
    <w:rPr>
      <w:rFonts w:eastAsia="Times New Roman" w:cs="Times New Roman"/>
      <w:color w:val="auto"/>
      <w:sz w:val="17"/>
      <w:szCs w:val="24"/>
    </w:rPr>
  </w:style>
  <w:style w:type="paragraph" w:styleId="List">
    <w:name w:val="List"/>
    <w:basedOn w:val="Normal"/>
    <w:unhideWhenUsed/>
    <w:rsid w:val="00246664"/>
    <w:pPr>
      <w:keepLines/>
      <w:spacing w:line="240" w:lineRule="auto"/>
      <w:ind w:left="283" w:hanging="283"/>
      <w:contextualSpacing/>
    </w:pPr>
    <w:rPr>
      <w:rFonts w:eastAsia="Times New Roman" w:cs="Times New Roman"/>
      <w:color w:val="auto"/>
      <w:sz w:val="17"/>
      <w:szCs w:val="24"/>
    </w:rPr>
  </w:style>
  <w:style w:type="paragraph" w:styleId="List2">
    <w:name w:val="List 2"/>
    <w:basedOn w:val="Normal"/>
    <w:semiHidden/>
    <w:unhideWhenUsed/>
    <w:rsid w:val="00246664"/>
    <w:pPr>
      <w:keepLines/>
      <w:spacing w:line="240" w:lineRule="auto"/>
      <w:ind w:left="566" w:hanging="283"/>
      <w:contextualSpacing/>
    </w:pPr>
    <w:rPr>
      <w:rFonts w:eastAsia="Times New Roman" w:cs="Times New Roman"/>
      <w:color w:val="auto"/>
      <w:sz w:val="17"/>
      <w:szCs w:val="24"/>
    </w:rPr>
  </w:style>
  <w:style w:type="paragraph" w:styleId="List3">
    <w:name w:val="List 3"/>
    <w:basedOn w:val="Normal"/>
    <w:semiHidden/>
    <w:unhideWhenUsed/>
    <w:rsid w:val="00246664"/>
    <w:pPr>
      <w:keepLines/>
      <w:spacing w:line="240" w:lineRule="auto"/>
      <w:ind w:left="849" w:hanging="283"/>
      <w:contextualSpacing/>
    </w:pPr>
    <w:rPr>
      <w:rFonts w:eastAsia="Times New Roman" w:cs="Times New Roman"/>
      <w:color w:val="auto"/>
      <w:sz w:val="17"/>
      <w:szCs w:val="24"/>
    </w:rPr>
  </w:style>
  <w:style w:type="paragraph" w:styleId="List4">
    <w:name w:val="List 4"/>
    <w:basedOn w:val="Normal"/>
    <w:semiHidden/>
    <w:unhideWhenUsed/>
    <w:rsid w:val="00246664"/>
    <w:pPr>
      <w:keepLines/>
      <w:spacing w:line="240" w:lineRule="auto"/>
      <w:ind w:left="1132" w:hanging="283"/>
      <w:contextualSpacing/>
    </w:pPr>
    <w:rPr>
      <w:rFonts w:eastAsia="Times New Roman" w:cs="Times New Roman"/>
      <w:color w:val="auto"/>
      <w:sz w:val="17"/>
      <w:szCs w:val="24"/>
    </w:rPr>
  </w:style>
  <w:style w:type="paragraph" w:styleId="List5">
    <w:name w:val="List 5"/>
    <w:basedOn w:val="Normal"/>
    <w:semiHidden/>
    <w:unhideWhenUsed/>
    <w:rsid w:val="00246664"/>
    <w:pPr>
      <w:keepLines/>
      <w:spacing w:line="240" w:lineRule="auto"/>
      <w:ind w:left="1415" w:hanging="283"/>
      <w:contextualSpacing/>
    </w:pPr>
    <w:rPr>
      <w:rFonts w:eastAsia="Times New Roman" w:cs="Times New Roman"/>
      <w:color w:val="auto"/>
      <w:sz w:val="17"/>
      <w:szCs w:val="24"/>
    </w:rPr>
  </w:style>
  <w:style w:type="paragraph" w:styleId="ListBullet5">
    <w:name w:val="List Bullet 5"/>
    <w:basedOn w:val="Normal"/>
    <w:semiHidden/>
    <w:unhideWhenUsed/>
    <w:rsid w:val="00246664"/>
    <w:pPr>
      <w:keepLines/>
      <w:numPr>
        <w:numId w:val="17"/>
      </w:numPr>
      <w:spacing w:line="240" w:lineRule="auto"/>
      <w:contextualSpacing/>
    </w:pPr>
    <w:rPr>
      <w:rFonts w:eastAsia="Times New Roman" w:cs="Times New Roman"/>
      <w:color w:val="auto"/>
      <w:sz w:val="17"/>
      <w:szCs w:val="24"/>
    </w:rPr>
  </w:style>
  <w:style w:type="paragraph" w:styleId="ListContinue">
    <w:name w:val="List Continue"/>
    <w:basedOn w:val="Normal"/>
    <w:semiHidden/>
    <w:unhideWhenUsed/>
    <w:rsid w:val="00246664"/>
    <w:pPr>
      <w:keepLines/>
      <w:spacing w:line="240" w:lineRule="auto"/>
      <w:ind w:left="283"/>
      <w:contextualSpacing/>
    </w:pPr>
    <w:rPr>
      <w:rFonts w:eastAsia="Times New Roman" w:cs="Times New Roman"/>
      <w:color w:val="auto"/>
      <w:sz w:val="17"/>
      <w:szCs w:val="24"/>
    </w:rPr>
  </w:style>
  <w:style w:type="paragraph" w:styleId="ListContinue2">
    <w:name w:val="List Continue 2"/>
    <w:basedOn w:val="Normal"/>
    <w:unhideWhenUsed/>
    <w:rsid w:val="00246664"/>
    <w:pPr>
      <w:keepLines/>
      <w:spacing w:line="240" w:lineRule="auto"/>
      <w:ind w:left="566"/>
      <w:contextualSpacing/>
    </w:pPr>
    <w:rPr>
      <w:rFonts w:eastAsia="Times New Roman" w:cs="Times New Roman"/>
      <w:color w:val="auto"/>
      <w:sz w:val="17"/>
      <w:szCs w:val="24"/>
    </w:rPr>
  </w:style>
  <w:style w:type="paragraph" w:styleId="ListNumber2">
    <w:name w:val="List Number 2"/>
    <w:basedOn w:val="Normal"/>
    <w:semiHidden/>
    <w:unhideWhenUsed/>
    <w:rsid w:val="00246664"/>
    <w:pPr>
      <w:keepLines/>
      <w:numPr>
        <w:numId w:val="8"/>
      </w:numPr>
      <w:spacing w:line="240" w:lineRule="auto"/>
      <w:contextualSpacing/>
    </w:pPr>
    <w:rPr>
      <w:rFonts w:eastAsia="Times New Roman" w:cs="Times New Roman"/>
      <w:color w:val="auto"/>
      <w:sz w:val="17"/>
      <w:szCs w:val="24"/>
    </w:rPr>
  </w:style>
  <w:style w:type="paragraph" w:styleId="ListNumber3">
    <w:name w:val="List Number 3"/>
    <w:basedOn w:val="Normal"/>
    <w:semiHidden/>
    <w:unhideWhenUsed/>
    <w:rsid w:val="00246664"/>
    <w:pPr>
      <w:keepLines/>
      <w:numPr>
        <w:numId w:val="9"/>
      </w:numPr>
      <w:spacing w:line="240" w:lineRule="auto"/>
      <w:contextualSpacing/>
    </w:pPr>
    <w:rPr>
      <w:rFonts w:eastAsia="Times New Roman" w:cs="Times New Roman"/>
      <w:color w:val="auto"/>
      <w:sz w:val="17"/>
      <w:szCs w:val="24"/>
    </w:rPr>
  </w:style>
  <w:style w:type="paragraph" w:styleId="ListNumber4">
    <w:name w:val="List Number 4"/>
    <w:basedOn w:val="Normal"/>
    <w:semiHidden/>
    <w:unhideWhenUsed/>
    <w:rsid w:val="00246664"/>
    <w:pPr>
      <w:keepLines/>
      <w:numPr>
        <w:numId w:val="10"/>
      </w:numPr>
      <w:spacing w:line="240" w:lineRule="auto"/>
      <w:contextualSpacing/>
    </w:pPr>
    <w:rPr>
      <w:rFonts w:eastAsia="Times New Roman" w:cs="Times New Roman"/>
      <w:color w:val="auto"/>
      <w:sz w:val="17"/>
      <w:szCs w:val="24"/>
    </w:rPr>
  </w:style>
  <w:style w:type="paragraph" w:styleId="ListNumber5">
    <w:name w:val="List Number 5"/>
    <w:basedOn w:val="Normal"/>
    <w:semiHidden/>
    <w:unhideWhenUsed/>
    <w:rsid w:val="00246664"/>
    <w:pPr>
      <w:keepLines/>
      <w:numPr>
        <w:numId w:val="11"/>
      </w:numPr>
      <w:spacing w:line="240" w:lineRule="auto"/>
      <w:contextualSpacing/>
    </w:pPr>
    <w:rPr>
      <w:rFonts w:eastAsia="Times New Roman" w:cs="Times New Roman"/>
      <w:color w:val="auto"/>
      <w:sz w:val="17"/>
      <w:szCs w:val="24"/>
    </w:rPr>
  </w:style>
  <w:style w:type="paragraph" w:styleId="NoSpacing">
    <w:name w:val="No Spacing"/>
    <w:uiPriority w:val="1"/>
    <w:rsid w:val="00246664"/>
    <w:pPr>
      <w:keepLines/>
      <w:spacing w:after="0" w:line="240" w:lineRule="auto"/>
    </w:pPr>
    <w:rPr>
      <w:rFonts w:eastAsia="Times New Roman" w:cs="Times New Roman"/>
      <w:sz w:val="17"/>
      <w:szCs w:val="24"/>
    </w:rPr>
  </w:style>
  <w:style w:type="paragraph" w:styleId="NoteHeading">
    <w:name w:val="Note Heading"/>
    <w:basedOn w:val="Normal"/>
    <w:next w:val="Normal"/>
    <w:link w:val="NoteHeadingChar"/>
    <w:semiHidden/>
    <w:unhideWhenUsed/>
    <w:rsid w:val="00246664"/>
    <w:pPr>
      <w:keepLines/>
      <w:spacing w:before="0" w:after="0" w:line="240" w:lineRule="auto"/>
    </w:pPr>
    <w:rPr>
      <w:rFonts w:eastAsia="Times New Roman" w:cs="Times New Roman"/>
      <w:color w:val="auto"/>
      <w:sz w:val="17"/>
      <w:szCs w:val="24"/>
    </w:rPr>
  </w:style>
  <w:style w:type="character" w:customStyle="1" w:styleId="NoteHeadingChar">
    <w:name w:val="Note Heading Char"/>
    <w:basedOn w:val="DefaultParagraphFont"/>
    <w:link w:val="NoteHeading"/>
    <w:semiHidden/>
    <w:rsid w:val="00246664"/>
    <w:rPr>
      <w:rFonts w:eastAsia="Times New Roman" w:cs="Times New Roman"/>
      <w:sz w:val="17"/>
      <w:szCs w:val="24"/>
    </w:rPr>
  </w:style>
  <w:style w:type="paragraph" w:styleId="PlainText">
    <w:name w:val="Plain Text"/>
    <w:basedOn w:val="Normal"/>
    <w:link w:val="PlainTextChar"/>
    <w:semiHidden/>
    <w:unhideWhenUsed/>
    <w:rsid w:val="00246664"/>
    <w:pPr>
      <w:keepLines/>
      <w:spacing w:before="0" w:after="0" w:line="240" w:lineRule="auto"/>
    </w:pPr>
    <w:rPr>
      <w:rFonts w:ascii="Consolas" w:eastAsia="Times New Roman" w:hAnsi="Consolas" w:cs="Times New Roman"/>
      <w:color w:val="auto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246664"/>
    <w:rPr>
      <w:rFonts w:ascii="Consolas" w:eastAsia="Times New Roman" w:hAnsi="Consolas" w:cs="Times New Roman"/>
      <w:sz w:val="21"/>
      <w:szCs w:val="21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246664"/>
    <w:pPr>
      <w:keepLines/>
      <w:spacing w:line="240" w:lineRule="auto"/>
    </w:pPr>
    <w:rPr>
      <w:rFonts w:eastAsia="Times New Roman" w:cs="Times New Roman"/>
      <w:color w:val="auto"/>
      <w:sz w:val="17"/>
      <w:szCs w:val="24"/>
    </w:rPr>
  </w:style>
  <w:style w:type="character" w:customStyle="1" w:styleId="SalutationChar">
    <w:name w:val="Salutation Char"/>
    <w:basedOn w:val="DefaultParagraphFont"/>
    <w:link w:val="Salutation"/>
    <w:semiHidden/>
    <w:rsid w:val="00246664"/>
    <w:rPr>
      <w:rFonts w:eastAsia="Times New Roman" w:cs="Times New Roman"/>
      <w:sz w:val="17"/>
      <w:szCs w:val="24"/>
    </w:rPr>
  </w:style>
  <w:style w:type="paragraph" w:styleId="Signature">
    <w:name w:val="Signature"/>
    <w:basedOn w:val="Normal"/>
    <w:link w:val="SignatureChar"/>
    <w:semiHidden/>
    <w:unhideWhenUsed/>
    <w:rsid w:val="00246664"/>
    <w:pPr>
      <w:keepLines/>
      <w:spacing w:before="0" w:after="0" w:line="240" w:lineRule="auto"/>
      <w:ind w:left="4252"/>
    </w:pPr>
    <w:rPr>
      <w:rFonts w:eastAsia="Times New Roman" w:cs="Times New Roman"/>
      <w:color w:val="auto"/>
      <w:sz w:val="17"/>
      <w:szCs w:val="24"/>
    </w:rPr>
  </w:style>
  <w:style w:type="character" w:customStyle="1" w:styleId="SignatureChar">
    <w:name w:val="Signature Char"/>
    <w:basedOn w:val="DefaultParagraphFont"/>
    <w:link w:val="Signature"/>
    <w:semiHidden/>
    <w:rsid w:val="00246664"/>
    <w:rPr>
      <w:rFonts w:eastAsia="Times New Roman" w:cs="Times New Roman"/>
      <w:sz w:val="17"/>
      <w:szCs w:val="24"/>
    </w:rPr>
  </w:style>
  <w:style w:type="paragraph" w:styleId="TableofAuthorities">
    <w:name w:val="table of authorities"/>
    <w:basedOn w:val="Normal"/>
    <w:next w:val="Normal"/>
    <w:unhideWhenUsed/>
    <w:rsid w:val="00246664"/>
    <w:pPr>
      <w:keepLines/>
      <w:spacing w:after="0" w:line="240" w:lineRule="auto"/>
      <w:ind w:left="170" w:hanging="170"/>
    </w:pPr>
    <w:rPr>
      <w:rFonts w:eastAsia="Times New Roman" w:cs="Times New Roman"/>
      <w:color w:val="auto"/>
      <w:sz w:val="17"/>
      <w:szCs w:val="24"/>
    </w:rPr>
  </w:style>
  <w:style w:type="paragraph" w:styleId="TableofFigures">
    <w:name w:val="table of figures"/>
    <w:basedOn w:val="Normal"/>
    <w:next w:val="Normal"/>
    <w:semiHidden/>
    <w:unhideWhenUsed/>
    <w:qFormat/>
    <w:rsid w:val="00246664"/>
    <w:pPr>
      <w:keepLines/>
      <w:spacing w:after="0" w:line="240" w:lineRule="auto"/>
    </w:pPr>
    <w:rPr>
      <w:rFonts w:eastAsia="Times New Roman" w:cs="Times New Roman"/>
      <w:color w:val="auto"/>
      <w:sz w:val="17"/>
      <w:szCs w:val="24"/>
    </w:rPr>
  </w:style>
  <w:style w:type="paragraph" w:styleId="TOAHeading">
    <w:name w:val="toa heading"/>
    <w:basedOn w:val="Normal"/>
    <w:next w:val="Normal"/>
    <w:semiHidden/>
    <w:unhideWhenUsed/>
    <w:rsid w:val="00246664"/>
    <w:pPr>
      <w:keepLines/>
      <w:spacing w:line="240" w:lineRule="auto"/>
    </w:pPr>
    <w:rPr>
      <w:rFonts w:asciiTheme="majorHAnsi" w:eastAsiaTheme="majorEastAsia" w:hAnsiTheme="majorHAnsi" w:cstheme="majorBidi"/>
      <w:b/>
      <w:bCs/>
      <w:color w:val="auto"/>
      <w:sz w:val="24"/>
      <w:szCs w:val="24"/>
    </w:rPr>
  </w:style>
  <w:style w:type="table" w:styleId="GridTable1Light-Accent1">
    <w:name w:val="Grid Table 1 Light Accent 1"/>
    <w:basedOn w:val="TableNormal"/>
    <w:uiPriority w:val="46"/>
    <w:rsid w:val="00246664"/>
    <w:pPr>
      <w:spacing w:after="0" w:line="240" w:lineRule="auto"/>
    </w:pPr>
    <w:rPr>
      <w:rFonts w:ascii="Times New Roman" w:eastAsia="Times New Roman" w:hAnsi="Times New Roman" w:cs="Times New Roman"/>
    </w:rPr>
    <w:tblPr>
      <w:tblStyleRowBandSize w:val="1"/>
      <w:tblStyleColBandSize w:val="1"/>
      <w:tblBorders>
        <w:top w:val="single" w:sz="4" w:space="0" w:color="85C8FF" w:themeColor="accent1" w:themeTint="66"/>
        <w:left w:val="single" w:sz="4" w:space="0" w:color="85C8FF" w:themeColor="accent1" w:themeTint="66"/>
        <w:bottom w:val="single" w:sz="4" w:space="0" w:color="85C8FF" w:themeColor="accent1" w:themeTint="66"/>
        <w:right w:val="single" w:sz="4" w:space="0" w:color="85C8FF" w:themeColor="accent1" w:themeTint="66"/>
        <w:insideH w:val="single" w:sz="4" w:space="0" w:color="85C8FF" w:themeColor="accent1" w:themeTint="66"/>
        <w:insideV w:val="single" w:sz="4" w:space="0" w:color="85C8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8AD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8AD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AnnualReportfinancialtable1">
    <w:name w:val="Annual Report financial table1"/>
    <w:basedOn w:val="TableNormal"/>
    <w:uiPriority w:val="99"/>
    <w:rsid w:val="00246664"/>
    <w:pPr>
      <w:spacing w:before="30" w:after="30" w:line="240" w:lineRule="auto"/>
      <w:jc w:val="right"/>
    </w:pPr>
    <w:rPr>
      <w:rFonts w:eastAsia="Times New Roman" w:cs="Times New Roman"/>
      <w:color w:val="4D4D4D"/>
      <w:sz w:val="16"/>
    </w:rPr>
    <w:tblPr>
      <w:tblStyleRowBandSize w:val="1"/>
      <w:tblStyleColBandSize w:val="1"/>
      <w:tblCellMar>
        <w:left w:w="86" w:type="dxa"/>
        <w:right w:w="86" w:type="dxa"/>
      </w:tblCellMar>
    </w:tblPr>
    <w:trPr>
      <w:cantSplit/>
    </w:trPr>
    <w:tblStylePr w:type="firstRow">
      <w:rPr>
        <w:b w:val="0"/>
      </w:rPr>
      <w:tblPr/>
      <w:tcPr>
        <w:shd w:val="clear" w:color="auto" w:fill="FFFFFF" w:themeFill="background1"/>
      </w:tcPr>
    </w:tblStylePr>
    <w:tblStylePr w:type="firstCol">
      <w:pPr>
        <w:jc w:val="left"/>
      </w:pPr>
    </w:tblStylePr>
    <w:tblStylePr w:type="band1Vert">
      <w:tblPr/>
      <w:tcPr>
        <w:shd w:val="clear" w:color="auto" w:fill="E0E0E0"/>
      </w:tcPr>
    </w:tblStylePr>
    <w:tblStylePr w:type="band2Vert">
      <w:rPr>
        <w:color w:val="auto"/>
      </w:rPr>
      <w:tblPr/>
      <w:tcPr>
        <w:shd w:val="clear" w:color="auto" w:fill="FFFFFF" w:themeFill="background1"/>
      </w:tcPr>
    </w:tblStylePr>
  </w:style>
  <w:style w:type="character" w:styleId="Mention">
    <w:name w:val="Mention"/>
    <w:basedOn w:val="DefaultParagraphFont"/>
    <w:uiPriority w:val="99"/>
    <w:unhideWhenUsed/>
    <w:rsid w:val="00246664"/>
    <w:rPr>
      <w:color w:val="2B579A"/>
      <w:shd w:val="clear" w:color="auto" w:fill="E1DFDD"/>
    </w:rPr>
  </w:style>
  <w:style w:type="paragraph" w:customStyle="1" w:styleId="Tableheaderbullet">
    <w:name w:val="Table header bullet"/>
    <w:basedOn w:val="Tableheader"/>
    <w:qFormat/>
    <w:rsid w:val="00246664"/>
    <w:pPr>
      <w:numPr>
        <w:numId w:val="14"/>
      </w:numPr>
      <w:spacing w:before="0" w:after="0"/>
    </w:pPr>
    <w:rPr>
      <w:b/>
      <w:sz w:val="14"/>
      <w:szCs w:val="14"/>
    </w:rPr>
  </w:style>
  <w:style w:type="paragraph" w:styleId="ListBullet2">
    <w:name w:val="List Bullet 2"/>
    <w:basedOn w:val="Normal"/>
    <w:uiPriority w:val="19"/>
    <w:rsid w:val="00246664"/>
    <w:pPr>
      <w:keepLines/>
      <w:numPr>
        <w:ilvl w:val="1"/>
        <w:numId w:val="16"/>
      </w:numPr>
      <w:tabs>
        <w:tab w:val="num" w:pos="360"/>
        <w:tab w:val="num" w:pos="720"/>
      </w:tabs>
      <w:spacing w:before="60" w:after="0" w:line="240" w:lineRule="auto"/>
      <w:ind w:left="720" w:hanging="360"/>
      <w:contextualSpacing/>
    </w:pPr>
    <w:rPr>
      <w:rFonts w:eastAsiaTheme="minorHAnsi"/>
      <w:color w:val="auto"/>
      <w:spacing w:val="2"/>
      <w:sz w:val="18"/>
      <w:szCs w:val="18"/>
      <w:lang w:eastAsia="en-US"/>
    </w:rPr>
  </w:style>
  <w:style w:type="paragraph" w:styleId="ListBullet3">
    <w:name w:val="List Bullet 3"/>
    <w:basedOn w:val="ListBullet2"/>
    <w:uiPriority w:val="19"/>
    <w:unhideWhenUsed/>
    <w:rsid w:val="00246664"/>
    <w:pPr>
      <w:numPr>
        <w:ilvl w:val="2"/>
      </w:numPr>
      <w:tabs>
        <w:tab w:val="num" w:pos="360"/>
        <w:tab w:val="num" w:pos="720"/>
        <w:tab w:val="num" w:pos="1440"/>
      </w:tabs>
    </w:pPr>
  </w:style>
  <w:style w:type="paragraph" w:styleId="ListBullet">
    <w:name w:val="List Bullet"/>
    <w:basedOn w:val="Normal"/>
    <w:autoRedefine/>
    <w:rsid w:val="00246664"/>
    <w:pPr>
      <w:tabs>
        <w:tab w:val="num" w:pos="360"/>
      </w:tabs>
      <w:spacing w:before="0" w:after="0" w:line="240" w:lineRule="auto"/>
      <w:ind w:left="360" w:hanging="360"/>
    </w:pPr>
    <w:rPr>
      <w:rFonts w:ascii="Times New Roman" w:eastAsia="Times New Roman" w:hAnsi="Times New Roman" w:cs="Times New Roman"/>
      <w:color w:val="auto"/>
      <w:sz w:val="24"/>
      <w:lang w:val="en-GB" w:eastAsia="en-US"/>
    </w:rPr>
  </w:style>
  <w:style w:type="paragraph" w:customStyle="1" w:styleId="Heading10">
    <w:name w:val="Heading 1 (#)"/>
    <w:basedOn w:val="Heading1"/>
    <w:uiPriority w:val="14"/>
    <w:qFormat/>
    <w:rsid w:val="00246664"/>
    <w:pPr>
      <w:pageBreakBefore/>
      <w:pBdr>
        <w:bottom w:val="single" w:sz="12" w:space="1" w:color="auto"/>
      </w:pBdr>
      <w:spacing w:after="0" w:line="240" w:lineRule="auto"/>
      <w:ind w:left="397" w:hanging="397"/>
    </w:pPr>
    <w:rPr>
      <w:caps/>
      <w:color w:val="auto"/>
      <w:spacing w:val="-2"/>
      <w:sz w:val="28"/>
      <w:lang w:eastAsia="en-US"/>
    </w:rPr>
  </w:style>
  <w:style w:type="paragraph" w:customStyle="1" w:styleId="Heading20">
    <w:name w:val="Heading 2 (#)"/>
    <w:basedOn w:val="Heading2"/>
    <w:link w:val="Heading2Char0"/>
    <w:uiPriority w:val="14"/>
    <w:qFormat/>
    <w:rsid w:val="00246664"/>
    <w:pPr>
      <w:tabs>
        <w:tab w:val="left" w:pos="964"/>
        <w:tab w:val="right" w:pos="9582"/>
      </w:tabs>
      <w:spacing w:before="240" w:after="0" w:line="240" w:lineRule="auto"/>
      <w:ind w:left="908" w:hanging="624"/>
    </w:pPr>
    <w:rPr>
      <w:bCs w:val="0"/>
      <w:color w:val="auto"/>
      <w:spacing w:val="-2"/>
      <w:sz w:val="24"/>
      <w:lang w:eastAsia="en-US"/>
    </w:rPr>
  </w:style>
  <w:style w:type="paragraph" w:customStyle="1" w:styleId="Heading30">
    <w:name w:val="Heading 3 (#)"/>
    <w:basedOn w:val="Heading3"/>
    <w:next w:val="Normal"/>
    <w:uiPriority w:val="14"/>
    <w:rsid w:val="00246664"/>
    <w:pPr>
      <w:tabs>
        <w:tab w:val="left" w:pos="737"/>
        <w:tab w:val="right" w:pos="9582"/>
      </w:tabs>
      <w:spacing w:before="180" w:after="0" w:line="240" w:lineRule="auto"/>
      <w:ind w:left="851" w:hanging="851"/>
    </w:pPr>
    <w:rPr>
      <w:b/>
      <w:color w:val="auto"/>
      <w:spacing w:val="-2"/>
      <w:sz w:val="20"/>
      <w:szCs w:val="26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rsid w:val="00246664"/>
    <w:pPr>
      <w:keepLines/>
      <w:pBdr>
        <w:top w:val="single" w:sz="4" w:space="10" w:color="0072CE" w:themeColor="accent1"/>
        <w:bottom w:val="single" w:sz="4" w:space="10" w:color="0072CE" w:themeColor="accent1"/>
      </w:pBdr>
      <w:spacing w:before="360" w:after="360" w:line="240" w:lineRule="auto"/>
      <w:ind w:left="864" w:right="864"/>
      <w:jc w:val="center"/>
    </w:pPr>
    <w:rPr>
      <w:rFonts w:eastAsia="Times New Roman" w:cs="Times New Roman"/>
      <w:i/>
      <w:iCs/>
      <w:color w:val="0072CE" w:themeColor="accent1"/>
      <w:sz w:val="17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46664"/>
    <w:rPr>
      <w:rFonts w:eastAsia="Times New Roman" w:cs="Times New Roman"/>
      <w:i/>
      <w:iCs/>
      <w:color w:val="0072CE" w:themeColor="accent1"/>
      <w:sz w:val="17"/>
      <w:szCs w:val="24"/>
    </w:rPr>
  </w:style>
  <w:style w:type="paragraph" w:styleId="ListBullet4">
    <w:name w:val="List Bullet 4"/>
    <w:basedOn w:val="Normal"/>
    <w:unhideWhenUsed/>
    <w:rsid w:val="00246664"/>
    <w:pPr>
      <w:keepLines/>
      <w:tabs>
        <w:tab w:val="num" w:pos="1209"/>
      </w:tabs>
      <w:spacing w:line="240" w:lineRule="auto"/>
      <w:ind w:left="1209" w:hanging="360"/>
      <w:contextualSpacing/>
    </w:pPr>
    <w:rPr>
      <w:rFonts w:eastAsia="Times New Roman" w:cs="Times New Roman"/>
      <w:color w:val="auto"/>
      <w:sz w:val="17"/>
      <w:szCs w:val="24"/>
    </w:rPr>
  </w:style>
  <w:style w:type="paragraph" w:styleId="ListContinue3">
    <w:name w:val="List Continue 3"/>
    <w:basedOn w:val="Normal"/>
    <w:rsid w:val="00246664"/>
    <w:pPr>
      <w:keepLines/>
      <w:spacing w:line="240" w:lineRule="auto"/>
      <w:ind w:left="849"/>
      <w:contextualSpacing/>
    </w:pPr>
    <w:rPr>
      <w:rFonts w:eastAsia="Times New Roman" w:cs="Times New Roman"/>
      <w:color w:val="auto"/>
      <w:sz w:val="17"/>
      <w:szCs w:val="24"/>
    </w:rPr>
  </w:style>
  <w:style w:type="paragraph" w:styleId="ListContinue4">
    <w:name w:val="List Continue 4"/>
    <w:basedOn w:val="Normal"/>
    <w:rsid w:val="00246664"/>
    <w:pPr>
      <w:keepLines/>
      <w:spacing w:line="240" w:lineRule="auto"/>
      <w:ind w:left="1132"/>
      <w:contextualSpacing/>
    </w:pPr>
    <w:rPr>
      <w:rFonts w:eastAsia="Times New Roman" w:cs="Times New Roman"/>
      <w:color w:val="auto"/>
      <w:sz w:val="17"/>
      <w:szCs w:val="24"/>
    </w:rPr>
  </w:style>
  <w:style w:type="paragraph" w:styleId="ListContinue5">
    <w:name w:val="List Continue 5"/>
    <w:basedOn w:val="Normal"/>
    <w:rsid w:val="00246664"/>
    <w:pPr>
      <w:keepLines/>
      <w:spacing w:line="240" w:lineRule="auto"/>
      <w:ind w:left="1415"/>
      <w:contextualSpacing/>
    </w:pPr>
    <w:rPr>
      <w:rFonts w:eastAsia="Times New Roman" w:cs="Times New Roman"/>
      <w:color w:val="auto"/>
      <w:sz w:val="17"/>
      <w:szCs w:val="24"/>
    </w:rPr>
  </w:style>
  <w:style w:type="paragraph" w:styleId="MacroText">
    <w:name w:val="macro"/>
    <w:link w:val="MacroTextChar"/>
    <w:rsid w:val="00246664"/>
    <w:pPr>
      <w:keepLines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auto"/>
    </w:pPr>
    <w:rPr>
      <w:rFonts w:ascii="Consolas" w:eastAsia="Times New Roman" w:hAnsi="Consolas" w:cs="Times New Roman"/>
    </w:rPr>
  </w:style>
  <w:style w:type="character" w:customStyle="1" w:styleId="MacroTextChar">
    <w:name w:val="Macro Text Char"/>
    <w:basedOn w:val="DefaultParagraphFont"/>
    <w:link w:val="MacroText"/>
    <w:rsid w:val="00246664"/>
    <w:rPr>
      <w:rFonts w:ascii="Consolas" w:eastAsia="Times New Roman" w:hAnsi="Consolas" w:cs="Times New Roman"/>
    </w:rPr>
  </w:style>
  <w:style w:type="paragraph" w:styleId="MessageHeader">
    <w:name w:val="Message Header"/>
    <w:basedOn w:val="Normal"/>
    <w:link w:val="MessageHeaderChar"/>
    <w:rsid w:val="00246664"/>
    <w:pPr>
      <w:keepLines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color w:val="auto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246664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customStyle="1" w:styleId="Footerodd0">
    <w:name w:val="Footer odd"/>
    <w:basedOn w:val="Footer"/>
    <w:qFormat/>
    <w:rsid w:val="00246664"/>
    <w:pPr>
      <w:keepLines/>
      <w:tabs>
        <w:tab w:val="clear" w:pos="9026"/>
        <w:tab w:val="right" w:pos="9000"/>
      </w:tabs>
      <w:spacing w:before="120" w:after="120"/>
    </w:pPr>
    <w:rPr>
      <w:rFonts w:eastAsia="Times New Roman" w:cs="Times New Roman"/>
      <w:bCs/>
      <w:noProof w:val="0"/>
      <w:color w:val="auto"/>
      <w:sz w:val="15"/>
      <w:szCs w:val="16"/>
    </w:rPr>
  </w:style>
  <w:style w:type="paragraph" w:styleId="BlockText">
    <w:name w:val="Block Text"/>
    <w:basedOn w:val="Normal"/>
    <w:rsid w:val="00246664"/>
    <w:pPr>
      <w:tabs>
        <w:tab w:val="left" w:pos="10188"/>
        <w:tab w:val="left" w:pos="19161"/>
        <w:tab w:val="left" w:pos="28134"/>
      </w:tabs>
      <w:spacing w:before="0" w:after="0" w:line="240" w:lineRule="auto"/>
      <w:ind w:left="709" w:right="404"/>
      <w:jc w:val="both"/>
    </w:pPr>
    <w:rPr>
      <w:rFonts w:ascii="Times New Roman" w:eastAsia="Times New Roman" w:hAnsi="Times New Roman" w:cs="Times New Roman"/>
      <w:color w:val="000000"/>
      <w:lang w:eastAsia="en-US"/>
    </w:rPr>
  </w:style>
  <w:style w:type="character" w:customStyle="1" w:styleId="Heading2Char0">
    <w:name w:val="Heading 2 (#) Char"/>
    <w:basedOn w:val="DefaultParagraphFont"/>
    <w:link w:val="Heading20"/>
    <w:uiPriority w:val="14"/>
    <w:rsid w:val="00246664"/>
    <w:rPr>
      <w:rFonts w:asciiTheme="majorHAnsi" w:eastAsiaTheme="majorEastAsia" w:hAnsiTheme="majorHAnsi" w:cstheme="majorBidi"/>
      <w:b/>
      <w:spacing w:val="-2"/>
      <w:sz w:val="24"/>
      <w:szCs w:val="26"/>
      <w:lang w:eastAsia="en-US"/>
    </w:rPr>
  </w:style>
  <w:style w:type="character" w:customStyle="1" w:styleId="ui-provider">
    <w:name w:val="ui-provider"/>
    <w:basedOn w:val="DefaultParagraphFont"/>
    <w:rsid w:val="002466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71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0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1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3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DTF Blue">
      <a:dk1>
        <a:srgbClr val="232B39"/>
      </a:dk1>
      <a:lt1>
        <a:sysClr val="window" lastClr="FFFFFF"/>
      </a:lt1>
      <a:dk2>
        <a:srgbClr val="3A3467"/>
      </a:dk2>
      <a:lt2>
        <a:srgbClr val="C2EBFA"/>
      </a:lt2>
      <a:accent1>
        <a:srgbClr val="0072CE"/>
      </a:accent1>
      <a:accent2>
        <a:srgbClr val="68CEF2"/>
      </a:accent2>
      <a:accent3>
        <a:srgbClr val="004C97"/>
      </a:accent3>
      <a:accent4>
        <a:srgbClr val="D3D5D7"/>
      </a:accent4>
      <a:accent5>
        <a:srgbClr val="5BBD74"/>
      </a:accent5>
      <a:accent6>
        <a:srgbClr val="D4E15F"/>
      </a:accent6>
      <a:hlink>
        <a:srgbClr val="53565A"/>
      </a:hlink>
      <a:folHlink>
        <a:srgbClr val="999999"/>
      </a:folHlink>
    </a:clrScheme>
    <a:fontScheme name="Brand Vic">
      <a:majorFont>
        <a:latin typeface="VIC SemiBold"/>
        <a:ea typeface=""/>
        <a:cs typeface=""/>
      </a:majorFont>
      <a:minorFont>
        <a:latin typeface="V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367a1f2a-d22c-4a3c-8034-8213a3c40b44">
      <UserInfo>
        <DisplayName>Fotos Andreou (DTF)</DisplayName>
        <AccountId>265</AccountId>
        <AccountType/>
      </UserInfo>
      <UserInfo>
        <DisplayName>Will Huang (DTF)</DisplayName>
        <AccountId>266</AccountId>
        <AccountType/>
      </UserInfo>
      <UserInfo>
        <DisplayName>Mark Joseph (DTF)</DisplayName>
        <AccountId>267</AccountId>
        <AccountType/>
      </UserInfo>
      <UserInfo>
        <DisplayName>Ian Charles (DTF)</DisplayName>
        <AccountId>147</AccountId>
        <AccountType/>
      </UserInfo>
      <UserInfo>
        <DisplayName>Monique Mills (DTF)</DisplayName>
        <AccountId>112</AccountId>
        <AccountType/>
      </UserInfo>
      <UserInfo>
        <DisplayName>Nikan Mandegari (DTF)</DisplayName>
        <AccountId>158</AccountId>
        <AccountType/>
      </UserInfo>
      <UserInfo>
        <DisplayName>Chris Mouratidis (DTF)</DisplayName>
        <AccountId>279</AccountId>
        <AccountType/>
      </UserInfo>
      <UserInfo>
        <DisplayName>Sujee Silva (DGS)</DisplayName>
        <AccountId>72</AccountId>
        <AccountType/>
      </UserInfo>
      <UserInfo>
        <DisplayName>Paul Bowerman (DTF)</DisplayName>
        <AccountId>298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9D9BAD2630BC4A8668C45F4F6EE2E2" ma:contentTypeVersion="8" ma:contentTypeDescription="Create a new document." ma:contentTypeScope="" ma:versionID="f8c6916427d713d229f16d4674d287e4">
  <xsd:schema xmlns:xsd="http://www.w3.org/2001/XMLSchema" xmlns:xs="http://www.w3.org/2001/XMLSchema" xmlns:p="http://schemas.microsoft.com/office/2006/metadata/properties" xmlns:ns2="4c5e6099-3111-4096-a762-1b81994cdf19" xmlns:ns3="367a1f2a-d22c-4a3c-8034-8213a3c40b44" targetNamespace="http://schemas.microsoft.com/office/2006/metadata/properties" ma:root="true" ma:fieldsID="0fc568bb00585d5a3dfabb7f67e64c54" ns2:_="" ns3:_="">
    <xsd:import namespace="4c5e6099-3111-4096-a762-1b81994cdf19"/>
    <xsd:import namespace="367a1f2a-d22c-4a3c-8034-8213a3c40b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5e6099-3111-4096-a762-1b81994cdf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7a1f2a-d22c-4a3c-8034-8213a3c40b4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E2CBCB9B-54BF-40DA-8C42-E8D2E89F12B8}">
  <ds:schemaRefs>
    <ds:schemaRef ds:uri="http://schemas.microsoft.com/office/2006/metadata/properties"/>
    <ds:schemaRef ds:uri="http://schemas.microsoft.com/office/infopath/2007/PartnerControls"/>
    <ds:schemaRef ds:uri="367a1f2a-d22c-4a3c-8034-8213a3c40b44"/>
  </ds:schemaRefs>
</ds:datastoreItem>
</file>

<file path=customXml/itemProps2.xml><?xml version="1.0" encoding="utf-8"?>
<ds:datastoreItem xmlns:ds="http://schemas.openxmlformats.org/officeDocument/2006/customXml" ds:itemID="{5CED9EC4-ABC5-4B58-8F9E-068028A689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5e6099-3111-4096-a762-1b81994cdf19"/>
    <ds:schemaRef ds:uri="367a1f2a-d22c-4a3c-8034-8213a3c40b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AEA7EC8-CA4A-4D87-A180-5F9F115CBA4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B167185-9A62-431A-A4FE-D82E9A27EFA1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1223</Words>
  <Characters>6323</Characters>
  <Application>Microsoft Office Word</Application>
  <DocSecurity>0</DocSecurity>
  <Lines>494</Lines>
  <Paragraphs>314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2022-23 DTF Annual Report consultants</vt:lpstr>
    </vt:vector>
  </TitlesOfParts>
  <Company/>
  <LinksUpToDate>false</LinksUpToDate>
  <CharactersWithSpaces>7249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2022-23 DTF Annual Report consultants</dc:title>
  <dc:subject/>
  <dc:creator>Geoff Stanton (DTF)</dc:creator>
  <cp:keywords/>
  <cp:lastModifiedBy>Geoff Stanton (DTF)</cp:lastModifiedBy>
  <cp:revision>3</cp:revision>
  <dcterms:created xsi:type="dcterms:W3CDTF">2025-10-28T02:23:00Z</dcterms:created>
  <dcterms:modified xsi:type="dcterms:W3CDTF">2025-10-28T02:23:00Z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0x010100229D9BAD2630BC4A8668C45F4F6EE2E2</vt:lpwstr>
  </property>
  <property fmtid="{D5CDD505-2E9C-101B-9397-08002B2CF9AE}" pid="3" name="ClassificationContentMarkingFooterShapeIds">
    <vt:lpwstr>7a3d1369,5dbaa66c,1f373ed0</vt:lpwstr>
  </property>
  <property fmtid="{D5CDD505-2E9C-101B-9397-08002B2CF9AE}" pid="4" name="ClassificationContentMarkingFooterFontProps">
    <vt:lpwstr>#000000,11,Calibri</vt:lpwstr>
  </property>
  <property fmtid="{D5CDD505-2E9C-101B-9397-08002B2CF9AE}" pid="5" name="ClassificationContentMarkingFooterText">
    <vt:lpwstr>OFFICIAL</vt:lpwstr>
  </property>
  <property fmtid="{D5CDD505-2E9C-101B-9397-08002B2CF9AE}" pid="6" name="MSIP_Label_7158ebbd-6c5e-441f-bfc9-4eb8c11e3978_Enabled">
    <vt:lpwstr>true</vt:lpwstr>
  </property>
  <property fmtid="{D5CDD505-2E9C-101B-9397-08002B2CF9AE}" pid="7" name="MSIP_Label_7158ebbd-6c5e-441f-bfc9-4eb8c11e3978_SetDate">
    <vt:lpwstr>2024-10-14T00:33:58Z</vt:lpwstr>
  </property>
  <property fmtid="{D5CDD505-2E9C-101B-9397-08002B2CF9AE}" pid="8" name="MSIP_Label_7158ebbd-6c5e-441f-bfc9-4eb8c11e3978_Method">
    <vt:lpwstr>Privileged</vt:lpwstr>
  </property>
  <property fmtid="{D5CDD505-2E9C-101B-9397-08002B2CF9AE}" pid="9" name="MSIP_Label_7158ebbd-6c5e-441f-bfc9-4eb8c11e3978_Name">
    <vt:lpwstr>7158ebbd-6c5e-441f-bfc9-4eb8c11e3978</vt:lpwstr>
  </property>
  <property fmtid="{D5CDD505-2E9C-101B-9397-08002B2CF9AE}" pid="10" name="MSIP_Label_7158ebbd-6c5e-441f-bfc9-4eb8c11e3978_SiteId">
    <vt:lpwstr>722ea0be-3e1c-4b11-ad6f-9401d6856e24</vt:lpwstr>
  </property>
  <property fmtid="{D5CDD505-2E9C-101B-9397-08002B2CF9AE}" pid="11" name="MSIP_Label_7158ebbd-6c5e-441f-bfc9-4eb8c11e3978_ActionId">
    <vt:lpwstr>9cd2827e-759b-4e53-9688-f4fedb1929ab</vt:lpwstr>
  </property>
  <property fmtid="{D5CDD505-2E9C-101B-9397-08002B2CF9AE}" pid="12" name="MSIP_Label_7158ebbd-6c5e-441f-bfc9-4eb8c11e3978_ContentBits">
    <vt:lpwstr>2</vt:lpwstr>
  </property>
</Properties>
</file>