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F7A6C" w14:textId="5819B936" w:rsidR="00522F8A" w:rsidRDefault="00895AB3" w:rsidP="00880991">
      <w:pPr>
        <w:pStyle w:val="Title"/>
        <w:spacing w:before="120"/>
        <w:ind w:right="566"/>
        <w:rPr>
          <w:szCs w:val="44"/>
        </w:rPr>
      </w:pPr>
      <w:bookmarkStart w:id="0" w:name="_Toc442780672"/>
      <w:r w:rsidRPr="00421971">
        <w:rPr>
          <w:szCs w:val="44"/>
        </w:rPr>
        <w:t xml:space="preserve">Additional </w:t>
      </w:r>
      <w:r w:rsidR="008754BA" w:rsidRPr="00421971">
        <w:rPr>
          <w:szCs w:val="44"/>
        </w:rPr>
        <w:t xml:space="preserve">guidance </w:t>
      </w:r>
      <w:r w:rsidRPr="00421971">
        <w:rPr>
          <w:szCs w:val="44"/>
        </w:rPr>
        <w:t xml:space="preserve">for </w:t>
      </w:r>
      <w:r w:rsidR="008754BA" w:rsidRPr="00421971">
        <w:rPr>
          <w:szCs w:val="44"/>
        </w:rPr>
        <w:t xml:space="preserve">requests </w:t>
      </w:r>
      <w:r w:rsidR="00CD7995" w:rsidRPr="00421971">
        <w:rPr>
          <w:szCs w:val="44"/>
        </w:rPr>
        <w:t xml:space="preserve">for </w:t>
      </w:r>
      <w:r w:rsidR="001F0581" w:rsidRPr="00421971">
        <w:rPr>
          <w:szCs w:val="44"/>
        </w:rPr>
        <w:t xml:space="preserve">composite </w:t>
      </w:r>
      <w:r w:rsidR="00DE021E" w:rsidRPr="00421971">
        <w:rPr>
          <w:szCs w:val="44"/>
        </w:rPr>
        <w:t xml:space="preserve">report </w:t>
      </w:r>
      <w:r w:rsidR="008754BA" w:rsidRPr="00421971">
        <w:rPr>
          <w:szCs w:val="44"/>
        </w:rPr>
        <w:t xml:space="preserve">determinations </w:t>
      </w:r>
      <w:r w:rsidR="00DE021E" w:rsidRPr="00421971">
        <w:rPr>
          <w:szCs w:val="44"/>
        </w:rPr>
        <w:t>under the</w:t>
      </w:r>
      <w:r w:rsidR="00F83E89">
        <w:rPr>
          <w:szCs w:val="44"/>
        </w:rPr>
        <w:t xml:space="preserve"> </w:t>
      </w:r>
      <w:r w:rsidR="00DE021E" w:rsidRPr="00421971">
        <w:rPr>
          <w:i/>
          <w:iCs/>
          <w:szCs w:val="44"/>
        </w:rPr>
        <w:t>Financial Management Act</w:t>
      </w:r>
      <w:r w:rsidR="00503029">
        <w:rPr>
          <w:rFonts w:ascii="Calibri" w:hAnsi="Calibri" w:cs="Calibri"/>
          <w:i/>
          <w:iCs/>
          <w:szCs w:val="44"/>
        </w:rPr>
        <w:t> </w:t>
      </w:r>
      <w:r w:rsidR="00DE021E" w:rsidRPr="00421971">
        <w:rPr>
          <w:i/>
          <w:iCs/>
          <w:szCs w:val="44"/>
        </w:rPr>
        <w:t xml:space="preserve">1994 </w:t>
      </w:r>
      <w:r w:rsidR="00DE021E" w:rsidRPr="00421971">
        <w:rPr>
          <w:szCs w:val="44"/>
        </w:rPr>
        <w:t xml:space="preserve">(FMA) and </w:t>
      </w:r>
      <w:r w:rsidR="00490776" w:rsidRPr="00421971">
        <w:rPr>
          <w:szCs w:val="44"/>
        </w:rPr>
        <w:t xml:space="preserve">exemptions </w:t>
      </w:r>
      <w:r w:rsidR="00CD6FD0" w:rsidRPr="00421971">
        <w:rPr>
          <w:szCs w:val="44"/>
        </w:rPr>
        <w:t>from the Standing Directions</w:t>
      </w:r>
    </w:p>
    <w:p w14:paraId="07383A2E" w14:textId="4298E052" w:rsidR="00D90106" w:rsidRPr="00D90106" w:rsidRDefault="00D90106" w:rsidP="00A060C9">
      <w:pPr>
        <w:pStyle w:val="ReportDate"/>
        <w:spacing w:before="200"/>
      </w:pPr>
      <w:r w:rsidRPr="00DA3E52">
        <w:t>Da</w:t>
      </w:r>
      <w:r>
        <w:t>te of Issue: August</w:t>
      </w:r>
      <w:r w:rsidRPr="006F4B78">
        <w:t xml:space="preserve"> 2025</w:t>
      </w:r>
      <w:r w:rsidR="00880991">
        <w:t xml:space="preserve"> (</w:t>
      </w:r>
      <w:r w:rsidR="00880991" w:rsidRPr="006F4B78">
        <w:rPr>
          <w:bCs w:val="0"/>
          <w:color w:val="232B39" w:themeColor="text1"/>
          <w:sz w:val="18"/>
        </w:rPr>
        <w:t>Version 1.0</w:t>
      </w:r>
      <w:r w:rsidR="00880991">
        <w:rPr>
          <w:bCs w:val="0"/>
          <w:color w:val="232B39" w:themeColor="text1"/>
          <w:sz w:val="18"/>
        </w:rPr>
        <w:t>)</w:t>
      </w:r>
    </w:p>
    <w:p w14:paraId="4ED85D2C" w14:textId="0EB79818" w:rsidR="00522F8A" w:rsidRDefault="00522F8A" w:rsidP="00880991">
      <w:pPr>
        <w:pStyle w:val="CM"/>
        <w:spacing w:after="700"/>
      </w:pPr>
      <w:r w:rsidRPr="007B141C">
        <w:t xml:space="preserve">CM </w:t>
      </w:r>
      <w:r w:rsidRPr="005129A3">
        <w:t>ref</w:t>
      </w:r>
      <w:r w:rsidRPr="007B141C">
        <w:t>:</w:t>
      </w:r>
      <w:r w:rsidR="0071287A">
        <w:t xml:space="preserve"> D2</w:t>
      </w:r>
      <w:r w:rsidR="00C65253">
        <w:t>5/85587</w:t>
      </w:r>
      <w:r w:rsidR="00FE24E9" w:rsidRPr="007B141C">
        <w:t xml:space="preserve"> </w:t>
      </w:r>
    </w:p>
    <w:p w14:paraId="57F2FCF4" w14:textId="77777777" w:rsidR="00880991" w:rsidRDefault="00880991" w:rsidP="00880991">
      <w:pPr>
        <w:pStyle w:val="TOCHeading"/>
        <w:spacing w:after="240"/>
      </w:pPr>
      <w:r>
        <w:t>Contents</w:t>
      </w:r>
    </w:p>
    <w:p w14:paraId="43798D1D" w14:textId="6BF72DA2" w:rsidR="00C13E36" w:rsidRDefault="00880991">
      <w:pPr>
        <w:pStyle w:val="TOC1"/>
        <w:rPr>
          <w:noProof/>
          <w:color w:val="auto"/>
          <w:kern w:val="2"/>
          <w:sz w:val="24"/>
          <w14:ligatures w14:val="standardContextual"/>
        </w:rPr>
      </w:pPr>
      <w:r>
        <w:rPr>
          <w:noProof/>
          <w:sz w:val="24"/>
        </w:rPr>
        <w:fldChar w:fldCharType="begin"/>
      </w:r>
      <w:r>
        <w:instrText xml:space="preserve"> TOC \h \z \t "Heading 2,1,Heading 3,2,Heading</w:instrText>
      </w:r>
      <w:r w:rsidR="002810B1">
        <w:instrText xml:space="preserve"> 4</w:instrText>
      </w:r>
      <w:r>
        <w:instrText xml:space="preserve">,3 </w:instrText>
      </w:r>
      <w:r>
        <w:rPr>
          <w:noProof/>
          <w:sz w:val="24"/>
        </w:rPr>
        <w:fldChar w:fldCharType="separate"/>
      </w:r>
      <w:hyperlink w:anchor="_Toc205976987" w:history="1">
        <w:r w:rsidR="00C13E36" w:rsidRPr="00A14D73">
          <w:rPr>
            <w:rStyle w:val="Hyperlink"/>
            <w:noProof/>
          </w:rPr>
          <w:t>How this document helps you</w:t>
        </w:r>
        <w:r w:rsidR="00C13E36">
          <w:rPr>
            <w:noProof/>
            <w:webHidden/>
          </w:rPr>
          <w:tab/>
        </w:r>
        <w:r w:rsidR="00C13E36">
          <w:rPr>
            <w:noProof/>
            <w:webHidden/>
          </w:rPr>
          <w:fldChar w:fldCharType="begin"/>
        </w:r>
        <w:r w:rsidR="00C13E36">
          <w:rPr>
            <w:noProof/>
            <w:webHidden/>
          </w:rPr>
          <w:instrText xml:space="preserve"> PAGEREF _Toc205976987 \h </w:instrText>
        </w:r>
        <w:r w:rsidR="00C13E36">
          <w:rPr>
            <w:noProof/>
            <w:webHidden/>
          </w:rPr>
        </w:r>
        <w:r w:rsidR="00C13E36">
          <w:rPr>
            <w:noProof/>
            <w:webHidden/>
          </w:rPr>
          <w:fldChar w:fldCharType="separate"/>
        </w:r>
        <w:r w:rsidR="004B46E6">
          <w:rPr>
            <w:noProof/>
            <w:webHidden/>
          </w:rPr>
          <w:t>2</w:t>
        </w:r>
        <w:r w:rsidR="00C13E36">
          <w:rPr>
            <w:noProof/>
            <w:webHidden/>
          </w:rPr>
          <w:fldChar w:fldCharType="end"/>
        </w:r>
      </w:hyperlink>
    </w:p>
    <w:p w14:paraId="2927599E" w14:textId="7D00D072" w:rsidR="00C13E36" w:rsidRDefault="00C13E36">
      <w:pPr>
        <w:pStyle w:val="TOC1"/>
        <w:rPr>
          <w:noProof/>
          <w:color w:val="auto"/>
          <w:kern w:val="2"/>
          <w:sz w:val="24"/>
          <w14:ligatures w14:val="standardContextual"/>
        </w:rPr>
      </w:pPr>
      <w:hyperlink w:anchor="_Toc205976988" w:history="1">
        <w:r w:rsidRPr="00A14D73">
          <w:rPr>
            <w:rStyle w:val="Hyperlink"/>
            <w:noProof/>
          </w:rPr>
          <w:t>Part 1. FMA section 53 determination for composite reports</w:t>
        </w:r>
        <w:r>
          <w:rPr>
            <w:noProof/>
            <w:webHidden/>
          </w:rPr>
          <w:tab/>
        </w:r>
        <w:r>
          <w:rPr>
            <w:noProof/>
            <w:webHidden/>
          </w:rPr>
          <w:fldChar w:fldCharType="begin"/>
        </w:r>
        <w:r>
          <w:rPr>
            <w:noProof/>
            <w:webHidden/>
          </w:rPr>
          <w:instrText xml:space="preserve"> PAGEREF _Toc205976988 \h </w:instrText>
        </w:r>
        <w:r>
          <w:rPr>
            <w:noProof/>
            <w:webHidden/>
          </w:rPr>
        </w:r>
        <w:r>
          <w:rPr>
            <w:noProof/>
            <w:webHidden/>
          </w:rPr>
          <w:fldChar w:fldCharType="separate"/>
        </w:r>
        <w:r w:rsidR="004B46E6">
          <w:rPr>
            <w:noProof/>
            <w:webHidden/>
          </w:rPr>
          <w:t>2</w:t>
        </w:r>
        <w:r>
          <w:rPr>
            <w:noProof/>
            <w:webHidden/>
          </w:rPr>
          <w:fldChar w:fldCharType="end"/>
        </w:r>
      </w:hyperlink>
    </w:p>
    <w:p w14:paraId="65A5D232" w14:textId="5AF91501" w:rsidR="00C13E36" w:rsidRDefault="00C13E36">
      <w:pPr>
        <w:pStyle w:val="TOC2"/>
        <w:tabs>
          <w:tab w:val="left" w:pos="1541"/>
        </w:tabs>
        <w:rPr>
          <w:spacing w:val="0"/>
          <w:kern w:val="2"/>
          <w:sz w:val="24"/>
          <w:szCs w:val="24"/>
          <w14:ligatures w14:val="standardContextual"/>
        </w:rPr>
      </w:pPr>
      <w:hyperlink w:anchor="_Toc205976989" w:history="1">
        <w:r w:rsidRPr="00A14D73">
          <w:rPr>
            <w:rStyle w:val="Hyperlink"/>
          </w:rPr>
          <w:t>1.1</w:t>
        </w:r>
        <w:r>
          <w:rPr>
            <w:spacing w:val="0"/>
            <w:kern w:val="2"/>
            <w:sz w:val="24"/>
            <w:szCs w:val="24"/>
            <w14:ligatures w14:val="standardContextual"/>
          </w:rPr>
          <w:tab/>
        </w:r>
        <w:r w:rsidRPr="00A14D73">
          <w:rPr>
            <w:rStyle w:val="Hyperlink"/>
          </w:rPr>
          <w:t>Composite (combined) annual report</w:t>
        </w:r>
        <w:r>
          <w:rPr>
            <w:webHidden/>
          </w:rPr>
          <w:tab/>
        </w:r>
        <w:r>
          <w:rPr>
            <w:webHidden/>
          </w:rPr>
          <w:fldChar w:fldCharType="begin"/>
        </w:r>
        <w:r>
          <w:rPr>
            <w:webHidden/>
          </w:rPr>
          <w:instrText xml:space="preserve"> PAGEREF _Toc205976989 \h </w:instrText>
        </w:r>
        <w:r>
          <w:rPr>
            <w:webHidden/>
          </w:rPr>
        </w:r>
        <w:r>
          <w:rPr>
            <w:webHidden/>
          </w:rPr>
          <w:fldChar w:fldCharType="separate"/>
        </w:r>
        <w:r w:rsidR="004B46E6">
          <w:rPr>
            <w:webHidden/>
          </w:rPr>
          <w:t>3</w:t>
        </w:r>
        <w:r>
          <w:rPr>
            <w:webHidden/>
          </w:rPr>
          <w:fldChar w:fldCharType="end"/>
        </w:r>
      </w:hyperlink>
    </w:p>
    <w:p w14:paraId="257DB32A" w14:textId="5BC023F7" w:rsidR="00C13E36" w:rsidRDefault="00C13E36">
      <w:pPr>
        <w:pStyle w:val="TOC2"/>
        <w:tabs>
          <w:tab w:val="left" w:pos="1541"/>
        </w:tabs>
        <w:rPr>
          <w:spacing w:val="0"/>
          <w:kern w:val="2"/>
          <w:sz w:val="24"/>
          <w:szCs w:val="24"/>
          <w14:ligatures w14:val="standardContextual"/>
        </w:rPr>
      </w:pPr>
      <w:hyperlink w:anchor="_Toc205976990" w:history="1">
        <w:r w:rsidRPr="00A14D73">
          <w:rPr>
            <w:rStyle w:val="Hyperlink"/>
          </w:rPr>
          <w:t>1.2</w:t>
        </w:r>
        <w:r>
          <w:rPr>
            <w:spacing w:val="0"/>
            <w:kern w:val="2"/>
            <w:sz w:val="24"/>
            <w:szCs w:val="24"/>
            <w14:ligatures w14:val="standardContextual"/>
          </w:rPr>
          <w:tab/>
        </w:r>
        <w:r w:rsidRPr="00A14D73">
          <w:rPr>
            <w:rStyle w:val="Hyperlink"/>
          </w:rPr>
          <w:t>Consolidated annual report</w:t>
        </w:r>
        <w:r>
          <w:rPr>
            <w:webHidden/>
          </w:rPr>
          <w:tab/>
        </w:r>
        <w:r>
          <w:rPr>
            <w:webHidden/>
          </w:rPr>
          <w:fldChar w:fldCharType="begin"/>
        </w:r>
        <w:r>
          <w:rPr>
            <w:webHidden/>
          </w:rPr>
          <w:instrText xml:space="preserve"> PAGEREF _Toc205976990 \h </w:instrText>
        </w:r>
        <w:r>
          <w:rPr>
            <w:webHidden/>
          </w:rPr>
        </w:r>
        <w:r>
          <w:rPr>
            <w:webHidden/>
          </w:rPr>
          <w:fldChar w:fldCharType="separate"/>
        </w:r>
        <w:r w:rsidR="004B46E6">
          <w:rPr>
            <w:webHidden/>
          </w:rPr>
          <w:t>3</w:t>
        </w:r>
        <w:r>
          <w:rPr>
            <w:webHidden/>
          </w:rPr>
          <w:fldChar w:fldCharType="end"/>
        </w:r>
      </w:hyperlink>
    </w:p>
    <w:p w14:paraId="624F146B" w14:textId="6408537A" w:rsidR="00C13E36" w:rsidRDefault="00C13E36">
      <w:pPr>
        <w:pStyle w:val="TOC2"/>
        <w:tabs>
          <w:tab w:val="left" w:pos="1541"/>
        </w:tabs>
        <w:rPr>
          <w:spacing w:val="0"/>
          <w:kern w:val="2"/>
          <w:sz w:val="24"/>
          <w:szCs w:val="24"/>
          <w14:ligatures w14:val="standardContextual"/>
        </w:rPr>
      </w:pPr>
      <w:hyperlink w:anchor="_Toc205976991" w:history="1">
        <w:r w:rsidRPr="00A14D73">
          <w:rPr>
            <w:rStyle w:val="Hyperlink"/>
          </w:rPr>
          <w:t xml:space="preserve">1.3 </w:t>
        </w:r>
        <w:r>
          <w:rPr>
            <w:spacing w:val="0"/>
            <w:kern w:val="2"/>
            <w:sz w:val="24"/>
            <w:szCs w:val="24"/>
            <w14:ligatures w14:val="standardContextual"/>
          </w:rPr>
          <w:tab/>
        </w:r>
        <w:r w:rsidRPr="00A14D73">
          <w:rPr>
            <w:rStyle w:val="Hyperlink"/>
          </w:rPr>
          <w:t>Reconfirmation of composite report determination</w:t>
        </w:r>
        <w:r>
          <w:rPr>
            <w:webHidden/>
          </w:rPr>
          <w:tab/>
        </w:r>
        <w:r>
          <w:rPr>
            <w:webHidden/>
          </w:rPr>
          <w:fldChar w:fldCharType="begin"/>
        </w:r>
        <w:r>
          <w:rPr>
            <w:webHidden/>
          </w:rPr>
          <w:instrText xml:space="preserve"> PAGEREF _Toc205976991 \h </w:instrText>
        </w:r>
        <w:r>
          <w:rPr>
            <w:webHidden/>
          </w:rPr>
        </w:r>
        <w:r>
          <w:rPr>
            <w:webHidden/>
          </w:rPr>
          <w:fldChar w:fldCharType="separate"/>
        </w:r>
        <w:r w:rsidR="004B46E6">
          <w:rPr>
            <w:webHidden/>
          </w:rPr>
          <w:t>4</w:t>
        </w:r>
        <w:r>
          <w:rPr>
            <w:webHidden/>
          </w:rPr>
          <w:fldChar w:fldCharType="end"/>
        </w:r>
      </w:hyperlink>
    </w:p>
    <w:p w14:paraId="0ECF35A0" w14:textId="32FEE765" w:rsidR="00C13E36" w:rsidRDefault="00C13E36">
      <w:pPr>
        <w:pStyle w:val="TOC1"/>
        <w:rPr>
          <w:noProof/>
          <w:color w:val="auto"/>
          <w:kern w:val="2"/>
          <w:sz w:val="24"/>
          <w14:ligatures w14:val="standardContextual"/>
        </w:rPr>
      </w:pPr>
      <w:hyperlink w:anchor="_Toc205976992" w:history="1">
        <w:r w:rsidRPr="00A14D73">
          <w:rPr>
            <w:rStyle w:val="Hyperlink"/>
            <w:noProof/>
          </w:rPr>
          <w:t>Part 2. Exemption from Standing Directions</w:t>
        </w:r>
        <w:r>
          <w:rPr>
            <w:noProof/>
            <w:webHidden/>
          </w:rPr>
          <w:tab/>
        </w:r>
        <w:r>
          <w:rPr>
            <w:noProof/>
            <w:webHidden/>
          </w:rPr>
          <w:fldChar w:fldCharType="begin"/>
        </w:r>
        <w:r>
          <w:rPr>
            <w:noProof/>
            <w:webHidden/>
          </w:rPr>
          <w:instrText xml:space="preserve"> PAGEREF _Toc205976992 \h </w:instrText>
        </w:r>
        <w:r>
          <w:rPr>
            <w:noProof/>
            <w:webHidden/>
          </w:rPr>
        </w:r>
        <w:r>
          <w:rPr>
            <w:noProof/>
            <w:webHidden/>
          </w:rPr>
          <w:fldChar w:fldCharType="separate"/>
        </w:r>
        <w:r w:rsidR="004B46E6">
          <w:rPr>
            <w:noProof/>
            <w:webHidden/>
          </w:rPr>
          <w:t>4</w:t>
        </w:r>
        <w:r>
          <w:rPr>
            <w:noProof/>
            <w:webHidden/>
          </w:rPr>
          <w:fldChar w:fldCharType="end"/>
        </w:r>
      </w:hyperlink>
    </w:p>
    <w:p w14:paraId="3E48EC0E" w14:textId="2AF59109" w:rsidR="00C13E36" w:rsidRDefault="00C13E36">
      <w:pPr>
        <w:pStyle w:val="TOC2"/>
        <w:tabs>
          <w:tab w:val="left" w:pos="1541"/>
        </w:tabs>
        <w:rPr>
          <w:spacing w:val="0"/>
          <w:kern w:val="2"/>
          <w:sz w:val="24"/>
          <w:szCs w:val="24"/>
          <w14:ligatures w14:val="standardContextual"/>
        </w:rPr>
      </w:pPr>
      <w:hyperlink w:anchor="_Toc205976993" w:history="1">
        <w:r w:rsidRPr="00A14D73">
          <w:rPr>
            <w:rStyle w:val="Hyperlink"/>
          </w:rPr>
          <w:t xml:space="preserve">2.1 </w:t>
        </w:r>
        <w:r>
          <w:rPr>
            <w:spacing w:val="0"/>
            <w:kern w:val="2"/>
            <w:sz w:val="24"/>
            <w:szCs w:val="24"/>
            <w14:ligatures w14:val="standardContextual"/>
          </w:rPr>
          <w:tab/>
        </w:r>
        <w:r w:rsidRPr="00A14D73">
          <w:rPr>
            <w:rStyle w:val="Hyperlink"/>
          </w:rPr>
          <w:t>Exemption request requirements for Agencies</w:t>
        </w:r>
        <w:r>
          <w:rPr>
            <w:webHidden/>
          </w:rPr>
          <w:tab/>
        </w:r>
        <w:r>
          <w:rPr>
            <w:webHidden/>
          </w:rPr>
          <w:fldChar w:fldCharType="begin"/>
        </w:r>
        <w:r>
          <w:rPr>
            <w:webHidden/>
          </w:rPr>
          <w:instrText xml:space="preserve"> PAGEREF _Toc205976993 \h </w:instrText>
        </w:r>
        <w:r>
          <w:rPr>
            <w:webHidden/>
          </w:rPr>
        </w:r>
        <w:r>
          <w:rPr>
            <w:webHidden/>
          </w:rPr>
          <w:fldChar w:fldCharType="separate"/>
        </w:r>
        <w:r w:rsidR="004B46E6">
          <w:rPr>
            <w:webHidden/>
          </w:rPr>
          <w:t>5</w:t>
        </w:r>
        <w:r>
          <w:rPr>
            <w:webHidden/>
          </w:rPr>
          <w:fldChar w:fldCharType="end"/>
        </w:r>
      </w:hyperlink>
    </w:p>
    <w:p w14:paraId="0E94A004" w14:textId="3CB3915E" w:rsidR="00C13E36" w:rsidRDefault="00C13E36">
      <w:pPr>
        <w:pStyle w:val="TOC2"/>
        <w:tabs>
          <w:tab w:val="left" w:pos="1541"/>
        </w:tabs>
        <w:rPr>
          <w:spacing w:val="0"/>
          <w:kern w:val="2"/>
          <w:sz w:val="24"/>
          <w:szCs w:val="24"/>
          <w14:ligatures w14:val="standardContextual"/>
        </w:rPr>
      </w:pPr>
      <w:hyperlink w:anchor="_Toc205976994" w:history="1">
        <w:r w:rsidRPr="00A14D73">
          <w:rPr>
            <w:rStyle w:val="Hyperlink"/>
          </w:rPr>
          <w:t xml:space="preserve">2.2 </w:t>
        </w:r>
        <w:r>
          <w:rPr>
            <w:spacing w:val="0"/>
            <w:kern w:val="2"/>
            <w:sz w:val="24"/>
            <w:szCs w:val="24"/>
            <w14:ligatures w14:val="standardContextual"/>
          </w:rPr>
          <w:tab/>
        </w:r>
        <w:r w:rsidRPr="00A14D73">
          <w:rPr>
            <w:rStyle w:val="Hyperlink"/>
          </w:rPr>
          <w:t>Appropriate financial management requirements for full exemptions</w:t>
        </w:r>
        <w:r>
          <w:rPr>
            <w:webHidden/>
          </w:rPr>
          <w:tab/>
        </w:r>
        <w:r>
          <w:rPr>
            <w:webHidden/>
          </w:rPr>
          <w:fldChar w:fldCharType="begin"/>
        </w:r>
        <w:r>
          <w:rPr>
            <w:webHidden/>
          </w:rPr>
          <w:instrText xml:space="preserve"> PAGEREF _Toc205976994 \h </w:instrText>
        </w:r>
        <w:r>
          <w:rPr>
            <w:webHidden/>
          </w:rPr>
        </w:r>
        <w:r>
          <w:rPr>
            <w:webHidden/>
          </w:rPr>
          <w:fldChar w:fldCharType="separate"/>
        </w:r>
        <w:r w:rsidR="004B46E6">
          <w:rPr>
            <w:webHidden/>
          </w:rPr>
          <w:t>6</w:t>
        </w:r>
        <w:r>
          <w:rPr>
            <w:webHidden/>
          </w:rPr>
          <w:fldChar w:fldCharType="end"/>
        </w:r>
      </w:hyperlink>
    </w:p>
    <w:p w14:paraId="76CB8581" w14:textId="5C5A34C6" w:rsidR="00C13E36" w:rsidRDefault="00C13E36">
      <w:pPr>
        <w:pStyle w:val="TOC2"/>
        <w:tabs>
          <w:tab w:val="left" w:pos="1541"/>
        </w:tabs>
        <w:rPr>
          <w:spacing w:val="0"/>
          <w:kern w:val="2"/>
          <w:sz w:val="24"/>
          <w:szCs w:val="24"/>
          <w14:ligatures w14:val="standardContextual"/>
        </w:rPr>
      </w:pPr>
      <w:hyperlink w:anchor="_Toc205976995" w:history="1">
        <w:r w:rsidRPr="00A14D73">
          <w:rPr>
            <w:rStyle w:val="Hyperlink"/>
          </w:rPr>
          <w:t xml:space="preserve">2.3 </w:t>
        </w:r>
        <w:r>
          <w:rPr>
            <w:spacing w:val="0"/>
            <w:kern w:val="2"/>
            <w:sz w:val="24"/>
            <w:szCs w:val="24"/>
            <w14:ligatures w14:val="standardContextual"/>
          </w:rPr>
          <w:tab/>
        </w:r>
        <w:r w:rsidRPr="00A14D73">
          <w:rPr>
            <w:rStyle w:val="Hyperlink"/>
          </w:rPr>
          <w:t>Interim full exemptions or extensions</w:t>
        </w:r>
        <w:r>
          <w:rPr>
            <w:webHidden/>
          </w:rPr>
          <w:tab/>
        </w:r>
        <w:r>
          <w:rPr>
            <w:webHidden/>
          </w:rPr>
          <w:fldChar w:fldCharType="begin"/>
        </w:r>
        <w:r>
          <w:rPr>
            <w:webHidden/>
          </w:rPr>
          <w:instrText xml:space="preserve"> PAGEREF _Toc205976995 \h </w:instrText>
        </w:r>
        <w:r>
          <w:rPr>
            <w:webHidden/>
          </w:rPr>
        </w:r>
        <w:r>
          <w:rPr>
            <w:webHidden/>
          </w:rPr>
          <w:fldChar w:fldCharType="separate"/>
        </w:r>
        <w:r w:rsidR="004B46E6">
          <w:rPr>
            <w:webHidden/>
          </w:rPr>
          <w:t>8</w:t>
        </w:r>
        <w:r>
          <w:rPr>
            <w:webHidden/>
          </w:rPr>
          <w:fldChar w:fldCharType="end"/>
        </w:r>
      </w:hyperlink>
    </w:p>
    <w:p w14:paraId="78CD8DB6" w14:textId="3040FFDC" w:rsidR="00C13E36" w:rsidRDefault="00C13E36">
      <w:pPr>
        <w:pStyle w:val="TOC2"/>
        <w:tabs>
          <w:tab w:val="left" w:pos="1541"/>
        </w:tabs>
        <w:rPr>
          <w:spacing w:val="0"/>
          <w:kern w:val="2"/>
          <w:sz w:val="24"/>
          <w:szCs w:val="24"/>
          <w14:ligatures w14:val="standardContextual"/>
        </w:rPr>
      </w:pPr>
      <w:hyperlink w:anchor="_Toc205976996" w:history="1">
        <w:r w:rsidRPr="00A14D73">
          <w:rPr>
            <w:rStyle w:val="Hyperlink"/>
          </w:rPr>
          <w:t xml:space="preserve">2.4 </w:t>
        </w:r>
        <w:r>
          <w:rPr>
            <w:spacing w:val="0"/>
            <w:kern w:val="2"/>
            <w:sz w:val="24"/>
            <w:szCs w:val="24"/>
            <w14:ligatures w14:val="standardContextual"/>
          </w:rPr>
          <w:tab/>
        </w:r>
        <w:r w:rsidRPr="00A14D73">
          <w:rPr>
            <w:rStyle w:val="Hyperlink"/>
          </w:rPr>
          <w:t>Ongoing exemptions</w:t>
        </w:r>
        <w:r>
          <w:rPr>
            <w:webHidden/>
          </w:rPr>
          <w:tab/>
        </w:r>
        <w:r>
          <w:rPr>
            <w:webHidden/>
          </w:rPr>
          <w:fldChar w:fldCharType="begin"/>
        </w:r>
        <w:r>
          <w:rPr>
            <w:webHidden/>
          </w:rPr>
          <w:instrText xml:space="preserve"> PAGEREF _Toc205976996 \h </w:instrText>
        </w:r>
        <w:r>
          <w:rPr>
            <w:webHidden/>
          </w:rPr>
        </w:r>
        <w:r>
          <w:rPr>
            <w:webHidden/>
          </w:rPr>
          <w:fldChar w:fldCharType="separate"/>
        </w:r>
        <w:r w:rsidR="004B46E6">
          <w:rPr>
            <w:webHidden/>
          </w:rPr>
          <w:t>8</w:t>
        </w:r>
        <w:r>
          <w:rPr>
            <w:webHidden/>
          </w:rPr>
          <w:fldChar w:fldCharType="end"/>
        </w:r>
      </w:hyperlink>
    </w:p>
    <w:p w14:paraId="00C27608" w14:textId="681A6EC5" w:rsidR="00C13E36" w:rsidRDefault="00C13E36">
      <w:pPr>
        <w:pStyle w:val="TOC1"/>
        <w:rPr>
          <w:noProof/>
          <w:color w:val="auto"/>
          <w:kern w:val="2"/>
          <w:sz w:val="24"/>
          <w14:ligatures w14:val="standardContextual"/>
        </w:rPr>
      </w:pPr>
      <w:hyperlink w:anchor="_Toc205976997" w:history="1">
        <w:r w:rsidRPr="00A14D73">
          <w:rPr>
            <w:rStyle w:val="Hyperlink"/>
            <w:noProof/>
          </w:rPr>
          <w:t>Part 3. Revised process and timing window for FMA composite report determination and</w:t>
        </w:r>
        <w:r w:rsidRPr="00A14D73">
          <w:rPr>
            <w:rStyle w:val="Hyperlink"/>
            <w:rFonts w:ascii="Calibri" w:hAnsi="Calibri" w:cs="Calibri"/>
            <w:noProof/>
          </w:rPr>
          <w:t> </w:t>
        </w:r>
        <w:r w:rsidRPr="00A14D73">
          <w:rPr>
            <w:rStyle w:val="Hyperlink"/>
            <w:noProof/>
          </w:rPr>
          <w:t>Standing Direction exemption requests</w:t>
        </w:r>
        <w:r>
          <w:rPr>
            <w:noProof/>
            <w:webHidden/>
          </w:rPr>
          <w:tab/>
        </w:r>
        <w:r>
          <w:rPr>
            <w:noProof/>
            <w:webHidden/>
          </w:rPr>
          <w:fldChar w:fldCharType="begin"/>
        </w:r>
        <w:r>
          <w:rPr>
            <w:noProof/>
            <w:webHidden/>
          </w:rPr>
          <w:instrText xml:space="preserve"> PAGEREF _Toc205976997 \h </w:instrText>
        </w:r>
        <w:r>
          <w:rPr>
            <w:noProof/>
            <w:webHidden/>
          </w:rPr>
        </w:r>
        <w:r>
          <w:rPr>
            <w:noProof/>
            <w:webHidden/>
          </w:rPr>
          <w:fldChar w:fldCharType="separate"/>
        </w:r>
        <w:r w:rsidR="004B46E6">
          <w:rPr>
            <w:noProof/>
            <w:webHidden/>
          </w:rPr>
          <w:t>9</w:t>
        </w:r>
        <w:r>
          <w:rPr>
            <w:noProof/>
            <w:webHidden/>
          </w:rPr>
          <w:fldChar w:fldCharType="end"/>
        </w:r>
      </w:hyperlink>
    </w:p>
    <w:p w14:paraId="3F36CE93" w14:textId="16BC3B02" w:rsidR="00C13E36" w:rsidRDefault="00C13E36">
      <w:pPr>
        <w:pStyle w:val="TOC2"/>
        <w:tabs>
          <w:tab w:val="left" w:pos="1541"/>
        </w:tabs>
        <w:rPr>
          <w:spacing w:val="0"/>
          <w:kern w:val="2"/>
          <w:sz w:val="24"/>
          <w:szCs w:val="24"/>
          <w14:ligatures w14:val="standardContextual"/>
        </w:rPr>
      </w:pPr>
      <w:hyperlink w:anchor="_Toc205976998" w:history="1">
        <w:r w:rsidRPr="00A14D73">
          <w:rPr>
            <w:rStyle w:val="Hyperlink"/>
          </w:rPr>
          <w:t>3.1</w:t>
        </w:r>
        <w:r>
          <w:rPr>
            <w:spacing w:val="0"/>
            <w:kern w:val="2"/>
            <w:sz w:val="24"/>
            <w:szCs w:val="24"/>
            <w14:ligatures w14:val="standardContextual"/>
          </w:rPr>
          <w:tab/>
        </w:r>
        <w:r w:rsidRPr="00A14D73">
          <w:rPr>
            <w:rStyle w:val="Hyperlink"/>
          </w:rPr>
          <w:t>Bi-annual processing of requests</w:t>
        </w:r>
        <w:r>
          <w:rPr>
            <w:webHidden/>
          </w:rPr>
          <w:tab/>
        </w:r>
        <w:r>
          <w:rPr>
            <w:webHidden/>
          </w:rPr>
          <w:fldChar w:fldCharType="begin"/>
        </w:r>
        <w:r>
          <w:rPr>
            <w:webHidden/>
          </w:rPr>
          <w:instrText xml:space="preserve"> PAGEREF _Toc205976998 \h </w:instrText>
        </w:r>
        <w:r>
          <w:rPr>
            <w:webHidden/>
          </w:rPr>
        </w:r>
        <w:r>
          <w:rPr>
            <w:webHidden/>
          </w:rPr>
          <w:fldChar w:fldCharType="separate"/>
        </w:r>
        <w:r w:rsidR="004B46E6">
          <w:rPr>
            <w:webHidden/>
          </w:rPr>
          <w:t>9</w:t>
        </w:r>
        <w:r>
          <w:rPr>
            <w:webHidden/>
          </w:rPr>
          <w:fldChar w:fldCharType="end"/>
        </w:r>
      </w:hyperlink>
    </w:p>
    <w:p w14:paraId="349FA3B0" w14:textId="3218BBB8" w:rsidR="00C13E36" w:rsidRDefault="00C13E36">
      <w:pPr>
        <w:pStyle w:val="TOC2"/>
        <w:tabs>
          <w:tab w:val="left" w:pos="1541"/>
        </w:tabs>
        <w:rPr>
          <w:spacing w:val="0"/>
          <w:kern w:val="2"/>
          <w:sz w:val="24"/>
          <w:szCs w:val="24"/>
          <w14:ligatures w14:val="standardContextual"/>
        </w:rPr>
      </w:pPr>
      <w:hyperlink w:anchor="_Toc205976999" w:history="1">
        <w:r w:rsidRPr="00A14D73">
          <w:rPr>
            <w:rStyle w:val="Hyperlink"/>
          </w:rPr>
          <w:t xml:space="preserve">3.2 </w:t>
        </w:r>
        <w:r>
          <w:rPr>
            <w:spacing w:val="0"/>
            <w:kern w:val="2"/>
            <w:sz w:val="24"/>
            <w:szCs w:val="24"/>
            <w14:ligatures w14:val="standardContextual"/>
          </w:rPr>
          <w:tab/>
        </w:r>
        <w:r w:rsidRPr="00A14D73">
          <w:rPr>
            <w:rStyle w:val="Hyperlink"/>
          </w:rPr>
          <w:t>Urgent requests</w:t>
        </w:r>
        <w:r>
          <w:rPr>
            <w:webHidden/>
          </w:rPr>
          <w:tab/>
        </w:r>
        <w:r>
          <w:rPr>
            <w:webHidden/>
          </w:rPr>
          <w:fldChar w:fldCharType="begin"/>
        </w:r>
        <w:r>
          <w:rPr>
            <w:webHidden/>
          </w:rPr>
          <w:instrText xml:space="preserve"> PAGEREF _Toc205976999 \h </w:instrText>
        </w:r>
        <w:r>
          <w:rPr>
            <w:webHidden/>
          </w:rPr>
        </w:r>
        <w:r>
          <w:rPr>
            <w:webHidden/>
          </w:rPr>
          <w:fldChar w:fldCharType="separate"/>
        </w:r>
        <w:r w:rsidR="004B46E6">
          <w:rPr>
            <w:webHidden/>
          </w:rPr>
          <w:t>9</w:t>
        </w:r>
        <w:r>
          <w:rPr>
            <w:webHidden/>
          </w:rPr>
          <w:fldChar w:fldCharType="end"/>
        </w:r>
      </w:hyperlink>
    </w:p>
    <w:p w14:paraId="6B576469" w14:textId="15D6948F" w:rsidR="00C13E36" w:rsidRDefault="00C13E36">
      <w:pPr>
        <w:pStyle w:val="TOC1"/>
        <w:rPr>
          <w:noProof/>
          <w:color w:val="auto"/>
          <w:kern w:val="2"/>
          <w:sz w:val="24"/>
          <w14:ligatures w14:val="standardContextual"/>
        </w:rPr>
      </w:pPr>
      <w:hyperlink w:anchor="_Toc205977000" w:history="1">
        <w:r w:rsidRPr="00A14D73">
          <w:rPr>
            <w:rStyle w:val="Hyperlink"/>
            <w:noProof/>
          </w:rPr>
          <w:t>Attachments</w:t>
        </w:r>
        <w:r>
          <w:rPr>
            <w:noProof/>
            <w:webHidden/>
          </w:rPr>
          <w:tab/>
        </w:r>
        <w:r>
          <w:rPr>
            <w:noProof/>
            <w:webHidden/>
          </w:rPr>
          <w:fldChar w:fldCharType="begin"/>
        </w:r>
        <w:r>
          <w:rPr>
            <w:noProof/>
            <w:webHidden/>
          </w:rPr>
          <w:instrText xml:space="preserve"> PAGEREF _Toc205977000 \h </w:instrText>
        </w:r>
        <w:r>
          <w:rPr>
            <w:noProof/>
            <w:webHidden/>
          </w:rPr>
        </w:r>
        <w:r>
          <w:rPr>
            <w:noProof/>
            <w:webHidden/>
          </w:rPr>
          <w:fldChar w:fldCharType="separate"/>
        </w:r>
        <w:r w:rsidR="004B46E6">
          <w:rPr>
            <w:noProof/>
            <w:webHidden/>
          </w:rPr>
          <w:t>10</w:t>
        </w:r>
        <w:r>
          <w:rPr>
            <w:noProof/>
            <w:webHidden/>
          </w:rPr>
          <w:fldChar w:fldCharType="end"/>
        </w:r>
      </w:hyperlink>
    </w:p>
    <w:p w14:paraId="12B4094F" w14:textId="05AE46AF" w:rsidR="00C13E36" w:rsidRDefault="00C13E36">
      <w:pPr>
        <w:pStyle w:val="TOC3"/>
        <w:rPr>
          <w:color w:val="auto"/>
          <w:kern w:val="2"/>
          <w:sz w:val="24"/>
          <w:szCs w:val="24"/>
          <w14:ligatures w14:val="standardContextual"/>
        </w:rPr>
      </w:pPr>
      <w:hyperlink w:anchor="_Toc205977001" w:history="1">
        <w:r w:rsidRPr="00A14D73">
          <w:rPr>
            <w:rStyle w:val="Hyperlink"/>
          </w:rPr>
          <w:t>Attachment 1 –</w:t>
        </w:r>
        <w:r>
          <w:rPr>
            <w:color w:val="auto"/>
            <w:kern w:val="2"/>
            <w:sz w:val="24"/>
            <w:szCs w:val="24"/>
            <w14:ligatures w14:val="standardContextual"/>
          </w:rPr>
          <w:tab/>
        </w:r>
        <w:r w:rsidRPr="00A14D73">
          <w:rPr>
            <w:rStyle w:val="Hyperlink"/>
          </w:rPr>
          <w:t>FMA composite report determination and Standing Direction exemption new request and reconfirmation process and timeline</w:t>
        </w:r>
        <w:r>
          <w:rPr>
            <w:webHidden/>
          </w:rPr>
          <w:tab/>
        </w:r>
        <w:r>
          <w:rPr>
            <w:webHidden/>
          </w:rPr>
          <w:fldChar w:fldCharType="begin"/>
        </w:r>
        <w:r>
          <w:rPr>
            <w:webHidden/>
          </w:rPr>
          <w:instrText xml:space="preserve"> PAGEREF _Toc205977001 \h </w:instrText>
        </w:r>
        <w:r>
          <w:rPr>
            <w:webHidden/>
          </w:rPr>
        </w:r>
        <w:r>
          <w:rPr>
            <w:webHidden/>
          </w:rPr>
          <w:fldChar w:fldCharType="separate"/>
        </w:r>
        <w:r w:rsidR="004B46E6">
          <w:rPr>
            <w:webHidden/>
          </w:rPr>
          <w:t>10</w:t>
        </w:r>
        <w:r>
          <w:rPr>
            <w:webHidden/>
          </w:rPr>
          <w:fldChar w:fldCharType="end"/>
        </w:r>
      </w:hyperlink>
    </w:p>
    <w:p w14:paraId="1FD5C43D" w14:textId="1B117A4F" w:rsidR="00C13E36" w:rsidRDefault="00C13E36">
      <w:pPr>
        <w:pStyle w:val="TOC3"/>
        <w:rPr>
          <w:color w:val="auto"/>
          <w:kern w:val="2"/>
          <w:sz w:val="24"/>
          <w:szCs w:val="24"/>
          <w14:ligatures w14:val="standardContextual"/>
        </w:rPr>
      </w:pPr>
      <w:hyperlink w:anchor="_Toc205977002" w:history="1">
        <w:r w:rsidRPr="00A14D73">
          <w:rPr>
            <w:rStyle w:val="Hyperlink"/>
          </w:rPr>
          <w:t>Attachment 2 –</w:t>
        </w:r>
        <w:r>
          <w:rPr>
            <w:color w:val="auto"/>
            <w:kern w:val="2"/>
            <w:sz w:val="24"/>
            <w:szCs w:val="24"/>
            <w14:ligatures w14:val="standardContextual"/>
          </w:rPr>
          <w:tab/>
        </w:r>
        <w:r w:rsidRPr="00A14D73">
          <w:rPr>
            <w:rStyle w:val="Hyperlink"/>
          </w:rPr>
          <w:t>FMA composite report determination and Standing</w:t>
        </w:r>
        <w:r w:rsidRPr="00A14D73">
          <w:rPr>
            <w:rStyle w:val="Hyperlink"/>
            <w:rFonts w:ascii="Calibri" w:hAnsi="Calibri" w:cs="Calibri"/>
          </w:rPr>
          <w:t> </w:t>
        </w:r>
        <w:r w:rsidRPr="00A14D73">
          <w:rPr>
            <w:rStyle w:val="Hyperlink"/>
          </w:rPr>
          <w:t>Direction exemption request letter template</w:t>
        </w:r>
        <w:r>
          <w:rPr>
            <w:webHidden/>
          </w:rPr>
          <w:tab/>
        </w:r>
        <w:r>
          <w:rPr>
            <w:webHidden/>
          </w:rPr>
          <w:fldChar w:fldCharType="begin"/>
        </w:r>
        <w:r>
          <w:rPr>
            <w:webHidden/>
          </w:rPr>
          <w:instrText xml:space="preserve"> PAGEREF _Toc205977002 \h </w:instrText>
        </w:r>
        <w:r>
          <w:rPr>
            <w:webHidden/>
          </w:rPr>
        </w:r>
        <w:r>
          <w:rPr>
            <w:webHidden/>
          </w:rPr>
          <w:fldChar w:fldCharType="separate"/>
        </w:r>
        <w:r w:rsidR="004B46E6">
          <w:rPr>
            <w:webHidden/>
          </w:rPr>
          <w:t>12</w:t>
        </w:r>
        <w:r>
          <w:rPr>
            <w:webHidden/>
          </w:rPr>
          <w:fldChar w:fldCharType="end"/>
        </w:r>
      </w:hyperlink>
    </w:p>
    <w:p w14:paraId="66D615E6" w14:textId="461EF231" w:rsidR="00C13E36" w:rsidRDefault="00C13E36">
      <w:pPr>
        <w:pStyle w:val="TOC3"/>
        <w:rPr>
          <w:color w:val="auto"/>
          <w:kern w:val="2"/>
          <w:sz w:val="24"/>
          <w:szCs w:val="24"/>
          <w14:ligatures w14:val="standardContextual"/>
        </w:rPr>
      </w:pPr>
      <w:hyperlink w:anchor="_Toc205977003" w:history="1">
        <w:r w:rsidRPr="00A14D73">
          <w:rPr>
            <w:rStyle w:val="Hyperlink"/>
          </w:rPr>
          <w:t>Attachment 3 –</w:t>
        </w:r>
        <w:r>
          <w:rPr>
            <w:color w:val="auto"/>
            <w:kern w:val="2"/>
            <w:sz w:val="24"/>
            <w:szCs w:val="24"/>
            <w14:ligatures w14:val="standardContextual"/>
          </w:rPr>
          <w:tab/>
        </w:r>
        <w:r w:rsidRPr="00A14D73">
          <w:rPr>
            <w:rStyle w:val="Hyperlink"/>
          </w:rPr>
          <w:t>Risk profile assessment information matrix</w:t>
        </w:r>
        <w:r>
          <w:rPr>
            <w:webHidden/>
          </w:rPr>
          <w:tab/>
        </w:r>
        <w:r>
          <w:rPr>
            <w:webHidden/>
          </w:rPr>
          <w:fldChar w:fldCharType="begin"/>
        </w:r>
        <w:r>
          <w:rPr>
            <w:webHidden/>
          </w:rPr>
          <w:instrText xml:space="preserve"> PAGEREF _Toc205977003 \h </w:instrText>
        </w:r>
        <w:r>
          <w:rPr>
            <w:webHidden/>
          </w:rPr>
        </w:r>
        <w:r>
          <w:rPr>
            <w:webHidden/>
          </w:rPr>
          <w:fldChar w:fldCharType="separate"/>
        </w:r>
        <w:r w:rsidR="004B46E6">
          <w:rPr>
            <w:webHidden/>
          </w:rPr>
          <w:t>15</w:t>
        </w:r>
        <w:r>
          <w:rPr>
            <w:webHidden/>
          </w:rPr>
          <w:fldChar w:fldCharType="end"/>
        </w:r>
      </w:hyperlink>
    </w:p>
    <w:p w14:paraId="4D29B3E4" w14:textId="3E130C2B" w:rsidR="00880991" w:rsidRPr="00880991" w:rsidRDefault="00880991" w:rsidP="00880991">
      <w:r>
        <w:lastRenderedPageBreak/>
        <w:fldChar w:fldCharType="end"/>
      </w:r>
    </w:p>
    <w:p w14:paraId="5D7B35F4" w14:textId="77777777" w:rsidR="00822DEC" w:rsidRDefault="00822DEC" w:rsidP="0077311A">
      <w:pPr>
        <w:pStyle w:val="Heading1"/>
        <w:sectPr w:rsidR="00822DEC" w:rsidSect="00F83E89">
          <w:headerReference w:type="default" r:id="rId13"/>
          <w:footerReference w:type="default" r:id="rId14"/>
          <w:headerReference w:type="first" r:id="rId15"/>
          <w:footerReference w:type="first" r:id="rId16"/>
          <w:type w:val="continuous"/>
          <w:pgSz w:w="11906" w:h="16838" w:code="9"/>
          <w:pgMar w:top="2160" w:right="1440" w:bottom="1728" w:left="1440" w:header="706" w:footer="461" w:gutter="0"/>
          <w:cols w:space="708"/>
          <w:docGrid w:linePitch="360"/>
        </w:sectPr>
      </w:pPr>
    </w:p>
    <w:p w14:paraId="57845ED1" w14:textId="5EFA2ED4" w:rsidR="00533A36" w:rsidRDefault="00533A36" w:rsidP="00533A36">
      <w:pPr>
        <w:pStyle w:val="Heading2"/>
        <w:spacing w:before="440"/>
      </w:pPr>
      <w:bookmarkStart w:id="1" w:name="_Toc205976987"/>
      <w:r>
        <w:t>How this document helps you</w:t>
      </w:r>
      <w:bookmarkEnd w:id="1"/>
    </w:p>
    <w:p w14:paraId="0BCE8881" w14:textId="77777777" w:rsidR="002B45C2" w:rsidRDefault="002B45C2" w:rsidP="00FA0FA7">
      <w:pPr>
        <w:sectPr w:rsidR="002B45C2" w:rsidSect="007600D8">
          <w:footerReference w:type="default" r:id="rId17"/>
          <w:type w:val="continuous"/>
          <w:pgSz w:w="11906" w:h="16838" w:code="9"/>
          <w:pgMar w:top="2160" w:right="1440" w:bottom="1728" w:left="1440" w:header="706" w:footer="461" w:gutter="0"/>
          <w:cols w:num="2" w:space="708"/>
          <w:docGrid w:linePitch="360"/>
        </w:sectPr>
      </w:pPr>
    </w:p>
    <w:p w14:paraId="4F43A368" w14:textId="0BFCF423" w:rsidR="009F5C17" w:rsidRDefault="000F570E" w:rsidP="00503029">
      <w:pPr>
        <w:ind w:right="180"/>
        <w:rPr>
          <w:b/>
          <w:bCs/>
        </w:rPr>
      </w:pPr>
      <w:r w:rsidRPr="000F570E">
        <w:t xml:space="preserve">This guidance </w:t>
      </w:r>
      <w:r w:rsidR="00F85604">
        <w:t>provides further</w:t>
      </w:r>
      <w:r w:rsidRPr="000F570E">
        <w:t xml:space="preserve"> support </w:t>
      </w:r>
      <w:r w:rsidR="00F85604">
        <w:t xml:space="preserve">to </w:t>
      </w:r>
      <w:r w:rsidRPr="000F570E">
        <w:t xml:space="preserve">departments and agencies in </w:t>
      </w:r>
      <w:r>
        <w:t>understanding</w:t>
      </w:r>
      <w:r w:rsidRPr="000F570E">
        <w:t xml:space="preserve"> and meeting the requirements for composite report determinations under the </w:t>
      </w:r>
      <w:r>
        <w:rPr>
          <w:i/>
          <w:iCs/>
        </w:rPr>
        <w:t>Financial Management Act 1994</w:t>
      </w:r>
      <w:r w:rsidR="006B13B2">
        <w:rPr>
          <w:i/>
          <w:iCs/>
        </w:rPr>
        <w:t xml:space="preserve"> </w:t>
      </w:r>
      <w:r w:rsidR="006B13B2" w:rsidRPr="001D6B3A">
        <w:t>(FMA)</w:t>
      </w:r>
      <w:r w:rsidRPr="006B13B2">
        <w:t>,</w:t>
      </w:r>
      <w:r w:rsidRPr="000F570E">
        <w:t xml:space="preserve"> as well as the process for </w:t>
      </w:r>
      <w:r>
        <w:t>seeking</w:t>
      </w:r>
      <w:r w:rsidRPr="000F570E">
        <w:t xml:space="preserve"> exemptions from the </w:t>
      </w:r>
      <w:r>
        <w:t xml:space="preserve">Standing </w:t>
      </w:r>
      <w:r w:rsidRPr="000F570E">
        <w:t>Directions. By following this guidance, users will gain clarity on procedural expectations and compliance obligations</w:t>
      </w:r>
      <w:r>
        <w:t xml:space="preserve"> of agencies, departments, and the Department of Treasury and Finance</w:t>
      </w:r>
      <w:r w:rsidR="00F666EB">
        <w:t xml:space="preserve"> (DTF)</w:t>
      </w:r>
      <w:r>
        <w:t>.</w:t>
      </w:r>
    </w:p>
    <w:p w14:paraId="41EF590C" w14:textId="45FC1E17" w:rsidR="00B02AF2" w:rsidRDefault="00B02AF2" w:rsidP="00421971">
      <w:pPr>
        <w:pStyle w:val="Heading2"/>
        <w:spacing w:before="440"/>
      </w:pPr>
      <w:bookmarkStart w:id="2" w:name="_Toc182409104"/>
      <w:bookmarkStart w:id="3" w:name="_Toc182409176"/>
      <w:bookmarkStart w:id="4" w:name="_Toc182475052"/>
      <w:bookmarkStart w:id="5" w:name="_Toc205976988"/>
      <w:r>
        <w:t xml:space="preserve">Part </w:t>
      </w:r>
      <w:r w:rsidR="003B5D66">
        <w:t>1</w:t>
      </w:r>
      <w:r>
        <w:t>. FMA section 53 determination for composite reports</w:t>
      </w:r>
      <w:bookmarkEnd w:id="2"/>
      <w:bookmarkEnd w:id="3"/>
      <w:bookmarkEnd w:id="4"/>
      <w:bookmarkEnd w:id="5"/>
    </w:p>
    <w:p w14:paraId="1638094A" w14:textId="7E377A97" w:rsidR="00B02AF2" w:rsidRPr="003C7243" w:rsidRDefault="00B02AF2" w:rsidP="00B02AF2">
      <w:pPr>
        <w:rPr>
          <w:rFonts w:eastAsia="Times New Roman"/>
        </w:rPr>
      </w:pPr>
      <w:r w:rsidRPr="003C7243">
        <w:rPr>
          <w:rFonts w:eastAsia="Times New Roman"/>
        </w:rPr>
        <w:t xml:space="preserve">Section 53 </w:t>
      </w:r>
      <w:r>
        <w:rPr>
          <w:rFonts w:eastAsia="Times New Roman"/>
        </w:rPr>
        <w:t xml:space="preserve">(s 53) </w:t>
      </w:r>
      <w:r w:rsidRPr="003C7243">
        <w:rPr>
          <w:rFonts w:eastAsia="Times New Roman"/>
        </w:rPr>
        <w:t xml:space="preserve">of the FMA authorises the </w:t>
      </w:r>
      <w:r w:rsidR="00E74EBC">
        <w:rPr>
          <w:rFonts w:eastAsia="Times New Roman"/>
        </w:rPr>
        <w:t>Minister for Finance</w:t>
      </w:r>
      <w:r w:rsidRPr="003C7243">
        <w:rPr>
          <w:rFonts w:eastAsia="Times New Roman"/>
        </w:rPr>
        <w:t xml:space="preserve"> to determine that a Minister who is the ‘relevant Minister’ in respect of two or more departments or public bodies may prepare an annual report containing the reports of operations </w:t>
      </w:r>
      <w:r w:rsidRPr="001D6B3A">
        <w:rPr>
          <w:rFonts w:eastAsia="Times New Roman"/>
        </w:rPr>
        <w:t>and</w:t>
      </w:r>
      <w:r w:rsidRPr="003C7243">
        <w:rPr>
          <w:rFonts w:eastAsia="Times New Roman"/>
        </w:rPr>
        <w:t xml:space="preserve"> financial statements of those departments </w:t>
      </w:r>
      <w:r w:rsidR="00E7082B">
        <w:rPr>
          <w:rFonts w:eastAsia="Times New Roman"/>
        </w:rPr>
        <w:t>and/</w:t>
      </w:r>
      <w:r w:rsidRPr="003C7243">
        <w:rPr>
          <w:rFonts w:eastAsia="Times New Roman"/>
        </w:rPr>
        <w:t>or public bodies</w:t>
      </w:r>
      <w:r w:rsidR="00E7082B">
        <w:rPr>
          <w:rFonts w:eastAsia="Times New Roman"/>
        </w:rPr>
        <w:t>.</w:t>
      </w:r>
      <w:r w:rsidR="0060644D">
        <w:rPr>
          <w:rFonts w:eastAsia="Times New Roman"/>
        </w:rPr>
        <w:t xml:space="preserve"> The request for determination must be for both FMA financial statements and report of operations.</w:t>
      </w:r>
    </w:p>
    <w:p w14:paraId="7EC90CE2" w14:textId="022E8842" w:rsidR="00B02AF2" w:rsidRDefault="00B02AF2" w:rsidP="00B02AF2">
      <w:pPr>
        <w:rPr>
          <w:rFonts w:eastAsia="Times New Roman"/>
        </w:rPr>
      </w:pPr>
      <w:r w:rsidRPr="003C7243">
        <w:rPr>
          <w:rFonts w:eastAsia="Times New Roman"/>
        </w:rPr>
        <w:t>The ‘relevant Minister’ in relation to a department is defined in s</w:t>
      </w:r>
      <w:r>
        <w:rPr>
          <w:rFonts w:eastAsia="Times New Roman"/>
        </w:rPr>
        <w:t>ection</w:t>
      </w:r>
      <w:r w:rsidRPr="003C7243">
        <w:rPr>
          <w:rFonts w:eastAsia="Times New Roman"/>
        </w:rPr>
        <w:t xml:space="preserve"> 3 of the FMA as </w:t>
      </w:r>
      <w:r w:rsidR="00421971">
        <w:rPr>
          <w:rFonts w:eastAsia="Times New Roman"/>
        </w:rPr>
        <w:t>‘</w:t>
      </w:r>
      <w:r w:rsidRPr="003C7243">
        <w:rPr>
          <w:rFonts w:eastAsia="Times New Roman"/>
        </w:rPr>
        <w:t>the Minister or Ministers for the time being responsible for any part of that department</w:t>
      </w:r>
      <w:r w:rsidR="00421971">
        <w:rPr>
          <w:rFonts w:eastAsia="Times New Roman"/>
        </w:rPr>
        <w:t>’</w:t>
      </w:r>
      <w:r w:rsidRPr="003C7243">
        <w:rPr>
          <w:rFonts w:eastAsia="Times New Roman"/>
        </w:rPr>
        <w:t>.</w:t>
      </w:r>
    </w:p>
    <w:p w14:paraId="0200325E" w14:textId="4E2DFF87" w:rsidR="00B02AF2" w:rsidRPr="002C31E3" w:rsidRDefault="009E136C" w:rsidP="00920835">
      <w:pPr>
        <w:keepNext/>
      </w:pPr>
      <w:r>
        <w:t>This section</w:t>
      </w:r>
      <w:r w:rsidR="00B02AF2" w:rsidRPr="002C31E3">
        <w:t xml:space="preserve"> is not about printing separate reports in one volume, which does not require approval under s 53</w:t>
      </w:r>
      <w:r w:rsidR="001475AA">
        <w:t>.</w:t>
      </w:r>
      <w:r w:rsidR="00E854E9">
        <w:t xml:space="preserve"> It is a</w:t>
      </w:r>
      <w:r w:rsidR="00B02AF2">
        <w:t>b</w:t>
      </w:r>
      <w:r w:rsidR="00E854E9">
        <w:t>o</w:t>
      </w:r>
      <w:r w:rsidR="00B02AF2">
        <w:t>ut</w:t>
      </w:r>
      <w:r w:rsidR="00B02AF2" w:rsidRPr="002C31E3">
        <w:t xml:space="preserve"> producing a single document which includes information about two (or more) entities</w:t>
      </w:r>
      <w:r w:rsidR="00B02AF2">
        <w:t>.</w:t>
      </w:r>
    </w:p>
    <w:p w14:paraId="115F5696" w14:textId="55B0B6AF" w:rsidR="00C444FA" w:rsidRPr="002C31E3" w:rsidRDefault="00B02AF2" w:rsidP="00383000">
      <w:r w:rsidRPr="002C31E3">
        <w:t>If co</w:t>
      </w:r>
      <w:r>
        <w:t>mposite</w:t>
      </w:r>
      <w:r w:rsidRPr="002C31E3">
        <w:t xml:space="preserve"> financial statements are required by accounting standards</w:t>
      </w:r>
      <w:r>
        <w:t xml:space="preserve"> (a subsidiary entity or related party)</w:t>
      </w:r>
      <w:r w:rsidRPr="002C31E3">
        <w:t xml:space="preserve">, a </w:t>
      </w:r>
      <w:r w:rsidR="00E7082B">
        <w:t>composite report</w:t>
      </w:r>
      <w:r>
        <w:t xml:space="preserve"> </w:t>
      </w:r>
      <w:r w:rsidRPr="002C31E3">
        <w:t xml:space="preserve">determination under s 53 is </w:t>
      </w:r>
      <w:r w:rsidRPr="00421971">
        <w:rPr>
          <w:rFonts w:asciiTheme="majorHAnsi" w:hAnsiTheme="majorHAnsi"/>
          <w:bCs/>
        </w:rPr>
        <w:t>not</w:t>
      </w:r>
      <w:r w:rsidRPr="002C31E3">
        <w:rPr>
          <w:b/>
          <w:bCs/>
        </w:rPr>
        <w:t xml:space="preserve"> </w:t>
      </w:r>
      <w:r w:rsidRPr="002C31E3">
        <w:t>necessary</w:t>
      </w:r>
      <w:r>
        <w:t>.</w:t>
      </w:r>
      <w:r w:rsidR="00365D55">
        <w:t xml:space="preserve"> </w:t>
      </w:r>
    </w:p>
    <w:p w14:paraId="701AF193" w14:textId="5264B216" w:rsidR="00B02AF2" w:rsidRPr="002C31E3" w:rsidRDefault="00B02AF2" w:rsidP="00B02AF2">
      <w:r w:rsidRPr="002C31E3">
        <w:t xml:space="preserve">In making recommendations to the </w:t>
      </w:r>
      <w:r w:rsidR="00E74EBC">
        <w:t>Minister for Finance</w:t>
      </w:r>
      <w:r w:rsidRPr="002C31E3">
        <w:t xml:space="preserve"> about requests under this section, </w:t>
      </w:r>
      <w:r>
        <w:t>DTF</w:t>
      </w:r>
      <w:r w:rsidRPr="002C31E3">
        <w:t xml:space="preserve"> consider</w:t>
      </w:r>
      <w:r>
        <w:t>s whether</w:t>
      </w:r>
      <w:r w:rsidRPr="002C31E3">
        <w:t>:</w:t>
      </w:r>
    </w:p>
    <w:p w14:paraId="54B29A86" w14:textId="775D43D8" w:rsidR="00B02AF2" w:rsidRPr="002C31E3" w:rsidRDefault="00B02AF2" w:rsidP="00421971">
      <w:pPr>
        <w:pStyle w:val="Bullet1"/>
      </w:pPr>
      <w:r w:rsidRPr="002C31E3">
        <w:t xml:space="preserve">efficiency </w:t>
      </w:r>
      <w:r>
        <w:t xml:space="preserve">and cost </w:t>
      </w:r>
      <w:r w:rsidR="00D229F9">
        <w:t>benefits</w:t>
      </w:r>
      <w:r>
        <w:t xml:space="preserve"> or lack of technical capability outweigh </w:t>
      </w:r>
      <w:r w:rsidRPr="002C31E3">
        <w:t>accountability</w:t>
      </w:r>
      <w:r>
        <w:t xml:space="preserve"> and transparency </w:t>
      </w:r>
      <w:r w:rsidR="004153DC">
        <w:t>considerations</w:t>
      </w:r>
    </w:p>
    <w:p w14:paraId="62DEE5E9" w14:textId="5000A15D" w:rsidR="00B02AF2" w:rsidRPr="002C31E3" w:rsidRDefault="00B02AF2" w:rsidP="00421971">
      <w:pPr>
        <w:pStyle w:val="Bullet1"/>
      </w:pPr>
      <w:r>
        <w:t>there are any</w:t>
      </w:r>
      <w:r w:rsidRPr="002C31E3">
        <w:t xml:space="preserve"> views</w:t>
      </w:r>
      <w:r>
        <w:t xml:space="preserve"> of the Victorian Auditor General’s Office from an audit </w:t>
      </w:r>
      <w:r w:rsidR="004153DC">
        <w:t>perspective</w:t>
      </w:r>
    </w:p>
    <w:p w14:paraId="1C2716AE" w14:textId="433B5C34" w:rsidR="00B02AF2" w:rsidRDefault="00B02AF2" w:rsidP="00421971">
      <w:pPr>
        <w:pStyle w:val="Bullet1"/>
      </w:pPr>
      <w:r w:rsidRPr="002C31E3">
        <w:t>one entity (e.g. a department) is in practice doing most or all</w:t>
      </w:r>
      <w:r>
        <w:t xml:space="preserve"> </w:t>
      </w:r>
      <w:r w:rsidRPr="002C31E3">
        <w:t xml:space="preserve">the financial management </w:t>
      </w:r>
      <w:r>
        <w:t>on behalf of</w:t>
      </w:r>
      <w:r w:rsidRPr="002C31E3">
        <w:t xml:space="preserve"> the other entity </w:t>
      </w:r>
      <w:r>
        <w:t>(e.g. a portfolio agency)</w:t>
      </w:r>
    </w:p>
    <w:p w14:paraId="229DCE6E" w14:textId="77777777" w:rsidR="00B02AF2" w:rsidRDefault="00B02AF2" w:rsidP="00421971">
      <w:pPr>
        <w:pStyle w:val="Bullet1"/>
      </w:pPr>
      <w:r>
        <w:t>a separate legal entity (created for specific purposes) is integrally linked to another entity (usually a government department).</w:t>
      </w:r>
    </w:p>
    <w:p w14:paraId="2CFBB0D9" w14:textId="7615A197" w:rsidR="00B02AF2" w:rsidRDefault="00B02AF2" w:rsidP="00B02AF2">
      <w:r>
        <w:t>These considerations should be covered in a strong business case together with relevant information on the risk profile of the requesting agency</w:t>
      </w:r>
      <w:r w:rsidR="00F2020D">
        <w:t>. For example, the</w:t>
      </w:r>
      <w:r w:rsidR="002C6927">
        <w:t xml:space="preserve"> </w:t>
      </w:r>
      <w:r>
        <w:t>S</w:t>
      </w:r>
      <w:r w:rsidR="002C6927">
        <w:t xml:space="preserve">tanding </w:t>
      </w:r>
      <w:r>
        <w:t>D</w:t>
      </w:r>
      <w:r w:rsidR="002C6927">
        <w:t>irections</w:t>
      </w:r>
      <w:r w:rsidR="003438D5">
        <w:t xml:space="preserve"> </w:t>
      </w:r>
      <w:r>
        <w:t xml:space="preserve">exemption requests in section </w:t>
      </w:r>
      <w:r w:rsidR="002C6927">
        <w:t>2</w:t>
      </w:r>
      <w:r>
        <w:t xml:space="preserve">.1 </w:t>
      </w:r>
      <w:r w:rsidR="002C6927">
        <w:t>below</w:t>
      </w:r>
      <w:r>
        <w:t>.</w:t>
      </w:r>
    </w:p>
    <w:p w14:paraId="4EBC4D66" w14:textId="3E58629F" w:rsidR="00B02AF2" w:rsidRDefault="00B02AF2" w:rsidP="00B02AF2">
      <w:r w:rsidRPr="002C31E3">
        <w:lastRenderedPageBreak/>
        <w:t xml:space="preserve">A determination under this section can be for </w:t>
      </w:r>
      <w:r>
        <w:t>a limited period</w:t>
      </w:r>
      <w:r w:rsidR="00414023">
        <w:t xml:space="preserve"> </w:t>
      </w:r>
      <w:r w:rsidRPr="002C31E3">
        <w:t>while a new entity becomes established</w:t>
      </w:r>
      <w:r w:rsidR="00917476">
        <w:t xml:space="preserve"> and builds up to being fully operational</w:t>
      </w:r>
      <w:r w:rsidRPr="002C31E3">
        <w:t>, or it can be ongoing</w:t>
      </w:r>
      <w:r>
        <w:t xml:space="preserve"> for subsequent financial years. However, from the 202</w:t>
      </w:r>
      <w:r w:rsidR="00890F22">
        <w:t>5</w:t>
      </w:r>
      <w:r>
        <w:t>-2</w:t>
      </w:r>
      <w:r w:rsidR="00890F22">
        <w:t xml:space="preserve">6 </w:t>
      </w:r>
      <w:r>
        <w:t xml:space="preserve">financial year, new ongoing composite determinations will require an annual reconfirmation </w:t>
      </w:r>
      <w:r w:rsidR="00251ADA">
        <w:t>like</w:t>
      </w:r>
      <w:r>
        <w:t xml:space="preserve"> the ongoing S</w:t>
      </w:r>
      <w:r w:rsidR="00355572">
        <w:t xml:space="preserve">tanding </w:t>
      </w:r>
      <w:r>
        <w:t>D</w:t>
      </w:r>
      <w:r w:rsidR="00355572">
        <w:t>irection</w:t>
      </w:r>
      <w:r w:rsidR="008E3F46">
        <w:t>s</w:t>
      </w:r>
      <w:r>
        <w:t xml:space="preserve"> exemptions process (see section </w:t>
      </w:r>
      <w:r w:rsidR="003438D5">
        <w:t>2</w:t>
      </w:r>
      <w:r>
        <w:t xml:space="preserve">.3 </w:t>
      </w:r>
      <w:r w:rsidR="003438D5">
        <w:t>below</w:t>
      </w:r>
      <w:r>
        <w:t>).</w:t>
      </w:r>
    </w:p>
    <w:p w14:paraId="70ED5938" w14:textId="3004C93F" w:rsidR="7544C464" w:rsidRPr="00836F6D" w:rsidRDefault="7544C464">
      <w:r w:rsidRPr="00836F6D">
        <w:t xml:space="preserve">Examples of previous consolidations include portfolio agencies that are </w:t>
      </w:r>
      <w:r w:rsidR="0067043E">
        <w:t xml:space="preserve">(generally) </w:t>
      </w:r>
      <w:r w:rsidRPr="00836F6D">
        <w:t xml:space="preserve">small </w:t>
      </w:r>
      <w:r w:rsidR="0067043E">
        <w:t xml:space="preserve">entities with a </w:t>
      </w:r>
      <w:r w:rsidRPr="00836F6D">
        <w:t>special purpose</w:t>
      </w:r>
      <w:r w:rsidR="0067043E">
        <w:t>, and</w:t>
      </w:r>
      <w:r w:rsidRPr="00836F6D">
        <w:t xml:space="preserve"> with limited accounting r</w:t>
      </w:r>
      <w:r w:rsidR="0E152CF5" w:rsidRPr="00836F6D">
        <w:t>esources</w:t>
      </w:r>
      <w:r w:rsidRPr="00836F6D">
        <w:t xml:space="preserve"> </w:t>
      </w:r>
      <w:r w:rsidR="70F82EDF" w:rsidRPr="00836F6D">
        <w:t xml:space="preserve">and/or </w:t>
      </w:r>
      <w:r w:rsidRPr="00836F6D">
        <w:t xml:space="preserve">expertise. Occasionally a larger entity that is integral to a </w:t>
      </w:r>
      <w:r w:rsidR="4FC4CADD" w:rsidRPr="00836F6D">
        <w:t>department’s</w:t>
      </w:r>
      <w:r w:rsidRPr="00836F6D">
        <w:t xml:space="preserve"> operations may be consolidated</w:t>
      </w:r>
      <w:r w:rsidR="54092060" w:rsidRPr="00836F6D">
        <w:t xml:space="preserve"> with </w:t>
      </w:r>
      <w:r w:rsidR="7FC4FDE8" w:rsidRPr="00836F6D">
        <w:t>the department</w:t>
      </w:r>
      <w:r w:rsidR="001005E4">
        <w:t>,</w:t>
      </w:r>
      <w:r w:rsidR="54092060" w:rsidRPr="00836F6D">
        <w:t xml:space="preserve"> </w:t>
      </w:r>
      <w:r w:rsidR="00741EA2" w:rsidRPr="00836F6D">
        <w:t>with appropriate</w:t>
      </w:r>
      <w:r w:rsidR="54092060" w:rsidRPr="00836F6D">
        <w:t xml:space="preserve"> </w:t>
      </w:r>
      <w:r w:rsidR="784A8F03" w:rsidRPr="00836F6D">
        <w:t xml:space="preserve">notes to ensure </w:t>
      </w:r>
      <w:r w:rsidR="5B8C71CE" w:rsidRPr="00836F6D">
        <w:t>transparency</w:t>
      </w:r>
      <w:r w:rsidR="784A8F03" w:rsidRPr="00836F6D">
        <w:t>.</w:t>
      </w:r>
    </w:p>
    <w:p w14:paraId="0C82B854" w14:textId="77777777" w:rsidR="00F3475B" w:rsidRPr="00F3475B" w:rsidRDefault="41B539F5" w:rsidP="00585742">
      <w:pPr>
        <w:ind w:right="90"/>
      </w:pPr>
      <w:r w:rsidRPr="001D6B3A">
        <w:t xml:space="preserve">All </w:t>
      </w:r>
      <w:r w:rsidR="04F3C756" w:rsidRPr="001D6B3A">
        <w:t xml:space="preserve">agencies subject to a </w:t>
      </w:r>
      <w:r w:rsidRPr="001D6B3A">
        <w:t>s</w:t>
      </w:r>
      <w:r w:rsidR="00E74EBC" w:rsidRPr="001D6B3A">
        <w:t xml:space="preserve">ection </w:t>
      </w:r>
      <w:r w:rsidRPr="001D6B3A">
        <w:t xml:space="preserve">53 determination </w:t>
      </w:r>
      <w:r w:rsidR="59376AB4" w:rsidRPr="001D6B3A">
        <w:t>must</w:t>
      </w:r>
      <w:r w:rsidRPr="001D6B3A">
        <w:t xml:space="preserve"> be </w:t>
      </w:r>
      <w:r w:rsidR="51D1F0A4" w:rsidRPr="001D6B3A">
        <w:t xml:space="preserve">identified in the composite annual report </w:t>
      </w:r>
      <w:r w:rsidR="00E74EBC" w:rsidRPr="001D6B3A">
        <w:t xml:space="preserve">in </w:t>
      </w:r>
      <w:r w:rsidR="00E74EBC" w:rsidRPr="001D6B3A">
        <w:rPr>
          <w:b/>
          <w:bCs/>
        </w:rPr>
        <w:t>both</w:t>
      </w:r>
      <w:r w:rsidR="00E74EBC" w:rsidRPr="001D6B3A">
        <w:t xml:space="preserve"> the report of operations and the </w:t>
      </w:r>
      <w:r w:rsidR="51D1F0A4" w:rsidRPr="001D6B3A">
        <w:t xml:space="preserve">financial </w:t>
      </w:r>
      <w:r w:rsidR="5B48FFBC" w:rsidRPr="001D6B3A">
        <w:t>statements</w:t>
      </w:r>
      <w:r w:rsidR="00E74EBC" w:rsidRPr="001D6B3A">
        <w:t xml:space="preserve"> notes</w:t>
      </w:r>
      <w:r w:rsidR="00741EA2" w:rsidRPr="001D6B3A">
        <w:t>.</w:t>
      </w:r>
      <w:r w:rsidR="00741EA2" w:rsidRPr="00F3475B">
        <w:t xml:space="preserve"> </w:t>
      </w:r>
    </w:p>
    <w:p w14:paraId="40F760FC" w14:textId="1707422F" w:rsidR="003438D5" w:rsidRPr="002C31E3" w:rsidRDefault="00741EA2" w:rsidP="00B02AF2">
      <w:r w:rsidRPr="00E7082B">
        <w:t>The determination</w:t>
      </w:r>
      <w:r w:rsidR="00E7082B">
        <w:t xml:space="preserve"> will</w:t>
      </w:r>
      <w:r w:rsidRPr="00E7082B">
        <w:t xml:space="preserve"> apply to </w:t>
      </w:r>
      <w:r w:rsidR="00E7082B">
        <w:t xml:space="preserve">both </w:t>
      </w:r>
      <w:r w:rsidRPr="00E7082B">
        <w:t xml:space="preserve">the financial statements </w:t>
      </w:r>
      <w:r w:rsidRPr="00E7082B">
        <w:rPr>
          <w:b/>
          <w:bCs/>
        </w:rPr>
        <w:t>and</w:t>
      </w:r>
      <w:r w:rsidRPr="00E7082B">
        <w:t xml:space="preserve"> the report of operations collectively</w:t>
      </w:r>
      <w:r w:rsidR="00E7082B" w:rsidRPr="00E7082B">
        <w:t xml:space="preserve">. </w:t>
      </w:r>
      <w:r w:rsidRPr="00E7082B">
        <w:t>Additionally, a statement confirming the continued applicability of this arrangement must be included in th</w:t>
      </w:r>
      <w:r w:rsidR="00E7082B" w:rsidRPr="00E7082B">
        <w:t>e</w:t>
      </w:r>
      <w:r w:rsidRPr="00E7082B">
        <w:t>s</w:t>
      </w:r>
      <w:r w:rsidR="00E7082B" w:rsidRPr="00E7082B">
        <w:t>e</w:t>
      </w:r>
      <w:r w:rsidR="00E7082B">
        <w:t xml:space="preserve"> </w:t>
      </w:r>
      <w:r w:rsidR="00E74EBC" w:rsidRPr="00E7082B">
        <w:t>disclosure</w:t>
      </w:r>
      <w:r w:rsidR="00E7082B" w:rsidRPr="00E7082B">
        <w:t>s</w:t>
      </w:r>
      <w:r w:rsidRPr="00E7082B">
        <w:t>.</w:t>
      </w:r>
    </w:p>
    <w:p w14:paraId="6194A8D4" w14:textId="16E62E95" w:rsidR="00B02AF2" w:rsidRPr="005E59C8" w:rsidRDefault="00414023" w:rsidP="00534EFE">
      <w:pPr>
        <w:pStyle w:val="Heading3"/>
      </w:pPr>
      <w:bookmarkStart w:id="6" w:name="_Toc182409105"/>
      <w:bookmarkStart w:id="7" w:name="_Toc182409177"/>
      <w:bookmarkStart w:id="8" w:name="_Toc182475053"/>
      <w:bookmarkStart w:id="9" w:name="_Toc205976989"/>
      <w:r w:rsidRPr="005E59C8">
        <w:t>1</w:t>
      </w:r>
      <w:r w:rsidR="00B02AF2" w:rsidRPr="005E59C8">
        <w:t>.</w:t>
      </w:r>
      <w:r w:rsidR="00D7339A" w:rsidRPr="005E59C8">
        <w:t>1</w:t>
      </w:r>
      <w:r w:rsidR="00421971">
        <w:tab/>
      </w:r>
      <w:r w:rsidR="00B02AF2" w:rsidRPr="005E59C8">
        <w:t>Composite (combined) annual report</w:t>
      </w:r>
      <w:bookmarkEnd w:id="6"/>
      <w:bookmarkEnd w:id="7"/>
      <w:bookmarkEnd w:id="8"/>
      <w:bookmarkEnd w:id="9"/>
    </w:p>
    <w:p w14:paraId="1F1DB46B" w14:textId="28E51640" w:rsidR="00B02AF2" w:rsidRDefault="00B02AF2" w:rsidP="00920835">
      <w:pPr>
        <w:keepNext/>
      </w:pPr>
      <w:r>
        <w:t xml:space="preserve">The </w:t>
      </w:r>
      <w:r w:rsidR="00E74EBC">
        <w:t>Minister for Finance</w:t>
      </w:r>
      <w:r>
        <w:t xml:space="preserve"> may determine under s</w:t>
      </w:r>
      <w:r w:rsidRPr="00091657">
        <w:t xml:space="preserve">ection 53 </w:t>
      </w:r>
      <w:r>
        <w:t xml:space="preserve">(1) (a) </w:t>
      </w:r>
      <w:r w:rsidRPr="00091657">
        <w:t xml:space="preserve">of the FMA </w:t>
      </w:r>
      <w:r>
        <w:t>for all reports of operations and financial statements of departments or public bodies</w:t>
      </w:r>
      <w:r w:rsidR="001B3634">
        <w:t>,</w:t>
      </w:r>
      <w:r>
        <w:t xml:space="preserve"> or both</w:t>
      </w:r>
      <w:r w:rsidR="001B3634">
        <w:t>,</w:t>
      </w:r>
      <w:r>
        <w:t xml:space="preserve"> to be reported in one combined annual report.</w:t>
      </w:r>
    </w:p>
    <w:p w14:paraId="519F39D2" w14:textId="5C395725" w:rsidR="00B02AF2" w:rsidRDefault="00B02AF2" w:rsidP="00B02AF2">
      <w:r>
        <w:t>Unlike a consolidated report</w:t>
      </w:r>
      <w:r w:rsidR="00A32B7D">
        <w:t xml:space="preserve"> (see section 1.2)</w:t>
      </w:r>
      <w:r>
        <w:t>, combined composite reports clearly delineate the report of operations and financial statements of both entities involved. This type of reporting could be requested when an entity has wound up and the department does the final reporting on its behalf. A combined composite report may also be requested when an entity is fundamentally linked to the department and both department and the entity deem it appropriate to prepare composite reports for greater transparency and accountability.</w:t>
      </w:r>
    </w:p>
    <w:p w14:paraId="647A1C08" w14:textId="77777777" w:rsidR="00B02AF2" w:rsidRDefault="00B02AF2" w:rsidP="00B02AF2">
      <w:r>
        <w:t>This option is rarely considered as it has limited efficiency gains from separate reporting.</w:t>
      </w:r>
    </w:p>
    <w:p w14:paraId="788F4B00" w14:textId="050663C4" w:rsidR="00D7339A" w:rsidRPr="005E59C8" w:rsidRDefault="00D7339A" w:rsidP="00534EFE">
      <w:pPr>
        <w:pStyle w:val="Heading3"/>
      </w:pPr>
      <w:bookmarkStart w:id="10" w:name="_Toc182409106"/>
      <w:bookmarkStart w:id="11" w:name="_Toc182409178"/>
      <w:bookmarkStart w:id="12" w:name="_Toc182475054"/>
      <w:bookmarkStart w:id="13" w:name="_Toc205976990"/>
      <w:r w:rsidRPr="005E59C8">
        <w:t>1.2</w:t>
      </w:r>
      <w:r w:rsidR="00421971">
        <w:tab/>
      </w:r>
      <w:r w:rsidRPr="005E59C8">
        <w:t>Consolidated annual report</w:t>
      </w:r>
      <w:bookmarkEnd w:id="10"/>
      <w:bookmarkEnd w:id="11"/>
      <w:bookmarkEnd w:id="12"/>
      <w:bookmarkEnd w:id="13"/>
    </w:p>
    <w:p w14:paraId="2C3D29A0" w14:textId="11B0FC0D" w:rsidR="00D7339A" w:rsidRDefault="00D7339A" w:rsidP="00D7339A">
      <w:r>
        <w:t xml:space="preserve">The </w:t>
      </w:r>
      <w:r w:rsidR="00E74EBC">
        <w:t>Minister for Finance</w:t>
      </w:r>
      <w:r>
        <w:t xml:space="preserve"> may determine under s</w:t>
      </w:r>
      <w:r w:rsidRPr="00091657">
        <w:t xml:space="preserve">ection 53 </w:t>
      </w:r>
      <w:r>
        <w:t xml:space="preserve">(1) (b) </w:t>
      </w:r>
      <w:r w:rsidRPr="00091657">
        <w:t xml:space="preserve">of the FMA </w:t>
      </w:r>
      <w:r>
        <w:t>for all reports of operations and financial statements of departments or public bodies</w:t>
      </w:r>
      <w:r w:rsidR="00792670">
        <w:t>,</w:t>
      </w:r>
      <w:r>
        <w:t xml:space="preserve"> or both</w:t>
      </w:r>
      <w:r w:rsidR="00792670">
        <w:t>,</w:t>
      </w:r>
      <w:r>
        <w:t xml:space="preserve"> to b</w:t>
      </w:r>
      <w:r w:rsidR="00D15D3F">
        <w:t xml:space="preserve">e an </w:t>
      </w:r>
      <w:r w:rsidRPr="001C5B65">
        <w:t xml:space="preserve">annual report containing a report of operations </w:t>
      </w:r>
      <w:r w:rsidRPr="00E7082B">
        <w:rPr>
          <w:b/>
          <w:bCs/>
        </w:rPr>
        <w:t xml:space="preserve">and </w:t>
      </w:r>
      <w:r w:rsidRPr="001C5B65">
        <w:t xml:space="preserve">financial statements </w:t>
      </w:r>
      <w:r w:rsidRPr="00421971">
        <w:rPr>
          <w:rFonts w:asciiTheme="majorHAnsi" w:hAnsiTheme="majorHAnsi"/>
          <w:bCs/>
        </w:rPr>
        <w:t>consolidating</w:t>
      </w:r>
      <w:r w:rsidRPr="001C5B65">
        <w:rPr>
          <w:b/>
          <w:bCs/>
        </w:rPr>
        <w:t xml:space="preserve"> </w:t>
      </w:r>
      <w:r w:rsidRPr="001C5B65">
        <w:t>information provided by those departments or public bodies or both.</w:t>
      </w:r>
    </w:p>
    <w:p w14:paraId="4172A4E2" w14:textId="4DEDB06A" w:rsidR="00D7339A" w:rsidRDefault="00D7339A" w:rsidP="00D7339A">
      <w:r>
        <w:t>Most requests fall within this section as it provides the</w:t>
      </w:r>
      <w:r w:rsidR="0018535C">
        <w:t xml:space="preserve"> better</w:t>
      </w:r>
      <w:r>
        <w:t xml:space="preserve"> efficiency gains</w:t>
      </w:r>
      <w:r w:rsidR="0018535C">
        <w:t xml:space="preserve"> compared with the </w:t>
      </w:r>
      <w:r w:rsidR="00890F22">
        <w:t xml:space="preserve">combined </w:t>
      </w:r>
      <w:r w:rsidR="0018535C">
        <w:t>composite annual report</w:t>
      </w:r>
      <w:r>
        <w:t>.</w:t>
      </w:r>
    </w:p>
    <w:p w14:paraId="662C500F" w14:textId="3DA66080" w:rsidR="00D7339A" w:rsidRDefault="00D7339A" w:rsidP="00D7339A">
      <w:r w:rsidRPr="00091657">
        <w:lastRenderedPageBreak/>
        <w:t>Where the annual reports of two (or more) departments or public bodies are combined or consolidated, DTF considers one of those departments or public bodies to be the primary entity</w:t>
      </w:r>
      <w:r w:rsidR="00DB0548">
        <w:t>.</w:t>
      </w:r>
      <w:r w:rsidRPr="00091657">
        <w:t xml:space="preserve"> </w:t>
      </w:r>
      <w:r w:rsidR="00ED7574">
        <w:t xml:space="preserve">The </w:t>
      </w:r>
      <w:r w:rsidRPr="00091657">
        <w:t xml:space="preserve">annual report of </w:t>
      </w:r>
      <w:r w:rsidR="00ED7574">
        <w:t xml:space="preserve">the primary entity </w:t>
      </w:r>
      <w:r w:rsidR="009A44F9">
        <w:t xml:space="preserve">will combine or consolidate </w:t>
      </w:r>
      <w:r w:rsidRPr="00091657">
        <w:t xml:space="preserve">the report(s) of operations </w:t>
      </w:r>
      <w:r w:rsidRPr="00090180">
        <w:rPr>
          <w:b/>
          <w:bCs/>
        </w:rPr>
        <w:t>and</w:t>
      </w:r>
      <w:r w:rsidR="00E7082B">
        <w:t xml:space="preserve"> </w:t>
      </w:r>
      <w:r w:rsidRPr="00091657">
        <w:t>financial statements of the other entity or entities</w:t>
      </w:r>
      <w:r w:rsidR="009A44F9">
        <w:t xml:space="preserve">. </w:t>
      </w:r>
      <w:r w:rsidR="00C07886">
        <w:t xml:space="preserve">It will also </w:t>
      </w:r>
      <w:r w:rsidRPr="00091657">
        <w:t>take responsibility for the preparation and publication of the combined or consolidated annual report</w:t>
      </w:r>
      <w:r>
        <w:t xml:space="preserve">, including sign off and audit. </w:t>
      </w:r>
    </w:p>
    <w:p w14:paraId="5319611C" w14:textId="6C98889A" w:rsidR="00741EA2" w:rsidRPr="00E74EBC" w:rsidRDefault="00741EA2" w:rsidP="00D7339A">
      <w:r w:rsidRPr="00E74EBC">
        <w:t xml:space="preserve">Where an agency’s </w:t>
      </w:r>
      <w:r w:rsidR="005051E3">
        <w:t xml:space="preserve">financial statements </w:t>
      </w:r>
      <w:r w:rsidR="005051E3" w:rsidRPr="00090180">
        <w:rPr>
          <w:b/>
          <w:bCs/>
        </w:rPr>
        <w:t>and</w:t>
      </w:r>
      <w:r w:rsidR="00E7082B" w:rsidRPr="00E7082B">
        <w:rPr>
          <w:b/>
          <w:bCs/>
        </w:rPr>
        <w:t xml:space="preserve"> </w:t>
      </w:r>
      <w:r w:rsidR="005051E3">
        <w:t>report of operations</w:t>
      </w:r>
      <w:r w:rsidRPr="00E74EBC">
        <w:t xml:space="preserve"> </w:t>
      </w:r>
      <w:r w:rsidR="005051E3">
        <w:t>are</w:t>
      </w:r>
      <w:r w:rsidRPr="00E74EBC">
        <w:t xml:space="preserve"> consolidated as a composite report with a larger agency (usually a </w:t>
      </w:r>
      <w:r w:rsidR="005F7438">
        <w:t>p</w:t>
      </w:r>
      <w:r w:rsidRPr="00E74EBC">
        <w:t xml:space="preserve">ortfolio </w:t>
      </w:r>
      <w:r w:rsidR="005F7438">
        <w:t>d</w:t>
      </w:r>
      <w:r w:rsidRPr="00E74EBC">
        <w:t xml:space="preserve">epartment) and it does not have a full exemption from the Standing Directions, it must also complete a separate compliance attestation statement (by the </w:t>
      </w:r>
      <w:r w:rsidR="006B1296">
        <w:t>r</w:t>
      </w:r>
      <w:r w:rsidRPr="00E74EBC">
        <w:t xml:space="preserve">esponsible </w:t>
      </w:r>
      <w:r w:rsidR="006B1296">
        <w:t>b</w:t>
      </w:r>
      <w:r w:rsidRPr="00E74EBC">
        <w:t>ody) in that report.</w:t>
      </w:r>
      <w:r w:rsidRPr="00E74EBC">
        <w:rPr>
          <w:rFonts w:ascii="Calibri" w:hAnsi="Calibri" w:cs="Calibri"/>
        </w:rPr>
        <w:t> </w:t>
      </w:r>
    </w:p>
    <w:p w14:paraId="2B8305CD" w14:textId="3D6AEBB3" w:rsidR="00AB7E0B" w:rsidRPr="005E59C8" w:rsidRDefault="00AB7E0B" w:rsidP="00534EFE">
      <w:pPr>
        <w:pStyle w:val="Heading3"/>
      </w:pPr>
      <w:bookmarkStart w:id="14" w:name="_Toc182475055"/>
      <w:bookmarkStart w:id="15" w:name="_Toc205976991"/>
      <w:r w:rsidRPr="00503AF8">
        <w:t xml:space="preserve">1.3 </w:t>
      </w:r>
      <w:r w:rsidR="00421971">
        <w:tab/>
      </w:r>
      <w:r w:rsidRPr="00503AF8">
        <w:t>Reconfirmation of composite repor</w:t>
      </w:r>
      <w:r w:rsidR="00EC7B20" w:rsidRPr="00503AF8">
        <w:t>t determination</w:t>
      </w:r>
      <w:bookmarkEnd w:id="14"/>
      <w:bookmarkEnd w:id="15"/>
    </w:p>
    <w:p w14:paraId="1B528D0F" w14:textId="15799CAA" w:rsidR="007D4941" w:rsidRDefault="00E25F7A" w:rsidP="00175FE1">
      <w:r>
        <w:t xml:space="preserve">Once the </w:t>
      </w:r>
      <w:r w:rsidR="00156B66">
        <w:t xml:space="preserve">composite report determination has been approved, </w:t>
      </w:r>
      <w:r w:rsidR="00B100C5">
        <w:t xml:space="preserve">standardised conditions will be imposed </w:t>
      </w:r>
      <w:r w:rsidR="00936092">
        <w:t xml:space="preserve">on </w:t>
      </w:r>
      <w:r w:rsidR="0036009A">
        <w:t>the agency.</w:t>
      </w:r>
      <w:r w:rsidR="00B34362">
        <w:t xml:space="preserve"> </w:t>
      </w:r>
      <w:r w:rsidR="00BB018F">
        <w:t>For conditions, refer to section 2.4</w:t>
      </w:r>
      <w:r w:rsidR="00FB7BB5">
        <w:t xml:space="preserve"> </w:t>
      </w:r>
      <w:r w:rsidR="00FB7BB5" w:rsidRPr="001D6B3A">
        <w:rPr>
          <w:i/>
          <w:iCs/>
        </w:rPr>
        <w:t>Ongoing exemptions</w:t>
      </w:r>
      <w:r w:rsidR="00FB7BB5">
        <w:t xml:space="preserve">. </w:t>
      </w:r>
      <w:r w:rsidR="0007214C">
        <w:t xml:space="preserve">Previously, </w:t>
      </w:r>
      <w:r w:rsidR="0068740A" w:rsidRPr="0068740A">
        <w:t xml:space="preserve">FMA composite report determinations have generally been provided on an ongoing basis without any conditions. </w:t>
      </w:r>
      <w:r w:rsidR="00890F22">
        <w:t>Like</w:t>
      </w:r>
      <w:r w:rsidR="00207BEB">
        <w:t xml:space="preserve"> the</w:t>
      </w:r>
      <w:r w:rsidR="0068740A" w:rsidRPr="0068740A">
        <w:t xml:space="preserve"> S</w:t>
      </w:r>
      <w:r w:rsidR="00207BEB">
        <w:t xml:space="preserve">tanding </w:t>
      </w:r>
      <w:r w:rsidR="0068740A" w:rsidRPr="0068740A">
        <w:t>D</w:t>
      </w:r>
      <w:r w:rsidR="00207BEB">
        <w:t>irection</w:t>
      </w:r>
      <w:r w:rsidR="0068740A" w:rsidRPr="0068740A">
        <w:t>s exemption reconfirmation</w:t>
      </w:r>
      <w:r w:rsidR="00207BEB">
        <w:t xml:space="preserve"> (see </w:t>
      </w:r>
      <w:r w:rsidR="00720230">
        <w:t xml:space="preserve">section </w:t>
      </w:r>
      <w:r w:rsidR="00207BEB">
        <w:t>2.4</w:t>
      </w:r>
      <w:r w:rsidR="00720230">
        <w:t>)</w:t>
      </w:r>
      <w:r w:rsidR="00890F22">
        <w:t>, t</w:t>
      </w:r>
      <w:r w:rsidR="007D4941">
        <w:t xml:space="preserve">he </w:t>
      </w:r>
      <w:r w:rsidR="005C46EB">
        <w:t xml:space="preserve">new </w:t>
      </w:r>
      <w:r w:rsidR="007D4941">
        <w:t xml:space="preserve">process ensures that agencies seeking </w:t>
      </w:r>
      <w:r w:rsidR="00890F22">
        <w:t xml:space="preserve">an </w:t>
      </w:r>
      <w:r w:rsidR="007D4941">
        <w:t xml:space="preserve">ongoing </w:t>
      </w:r>
      <w:r w:rsidR="00890F22">
        <w:t xml:space="preserve">composite report </w:t>
      </w:r>
      <w:r w:rsidR="007D4941">
        <w:t xml:space="preserve">determination update DTF annually on any significant changes to risk profiles or functions of the agency and attest their ongoing alternative financial management </w:t>
      </w:r>
      <w:r w:rsidR="00C24761">
        <w:t>situation</w:t>
      </w:r>
      <w:r w:rsidR="00A13810">
        <w:t>.</w:t>
      </w:r>
    </w:p>
    <w:p w14:paraId="48FA49E5" w14:textId="42A62D17" w:rsidR="007D4941" w:rsidRDefault="007D4941" w:rsidP="007D4941">
      <w:r>
        <w:t xml:space="preserve">The process is undertaken online </w:t>
      </w:r>
      <w:r w:rsidR="00917476">
        <w:t>via</w:t>
      </w:r>
      <w:r>
        <w:t xml:space="preserve"> email. This is usually undertaken from March to May each year</w:t>
      </w:r>
      <w:r w:rsidR="00AF4FA4">
        <w:t xml:space="preserve"> alongside the </w:t>
      </w:r>
      <w:r w:rsidR="004E14F7">
        <w:t>annual S</w:t>
      </w:r>
      <w:r w:rsidR="00890F22">
        <w:t xml:space="preserve">tanding </w:t>
      </w:r>
      <w:r w:rsidR="004E14F7">
        <w:t>D</w:t>
      </w:r>
      <w:r w:rsidR="00890F22">
        <w:t xml:space="preserve">irection </w:t>
      </w:r>
      <w:r w:rsidR="004E14F7">
        <w:t>exemption process</w:t>
      </w:r>
      <w:r w:rsidR="003051B5">
        <w:t>.</w:t>
      </w:r>
    </w:p>
    <w:p w14:paraId="5AD1AABB" w14:textId="6E8B1B56" w:rsidR="00045296" w:rsidRPr="005E59C8" w:rsidRDefault="00534EFE" w:rsidP="005E59C8">
      <w:pPr>
        <w:pStyle w:val="Heading2"/>
      </w:pPr>
      <w:bookmarkStart w:id="16" w:name="_Toc182409107"/>
      <w:bookmarkStart w:id="17" w:name="_Toc182409179"/>
      <w:bookmarkStart w:id="18" w:name="_Toc182475056"/>
      <w:r>
        <w:br w:type="column"/>
      </w:r>
      <w:bookmarkStart w:id="19" w:name="_Toc205976992"/>
      <w:r w:rsidR="00696F26" w:rsidRPr="005E59C8">
        <w:t xml:space="preserve">Part </w:t>
      </w:r>
      <w:r w:rsidR="00414023" w:rsidRPr="005E59C8">
        <w:t>2</w:t>
      </w:r>
      <w:r w:rsidR="00696F26" w:rsidRPr="005E59C8">
        <w:t>. Exemption from Standing Directions</w:t>
      </w:r>
      <w:bookmarkEnd w:id="16"/>
      <w:bookmarkEnd w:id="17"/>
      <w:bookmarkEnd w:id="18"/>
      <w:bookmarkEnd w:id="19"/>
    </w:p>
    <w:p w14:paraId="675A8BE8" w14:textId="62FEBDB5" w:rsidR="006B3EEF" w:rsidRDefault="006B3EEF" w:rsidP="006B3EEF">
      <w:r>
        <w:t xml:space="preserve">The Standing Directions, issued under section 8 of the </w:t>
      </w:r>
      <w:r w:rsidRPr="006B3EEF">
        <w:t>FMA</w:t>
      </w:r>
      <w:r>
        <w:t>, prescribe procedures and requirements for financial management and accountability in Victorian departments and public bodies</w:t>
      </w:r>
      <w:r w:rsidR="00DD606D">
        <w:t xml:space="preserve"> (</w:t>
      </w:r>
      <w:r w:rsidR="00D753F0">
        <w:t>a</w:t>
      </w:r>
      <w:r w:rsidR="00DD606D">
        <w:t>gencies)</w:t>
      </w:r>
      <w:r>
        <w:t>.</w:t>
      </w:r>
      <w:r w:rsidR="00AF5453">
        <w:t xml:space="preserve"> </w:t>
      </w:r>
    </w:p>
    <w:p w14:paraId="37F00E45" w14:textId="77777777" w:rsidR="00F85604" w:rsidRPr="00421971" w:rsidRDefault="00F85604" w:rsidP="00534EFE">
      <w:pPr>
        <w:pStyle w:val="Quote"/>
      </w:pPr>
      <w:r w:rsidRPr="00421971">
        <w:t xml:space="preserve">Exemptions are only granted in exceptional circumstances and should only be sought as a last </w:t>
      </w:r>
      <w:r w:rsidRPr="00534EFE">
        <w:t>resort</w:t>
      </w:r>
      <w:r w:rsidRPr="00421971">
        <w:t>.</w:t>
      </w:r>
    </w:p>
    <w:p w14:paraId="55981A39" w14:textId="72DA82E8" w:rsidR="00F22DB9" w:rsidRDefault="006B3EEF" w:rsidP="006B3EEF">
      <w:r>
        <w:t xml:space="preserve">Direction 1.5 outlines the minimum requirements for exemption requests. However, an agency may be granted an exemption from a requirement of the Directions if factors </w:t>
      </w:r>
      <w:r w:rsidR="00917476">
        <w:t>such as</w:t>
      </w:r>
      <w:r>
        <w:t xml:space="preserve"> size, business nature, and risk profile make it low risk. </w:t>
      </w:r>
    </w:p>
    <w:p w14:paraId="4791DD89" w14:textId="370B85A9" w:rsidR="00E26804" w:rsidRDefault="006B3EEF" w:rsidP="006B3EEF">
      <w:r>
        <w:t xml:space="preserve">Exempted agencies must implement </w:t>
      </w:r>
      <w:r w:rsidR="003010D1">
        <w:t xml:space="preserve">their proposed </w:t>
      </w:r>
      <w:r>
        <w:t>alternative arrangements</w:t>
      </w:r>
      <w:r w:rsidR="00176D97">
        <w:t>,</w:t>
      </w:r>
      <w:r>
        <w:t xml:space="preserve"> </w:t>
      </w:r>
      <w:r w:rsidR="00D40EC3">
        <w:t xml:space="preserve">as endorsed by the </w:t>
      </w:r>
      <w:r w:rsidR="00E74EBC">
        <w:t>Minister for Finance</w:t>
      </w:r>
      <w:r w:rsidR="00AE2A26">
        <w:t>’s exemption</w:t>
      </w:r>
      <w:r w:rsidR="00176D97">
        <w:t xml:space="preserve"> </w:t>
      </w:r>
      <w:r w:rsidR="00CD6F98">
        <w:t>approval</w:t>
      </w:r>
      <w:r w:rsidR="00176D97">
        <w:t>,</w:t>
      </w:r>
      <w:r w:rsidR="00C936E7">
        <w:t xml:space="preserve"> </w:t>
      </w:r>
      <w:r>
        <w:t>to</w:t>
      </w:r>
      <w:r w:rsidRPr="006B3EEF">
        <w:t xml:space="preserve"> </w:t>
      </w:r>
      <w:r>
        <w:t xml:space="preserve">ensure that no aspect of financial governance is compromised. </w:t>
      </w:r>
    </w:p>
    <w:p w14:paraId="6A9F9395" w14:textId="394D0D81" w:rsidR="00DD2E29" w:rsidRDefault="00C16D95" w:rsidP="00766A71">
      <w:r w:rsidRPr="00C16D95">
        <w:t xml:space="preserve">This </w:t>
      </w:r>
      <w:r w:rsidR="005B3E49">
        <w:t xml:space="preserve">additional </w:t>
      </w:r>
      <w:r w:rsidRPr="00C16D95">
        <w:t xml:space="preserve">guidance complements </w:t>
      </w:r>
      <w:r w:rsidRPr="00FC43BF">
        <w:t>Guidance</w:t>
      </w:r>
      <w:r w:rsidR="00421971" w:rsidRPr="00FC43BF">
        <w:rPr>
          <w:rFonts w:ascii="Calibri" w:hAnsi="Calibri" w:cs="Calibri"/>
        </w:rPr>
        <w:t> </w:t>
      </w:r>
      <w:r w:rsidRPr="00FC43BF">
        <w:t xml:space="preserve">1.5 </w:t>
      </w:r>
      <w:r w:rsidRPr="00C16D95">
        <w:rPr>
          <w:i/>
          <w:iCs/>
        </w:rPr>
        <w:t>Exemptions</w:t>
      </w:r>
      <w:r w:rsidRPr="00C16D95">
        <w:t xml:space="preserve">, which is available on the </w:t>
      </w:r>
      <w:hyperlink r:id="rId18" w:history="1">
        <w:r w:rsidRPr="00C16D95">
          <w:rPr>
            <w:color w:val="004C97"/>
          </w:rPr>
          <w:t>DTF website</w:t>
        </w:r>
      </w:hyperlink>
      <w:r w:rsidRPr="00C16D95">
        <w:t xml:space="preserve">. </w:t>
      </w:r>
      <w:r w:rsidR="00AF2828">
        <w:t>This</w:t>
      </w:r>
      <w:r w:rsidR="00DD2E29" w:rsidRPr="00904386">
        <w:t xml:space="preserve"> provides further information</w:t>
      </w:r>
      <w:r w:rsidR="00DD606D">
        <w:t xml:space="preserve"> context and templates</w:t>
      </w:r>
      <w:r w:rsidR="00DD2E29" w:rsidRPr="00904386">
        <w:t xml:space="preserve"> for agencies seeking exemptions from the Standing Directions.</w:t>
      </w:r>
    </w:p>
    <w:p w14:paraId="123A1569" w14:textId="61C0C3C9" w:rsidR="00DD2E29" w:rsidRDefault="00DD2E29" w:rsidP="001C6CD6">
      <w:pPr>
        <w:ind w:right="-90"/>
        <w:rPr>
          <w:szCs w:val="18"/>
        </w:rPr>
      </w:pPr>
      <w:r w:rsidRPr="00DD606D">
        <w:rPr>
          <w:szCs w:val="18"/>
        </w:rPr>
        <w:t xml:space="preserve">Agencies do not need exemptions for </w:t>
      </w:r>
      <w:r w:rsidR="004C5614" w:rsidRPr="00DD606D">
        <w:rPr>
          <w:szCs w:val="18"/>
        </w:rPr>
        <w:t>non</w:t>
      </w:r>
      <w:r w:rsidR="00421971">
        <w:rPr>
          <w:szCs w:val="18"/>
        </w:rPr>
        <w:noBreakHyphen/>
      </w:r>
      <w:r w:rsidR="004C5614" w:rsidRPr="00DD606D">
        <w:rPr>
          <w:szCs w:val="18"/>
        </w:rPr>
        <w:t xml:space="preserve">applicable or </w:t>
      </w:r>
      <w:r w:rsidRPr="00DD606D">
        <w:rPr>
          <w:szCs w:val="18"/>
        </w:rPr>
        <w:t>irrelevant Directions (e.g.</w:t>
      </w:r>
      <w:r w:rsidR="00421971">
        <w:rPr>
          <w:rFonts w:ascii="Calibri" w:hAnsi="Calibri" w:cs="Calibri"/>
          <w:szCs w:val="18"/>
        </w:rPr>
        <w:t> </w:t>
      </w:r>
      <w:r w:rsidRPr="00DD606D">
        <w:rPr>
          <w:szCs w:val="18"/>
        </w:rPr>
        <w:t xml:space="preserve">investment rules for agencies without funds to invest). </w:t>
      </w:r>
      <w:r w:rsidR="00C52DD7">
        <w:rPr>
          <w:szCs w:val="18"/>
        </w:rPr>
        <w:t>However, t</w:t>
      </w:r>
      <w:r w:rsidRPr="00DD606D">
        <w:rPr>
          <w:szCs w:val="18"/>
        </w:rPr>
        <w:t xml:space="preserve">hey must note </w:t>
      </w:r>
      <w:r w:rsidR="00044486">
        <w:rPr>
          <w:szCs w:val="18"/>
        </w:rPr>
        <w:t>any</w:t>
      </w:r>
      <w:r w:rsidRPr="00DD606D">
        <w:rPr>
          <w:szCs w:val="18"/>
        </w:rPr>
        <w:t xml:space="preserve"> </w:t>
      </w:r>
      <w:r w:rsidR="004C5614" w:rsidRPr="00DD606D">
        <w:rPr>
          <w:szCs w:val="18"/>
        </w:rPr>
        <w:t>non</w:t>
      </w:r>
      <w:r w:rsidR="00421971">
        <w:rPr>
          <w:szCs w:val="18"/>
        </w:rPr>
        <w:noBreakHyphen/>
      </w:r>
      <w:r w:rsidR="004C5614" w:rsidRPr="00DD606D">
        <w:rPr>
          <w:szCs w:val="18"/>
        </w:rPr>
        <w:t xml:space="preserve">applicability or </w:t>
      </w:r>
      <w:r w:rsidRPr="00DD606D">
        <w:rPr>
          <w:szCs w:val="18"/>
        </w:rPr>
        <w:t xml:space="preserve">irrelevance </w:t>
      </w:r>
      <w:r w:rsidR="00BC6686">
        <w:rPr>
          <w:szCs w:val="18"/>
        </w:rPr>
        <w:t>in their annual self-assessment under the S</w:t>
      </w:r>
      <w:r w:rsidR="00A03CA1">
        <w:rPr>
          <w:szCs w:val="18"/>
        </w:rPr>
        <w:t xml:space="preserve">tanding </w:t>
      </w:r>
      <w:r w:rsidR="00BC6686">
        <w:rPr>
          <w:szCs w:val="18"/>
        </w:rPr>
        <w:t>D</w:t>
      </w:r>
      <w:r w:rsidR="00A03CA1">
        <w:rPr>
          <w:szCs w:val="18"/>
        </w:rPr>
        <w:t>ire</w:t>
      </w:r>
      <w:r w:rsidR="00044486">
        <w:rPr>
          <w:szCs w:val="18"/>
        </w:rPr>
        <w:t>ction</w:t>
      </w:r>
      <w:r w:rsidR="00BC6686">
        <w:rPr>
          <w:szCs w:val="18"/>
        </w:rPr>
        <w:t xml:space="preserve">s </w:t>
      </w:r>
      <w:r w:rsidRPr="00DD606D">
        <w:rPr>
          <w:szCs w:val="18"/>
        </w:rPr>
        <w:t>and have procedures to apply the Direction if circumstances change.</w:t>
      </w:r>
    </w:p>
    <w:p w14:paraId="505B0287" w14:textId="54913BE0" w:rsidR="00470D02" w:rsidRPr="00A10185" w:rsidRDefault="00414023" w:rsidP="00534EFE">
      <w:pPr>
        <w:pStyle w:val="Heading3"/>
      </w:pPr>
      <w:bookmarkStart w:id="20" w:name="_Toc182409108"/>
      <w:bookmarkStart w:id="21" w:name="_Toc182409180"/>
      <w:bookmarkStart w:id="22" w:name="_Toc182475057"/>
      <w:bookmarkStart w:id="23" w:name="_Toc205976993"/>
      <w:r>
        <w:lastRenderedPageBreak/>
        <w:t>2</w:t>
      </w:r>
      <w:r w:rsidR="00A10185">
        <w:t xml:space="preserve">.1 </w:t>
      </w:r>
      <w:r w:rsidR="00421971">
        <w:tab/>
      </w:r>
      <w:r w:rsidR="00470D02" w:rsidRPr="00A10185">
        <w:t>Exemption request requirements for Agencies</w:t>
      </w:r>
      <w:bookmarkEnd w:id="20"/>
      <w:bookmarkEnd w:id="21"/>
      <w:bookmarkEnd w:id="22"/>
      <w:bookmarkEnd w:id="23"/>
    </w:p>
    <w:p w14:paraId="279D68CE" w14:textId="2E8EE2C3" w:rsidR="00470D02" w:rsidRDefault="00AD141F" w:rsidP="00470D02">
      <w:r>
        <w:t>T</w:t>
      </w:r>
      <w:r w:rsidR="00470D02" w:rsidRPr="00DD2E29">
        <w:t>he following items must be considered when investigating and applying for an exemption:</w:t>
      </w:r>
    </w:p>
    <w:bookmarkEnd w:id="0"/>
    <w:p w14:paraId="4A1840E1" w14:textId="08FAEE76" w:rsidR="00121ACA" w:rsidRDefault="00121ACA" w:rsidP="00121ACA">
      <w:pPr>
        <w:pStyle w:val="Bullet1"/>
      </w:pPr>
      <w:r w:rsidRPr="00470D02">
        <w:t xml:space="preserve">Prior to applying for an exemption, an </w:t>
      </w:r>
      <w:r w:rsidR="00AB2333">
        <w:t>a</w:t>
      </w:r>
      <w:r w:rsidRPr="00470D02">
        <w:t xml:space="preserve">gency should </w:t>
      </w:r>
      <w:r>
        <w:t xml:space="preserve">first </w:t>
      </w:r>
      <w:r w:rsidRPr="00470D02">
        <w:t>closely consider whether the exemption is required.</w:t>
      </w:r>
      <w:r>
        <w:t xml:space="preserve"> Resourcing constraints and challenges are not an appropriate reason to seek an exemption.</w:t>
      </w:r>
    </w:p>
    <w:p w14:paraId="6FE790E4" w14:textId="01A71101" w:rsidR="00ED358E" w:rsidRDefault="00ED358E" w:rsidP="00ED358E">
      <w:pPr>
        <w:pStyle w:val="Bullet1"/>
      </w:pPr>
      <w:r w:rsidRPr="00ED358E">
        <w:t xml:space="preserve">An </w:t>
      </w:r>
      <w:r w:rsidR="00AB2333">
        <w:t>a</w:t>
      </w:r>
      <w:r w:rsidRPr="00ED358E">
        <w:t xml:space="preserve">gency should consider whether compliance with the Direction/s can be achieved without the need for an exemption i.e. the Directions are intended to be applied in a manner consistent with the size and risk profile of an </w:t>
      </w:r>
      <w:r w:rsidR="00541E07">
        <w:t>a</w:t>
      </w:r>
      <w:r w:rsidRPr="00ED358E">
        <w:t>gency (see Direction 1.1(b)). For example, a smaller agency may rely on another larger VPS agency</w:t>
      </w:r>
      <w:r w:rsidR="0097738D">
        <w:t xml:space="preserve"> (</w:t>
      </w:r>
      <w:r w:rsidRPr="00ED358E">
        <w:t>i.e. a department</w:t>
      </w:r>
      <w:r w:rsidR="0097738D">
        <w:t xml:space="preserve">) </w:t>
      </w:r>
      <w:r w:rsidRPr="00ED358E">
        <w:t xml:space="preserve">to provide certain financial management support. In this case, a letter of comfort/assurance from the provider </w:t>
      </w:r>
      <w:r w:rsidR="0097738D">
        <w:t>a</w:t>
      </w:r>
      <w:r w:rsidRPr="00ED358E">
        <w:t>gency may cover compliance with many of the requirements.</w:t>
      </w:r>
    </w:p>
    <w:p w14:paraId="7E6889F0" w14:textId="42E632F6" w:rsidR="00ED358E" w:rsidRDefault="00ED358E" w:rsidP="00ED358E">
      <w:pPr>
        <w:pStyle w:val="Bullet1"/>
      </w:pPr>
      <w:r>
        <w:t xml:space="preserve">A </w:t>
      </w:r>
      <w:r w:rsidR="0097738D">
        <w:t>p</w:t>
      </w:r>
      <w:r>
        <w:t xml:space="preserve">ortfolio </w:t>
      </w:r>
      <w:r w:rsidR="0097738D">
        <w:t>a</w:t>
      </w:r>
      <w:r>
        <w:t xml:space="preserve">gency should consult with its </w:t>
      </w:r>
      <w:r w:rsidR="0097738D">
        <w:t>p</w:t>
      </w:r>
      <w:r>
        <w:t xml:space="preserve">ortfolio </w:t>
      </w:r>
      <w:r w:rsidR="0097738D">
        <w:t>d</w:t>
      </w:r>
      <w:r>
        <w:t>epartment when contemplating an exemption request</w:t>
      </w:r>
      <w:r w:rsidR="003B6FED">
        <w:t xml:space="preserve"> </w:t>
      </w:r>
      <w:r>
        <w:t xml:space="preserve">and seek its support in submitting a request. </w:t>
      </w:r>
      <w:r w:rsidRPr="006F5968">
        <w:t xml:space="preserve">See </w:t>
      </w:r>
      <w:r w:rsidR="0016050A" w:rsidRPr="004738EE">
        <w:t>A</w:t>
      </w:r>
      <w:r w:rsidRPr="004738EE">
        <w:t xml:space="preserve">ttachment 1 </w:t>
      </w:r>
      <w:r w:rsidRPr="006F5968">
        <w:t>below</w:t>
      </w:r>
      <w:r>
        <w:t xml:space="preserve"> regarding the process and timeframes for requests.</w:t>
      </w:r>
    </w:p>
    <w:p w14:paraId="41730C39" w14:textId="1AA26491" w:rsidR="001535A3" w:rsidRPr="001535A3" w:rsidRDefault="001535A3" w:rsidP="001535A3">
      <w:pPr>
        <w:pStyle w:val="Bullet1"/>
      </w:pPr>
      <w:r w:rsidRPr="001535A3">
        <w:t>The duration of the exemption</w:t>
      </w:r>
      <w:r w:rsidR="00ED02EE">
        <w:t xml:space="preserve"> (</w:t>
      </w:r>
      <w:r w:rsidRPr="001535A3">
        <w:t>e.g. for a specified period</w:t>
      </w:r>
      <w:r w:rsidR="007522F1">
        <w:t>)</w:t>
      </w:r>
      <w:r w:rsidRPr="001535A3">
        <w:t xml:space="preserve">, or ongoing (see request letter template </w:t>
      </w:r>
      <w:r w:rsidRPr="004738EE">
        <w:t>at Attachment</w:t>
      </w:r>
      <w:r w:rsidR="00534EFE">
        <w:rPr>
          <w:rFonts w:ascii="Calibri" w:hAnsi="Calibri"/>
        </w:rPr>
        <w:t> </w:t>
      </w:r>
      <w:r w:rsidR="00E77817" w:rsidRPr="004738EE">
        <w:t>2</w:t>
      </w:r>
      <w:r w:rsidRPr="001535A3">
        <w:t>).</w:t>
      </w:r>
    </w:p>
    <w:p w14:paraId="7A43BB4D" w14:textId="0CDEB1BA" w:rsidR="00DD2E29" w:rsidRPr="001E11F9" w:rsidRDefault="00534EFE" w:rsidP="00421971">
      <w:pPr>
        <w:pStyle w:val="Bullet1"/>
        <w:keepNext/>
      </w:pPr>
      <w:r>
        <w:br w:type="column"/>
      </w:r>
      <w:r w:rsidR="00DD2E29" w:rsidRPr="001E11F9">
        <w:t>A strong case must be prepared by the</w:t>
      </w:r>
      <w:r w:rsidR="002C7043">
        <w:t xml:space="preserve"> </w:t>
      </w:r>
      <w:r w:rsidR="007522F1">
        <w:t>a</w:t>
      </w:r>
      <w:r w:rsidR="00DD2E29" w:rsidRPr="001E11F9">
        <w:t>gency</w:t>
      </w:r>
      <w:r w:rsidR="00917476">
        <w:t>,</w:t>
      </w:r>
      <w:r w:rsidR="00DD2E29" w:rsidRPr="001E11F9">
        <w:t xml:space="preserve"> or </w:t>
      </w:r>
      <w:r w:rsidR="00917476">
        <w:t xml:space="preserve">the </w:t>
      </w:r>
      <w:r w:rsidR="002C7043">
        <w:t>d</w:t>
      </w:r>
      <w:r w:rsidR="00DD2E29" w:rsidRPr="001E11F9">
        <w:t>epartment on their behalf, includ</w:t>
      </w:r>
      <w:r w:rsidR="00917476">
        <w:t>ing</w:t>
      </w:r>
      <w:r w:rsidR="00DD2E29" w:rsidRPr="001E11F9">
        <w:t>:</w:t>
      </w:r>
    </w:p>
    <w:p w14:paraId="137580E5" w14:textId="6FDB5992" w:rsidR="00DD2E29" w:rsidRPr="001E11F9" w:rsidRDefault="002C7043" w:rsidP="001E11F9">
      <w:pPr>
        <w:pStyle w:val="Bullet2"/>
      </w:pPr>
      <w:r>
        <w:t>t</w:t>
      </w:r>
      <w:r w:rsidR="00DD2E29" w:rsidRPr="001E11F9">
        <w:t>he specific Directions and/or Instructions from which the exemption is sought</w:t>
      </w:r>
    </w:p>
    <w:p w14:paraId="1DDE97DA" w14:textId="4C01ED8D" w:rsidR="00DD2E29" w:rsidRPr="001E11F9" w:rsidRDefault="002C7043" w:rsidP="001E11F9">
      <w:pPr>
        <w:pStyle w:val="Bullet2"/>
      </w:pPr>
      <w:r>
        <w:t>t</w:t>
      </w:r>
      <w:r w:rsidR="00DD2E29" w:rsidRPr="001E11F9">
        <w:t>he reasons for seeking the exemption</w:t>
      </w:r>
      <w:r w:rsidR="003205DD">
        <w:t>,</w:t>
      </w:r>
      <w:r w:rsidR="00DD2E29" w:rsidRPr="001E11F9">
        <w:t xml:space="preserve"> provid</w:t>
      </w:r>
      <w:r w:rsidR="003205DD">
        <w:t>ing</w:t>
      </w:r>
      <w:r w:rsidR="00DD2E29" w:rsidRPr="001E11F9">
        <w:t xml:space="preserve"> a compelling case for an exemption and </w:t>
      </w:r>
      <w:r w:rsidR="00A35498">
        <w:t>spe</w:t>
      </w:r>
      <w:r w:rsidR="002B41E5">
        <w:t>c</w:t>
      </w:r>
      <w:r w:rsidR="00A35498">
        <w:t>i</w:t>
      </w:r>
      <w:r w:rsidR="002B41E5">
        <w:t>f</w:t>
      </w:r>
      <w:r w:rsidR="00A35498">
        <w:t>y</w:t>
      </w:r>
      <w:r w:rsidR="00DA3494">
        <w:t>ing</w:t>
      </w:r>
      <w:r w:rsidR="00A35498">
        <w:t xml:space="preserve"> the</w:t>
      </w:r>
      <w:r w:rsidR="00DD2E29" w:rsidRPr="001E11F9">
        <w:t xml:space="preserve"> reasons why specific Directions cannot be complied with (</w:t>
      </w:r>
      <w:r w:rsidR="006C1BF7">
        <w:t xml:space="preserve">considering </w:t>
      </w:r>
      <w:r w:rsidR="00DD2E29" w:rsidRPr="001E11F9">
        <w:t xml:space="preserve">Direction 1.1(b) noted above). This should </w:t>
      </w:r>
      <w:r w:rsidR="00323BBF" w:rsidRPr="001E11F9">
        <w:t>include</w:t>
      </w:r>
      <w:r w:rsidR="00DD2E29" w:rsidRPr="001E11F9">
        <w:t>:</w:t>
      </w:r>
    </w:p>
    <w:p w14:paraId="7F7444AF" w14:textId="01030528" w:rsidR="00DD2E29" w:rsidRDefault="00DD2E29" w:rsidP="00B9748F">
      <w:pPr>
        <w:pStyle w:val="Bulletindent"/>
      </w:pPr>
      <w:r>
        <w:t xml:space="preserve">a description of the effects on the </w:t>
      </w:r>
      <w:r w:rsidR="00DA3494">
        <w:t>a</w:t>
      </w:r>
      <w:r>
        <w:t>gency of being granted, and being denied, the exemption</w:t>
      </w:r>
    </w:p>
    <w:p w14:paraId="30EDDABF" w14:textId="5FA86F9B" w:rsidR="00DD2E29" w:rsidRPr="00B014D0" w:rsidRDefault="00DD2E29" w:rsidP="00B9748F">
      <w:pPr>
        <w:pStyle w:val="Bulletindent"/>
        <w:rPr>
          <w:rFonts w:eastAsia="+mn-ea"/>
        </w:rPr>
      </w:pPr>
      <w:r>
        <w:rPr>
          <w:rFonts w:eastAsiaTheme="minorEastAsia"/>
        </w:rPr>
        <w:t xml:space="preserve">a summary </w:t>
      </w:r>
      <w:r w:rsidR="00FE7B4C">
        <w:t xml:space="preserve">statement </w:t>
      </w:r>
      <w:r w:rsidR="00BC6686">
        <w:t>on the</w:t>
      </w:r>
      <w:r>
        <w:rPr>
          <w:rFonts w:eastAsiaTheme="minorEastAsia"/>
        </w:rPr>
        <w:t xml:space="preserve"> analysis of the costs and benefits or other relevant analysis, of the exemption</w:t>
      </w:r>
      <w:r w:rsidR="00421971">
        <w:rPr>
          <w:rFonts w:eastAsiaTheme="minorEastAsia"/>
        </w:rPr>
        <w:t xml:space="preserve"> – </w:t>
      </w:r>
      <w:r>
        <w:rPr>
          <w:rFonts w:eastAsiaTheme="minorEastAsia"/>
        </w:rPr>
        <w:t>showing a clear net benefit to the community that outweighs the risk of a different standard of financial management to other VPS agencies</w:t>
      </w:r>
    </w:p>
    <w:p w14:paraId="6C6C9EEC" w14:textId="3CBDB7E3" w:rsidR="00DD2E29" w:rsidRPr="00B014D0" w:rsidRDefault="00DD2E29" w:rsidP="00B9748F">
      <w:pPr>
        <w:pStyle w:val="Bulletindent"/>
        <w:rPr>
          <w:rFonts w:eastAsia="+mn-ea"/>
        </w:rPr>
      </w:pPr>
      <w:r>
        <w:t>any relevant supporting material</w:t>
      </w:r>
    </w:p>
    <w:p w14:paraId="598DAD40" w14:textId="6BE97538" w:rsidR="00DD2E29" w:rsidRPr="00B014D0" w:rsidRDefault="000364DB" w:rsidP="00FB6FF4">
      <w:pPr>
        <w:pStyle w:val="Bullet2"/>
        <w:rPr>
          <w:rFonts w:eastAsia="+mn-ea"/>
        </w:rPr>
      </w:pPr>
      <w:r>
        <w:rPr>
          <w:rFonts w:eastAsia="+mn-ea"/>
        </w:rPr>
        <w:t>d</w:t>
      </w:r>
      <w:r w:rsidR="00DD2E29">
        <w:rPr>
          <w:rFonts w:eastAsia="+mn-ea"/>
        </w:rPr>
        <w:t>etails of material compliance deficiencies</w:t>
      </w:r>
      <w:r w:rsidR="0087392E">
        <w:rPr>
          <w:rFonts w:eastAsia="+mn-ea"/>
        </w:rPr>
        <w:t>,</w:t>
      </w:r>
      <w:r w:rsidR="00DD2E29">
        <w:rPr>
          <w:rFonts w:eastAsia="+mn-ea"/>
        </w:rPr>
        <w:t xml:space="preserve"> significant audit findings on financial management</w:t>
      </w:r>
      <w:r w:rsidR="0087392E">
        <w:rPr>
          <w:rFonts w:eastAsia="+mn-ea"/>
        </w:rPr>
        <w:t xml:space="preserve"> or other significant issues </w:t>
      </w:r>
      <w:r w:rsidR="00FE7B4C">
        <w:rPr>
          <w:rFonts w:eastAsia="+mn-ea"/>
        </w:rPr>
        <w:t xml:space="preserve">over the previous </w:t>
      </w:r>
      <w:r w:rsidR="00917476">
        <w:rPr>
          <w:rFonts w:eastAsia="+mn-ea"/>
        </w:rPr>
        <w:t>three</w:t>
      </w:r>
      <w:r w:rsidR="00FE7B4C">
        <w:rPr>
          <w:rFonts w:eastAsia="+mn-ea"/>
        </w:rPr>
        <w:t xml:space="preserve"> years</w:t>
      </w:r>
      <w:r w:rsidR="00B85E4B">
        <w:rPr>
          <w:rFonts w:eastAsia="+mn-ea"/>
        </w:rPr>
        <w:t>,</w:t>
      </w:r>
      <w:r w:rsidR="00FE7B4C">
        <w:rPr>
          <w:rFonts w:eastAsia="+mn-ea"/>
        </w:rPr>
        <w:t xml:space="preserve"> </w:t>
      </w:r>
      <w:r w:rsidR="0087392E">
        <w:rPr>
          <w:rFonts w:eastAsia="+mn-ea"/>
        </w:rPr>
        <w:t>e.g. financial sustainability that may impact on the agency’s risk profile</w:t>
      </w:r>
    </w:p>
    <w:p w14:paraId="2B3C64B1" w14:textId="7BC6D319" w:rsidR="00DD2E29" w:rsidRDefault="00B85E4B" w:rsidP="00920835">
      <w:pPr>
        <w:pStyle w:val="Bullet2"/>
        <w:keepNext/>
        <w:rPr>
          <w:rFonts w:eastAsia="+mn-ea"/>
        </w:rPr>
      </w:pPr>
      <w:r>
        <w:rPr>
          <w:rFonts w:eastAsia="+mn-ea"/>
        </w:rPr>
        <w:lastRenderedPageBreak/>
        <w:t>d</w:t>
      </w:r>
      <w:r w:rsidR="00DD2E29">
        <w:rPr>
          <w:rFonts w:eastAsia="+mn-ea"/>
        </w:rPr>
        <w:t xml:space="preserve">etails of </w:t>
      </w:r>
      <w:r w:rsidR="00DD2E29" w:rsidRPr="00B02EE3">
        <w:rPr>
          <w:rFonts w:eastAsia="+mn-ea"/>
        </w:rPr>
        <w:t xml:space="preserve">any </w:t>
      </w:r>
      <w:r w:rsidR="00DD2E29">
        <w:rPr>
          <w:rFonts w:eastAsia="+mn-ea"/>
        </w:rPr>
        <w:t xml:space="preserve">previous or </w:t>
      </w:r>
      <w:r w:rsidR="00DD2E29" w:rsidRPr="00B02EE3">
        <w:rPr>
          <w:rFonts w:eastAsia="+mn-ea"/>
        </w:rPr>
        <w:t xml:space="preserve">existing exemptions </w:t>
      </w:r>
      <w:r w:rsidR="00DD2E29">
        <w:rPr>
          <w:rFonts w:eastAsia="+mn-ea"/>
        </w:rPr>
        <w:t xml:space="preserve">of the </w:t>
      </w:r>
      <w:r>
        <w:rPr>
          <w:rFonts w:eastAsia="+mn-ea"/>
        </w:rPr>
        <w:t>a</w:t>
      </w:r>
      <w:r w:rsidR="00DD2E29">
        <w:rPr>
          <w:rFonts w:eastAsia="+mn-ea"/>
        </w:rPr>
        <w:t xml:space="preserve">gency (including under the 2003 </w:t>
      </w:r>
      <w:r w:rsidR="00421979">
        <w:rPr>
          <w:rFonts w:eastAsia="+mn-ea"/>
        </w:rPr>
        <w:t xml:space="preserve">Standing </w:t>
      </w:r>
      <w:r w:rsidR="00DD2E29">
        <w:rPr>
          <w:rFonts w:eastAsia="+mn-ea"/>
        </w:rPr>
        <w:t>Directions)</w:t>
      </w:r>
    </w:p>
    <w:p w14:paraId="1C22497B" w14:textId="51B1D88B" w:rsidR="002D4D7E" w:rsidRDefault="00B85E4B" w:rsidP="00FB6FF4">
      <w:pPr>
        <w:pStyle w:val="Bullet2"/>
        <w:rPr>
          <w:rFonts w:eastAsia="+mn-ea"/>
        </w:rPr>
      </w:pPr>
      <w:r>
        <w:rPr>
          <w:rFonts w:eastAsia="+mn-ea"/>
        </w:rPr>
        <w:t>r</w:t>
      </w:r>
      <w:r w:rsidR="002D4D7E" w:rsidRPr="00B014D0">
        <w:rPr>
          <w:rFonts w:eastAsia="+mn-ea"/>
        </w:rPr>
        <w:t xml:space="preserve">elevant information about the </w:t>
      </w:r>
      <w:r>
        <w:rPr>
          <w:rFonts w:eastAsia="+mn-ea"/>
        </w:rPr>
        <w:t>a</w:t>
      </w:r>
      <w:r w:rsidR="002D4D7E" w:rsidRPr="00B014D0">
        <w:rPr>
          <w:rFonts w:eastAsia="+mn-ea"/>
        </w:rPr>
        <w:t xml:space="preserve">gency, including size (total assets and liabilities, total revenue and expenditure, </w:t>
      </w:r>
      <w:r w:rsidR="002D4D7E">
        <w:rPr>
          <w:rFonts w:eastAsia="+mn-ea"/>
        </w:rPr>
        <w:t>full-time</w:t>
      </w:r>
      <w:r w:rsidR="002D4D7E" w:rsidRPr="00B014D0">
        <w:rPr>
          <w:rFonts w:eastAsia="+mn-ea"/>
        </w:rPr>
        <w:t xml:space="preserve"> equivalent employee numbers</w:t>
      </w:r>
      <w:r w:rsidR="002D4D7E">
        <w:rPr>
          <w:rFonts w:eastAsia="+mn-ea"/>
        </w:rPr>
        <w:t>)</w:t>
      </w:r>
      <w:r w:rsidR="002D4D7E" w:rsidRPr="00B014D0">
        <w:rPr>
          <w:rFonts w:eastAsia="+mn-ea"/>
        </w:rPr>
        <w:t xml:space="preserve">, and the </w:t>
      </w:r>
      <w:r w:rsidR="002D4D7E">
        <w:rPr>
          <w:rFonts w:eastAsia="+mn-ea"/>
        </w:rPr>
        <w:t>agency's risk profile etc.</w:t>
      </w:r>
      <w:r w:rsidR="002D4D7E" w:rsidRPr="00B014D0">
        <w:rPr>
          <w:rFonts w:eastAsia="+mn-ea"/>
        </w:rPr>
        <w:t xml:space="preserve">, </w:t>
      </w:r>
      <w:r w:rsidR="002D4D7E">
        <w:rPr>
          <w:rFonts w:eastAsia="+mn-ea"/>
        </w:rPr>
        <w:t>as</w:t>
      </w:r>
      <w:r w:rsidR="002D4D7E" w:rsidRPr="00B014D0">
        <w:rPr>
          <w:rFonts w:eastAsia="+mn-ea"/>
        </w:rPr>
        <w:t xml:space="preserve"> relevant. This </w:t>
      </w:r>
      <w:r w:rsidR="002E6067">
        <w:rPr>
          <w:rFonts w:eastAsia="+mn-ea"/>
        </w:rPr>
        <w:t xml:space="preserve">matrix </w:t>
      </w:r>
      <w:r w:rsidR="0087392E">
        <w:rPr>
          <w:rFonts w:eastAsia="+mn-ea"/>
        </w:rPr>
        <w:t>should</w:t>
      </w:r>
      <w:r w:rsidR="002D4D7E" w:rsidRPr="00B014D0">
        <w:rPr>
          <w:rFonts w:eastAsia="+mn-ea"/>
        </w:rPr>
        <w:t xml:space="preserve"> be presented in table form as an attachment to the exemption request</w:t>
      </w:r>
      <w:r w:rsidR="009A7714">
        <w:rPr>
          <w:rFonts w:eastAsia="+mn-ea"/>
        </w:rPr>
        <w:t xml:space="preserve"> (</w:t>
      </w:r>
      <w:r w:rsidR="009A7714" w:rsidRPr="004738EE">
        <w:rPr>
          <w:rFonts w:eastAsia="+mn-ea"/>
        </w:rPr>
        <w:t xml:space="preserve">see Attachment </w:t>
      </w:r>
      <w:r w:rsidR="002229D2" w:rsidRPr="004738EE">
        <w:rPr>
          <w:rFonts w:eastAsia="+mn-ea"/>
        </w:rPr>
        <w:t>3</w:t>
      </w:r>
      <w:r w:rsidR="009A7714">
        <w:rPr>
          <w:rFonts w:eastAsia="+mn-ea"/>
        </w:rPr>
        <w:t>)</w:t>
      </w:r>
      <w:r w:rsidR="002D4D7E">
        <w:rPr>
          <w:rFonts w:eastAsia="+mn-ea"/>
        </w:rPr>
        <w:t>.</w:t>
      </w:r>
    </w:p>
    <w:p w14:paraId="46EF981E" w14:textId="0496BAC8" w:rsidR="00DD2E29" w:rsidRDefault="004738EE" w:rsidP="008F62C9">
      <w:pPr>
        <w:pStyle w:val="Bullet1"/>
        <w:ind w:right="90"/>
        <w:rPr>
          <w:rFonts w:eastAsia="+mn-ea"/>
        </w:rPr>
      </w:pPr>
      <w:r w:rsidRPr="001D6B3A">
        <w:rPr>
          <w:rFonts w:eastAsia="+mn-ea"/>
        </w:rPr>
        <w:t xml:space="preserve">An explanation of how </w:t>
      </w:r>
      <w:r w:rsidRPr="001D6B3A">
        <w:rPr>
          <w:rFonts w:eastAsia="+mn-ea"/>
          <w:b/>
          <w:bCs/>
        </w:rPr>
        <w:t>alternative actions or procedures</w:t>
      </w:r>
      <w:r w:rsidRPr="001D6B3A">
        <w:rPr>
          <w:rFonts w:eastAsia="+mn-ea"/>
        </w:rPr>
        <w:t xml:space="preserve"> will ensure the objectives of the relevant exempted Direction/s are achieved is a highly important inclusion for the success of an application</w:t>
      </w:r>
      <w:r w:rsidR="00E75DD1">
        <w:rPr>
          <w:rFonts w:eastAsia="+mn-ea"/>
        </w:rPr>
        <w:t>.</w:t>
      </w:r>
      <w:r w:rsidR="00DD2E29">
        <w:rPr>
          <w:rFonts w:eastAsia="+mn-ea"/>
        </w:rPr>
        <w:t xml:space="preserve"> </w:t>
      </w:r>
      <w:r w:rsidR="00E75DD1">
        <w:rPr>
          <w:rFonts w:eastAsia="+mn-ea"/>
        </w:rPr>
        <w:t xml:space="preserve">It </w:t>
      </w:r>
      <w:r w:rsidR="00DD2E29">
        <w:rPr>
          <w:rFonts w:eastAsia="+mn-ea"/>
        </w:rPr>
        <w:t xml:space="preserve">requires a thorough </w:t>
      </w:r>
      <w:r w:rsidR="00DD2E29" w:rsidRPr="00C00B59">
        <w:rPr>
          <w:rFonts w:eastAsia="+mn-ea"/>
        </w:rPr>
        <w:t>explanation of how the</w:t>
      </w:r>
      <w:r w:rsidR="00917476">
        <w:rPr>
          <w:rFonts w:eastAsia="+mn-ea"/>
        </w:rPr>
        <w:t xml:space="preserve"> requested</w:t>
      </w:r>
      <w:r w:rsidR="00DD2E29" w:rsidRPr="00C00B59">
        <w:rPr>
          <w:rFonts w:eastAsia="+mn-ea"/>
        </w:rPr>
        <w:t xml:space="preserve"> exemption and </w:t>
      </w:r>
      <w:r w:rsidR="006168DD">
        <w:rPr>
          <w:rFonts w:eastAsia="+mn-ea"/>
        </w:rPr>
        <w:t xml:space="preserve">the </w:t>
      </w:r>
      <w:r w:rsidR="00DD2E29" w:rsidRPr="00C00B59">
        <w:rPr>
          <w:rFonts w:eastAsia="+mn-ea"/>
        </w:rPr>
        <w:t xml:space="preserve">alternative arrangements proposed would </w:t>
      </w:r>
      <w:r w:rsidR="00DD2E29" w:rsidRPr="00421971">
        <w:rPr>
          <w:rFonts w:asciiTheme="majorHAnsi" w:eastAsia="+mn-ea" w:hAnsiTheme="majorHAnsi" w:cstheme="minorBidi"/>
          <w:bCs/>
        </w:rPr>
        <w:t>not undermine or compromise the integrity</w:t>
      </w:r>
      <w:r w:rsidR="00DD2E29">
        <w:rPr>
          <w:rFonts w:eastAsia="+mn-ea"/>
        </w:rPr>
        <w:t xml:space="preserve"> of the </w:t>
      </w:r>
      <w:r w:rsidR="00BD187C">
        <w:rPr>
          <w:rFonts w:eastAsia="+mn-ea"/>
        </w:rPr>
        <w:t>a</w:t>
      </w:r>
      <w:r w:rsidR="00DD2E29" w:rsidRPr="00C00B59">
        <w:rPr>
          <w:rFonts w:eastAsia="+mn-ea"/>
        </w:rPr>
        <w:t>gency’s financial management systems</w:t>
      </w:r>
      <w:r w:rsidR="00DD2E29">
        <w:rPr>
          <w:rFonts w:eastAsia="+mn-ea"/>
        </w:rPr>
        <w:t xml:space="preserve"> and the objectives of the Direction/s</w:t>
      </w:r>
      <w:r w:rsidR="0087392E">
        <w:rPr>
          <w:rFonts w:eastAsia="+mn-ea"/>
        </w:rPr>
        <w:t>.</w:t>
      </w:r>
      <w:r w:rsidR="00DD2E29">
        <w:rPr>
          <w:rFonts w:eastAsia="+mn-ea"/>
        </w:rPr>
        <w:t xml:space="preserve"> </w:t>
      </w:r>
      <w:r w:rsidR="006036F8">
        <w:rPr>
          <w:rFonts w:eastAsia="+mn-ea"/>
        </w:rPr>
        <w:t>A</w:t>
      </w:r>
      <w:r w:rsidR="00FE7B4C">
        <w:rPr>
          <w:rFonts w:eastAsia="+mn-ea"/>
        </w:rPr>
        <w:t>fter receiving an exemption approval</w:t>
      </w:r>
      <w:r w:rsidR="008272C7">
        <w:rPr>
          <w:rFonts w:eastAsia="+mn-ea"/>
        </w:rPr>
        <w:t>,</w:t>
      </w:r>
      <w:r w:rsidR="00FE7B4C">
        <w:rPr>
          <w:rFonts w:eastAsia="+mn-ea"/>
        </w:rPr>
        <w:t xml:space="preserve"> the </w:t>
      </w:r>
      <w:r w:rsidR="00BD187C">
        <w:rPr>
          <w:rFonts w:eastAsia="+mn-ea"/>
        </w:rPr>
        <w:t>a</w:t>
      </w:r>
      <w:r w:rsidR="00FE7B4C">
        <w:rPr>
          <w:rFonts w:eastAsia="+mn-ea"/>
        </w:rPr>
        <w:t xml:space="preserve">gency </w:t>
      </w:r>
      <w:r w:rsidR="006036F8">
        <w:rPr>
          <w:rFonts w:eastAsia="+mn-ea"/>
        </w:rPr>
        <w:t xml:space="preserve">should </w:t>
      </w:r>
      <w:r w:rsidR="00FE7B4C">
        <w:rPr>
          <w:rFonts w:eastAsia="+mn-ea"/>
        </w:rPr>
        <w:t>implement the proposed alternative action or procedures as soon as possible.</w:t>
      </w:r>
    </w:p>
    <w:p w14:paraId="3B86AAD7" w14:textId="2CE2277F" w:rsidR="00737BB9" w:rsidRDefault="00737BB9" w:rsidP="00737BB9">
      <w:pPr>
        <w:pStyle w:val="Bullet1"/>
        <w:numPr>
          <w:ilvl w:val="0"/>
          <w:numId w:val="0"/>
        </w:numPr>
        <w:ind w:left="360"/>
        <w:rPr>
          <w:rFonts w:eastAsia="+mn-ea"/>
        </w:rPr>
      </w:pPr>
      <w:r w:rsidRPr="00737BB9">
        <w:rPr>
          <w:rFonts w:eastAsia="+mn-ea"/>
        </w:rPr>
        <w:t xml:space="preserve">For example, most exemption requests historically have been around the specific governance requirements of having a separate Audit Committee and </w:t>
      </w:r>
      <w:r w:rsidR="008E6996">
        <w:rPr>
          <w:rFonts w:eastAsia="+mn-ea"/>
        </w:rPr>
        <w:t>i</w:t>
      </w:r>
      <w:r w:rsidRPr="00737BB9">
        <w:rPr>
          <w:rFonts w:eastAsia="+mn-ea"/>
        </w:rPr>
        <w:t xml:space="preserve">nternal </w:t>
      </w:r>
      <w:r w:rsidR="008E6996">
        <w:rPr>
          <w:rFonts w:eastAsia="+mn-ea"/>
        </w:rPr>
        <w:t>a</w:t>
      </w:r>
      <w:r w:rsidRPr="00737BB9">
        <w:rPr>
          <w:rFonts w:eastAsia="+mn-ea"/>
        </w:rPr>
        <w:t xml:space="preserve">udit function for very small/low risk agencies. In this case, there is an expectation that the Responsible Body (usually a </w:t>
      </w:r>
      <w:r w:rsidR="00146233">
        <w:rPr>
          <w:rFonts w:eastAsia="+mn-ea"/>
        </w:rPr>
        <w:t>b</w:t>
      </w:r>
      <w:r w:rsidRPr="00737BB9">
        <w:rPr>
          <w:rFonts w:eastAsia="+mn-ea"/>
        </w:rPr>
        <w:t>oard) takes on these roles directly as an alternative so that financial management is not compromised.</w:t>
      </w:r>
    </w:p>
    <w:p w14:paraId="6C3C4DA5" w14:textId="5E7D61ED" w:rsidR="00ED358E" w:rsidRDefault="00E10928" w:rsidP="002D4D7E">
      <w:pPr>
        <w:pStyle w:val="Bullet2"/>
        <w:keepLines w:val="0"/>
        <w:numPr>
          <w:ilvl w:val="0"/>
          <w:numId w:val="0"/>
        </w:numPr>
        <w:spacing w:line="240" w:lineRule="auto"/>
        <w:rPr>
          <w:rFonts w:eastAsia="+mn-ea"/>
        </w:rPr>
      </w:pPr>
      <w:r w:rsidRPr="00421971">
        <w:rPr>
          <w:rFonts w:asciiTheme="majorHAnsi" w:eastAsia="+mn-ea" w:hAnsiTheme="majorHAnsi" w:cstheme="minorBidi"/>
          <w:bCs/>
        </w:rPr>
        <w:t>A</w:t>
      </w:r>
      <w:r w:rsidR="00E77817" w:rsidRPr="00421971">
        <w:rPr>
          <w:rFonts w:asciiTheme="majorHAnsi" w:hAnsiTheme="majorHAnsi" w:cstheme="minorBidi"/>
          <w:bCs/>
        </w:rPr>
        <w:t xml:space="preserve"> </w:t>
      </w:r>
      <w:r w:rsidR="00E77817" w:rsidRPr="00421971">
        <w:rPr>
          <w:rFonts w:asciiTheme="majorHAnsi" w:eastAsia="+mn-ea" w:hAnsiTheme="majorHAnsi" w:cstheme="minorBidi"/>
          <w:bCs/>
        </w:rPr>
        <w:t>request template letter (Attachment 2)</w:t>
      </w:r>
      <w:r w:rsidR="00E77817" w:rsidRPr="00220061">
        <w:rPr>
          <w:rFonts w:eastAsia="+mn-ea"/>
        </w:rPr>
        <w:t xml:space="preserve"> </w:t>
      </w:r>
      <w:r>
        <w:rPr>
          <w:rFonts w:eastAsia="+mn-ea"/>
        </w:rPr>
        <w:t xml:space="preserve">and a </w:t>
      </w:r>
      <w:r w:rsidR="00F85604" w:rsidRPr="00421971">
        <w:rPr>
          <w:rFonts w:asciiTheme="majorHAnsi" w:eastAsia="+mn-ea" w:hAnsiTheme="majorHAnsi" w:cstheme="minorBidi"/>
          <w:bCs/>
        </w:rPr>
        <w:t>r</w:t>
      </w:r>
      <w:r w:rsidR="00F85604" w:rsidRPr="00421971">
        <w:rPr>
          <w:rFonts w:asciiTheme="majorHAnsi" w:hAnsiTheme="majorHAnsi" w:cstheme="minorBidi"/>
          <w:bCs/>
        </w:rPr>
        <w:t xml:space="preserve">isk profile information </w:t>
      </w:r>
      <w:r w:rsidR="002E6067" w:rsidRPr="00421971">
        <w:rPr>
          <w:rFonts w:asciiTheme="majorHAnsi" w:hAnsiTheme="majorHAnsi" w:cstheme="minorBidi"/>
          <w:bCs/>
        </w:rPr>
        <w:t>matrix</w:t>
      </w:r>
      <w:r w:rsidR="00F85604" w:rsidRPr="00421971">
        <w:rPr>
          <w:rFonts w:asciiTheme="majorHAnsi" w:hAnsiTheme="majorHAnsi" w:cstheme="minorBidi"/>
          <w:bCs/>
        </w:rPr>
        <w:t xml:space="preserve"> </w:t>
      </w:r>
      <w:r w:rsidRPr="00421971">
        <w:rPr>
          <w:rFonts w:asciiTheme="majorHAnsi" w:hAnsiTheme="majorHAnsi" w:cstheme="minorBidi"/>
          <w:bCs/>
        </w:rPr>
        <w:t>(</w:t>
      </w:r>
      <w:r w:rsidR="00F85604" w:rsidRPr="00421971">
        <w:rPr>
          <w:rFonts w:asciiTheme="majorHAnsi" w:hAnsiTheme="majorHAnsi" w:cstheme="minorBidi"/>
          <w:bCs/>
        </w:rPr>
        <w:t xml:space="preserve">Attachment </w:t>
      </w:r>
      <w:r w:rsidRPr="00421971">
        <w:rPr>
          <w:rFonts w:asciiTheme="majorHAnsi" w:hAnsiTheme="majorHAnsi" w:cstheme="minorBidi"/>
          <w:bCs/>
        </w:rPr>
        <w:t>3)</w:t>
      </w:r>
      <w:r w:rsidR="00F85604" w:rsidRPr="00220061">
        <w:t xml:space="preserve"> </w:t>
      </w:r>
      <w:r w:rsidR="00A10185" w:rsidRPr="00220061">
        <w:t xml:space="preserve">are provided </w:t>
      </w:r>
      <w:r w:rsidR="00A10185" w:rsidRPr="00220061">
        <w:rPr>
          <w:rFonts w:eastAsia="+mn-ea"/>
        </w:rPr>
        <w:t>to assist with documenting</w:t>
      </w:r>
      <w:r w:rsidR="002D4D7E" w:rsidRPr="00220061">
        <w:rPr>
          <w:rFonts w:eastAsia="+mn-ea"/>
        </w:rPr>
        <w:t xml:space="preserve"> these key considerations</w:t>
      </w:r>
      <w:r w:rsidR="006837DF" w:rsidRPr="00220061">
        <w:rPr>
          <w:rFonts w:eastAsia="+mn-ea"/>
        </w:rPr>
        <w:t>.</w:t>
      </w:r>
    </w:p>
    <w:p w14:paraId="7124FC0B" w14:textId="35723CEF" w:rsidR="00DD2E29" w:rsidRDefault="00414023" w:rsidP="00534EFE">
      <w:pPr>
        <w:pStyle w:val="Heading3"/>
      </w:pPr>
      <w:bookmarkStart w:id="24" w:name="_Toc182409109"/>
      <w:bookmarkStart w:id="25" w:name="_Toc182409181"/>
      <w:bookmarkStart w:id="26" w:name="_Toc182475058"/>
      <w:bookmarkStart w:id="27" w:name="_Toc205976994"/>
      <w:r>
        <w:t>2</w:t>
      </w:r>
      <w:r w:rsidR="00A10185">
        <w:t xml:space="preserve">.2 </w:t>
      </w:r>
      <w:r w:rsidR="00421971">
        <w:tab/>
      </w:r>
      <w:r w:rsidR="00F3744E">
        <w:t>Appropriate</w:t>
      </w:r>
      <w:r w:rsidR="003737B1">
        <w:t xml:space="preserve"> </w:t>
      </w:r>
      <w:r w:rsidR="00F3744E">
        <w:t>financial management</w:t>
      </w:r>
      <w:r w:rsidR="00BC6686">
        <w:t xml:space="preserve"> requirements</w:t>
      </w:r>
      <w:r w:rsidR="001E11F9" w:rsidRPr="001E11F9">
        <w:t xml:space="preserve"> for </w:t>
      </w:r>
      <w:r w:rsidR="00BC6686">
        <w:t>full</w:t>
      </w:r>
      <w:r w:rsidR="00660B1B">
        <w:t xml:space="preserve"> </w:t>
      </w:r>
      <w:r w:rsidR="001E11F9" w:rsidRPr="001E11F9">
        <w:t>exemptions</w:t>
      </w:r>
      <w:bookmarkEnd w:id="24"/>
      <w:bookmarkEnd w:id="25"/>
      <w:bookmarkEnd w:id="26"/>
      <w:bookmarkEnd w:id="27"/>
    </w:p>
    <w:p w14:paraId="0FEEB76D" w14:textId="4645D390" w:rsidR="00737BB9" w:rsidRDefault="001E11F9" w:rsidP="00174836">
      <w:r>
        <w:t>The more substantial an exemption request</w:t>
      </w:r>
      <w:r w:rsidR="00230B56">
        <w:t>,</w:t>
      </w:r>
      <w:r>
        <w:t xml:space="preserve"> the stronger the case required (</w:t>
      </w:r>
      <w:r w:rsidR="00FF2883">
        <w:t>reasons and</w:t>
      </w:r>
      <w:r>
        <w:t xml:space="preserve"> alternative arrangements</w:t>
      </w:r>
      <w:r w:rsidR="00534EFE">
        <w:rPr>
          <w:rFonts w:ascii="Calibri" w:hAnsi="Calibri" w:cs="Calibri"/>
        </w:rPr>
        <w:t> </w:t>
      </w:r>
      <w:r>
        <w:t xml:space="preserve">etc.). </w:t>
      </w:r>
    </w:p>
    <w:p w14:paraId="511342E5" w14:textId="0AD8F155" w:rsidR="00CB2A3F" w:rsidRPr="001E11F9" w:rsidRDefault="00CB2A3F" w:rsidP="008F62C9">
      <w:pPr>
        <w:ind w:right="-90"/>
      </w:pPr>
      <w:r w:rsidRPr="009B1F57">
        <w:t xml:space="preserve">For agencies currently reporting under the FMA to Parliament or the responsible Minister (either separately or consolidated with another </w:t>
      </w:r>
      <w:r w:rsidR="00917476">
        <w:t>a</w:t>
      </w:r>
      <w:r w:rsidRPr="009B1F57">
        <w:t>gency</w:t>
      </w:r>
      <w:r>
        <w:t xml:space="preserve"> e.g. a department</w:t>
      </w:r>
      <w:r w:rsidRPr="009B1F57">
        <w:t>) and subject to the Directions, an application for a complete exemption</w:t>
      </w:r>
      <w:r>
        <w:t xml:space="preserve"> or </w:t>
      </w:r>
      <w:r w:rsidRPr="009B1F57">
        <w:t>exception from the entire suite of Directions/Instructions would require a solid case for success</w:t>
      </w:r>
      <w:r w:rsidRPr="009B6D1B">
        <w:t>.</w:t>
      </w:r>
      <w:r w:rsidR="00BF1ED3" w:rsidRPr="009B6D1B">
        <w:t xml:space="preserve"> </w:t>
      </w:r>
      <w:r w:rsidR="00AB630C" w:rsidRPr="009B6D1B">
        <w:rPr>
          <w:rStyle w:val="FootnoteReference"/>
        </w:rPr>
        <w:footnoteReference w:id="2"/>
      </w:r>
      <w:r w:rsidRPr="009B6D1B">
        <w:t xml:space="preserve"> </w:t>
      </w:r>
    </w:p>
    <w:p w14:paraId="15CE84E7" w14:textId="11009AD7" w:rsidR="002A6AB7" w:rsidRDefault="00CB2A3F" w:rsidP="00421971">
      <w:pPr>
        <w:keepNext/>
        <w:rPr>
          <w:rFonts w:eastAsia="Times New Roman"/>
        </w:rPr>
      </w:pPr>
      <w:r w:rsidRPr="001E11F9">
        <w:rPr>
          <w:rFonts w:eastAsia="Times New Roman"/>
        </w:rPr>
        <w:lastRenderedPageBreak/>
        <w:t xml:space="preserve">This would include the relevant </w:t>
      </w:r>
      <w:r w:rsidR="00C971FF">
        <w:rPr>
          <w:rFonts w:eastAsia="Times New Roman"/>
        </w:rPr>
        <w:t>p</w:t>
      </w:r>
      <w:r w:rsidRPr="001E11F9">
        <w:rPr>
          <w:rFonts w:eastAsia="Times New Roman"/>
        </w:rPr>
        <w:t xml:space="preserve">ortfolio </w:t>
      </w:r>
      <w:r w:rsidR="00C971FF">
        <w:rPr>
          <w:rFonts w:eastAsia="Times New Roman"/>
        </w:rPr>
        <w:t>d</w:t>
      </w:r>
      <w:r w:rsidRPr="001E11F9">
        <w:rPr>
          <w:rFonts w:eastAsia="Times New Roman"/>
        </w:rPr>
        <w:t>epartment</w:t>
      </w:r>
      <w:r>
        <w:rPr>
          <w:rFonts w:eastAsia="Times New Roman"/>
        </w:rPr>
        <w:t>/or larger</w:t>
      </w:r>
      <w:r w:rsidR="00E00A3B">
        <w:rPr>
          <w:rFonts w:eastAsia="Times New Roman"/>
        </w:rPr>
        <w:t xml:space="preserve"> related</w:t>
      </w:r>
      <w:r>
        <w:rPr>
          <w:rFonts w:eastAsia="Times New Roman"/>
        </w:rPr>
        <w:t xml:space="preserve"> </w:t>
      </w:r>
      <w:r w:rsidR="00C971FF">
        <w:rPr>
          <w:rFonts w:eastAsia="Times New Roman"/>
        </w:rPr>
        <w:t>a</w:t>
      </w:r>
      <w:r>
        <w:rPr>
          <w:rFonts w:eastAsia="Times New Roman"/>
        </w:rPr>
        <w:t>gency</w:t>
      </w:r>
      <w:r w:rsidR="002A6AB7">
        <w:rPr>
          <w:rFonts w:eastAsia="Times New Roman"/>
        </w:rPr>
        <w:t>:</w:t>
      </w:r>
      <w:r w:rsidRPr="001E11F9">
        <w:rPr>
          <w:rFonts w:eastAsia="Times New Roman"/>
        </w:rPr>
        <w:t xml:space="preserve"> </w:t>
      </w:r>
    </w:p>
    <w:p w14:paraId="7D1510FD" w14:textId="31211768" w:rsidR="002A6AB7" w:rsidRPr="002A6AB7" w:rsidRDefault="00CB2A3F" w:rsidP="00421971">
      <w:pPr>
        <w:pStyle w:val="Bullet1"/>
      </w:pPr>
      <w:r w:rsidRPr="002A6AB7">
        <w:t xml:space="preserve">directly undertaking most of the financial management requirements on behalf of the </w:t>
      </w:r>
      <w:r w:rsidR="00C971FF">
        <w:t>a</w:t>
      </w:r>
      <w:r w:rsidRPr="002A6AB7">
        <w:t>gency (usually under a formal agreement) or</w:t>
      </w:r>
    </w:p>
    <w:p w14:paraId="679671AB" w14:textId="00089304" w:rsidR="00CB2A3F" w:rsidRDefault="00CB2A3F" w:rsidP="00421971">
      <w:pPr>
        <w:pStyle w:val="Bullet1"/>
      </w:pPr>
      <w:r w:rsidRPr="002A6AB7">
        <w:t xml:space="preserve">putting in place </w:t>
      </w:r>
      <w:r w:rsidRPr="009A4541">
        <w:t>a</w:t>
      </w:r>
      <w:r w:rsidR="00917476" w:rsidRPr="009A4541">
        <w:t xml:space="preserve"> </w:t>
      </w:r>
      <w:r w:rsidRPr="001D6B3A">
        <w:t>financial management framework and requirements</w:t>
      </w:r>
      <w:r w:rsidRPr="002A6AB7">
        <w:rPr>
          <w:b/>
        </w:rPr>
        <w:t xml:space="preserve"> </w:t>
      </w:r>
      <w:r w:rsidRPr="002A6AB7">
        <w:t xml:space="preserve">appropriate for the agency or </w:t>
      </w:r>
      <w:r w:rsidR="00AE2A26" w:rsidRPr="002A6AB7">
        <w:t>several</w:t>
      </w:r>
      <w:r w:rsidRPr="002A6AB7">
        <w:t xml:space="preserve"> agencies, if exempted</w:t>
      </w:r>
      <w:r w:rsidR="00721209">
        <w:t>.</w:t>
      </w:r>
    </w:p>
    <w:p w14:paraId="1BC2BC74" w14:textId="62F60043" w:rsidR="001E11F9" w:rsidRDefault="00AE2A26" w:rsidP="001E11F9">
      <w:r>
        <w:t>For ongoing</w:t>
      </w:r>
      <w:r w:rsidR="001E11F9" w:rsidRPr="00421971">
        <w:rPr>
          <w:rFonts w:asciiTheme="majorHAnsi" w:hAnsiTheme="majorHAnsi"/>
          <w:bCs/>
        </w:rPr>
        <w:t xml:space="preserve"> full exemption</w:t>
      </w:r>
      <w:r w:rsidR="0079464B" w:rsidRPr="00421971">
        <w:rPr>
          <w:rFonts w:asciiTheme="majorHAnsi" w:hAnsiTheme="majorHAnsi"/>
          <w:bCs/>
        </w:rPr>
        <w:t>s</w:t>
      </w:r>
      <w:r w:rsidR="001E11F9">
        <w:t xml:space="preserve"> from the </w:t>
      </w:r>
      <w:r w:rsidR="0079464B">
        <w:t xml:space="preserve">complete </w:t>
      </w:r>
      <w:r w:rsidR="001E11F9">
        <w:t>Directions/Instructions the following further guidance</w:t>
      </w:r>
      <w:r w:rsidR="0089358F">
        <w:t xml:space="preserve"> </w:t>
      </w:r>
      <w:r w:rsidR="0073568F">
        <w:t>is provided</w:t>
      </w:r>
      <w:r w:rsidR="00EB7ACF">
        <w:t>.</w:t>
      </w:r>
    </w:p>
    <w:p w14:paraId="0225424B" w14:textId="55DAB64D" w:rsidR="006241F7" w:rsidRDefault="006241F7" w:rsidP="00682AE0">
      <w:pPr>
        <w:ind w:right="-90"/>
      </w:pPr>
      <w:r w:rsidRPr="00722E5A">
        <w:rPr>
          <w:rFonts w:asciiTheme="majorHAnsi" w:hAnsiTheme="majorHAnsi"/>
          <w:bCs/>
        </w:rPr>
        <w:t>Appropriate financial management requirements</w:t>
      </w:r>
      <w:r>
        <w:t xml:space="preserve"> that </w:t>
      </w:r>
      <w:r w:rsidR="00991190">
        <w:t>impose</w:t>
      </w:r>
      <w:r>
        <w:t xml:space="preserve"> an appropriate level of financial management accountability, governance and compliance</w:t>
      </w:r>
      <w:r w:rsidR="00B81137">
        <w:t xml:space="preserve"> </w:t>
      </w:r>
      <w:r w:rsidR="0073568F">
        <w:t>are</w:t>
      </w:r>
      <w:r w:rsidR="00FB7CB2">
        <w:t xml:space="preserve"> crucial</w:t>
      </w:r>
      <w:r w:rsidR="006C18DB">
        <w:t>.</w:t>
      </w:r>
      <w:r>
        <w:t xml:space="preserve"> </w:t>
      </w:r>
      <w:r w:rsidR="005051E3">
        <w:t>These requiremen</w:t>
      </w:r>
      <w:r w:rsidR="00814D89">
        <w:t>t</w:t>
      </w:r>
      <w:r w:rsidR="005051E3">
        <w:t>s</w:t>
      </w:r>
      <w:r w:rsidR="00814D89">
        <w:t xml:space="preserve"> also need to consider the </w:t>
      </w:r>
      <w:r>
        <w:t>nature of the entities in question, including size, risk profile</w:t>
      </w:r>
      <w:r w:rsidR="00FF6D6B">
        <w:t>,</w:t>
      </w:r>
      <w:r>
        <w:t xml:space="preserve"> and the financial risk that they pose to the State, both individually and as a class. </w:t>
      </w:r>
    </w:p>
    <w:p w14:paraId="42BDAEB3" w14:textId="2E1A0C3C" w:rsidR="006241F7" w:rsidRDefault="006241F7" w:rsidP="006241F7">
      <w:pPr>
        <w:rPr>
          <w:rFonts w:eastAsia="Times New Roman"/>
        </w:rPr>
      </w:pPr>
      <w:r w:rsidRPr="00EF4F43">
        <w:t xml:space="preserve">The requirements should be proportionate to the financial management </w:t>
      </w:r>
      <w:r>
        <w:t xml:space="preserve">needs and </w:t>
      </w:r>
      <w:r w:rsidRPr="00EF4F43">
        <w:t>responsibilities of the</w:t>
      </w:r>
      <w:r>
        <w:t xml:space="preserve"> relevant </w:t>
      </w:r>
      <w:r w:rsidRPr="00EF4F43">
        <w:t>entities</w:t>
      </w:r>
      <w:r w:rsidR="00DC4D69">
        <w:t>.</w:t>
      </w:r>
    </w:p>
    <w:p w14:paraId="49305A34" w14:textId="306C386E" w:rsidR="001E11F9" w:rsidRPr="001E11F9" w:rsidRDefault="001E11F9" w:rsidP="00E123F1">
      <w:pPr>
        <w:rPr>
          <w:rFonts w:eastAsia="Times New Roman"/>
        </w:rPr>
      </w:pPr>
      <w:r w:rsidRPr="001E11F9">
        <w:rPr>
          <w:rFonts w:eastAsia="Times New Roman"/>
        </w:rPr>
        <w:t>Appropriate financial management requirements must:</w:t>
      </w:r>
    </w:p>
    <w:p w14:paraId="5F0151C8" w14:textId="42908A34" w:rsidR="001E11F9" w:rsidRPr="001E11F9" w:rsidRDefault="001E11F9" w:rsidP="001E11F9">
      <w:pPr>
        <w:pStyle w:val="Bullet1"/>
      </w:pPr>
      <w:r w:rsidRPr="001E11F9">
        <w:t xml:space="preserve">be established </w:t>
      </w:r>
      <w:proofErr w:type="gramStart"/>
      <w:r w:rsidR="00FF6D6B">
        <w:t>in</w:t>
      </w:r>
      <w:r w:rsidR="00FF6D6B" w:rsidRPr="001E11F9">
        <w:t xml:space="preserve"> </w:t>
      </w:r>
      <w:r w:rsidRPr="001E11F9">
        <w:t>regard to</w:t>
      </w:r>
      <w:proofErr w:type="gramEnd"/>
      <w:r w:rsidRPr="001E11F9">
        <w:t xml:space="preserve"> </w:t>
      </w:r>
      <w:r w:rsidR="008E7A30" w:rsidRPr="001E11F9">
        <w:t xml:space="preserve">the </w:t>
      </w:r>
      <w:r w:rsidR="008E7A30">
        <w:t>topics</w:t>
      </w:r>
      <w:r w:rsidRPr="001E11F9">
        <w:t xml:space="preserve"> covered and specific requirements in the Directions and Instructions</w:t>
      </w:r>
    </w:p>
    <w:p w14:paraId="3BCBCF8F" w14:textId="24E732D7" w:rsidR="001E11F9" w:rsidRDefault="001E11F9" w:rsidP="3C25BFAA">
      <w:pPr>
        <w:pStyle w:val="Bullet1"/>
      </w:pPr>
      <w:r>
        <w:t xml:space="preserve">include appropriate accountability arrangements and monitoring by the relevant </w:t>
      </w:r>
      <w:r w:rsidR="005001D7">
        <w:t>p</w:t>
      </w:r>
      <w:r>
        <w:t xml:space="preserve">ortfolio </w:t>
      </w:r>
      <w:r w:rsidR="005001D7">
        <w:t>d</w:t>
      </w:r>
      <w:r>
        <w:t>epartment/</w:t>
      </w:r>
      <w:r w:rsidR="005001D7">
        <w:t>a</w:t>
      </w:r>
      <w:r>
        <w:t xml:space="preserve">gency to ensure entities’ compliance with the </w:t>
      </w:r>
      <w:r w:rsidR="00951243">
        <w:t>requirement</w:t>
      </w:r>
    </w:p>
    <w:p w14:paraId="0CC33D9F" w14:textId="1F8CC6DC" w:rsidR="001E11F9" w:rsidRDefault="001E11F9" w:rsidP="3C25BFAA">
      <w:pPr>
        <w:pStyle w:val="Bullet1"/>
      </w:pPr>
      <w:r w:rsidRPr="001E11F9">
        <w:t xml:space="preserve">be consistent with the relevant </w:t>
      </w:r>
      <w:proofErr w:type="gramStart"/>
      <w:r w:rsidR="005001D7">
        <w:t>a</w:t>
      </w:r>
      <w:r w:rsidRPr="001E11F9">
        <w:t>genc</w:t>
      </w:r>
      <w:r w:rsidR="0073568F">
        <w:t>y</w:t>
      </w:r>
      <w:r w:rsidRPr="001E11F9">
        <w:t>’</w:t>
      </w:r>
      <w:r w:rsidR="0073568F">
        <w:t>s</w:t>
      </w:r>
      <w:proofErr w:type="gramEnd"/>
      <w:r w:rsidR="0073568F">
        <w:t xml:space="preserve"> or </w:t>
      </w:r>
      <w:r w:rsidR="005001D7">
        <w:t>a</w:t>
      </w:r>
      <w:r w:rsidR="0073568F">
        <w:t>gencies’</w:t>
      </w:r>
      <w:r w:rsidRPr="001E11F9">
        <w:t xml:space="preserve"> governing legislation</w:t>
      </w:r>
    </w:p>
    <w:p w14:paraId="5C1F5F6B" w14:textId="6086C6BF" w:rsidR="00755856" w:rsidRDefault="00B36E9C" w:rsidP="001E11F9">
      <w:pPr>
        <w:pStyle w:val="Bullet1"/>
      </w:pPr>
      <w:r>
        <w:t>a</w:t>
      </w:r>
      <w:r w:rsidR="001E11F9" w:rsidRPr="00146988">
        <w:t xml:space="preserve">t a minimum, </w:t>
      </w:r>
      <w:r w:rsidR="3AEF6065">
        <w:t>ensure a relevant</w:t>
      </w:r>
      <w:r w:rsidR="001E11F9">
        <w:t xml:space="preserve"> </w:t>
      </w:r>
      <w:r w:rsidR="001E11F9" w:rsidRPr="00146988">
        <w:t>framework cove</w:t>
      </w:r>
      <w:r w:rsidR="00146988">
        <w:t>r</w:t>
      </w:r>
      <w:r w:rsidR="0073568F">
        <w:t>s</w:t>
      </w:r>
      <w:r w:rsidR="00504968">
        <w:t xml:space="preserve"> </w:t>
      </w:r>
      <w:r w:rsidR="001E11F9" w:rsidRPr="00146988">
        <w:t>the following relevant requirements:</w:t>
      </w:r>
    </w:p>
    <w:p w14:paraId="7967B3FB" w14:textId="5FE150F7" w:rsidR="001E11F9" w:rsidRPr="001E11F9" w:rsidRDefault="004615EF" w:rsidP="00682AE0">
      <w:pPr>
        <w:pStyle w:val="Bullet2"/>
        <w:ind w:right="-90"/>
      </w:pPr>
      <w:r>
        <w:t>g</w:t>
      </w:r>
      <w:r w:rsidRPr="001E11F9">
        <w:t xml:space="preserve">eneral </w:t>
      </w:r>
      <w:r w:rsidR="001E11F9" w:rsidRPr="001E11F9">
        <w:t>financial management accountabilities and responsibilities for key staff (CEO/CFO) and Responsible Body members</w:t>
      </w:r>
    </w:p>
    <w:p w14:paraId="1A7095A1" w14:textId="575C9473" w:rsidR="001E11F9" w:rsidRPr="001E11F9" w:rsidRDefault="004615EF" w:rsidP="00593B90">
      <w:pPr>
        <w:pStyle w:val="Bullet2"/>
      </w:pPr>
      <w:r>
        <w:t>e</w:t>
      </w:r>
      <w:r w:rsidRPr="001E11F9">
        <w:t xml:space="preserve">ffective </w:t>
      </w:r>
      <w:r w:rsidR="001E11F9" w:rsidRPr="001E11F9">
        <w:t>financial governance and oversight</w:t>
      </w:r>
    </w:p>
    <w:p w14:paraId="6C28F543" w14:textId="75109490" w:rsidR="001E11F9" w:rsidRPr="001E11F9" w:rsidRDefault="004615EF" w:rsidP="00593B90">
      <w:pPr>
        <w:pStyle w:val="Bullet2"/>
      </w:pPr>
      <w:r>
        <w:t>e</w:t>
      </w:r>
      <w:r w:rsidRPr="001E11F9">
        <w:t xml:space="preserve">ffective </w:t>
      </w:r>
      <w:r w:rsidR="001E11F9" w:rsidRPr="001E11F9">
        <w:t xml:space="preserve">information gathering and record </w:t>
      </w:r>
      <w:r w:rsidR="00951243" w:rsidRPr="001E11F9">
        <w:t>keeping</w:t>
      </w:r>
    </w:p>
    <w:p w14:paraId="7A55F8E2" w14:textId="4A44E996" w:rsidR="001E11F9" w:rsidRPr="001E11F9" w:rsidRDefault="004615EF" w:rsidP="00593B90">
      <w:pPr>
        <w:pStyle w:val="Bullet2"/>
      </w:pPr>
      <w:r>
        <w:t>a</w:t>
      </w:r>
      <w:r w:rsidRPr="001E11F9">
        <w:t xml:space="preserve">ppropriate </w:t>
      </w:r>
      <w:r w:rsidR="001E11F9" w:rsidRPr="001E11F9">
        <w:t xml:space="preserve">systems, procedures and internal controls, such as those set out in </w:t>
      </w:r>
      <w:hyperlink r:id="rId19" w:anchor="Instruction_3_4" w:history="1">
        <w:r w:rsidR="001E11F9" w:rsidRPr="001E11F9">
          <w:t>Instruction 3.4</w:t>
        </w:r>
      </w:hyperlink>
      <w:r w:rsidR="001E11F9" w:rsidRPr="001E11F9">
        <w:t>, and including procurement</w:t>
      </w:r>
    </w:p>
    <w:p w14:paraId="4F39E585" w14:textId="5BF829BA" w:rsidR="001E11F9" w:rsidRPr="001E11F9" w:rsidRDefault="004615EF" w:rsidP="00593B90">
      <w:pPr>
        <w:pStyle w:val="Bullet2"/>
      </w:pPr>
      <w:r>
        <w:t>a</w:t>
      </w:r>
      <w:r w:rsidRPr="001E11F9">
        <w:t xml:space="preserve">ppropriate </w:t>
      </w:r>
      <w:r w:rsidR="001E11F9" w:rsidRPr="001E11F9">
        <w:t xml:space="preserve">risk management, informed by the </w:t>
      </w:r>
      <w:hyperlink r:id="rId20" w:history="1">
        <w:r w:rsidR="001E11F9" w:rsidRPr="001E11F9">
          <w:t>Victorian Government Risk Management Framework</w:t>
        </w:r>
      </w:hyperlink>
    </w:p>
    <w:p w14:paraId="7B26FD0C" w14:textId="456FD2B3" w:rsidR="001E11F9" w:rsidRPr="001E11F9" w:rsidRDefault="004615EF" w:rsidP="004615EF">
      <w:pPr>
        <w:pStyle w:val="Bullet2"/>
        <w:ind w:right="-90"/>
      </w:pPr>
      <w:r>
        <w:t>w</w:t>
      </w:r>
      <w:r w:rsidRPr="001E11F9">
        <w:t xml:space="preserve">here </w:t>
      </w:r>
      <w:r w:rsidR="001E11F9" w:rsidRPr="001E11F9">
        <w:t xml:space="preserve">the agency manages assets, requirements to effectively manage the assets informed by the Victorian Government’s </w:t>
      </w:r>
      <w:hyperlink r:id="rId21" w:history="1">
        <w:r w:rsidR="001E11F9" w:rsidRPr="001E11F9">
          <w:t>Asset Management Accountability Framework</w:t>
        </w:r>
      </w:hyperlink>
    </w:p>
    <w:p w14:paraId="21C6BE7B" w14:textId="3892E96D" w:rsidR="001E11F9" w:rsidRPr="001E11F9" w:rsidRDefault="004615EF" w:rsidP="004615EF">
      <w:pPr>
        <w:pStyle w:val="Bullet2"/>
        <w:ind w:right="-270"/>
      </w:pPr>
      <w:r>
        <w:t>w</w:t>
      </w:r>
      <w:r w:rsidRPr="001E11F9">
        <w:t xml:space="preserve">here </w:t>
      </w:r>
      <w:r w:rsidR="001E11F9" w:rsidRPr="001E11F9">
        <w:t>the agency manages investments and/or liabilities, requirements to effectively manage these can be informed by the Treasury and Risk Management requirements under the Directions and Instructions</w:t>
      </w:r>
    </w:p>
    <w:p w14:paraId="608637BE" w14:textId="3019BD38" w:rsidR="001E11F9" w:rsidRPr="001E11F9" w:rsidRDefault="004615EF" w:rsidP="00593B90">
      <w:pPr>
        <w:pStyle w:val="Bullet2"/>
      </w:pPr>
      <w:r>
        <w:t>p</w:t>
      </w:r>
      <w:r w:rsidRPr="001E11F9">
        <w:t xml:space="preserve">lanning </w:t>
      </w:r>
      <w:r w:rsidR="001E11F9" w:rsidRPr="001E11F9">
        <w:t xml:space="preserve">and managing </w:t>
      </w:r>
      <w:r w:rsidR="00951243" w:rsidRPr="001E11F9">
        <w:t>performance</w:t>
      </w:r>
    </w:p>
    <w:p w14:paraId="181563AB" w14:textId="2760CE24" w:rsidR="001E11F9" w:rsidRPr="001E11F9" w:rsidRDefault="004615EF" w:rsidP="00593B90">
      <w:pPr>
        <w:pStyle w:val="Bullet2"/>
      </w:pPr>
      <w:r>
        <w:t xml:space="preserve">other </w:t>
      </w:r>
      <w:r w:rsidR="001E11F9" w:rsidRPr="001E11F9">
        <w:t>statutory reporting obligations</w:t>
      </w:r>
      <w:r w:rsidR="006B459E">
        <w:t>,</w:t>
      </w:r>
      <w:r w:rsidR="001E11F9" w:rsidRPr="001E11F9">
        <w:t xml:space="preserve"> e.g. annual reports</w:t>
      </w:r>
    </w:p>
    <w:p w14:paraId="079D6354" w14:textId="4735780D" w:rsidR="001E11F9" w:rsidRPr="001E11F9" w:rsidRDefault="004615EF" w:rsidP="00593B90">
      <w:pPr>
        <w:pStyle w:val="Bullet2"/>
      </w:pPr>
      <w:r>
        <w:t>c</w:t>
      </w:r>
      <w:r w:rsidRPr="001E11F9">
        <w:t xml:space="preserve">ompliance </w:t>
      </w:r>
      <w:r w:rsidR="001E11F9" w:rsidRPr="001E11F9">
        <w:t xml:space="preserve">reporting to the </w:t>
      </w:r>
      <w:r w:rsidR="006B459E">
        <w:t>p</w:t>
      </w:r>
      <w:r w:rsidR="001E11F9" w:rsidRPr="001E11F9">
        <w:t xml:space="preserve">ortfolio </w:t>
      </w:r>
      <w:r w:rsidR="006B459E">
        <w:t>d</w:t>
      </w:r>
      <w:r w:rsidR="001E11F9" w:rsidRPr="001E11F9">
        <w:t>epartment.</w:t>
      </w:r>
    </w:p>
    <w:p w14:paraId="28A85C29" w14:textId="07AB6705" w:rsidR="001E11F9" w:rsidRDefault="001E11F9" w:rsidP="001E11F9">
      <w:pPr>
        <w:rPr>
          <w:rFonts w:eastAsia="Times New Roman"/>
        </w:rPr>
      </w:pPr>
      <w:r w:rsidRPr="001E11F9">
        <w:rPr>
          <w:rFonts w:eastAsia="Times New Roman"/>
        </w:rPr>
        <w:lastRenderedPageBreak/>
        <w:t xml:space="preserve">The </w:t>
      </w:r>
      <w:r w:rsidR="006B459E">
        <w:rPr>
          <w:rFonts w:eastAsia="Times New Roman"/>
        </w:rPr>
        <w:t>p</w:t>
      </w:r>
      <w:r w:rsidRPr="001E11F9">
        <w:rPr>
          <w:rFonts w:eastAsia="Times New Roman"/>
        </w:rPr>
        <w:t xml:space="preserve">ortfolio </w:t>
      </w:r>
      <w:r w:rsidR="006B459E">
        <w:rPr>
          <w:rFonts w:eastAsia="Times New Roman"/>
        </w:rPr>
        <w:t>d</w:t>
      </w:r>
      <w:r w:rsidRPr="001E11F9">
        <w:rPr>
          <w:rFonts w:eastAsia="Times New Roman"/>
        </w:rPr>
        <w:t xml:space="preserve">epartment and relevant </w:t>
      </w:r>
      <w:r w:rsidR="006B459E">
        <w:rPr>
          <w:rFonts w:eastAsia="Times New Roman"/>
        </w:rPr>
        <w:t>a</w:t>
      </w:r>
      <w:r w:rsidRPr="001E11F9">
        <w:rPr>
          <w:rFonts w:eastAsia="Times New Roman"/>
        </w:rPr>
        <w:t xml:space="preserve">gencies are best placed to develop the specific alternative </w:t>
      </w:r>
      <w:r w:rsidR="009D15AC">
        <w:rPr>
          <w:rFonts w:eastAsia="Times New Roman"/>
        </w:rPr>
        <w:t>procedures</w:t>
      </w:r>
      <w:r w:rsidR="008576FE">
        <w:rPr>
          <w:rFonts w:eastAsia="Times New Roman"/>
        </w:rPr>
        <w:t xml:space="preserve"> and </w:t>
      </w:r>
      <w:r w:rsidRPr="001E11F9">
        <w:rPr>
          <w:rFonts w:eastAsia="Times New Roman"/>
        </w:rPr>
        <w:t>framework together</w:t>
      </w:r>
      <w:r w:rsidR="0087392E">
        <w:rPr>
          <w:rFonts w:eastAsia="Times New Roman"/>
        </w:rPr>
        <w:t xml:space="preserve"> </w:t>
      </w:r>
      <w:r w:rsidR="00D602BF">
        <w:rPr>
          <w:rFonts w:eastAsia="Times New Roman"/>
        </w:rPr>
        <w:t>to</w:t>
      </w:r>
      <w:r w:rsidRPr="001E11F9">
        <w:rPr>
          <w:rFonts w:eastAsia="Times New Roman"/>
        </w:rPr>
        <w:t xml:space="preserve"> the meet the </w:t>
      </w:r>
      <w:r w:rsidR="00AE2A26" w:rsidRPr="001E11F9">
        <w:rPr>
          <w:rFonts w:eastAsia="Times New Roman"/>
        </w:rPr>
        <w:t>needs</w:t>
      </w:r>
      <w:r w:rsidRPr="001E11F9">
        <w:rPr>
          <w:rFonts w:eastAsia="Times New Roman"/>
        </w:rPr>
        <w:t xml:space="preserve"> of </w:t>
      </w:r>
      <w:r w:rsidR="0073568F">
        <w:rPr>
          <w:rFonts w:eastAsia="Times New Roman"/>
        </w:rPr>
        <w:t>all,</w:t>
      </w:r>
      <w:r w:rsidRPr="001E11F9">
        <w:rPr>
          <w:rFonts w:eastAsia="Times New Roman"/>
        </w:rPr>
        <w:t xml:space="preserve"> within a portfolio context</w:t>
      </w:r>
      <w:r w:rsidR="104008DA" w:rsidRPr="3C25BFAA">
        <w:rPr>
          <w:rFonts w:eastAsia="Times New Roman"/>
        </w:rPr>
        <w:t>.</w:t>
      </w:r>
      <w:r w:rsidRPr="3C25BFAA">
        <w:rPr>
          <w:rFonts w:eastAsia="Times New Roman"/>
        </w:rPr>
        <w:t xml:space="preserve"> </w:t>
      </w:r>
      <w:r w:rsidR="0073568F">
        <w:rPr>
          <w:rFonts w:eastAsia="Times New Roman"/>
        </w:rPr>
        <w:t>Portfolio departments</w:t>
      </w:r>
      <w:r w:rsidRPr="001E11F9">
        <w:rPr>
          <w:rFonts w:eastAsia="Times New Roman"/>
        </w:rPr>
        <w:t xml:space="preserve"> are encouraged to consult with DTF before finalising </w:t>
      </w:r>
      <w:r w:rsidR="67FB8A6F" w:rsidRPr="3C25BFAA">
        <w:rPr>
          <w:rFonts w:eastAsia="Times New Roman"/>
        </w:rPr>
        <w:t xml:space="preserve">the alternative framework </w:t>
      </w:r>
      <w:r w:rsidRPr="001E11F9">
        <w:rPr>
          <w:rFonts w:eastAsia="Times New Roman"/>
        </w:rPr>
        <w:t>and seeking an exemption from the Directions</w:t>
      </w:r>
      <w:r w:rsidR="007B6BDF">
        <w:rPr>
          <w:rFonts w:eastAsia="Times New Roman"/>
        </w:rPr>
        <w:t xml:space="preserve"> and/or </w:t>
      </w:r>
      <w:r w:rsidRPr="001E11F9">
        <w:rPr>
          <w:rFonts w:eastAsia="Times New Roman"/>
        </w:rPr>
        <w:t>Instructions.</w:t>
      </w:r>
    </w:p>
    <w:p w14:paraId="5DE46A0F" w14:textId="698793C2" w:rsidR="001E11F9" w:rsidRPr="001E11F9" w:rsidRDefault="001E11F9" w:rsidP="00C104F5">
      <w:pPr>
        <w:ind w:right="90"/>
        <w:rPr>
          <w:rFonts w:eastAsia="Times New Roman"/>
        </w:rPr>
      </w:pPr>
      <w:r w:rsidRPr="001E11F9">
        <w:rPr>
          <w:rFonts w:eastAsia="Times New Roman"/>
        </w:rPr>
        <w:t>The framework/requirements document does not need to be an elaborate policy and procedures manual</w:t>
      </w:r>
      <w:r w:rsidR="009D15AC">
        <w:rPr>
          <w:rFonts w:eastAsia="Times New Roman"/>
        </w:rPr>
        <w:t>. However, it</w:t>
      </w:r>
      <w:r w:rsidRPr="001E11F9">
        <w:rPr>
          <w:rFonts w:eastAsia="Times New Roman"/>
        </w:rPr>
        <w:t xml:space="preserve"> should cover the high-level principles under each of the key areas of good</w:t>
      </w:r>
      <w:r w:rsidR="00B46CD5">
        <w:rPr>
          <w:rFonts w:eastAsia="Times New Roman"/>
        </w:rPr>
        <w:t xml:space="preserve"> practice</w:t>
      </w:r>
      <w:r w:rsidRPr="001E11F9">
        <w:rPr>
          <w:rFonts w:eastAsia="Times New Roman"/>
        </w:rPr>
        <w:t xml:space="preserve"> financial management (as outlined in </w:t>
      </w:r>
      <w:r w:rsidR="0073568F">
        <w:rPr>
          <w:rFonts w:eastAsia="Times New Roman"/>
        </w:rPr>
        <w:t xml:space="preserve">the </w:t>
      </w:r>
      <w:r w:rsidRPr="001E11F9">
        <w:rPr>
          <w:rFonts w:eastAsia="Times New Roman"/>
        </w:rPr>
        <w:t xml:space="preserve">dot points above) and </w:t>
      </w:r>
      <w:r w:rsidR="00DF3B8A">
        <w:rPr>
          <w:rFonts w:eastAsia="Times New Roman"/>
        </w:rPr>
        <w:t xml:space="preserve">a checklist of </w:t>
      </w:r>
      <w:r w:rsidRPr="001E11F9">
        <w:rPr>
          <w:rFonts w:eastAsia="Times New Roman"/>
        </w:rPr>
        <w:t xml:space="preserve">specific requirements to achieve compliance in practice. </w:t>
      </w:r>
      <w:r w:rsidR="00E01EF9">
        <w:rPr>
          <w:rFonts w:eastAsia="Times New Roman"/>
        </w:rPr>
        <w:t xml:space="preserve">The Standing Directions and Instructions should guide these requirements. </w:t>
      </w:r>
    </w:p>
    <w:p w14:paraId="1EC5A123" w14:textId="77777777" w:rsidR="001E11F9" w:rsidRPr="001E11F9" w:rsidRDefault="001E11F9" w:rsidP="001E11F9">
      <w:pPr>
        <w:rPr>
          <w:rFonts w:eastAsia="Times New Roman"/>
        </w:rPr>
      </w:pPr>
      <w:r w:rsidRPr="001E11F9">
        <w:rPr>
          <w:rFonts w:eastAsia="Times New Roman"/>
        </w:rPr>
        <w:t>These alternative arrangements must be developed and ready for implementation before any exemption is granted.</w:t>
      </w:r>
    </w:p>
    <w:p w14:paraId="74818383" w14:textId="4A941917" w:rsidR="00B073E0" w:rsidRPr="00862CB9" w:rsidRDefault="00B073E0" w:rsidP="00534EFE">
      <w:pPr>
        <w:pStyle w:val="Heading3"/>
      </w:pPr>
      <w:bookmarkStart w:id="28" w:name="_Toc182409110"/>
      <w:bookmarkStart w:id="29" w:name="_Toc182409182"/>
      <w:bookmarkStart w:id="30" w:name="_Toc182475059"/>
      <w:bookmarkStart w:id="31" w:name="_Toc205976995"/>
      <w:r>
        <w:t xml:space="preserve">2.3 </w:t>
      </w:r>
      <w:r w:rsidR="00421971">
        <w:tab/>
      </w:r>
      <w:r w:rsidRPr="00862CB9">
        <w:t>Interim full exemptions or extensions</w:t>
      </w:r>
      <w:bookmarkEnd w:id="28"/>
      <w:bookmarkEnd w:id="29"/>
      <w:bookmarkEnd w:id="30"/>
      <w:bookmarkEnd w:id="31"/>
    </w:p>
    <w:p w14:paraId="1841E531" w14:textId="305708E0" w:rsidR="0012319C" w:rsidRDefault="00B073E0" w:rsidP="00B073E0">
      <w:r w:rsidRPr="00862CB9">
        <w:t xml:space="preserve">In some cases, for example where a new </w:t>
      </w:r>
      <w:r w:rsidR="00C0126F">
        <w:t>a</w:t>
      </w:r>
      <w:r w:rsidRPr="00862CB9">
        <w:t>gency is created (this can sometimes be part way through a compliance year)</w:t>
      </w:r>
      <w:r w:rsidR="00BD0053">
        <w:t>,</w:t>
      </w:r>
      <w:r w:rsidRPr="00862CB9">
        <w:t xml:space="preserve"> compliance for the whole </w:t>
      </w:r>
      <w:r>
        <w:t xml:space="preserve">first </w:t>
      </w:r>
      <w:r w:rsidRPr="00862CB9">
        <w:t xml:space="preserve">period is not practicably feasible or possible. In such situations a newly created </w:t>
      </w:r>
      <w:r w:rsidR="00900F01">
        <w:t>a</w:t>
      </w:r>
      <w:r w:rsidRPr="00862CB9">
        <w:t>gency may seek an interim full exemption for its first reporting period (</w:t>
      </w:r>
      <w:r w:rsidR="00900F01">
        <w:t xml:space="preserve">i.e. </w:t>
      </w:r>
      <w:r w:rsidRPr="00862CB9">
        <w:t>no attestation required</w:t>
      </w:r>
      <w:r>
        <w:t xml:space="preserve"> for this first period</w:t>
      </w:r>
      <w:r w:rsidRPr="00862CB9">
        <w:t>)</w:t>
      </w:r>
      <w:r w:rsidRPr="00E01EF9">
        <w:rPr>
          <w:b/>
          <w:bCs/>
        </w:rPr>
        <w:t xml:space="preserve"> or</w:t>
      </w:r>
      <w:r w:rsidRPr="00862CB9">
        <w:t xml:space="preserve"> an interim extension to be compliant by the end of a specified period (rather than the required whole period). For example, the </w:t>
      </w:r>
      <w:r w:rsidR="00900F01">
        <w:t>a</w:t>
      </w:r>
      <w:r w:rsidRPr="00862CB9">
        <w:t xml:space="preserve">gency could seek an extension to the compliance attestation period to say, </w:t>
      </w:r>
      <w:r w:rsidRPr="001D6B3A">
        <w:t xml:space="preserve">as </w:t>
      </w:r>
      <w:proofErr w:type="gramStart"/>
      <w:r w:rsidRPr="001D6B3A">
        <w:t>at</w:t>
      </w:r>
      <w:proofErr w:type="gramEnd"/>
      <w:r w:rsidRPr="00862CB9">
        <w:t xml:space="preserve"> 30 June, for</w:t>
      </w:r>
      <w:r w:rsidR="00D32FA5">
        <w:rPr>
          <w:rFonts w:ascii="Calibri" w:hAnsi="Calibri" w:cs="Calibri"/>
        </w:rPr>
        <w:t> </w:t>
      </w:r>
      <w:r w:rsidRPr="00862CB9">
        <w:t xml:space="preserve">its first </w:t>
      </w:r>
      <w:r w:rsidRPr="001D6B3A">
        <w:t>full</w:t>
      </w:r>
      <w:r w:rsidRPr="00862CB9">
        <w:t xml:space="preserve"> year of operations.</w:t>
      </w:r>
      <w:r>
        <w:t xml:space="preserve"> </w:t>
      </w:r>
    </w:p>
    <w:p w14:paraId="279F3B44" w14:textId="25390A03" w:rsidR="00B073E0" w:rsidRDefault="00B073E0" w:rsidP="00B073E0">
      <w:r>
        <w:t>These will be assessed on a case-by-case basis. Such exemptions or extensions are conditional on being noted in the relevant section of the annual report.</w:t>
      </w:r>
    </w:p>
    <w:p w14:paraId="1BAFF6BA" w14:textId="6A947991" w:rsidR="00DF3B8A" w:rsidRPr="00DF3B8A" w:rsidRDefault="00414023" w:rsidP="00534EFE">
      <w:pPr>
        <w:pStyle w:val="Heading3"/>
      </w:pPr>
      <w:bookmarkStart w:id="32" w:name="_Toc182409111"/>
      <w:bookmarkStart w:id="33" w:name="_Toc182409183"/>
      <w:bookmarkStart w:id="34" w:name="_Toc182475060"/>
      <w:bookmarkStart w:id="35" w:name="_Toc205976996"/>
      <w:r>
        <w:t>2</w:t>
      </w:r>
      <w:r w:rsidR="00A10185">
        <w:t>.</w:t>
      </w:r>
      <w:r w:rsidR="00B073E0">
        <w:t>4</w:t>
      </w:r>
      <w:r w:rsidR="00A10185">
        <w:t xml:space="preserve"> </w:t>
      </w:r>
      <w:r w:rsidR="00421971">
        <w:tab/>
      </w:r>
      <w:r w:rsidR="00DF3B8A" w:rsidRPr="00DF3B8A">
        <w:t xml:space="preserve">Ongoing </w:t>
      </w:r>
      <w:r w:rsidR="00421971" w:rsidRPr="00DF3B8A">
        <w:t>exemptions</w:t>
      </w:r>
      <w:bookmarkEnd w:id="32"/>
      <w:bookmarkEnd w:id="33"/>
      <w:bookmarkEnd w:id="34"/>
      <w:bookmarkEnd w:id="35"/>
    </w:p>
    <w:p w14:paraId="1EC36D78" w14:textId="3EB5DA44" w:rsidR="001E11F9" w:rsidRPr="001E11F9" w:rsidRDefault="00DF3B8A" w:rsidP="001E11F9">
      <w:pPr>
        <w:rPr>
          <w:rFonts w:eastAsia="Times New Roman"/>
        </w:rPr>
      </w:pPr>
      <w:r w:rsidRPr="00DF3B8A">
        <w:rPr>
          <w:rFonts w:eastAsia="Times New Roman"/>
        </w:rPr>
        <w:t>Both</w:t>
      </w:r>
      <w:r w:rsidR="001E11F9" w:rsidRPr="00DF3B8A">
        <w:rPr>
          <w:rFonts w:eastAsia="Times New Roman"/>
          <w:b/>
          <w:bCs/>
        </w:rPr>
        <w:t xml:space="preserve"> </w:t>
      </w:r>
      <w:r w:rsidR="001E11F9" w:rsidRPr="00421971">
        <w:rPr>
          <w:rFonts w:asciiTheme="majorHAnsi" w:eastAsia="Times New Roman" w:hAnsiTheme="majorHAnsi"/>
          <w:bCs/>
        </w:rPr>
        <w:t>full</w:t>
      </w:r>
      <w:r w:rsidRPr="00421971">
        <w:rPr>
          <w:rFonts w:asciiTheme="majorHAnsi" w:eastAsia="Times New Roman" w:hAnsiTheme="majorHAnsi"/>
          <w:bCs/>
        </w:rPr>
        <w:t xml:space="preserve"> and part ongoing</w:t>
      </w:r>
      <w:r w:rsidR="001E11F9" w:rsidRPr="001E11F9">
        <w:rPr>
          <w:rFonts w:eastAsia="Times New Roman"/>
        </w:rPr>
        <w:t xml:space="preserve"> exemptions usually require</w:t>
      </w:r>
      <w:r w:rsidR="00566BB6">
        <w:rPr>
          <w:rFonts w:eastAsia="Times New Roman"/>
        </w:rPr>
        <w:t xml:space="preserve"> </w:t>
      </w:r>
      <w:r w:rsidR="001E11F9" w:rsidRPr="001E11F9">
        <w:rPr>
          <w:rFonts w:eastAsia="Times New Roman"/>
        </w:rPr>
        <w:t xml:space="preserve">the </w:t>
      </w:r>
      <w:r w:rsidR="00C70D5D">
        <w:rPr>
          <w:rFonts w:eastAsia="Times New Roman"/>
        </w:rPr>
        <w:t>a</w:t>
      </w:r>
      <w:r w:rsidR="001E11F9" w:rsidRPr="001E11F9">
        <w:rPr>
          <w:rFonts w:eastAsia="Times New Roman"/>
        </w:rPr>
        <w:t>gency</w:t>
      </w:r>
      <w:r w:rsidR="0073568F" w:rsidRPr="001E11F9">
        <w:rPr>
          <w:rFonts w:eastAsia="Times New Roman"/>
        </w:rPr>
        <w:t xml:space="preserve">, as a </w:t>
      </w:r>
      <w:r w:rsidR="0073568F" w:rsidRPr="001D6B3A">
        <w:t>condition</w:t>
      </w:r>
      <w:r w:rsidR="0073568F" w:rsidRPr="001E11F9">
        <w:rPr>
          <w:rFonts w:eastAsia="Times New Roman"/>
        </w:rPr>
        <w:t xml:space="preserve"> to the exemption</w:t>
      </w:r>
      <w:r w:rsidR="0073568F">
        <w:rPr>
          <w:rFonts w:eastAsia="Times New Roman"/>
        </w:rPr>
        <w:t>,</w:t>
      </w:r>
      <w:r w:rsidR="0073568F" w:rsidRPr="001E11F9">
        <w:rPr>
          <w:rFonts w:eastAsia="Times New Roman"/>
        </w:rPr>
        <w:t xml:space="preserve"> </w:t>
      </w:r>
      <w:r w:rsidR="001E11F9" w:rsidRPr="001E11F9">
        <w:rPr>
          <w:rFonts w:eastAsia="Times New Roman"/>
        </w:rPr>
        <w:t>to reconfirm</w:t>
      </w:r>
      <w:r w:rsidR="002C3D9F">
        <w:rPr>
          <w:rFonts w:eastAsia="Times New Roman"/>
        </w:rPr>
        <w:t xml:space="preserve"> (attest)</w:t>
      </w:r>
      <w:r w:rsidR="001E11F9" w:rsidRPr="001E11F9">
        <w:rPr>
          <w:rFonts w:eastAsia="Times New Roman"/>
        </w:rPr>
        <w:t xml:space="preserve"> the following outcomes with DTF each year:</w:t>
      </w:r>
    </w:p>
    <w:p w14:paraId="4A4B5F72" w14:textId="618331AD" w:rsidR="001E11F9" w:rsidRPr="001E11F9" w:rsidRDefault="001E11F9" w:rsidP="001E11F9">
      <w:pPr>
        <w:pStyle w:val="Bullet1"/>
      </w:pPr>
      <w:r w:rsidRPr="001E11F9">
        <w:t xml:space="preserve">the </w:t>
      </w:r>
      <w:r w:rsidR="00C70D5D">
        <w:t>a</w:t>
      </w:r>
      <w:r w:rsidRPr="001E11F9">
        <w:t>gency has established and maintained alternative arrangements to ensure that no aspect of financial governance is compromised</w:t>
      </w:r>
    </w:p>
    <w:p w14:paraId="489983DC" w14:textId="0115A4ED" w:rsidR="001E11F9" w:rsidRPr="001E11F9" w:rsidRDefault="001E11F9" w:rsidP="001E11F9">
      <w:pPr>
        <w:pStyle w:val="Bullet1"/>
      </w:pPr>
      <w:r w:rsidRPr="001E11F9">
        <w:t xml:space="preserve">there has not been any significant change to the </w:t>
      </w:r>
      <w:r w:rsidR="00C70D5D">
        <w:t>a</w:t>
      </w:r>
      <w:r w:rsidRPr="001E11F9">
        <w:t>gency’s risk profile and functions</w:t>
      </w:r>
    </w:p>
    <w:p w14:paraId="44647AE5" w14:textId="3664BADE" w:rsidR="001E11F9" w:rsidRPr="001E11F9" w:rsidRDefault="001E11F9" w:rsidP="001E11F9">
      <w:pPr>
        <w:pStyle w:val="Bullet1"/>
      </w:pPr>
      <w:r w:rsidRPr="001E11F9">
        <w:t xml:space="preserve">there has not been any key audit finding that might suggest deficiencies in the </w:t>
      </w:r>
      <w:r w:rsidR="00C70D5D">
        <w:t>a</w:t>
      </w:r>
      <w:r w:rsidRPr="001E11F9">
        <w:t>gency’s financial management and internal control systems.</w:t>
      </w:r>
    </w:p>
    <w:p w14:paraId="3821BED1" w14:textId="70A81B07" w:rsidR="002C3D9F" w:rsidRDefault="002C3D9F" w:rsidP="00A16179">
      <w:pPr>
        <w:rPr>
          <w:rFonts w:eastAsia="Times New Roman"/>
          <w:b/>
          <w:bCs/>
        </w:rPr>
      </w:pPr>
      <w:r>
        <w:rPr>
          <w:rFonts w:eastAsia="Times New Roman"/>
        </w:rPr>
        <w:t>Th</w:t>
      </w:r>
      <w:r w:rsidR="0073568F">
        <w:rPr>
          <w:rFonts w:eastAsia="Times New Roman"/>
        </w:rPr>
        <w:t>is</w:t>
      </w:r>
      <w:r>
        <w:rPr>
          <w:rFonts w:eastAsia="Times New Roman"/>
        </w:rPr>
        <w:t xml:space="preserve"> process ensures </w:t>
      </w:r>
      <w:r w:rsidRPr="002C3D9F">
        <w:rPr>
          <w:rFonts w:eastAsia="Times New Roman"/>
        </w:rPr>
        <w:t xml:space="preserve">that agencies seeking ongoing </w:t>
      </w:r>
      <w:r>
        <w:rPr>
          <w:rFonts w:eastAsia="Times New Roman"/>
        </w:rPr>
        <w:t xml:space="preserve">exemptions </w:t>
      </w:r>
      <w:r w:rsidRPr="002C3D9F">
        <w:rPr>
          <w:rFonts w:eastAsia="Times New Roman"/>
        </w:rPr>
        <w:t>update DTF</w:t>
      </w:r>
      <w:r>
        <w:rPr>
          <w:rFonts w:eastAsia="Times New Roman"/>
        </w:rPr>
        <w:t xml:space="preserve"> annually</w:t>
      </w:r>
      <w:r w:rsidRPr="002C3D9F">
        <w:rPr>
          <w:rFonts w:eastAsia="Times New Roman"/>
        </w:rPr>
        <w:t xml:space="preserve"> </w:t>
      </w:r>
      <w:r>
        <w:rPr>
          <w:rFonts w:eastAsia="Times New Roman"/>
        </w:rPr>
        <w:t>on</w:t>
      </w:r>
      <w:r w:rsidRPr="002C3D9F">
        <w:rPr>
          <w:rFonts w:eastAsia="Times New Roman"/>
        </w:rPr>
        <w:t xml:space="preserve"> any </w:t>
      </w:r>
      <w:r>
        <w:rPr>
          <w:rFonts w:eastAsia="Times New Roman"/>
        </w:rPr>
        <w:t>significant</w:t>
      </w:r>
      <w:r w:rsidRPr="002C3D9F">
        <w:rPr>
          <w:rFonts w:eastAsia="Times New Roman"/>
        </w:rPr>
        <w:t xml:space="preserve"> changes to risk profiles or functions of the agency and attest their ongoing </w:t>
      </w:r>
      <w:r>
        <w:rPr>
          <w:rFonts w:eastAsia="Times New Roman"/>
        </w:rPr>
        <w:t xml:space="preserve">alternative </w:t>
      </w:r>
      <w:r w:rsidRPr="002C3D9F">
        <w:rPr>
          <w:rFonts w:eastAsia="Times New Roman"/>
        </w:rPr>
        <w:t xml:space="preserve">financial management </w:t>
      </w:r>
      <w:r>
        <w:rPr>
          <w:rFonts w:eastAsia="Times New Roman"/>
        </w:rPr>
        <w:t>arrangements continue in place</w:t>
      </w:r>
      <w:r w:rsidRPr="002C3D9F">
        <w:rPr>
          <w:rFonts w:eastAsia="Times New Roman"/>
        </w:rPr>
        <w:t>.</w:t>
      </w:r>
    </w:p>
    <w:p w14:paraId="6C026749" w14:textId="279AB824" w:rsidR="002C3D9F" w:rsidRPr="002C3D9F" w:rsidRDefault="002C3D9F" w:rsidP="002C3D9F">
      <w:r>
        <w:t>The process is streamlined</w:t>
      </w:r>
      <w:r w:rsidR="00BC6686">
        <w:t xml:space="preserve"> and is </w:t>
      </w:r>
      <w:r w:rsidR="00B311C1">
        <w:t>undertaken online</w:t>
      </w:r>
      <w:r w:rsidR="00BC6686">
        <w:t xml:space="preserve"> </w:t>
      </w:r>
      <w:r w:rsidR="00EB4E85">
        <w:t xml:space="preserve">via </w:t>
      </w:r>
      <w:r w:rsidR="00BC6686">
        <w:t>email</w:t>
      </w:r>
      <w:r w:rsidR="00385C7A">
        <w:t>s</w:t>
      </w:r>
      <w:r w:rsidR="00682153">
        <w:t>.</w:t>
      </w:r>
      <w:r w:rsidR="00BC6686">
        <w:t xml:space="preserve"> </w:t>
      </w:r>
      <w:r w:rsidR="00682153">
        <w:t>This</w:t>
      </w:r>
      <w:r>
        <w:t xml:space="preserve"> is usually undertaken from March to May each year.</w:t>
      </w:r>
    </w:p>
    <w:p w14:paraId="30EE78E0" w14:textId="7596FC77" w:rsidR="000074B9" w:rsidRPr="002C3D9F" w:rsidRDefault="000074B9" w:rsidP="002C3D9F">
      <w:r>
        <w:t>A further condition</w:t>
      </w:r>
      <w:r w:rsidR="004F4B47">
        <w:t xml:space="preserve"> requires the exemptions to be noted in the </w:t>
      </w:r>
      <w:r w:rsidR="00385C7A">
        <w:t>a</w:t>
      </w:r>
      <w:r w:rsidR="004F4B47">
        <w:t>gency annual report for transparency</w:t>
      </w:r>
      <w:r w:rsidR="00A56E98">
        <w:t xml:space="preserve"> purposes</w:t>
      </w:r>
      <w:r w:rsidR="004F4B47">
        <w:t>.</w:t>
      </w:r>
    </w:p>
    <w:p w14:paraId="74C2BD37" w14:textId="488D3D14" w:rsidR="00091657" w:rsidRPr="00766A71" w:rsidRDefault="00DD606D" w:rsidP="00766A71">
      <w:pPr>
        <w:pStyle w:val="Heading2"/>
      </w:pPr>
      <w:bookmarkStart w:id="36" w:name="_Toc182475061"/>
      <w:bookmarkStart w:id="37" w:name="_Toc205976997"/>
      <w:bookmarkStart w:id="38" w:name="_Toc182409112"/>
      <w:bookmarkStart w:id="39" w:name="_Toc182409184"/>
      <w:r w:rsidRPr="00766A71">
        <w:lastRenderedPageBreak/>
        <w:t>Part 3</w:t>
      </w:r>
      <w:r w:rsidR="002C3D9F" w:rsidRPr="00766A71">
        <w:t>. Revised p</w:t>
      </w:r>
      <w:r w:rsidRPr="00766A71">
        <w:t>rocess and t</w:t>
      </w:r>
      <w:r w:rsidR="003C3850" w:rsidRPr="00766A71">
        <w:t xml:space="preserve">iming window for </w:t>
      </w:r>
      <w:r w:rsidR="0040535D" w:rsidRPr="00766A71">
        <w:t xml:space="preserve">FMA composite report </w:t>
      </w:r>
      <w:r w:rsidR="0040535D">
        <w:t xml:space="preserve">determination </w:t>
      </w:r>
      <w:r w:rsidR="0040535D" w:rsidRPr="00766A71">
        <w:t>and</w:t>
      </w:r>
      <w:r w:rsidR="00C13E36">
        <w:rPr>
          <w:rFonts w:ascii="Calibri" w:hAnsi="Calibri" w:cs="Calibri"/>
        </w:rPr>
        <w:t> </w:t>
      </w:r>
      <w:r w:rsidR="0040535D" w:rsidRPr="00766A71">
        <w:t>S</w:t>
      </w:r>
      <w:r w:rsidR="00385C7A">
        <w:t xml:space="preserve">tanding </w:t>
      </w:r>
      <w:r w:rsidR="0040535D" w:rsidRPr="00766A71">
        <w:t>D</w:t>
      </w:r>
      <w:r w:rsidR="00385C7A">
        <w:t>irection</w:t>
      </w:r>
      <w:r w:rsidR="0040535D" w:rsidRPr="00766A71">
        <w:t xml:space="preserve"> exemption requests</w:t>
      </w:r>
      <w:bookmarkEnd w:id="36"/>
      <w:bookmarkEnd w:id="37"/>
      <w:r w:rsidR="0040535D" w:rsidRPr="00766A71">
        <w:t xml:space="preserve"> </w:t>
      </w:r>
      <w:bookmarkEnd w:id="38"/>
      <w:bookmarkEnd w:id="39"/>
    </w:p>
    <w:p w14:paraId="72F3213F" w14:textId="6DF42C5C" w:rsidR="002C3D9F" w:rsidRPr="002C3D9F" w:rsidRDefault="002C3D9F" w:rsidP="002C3D9F">
      <w:r>
        <w:t>To minimize ad-hoc exemption and</w:t>
      </w:r>
      <w:r w:rsidR="30DEA239">
        <w:t>/</w:t>
      </w:r>
      <w:r>
        <w:t>or composite report requests, DTF has implemented a bi-annual omnibus process. This will reduce the burden on ministerial offices by streamlining the FMA determination and S</w:t>
      </w:r>
      <w:r w:rsidR="00E86713">
        <w:t xml:space="preserve">tanding </w:t>
      </w:r>
      <w:r>
        <w:t>D</w:t>
      </w:r>
      <w:r w:rsidR="00E86713">
        <w:t>irection</w:t>
      </w:r>
      <w:r>
        <w:t xml:space="preserve">s exemption </w:t>
      </w:r>
      <w:proofErr w:type="gramStart"/>
      <w:r>
        <w:t>processes</w:t>
      </w:r>
      <w:r w:rsidR="00E86713">
        <w:t>,</w:t>
      </w:r>
      <w:r>
        <w:t xml:space="preserve"> and</w:t>
      </w:r>
      <w:proofErr w:type="gramEnd"/>
      <w:r>
        <w:t xml:space="preserve"> ensuring more effective workload management.</w:t>
      </w:r>
    </w:p>
    <w:p w14:paraId="174BF75A" w14:textId="77777777" w:rsidR="002C3D9F" w:rsidRDefault="002C3D9F" w:rsidP="002C3D9F">
      <w:r>
        <w:t xml:space="preserve">Details of the revised process and timing windows are included in </w:t>
      </w:r>
      <w:r w:rsidRPr="004738EE">
        <w:rPr>
          <w:rFonts w:asciiTheme="majorHAnsi" w:hAnsiTheme="majorHAnsi"/>
          <w:bCs/>
        </w:rPr>
        <w:t>Tables 1 and 2 of Attachment 3</w:t>
      </w:r>
      <w:r w:rsidRPr="00421971">
        <w:rPr>
          <w:rFonts w:asciiTheme="majorHAnsi" w:hAnsiTheme="majorHAnsi"/>
        </w:rPr>
        <w:t xml:space="preserve"> </w:t>
      </w:r>
      <w:r>
        <w:t>below</w:t>
      </w:r>
      <w:r w:rsidR="00311AC7">
        <w:t>.</w:t>
      </w:r>
    </w:p>
    <w:p w14:paraId="15FA3FA0" w14:textId="60DE9859" w:rsidR="00763679" w:rsidRDefault="00763679" w:rsidP="00534EFE">
      <w:pPr>
        <w:pStyle w:val="Heading3"/>
      </w:pPr>
      <w:bookmarkStart w:id="40" w:name="_Toc182475062"/>
      <w:bookmarkStart w:id="41" w:name="_Toc205976998"/>
      <w:r>
        <w:t>3.1</w:t>
      </w:r>
      <w:r w:rsidR="00421971">
        <w:tab/>
      </w:r>
      <w:r w:rsidR="006B74C3">
        <w:t xml:space="preserve">Bi-annual </w:t>
      </w:r>
      <w:r w:rsidR="005D1517">
        <w:t>process</w:t>
      </w:r>
      <w:r w:rsidR="00AC598D">
        <w:t>ing of requests</w:t>
      </w:r>
      <w:bookmarkEnd w:id="40"/>
      <w:bookmarkEnd w:id="41"/>
    </w:p>
    <w:p w14:paraId="36187DDA" w14:textId="222DA832" w:rsidR="00AC598D" w:rsidRPr="00AC598D" w:rsidRDefault="008E41C6" w:rsidP="00AC598D">
      <w:r>
        <w:t xml:space="preserve">Agencies must </w:t>
      </w:r>
      <w:r w:rsidR="007107BB">
        <w:t xml:space="preserve">first contact their </w:t>
      </w:r>
      <w:r w:rsidR="00D30E11">
        <w:t>p</w:t>
      </w:r>
      <w:r w:rsidR="007107BB">
        <w:t xml:space="preserve">ortfolio </w:t>
      </w:r>
      <w:r w:rsidR="00D30E11">
        <w:t>d</w:t>
      </w:r>
      <w:r w:rsidR="007107BB">
        <w:t xml:space="preserve">epartment’s Compliance Manager </w:t>
      </w:r>
      <w:r w:rsidR="00B70485">
        <w:t>when seeking</w:t>
      </w:r>
      <w:r w:rsidR="00735592">
        <w:t xml:space="preserve"> </w:t>
      </w:r>
      <w:r w:rsidR="002472FB">
        <w:t xml:space="preserve">FMA </w:t>
      </w:r>
      <w:r w:rsidR="009F604A">
        <w:t xml:space="preserve">determination for composite reports and </w:t>
      </w:r>
      <w:r w:rsidR="00E401F5">
        <w:t>exemptions from the Standing Directions.</w:t>
      </w:r>
      <w:r w:rsidR="00022C5F">
        <w:t xml:space="preserve"> The </w:t>
      </w:r>
      <w:r w:rsidR="009A4B0A">
        <w:t>p</w:t>
      </w:r>
      <w:r w:rsidR="004625F8">
        <w:t xml:space="preserve">ortfolio </w:t>
      </w:r>
      <w:r w:rsidR="009A4B0A">
        <w:t>d</w:t>
      </w:r>
      <w:r w:rsidR="004625F8">
        <w:t xml:space="preserve">epartment will collate all requests and </w:t>
      </w:r>
      <w:r w:rsidR="006E02AB">
        <w:t xml:space="preserve">send </w:t>
      </w:r>
      <w:r w:rsidR="008C7DA7">
        <w:t>an aggregated request to the</w:t>
      </w:r>
      <w:r w:rsidR="00D86641">
        <w:t xml:space="preserve">ir Minister and </w:t>
      </w:r>
      <w:r w:rsidR="00CB1FE3">
        <w:t>seek approval from the</w:t>
      </w:r>
      <w:r w:rsidR="008C7DA7">
        <w:t xml:space="preserve"> </w:t>
      </w:r>
      <w:r w:rsidR="00E74EBC">
        <w:t>Minister for Finance</w:t>
      </w:r>
      <w:r w:rsidR="008C7DA7">
        <w:t xml:space="preserve"> </w:t>
      </w:r>
      <w:r w:rsidR="00E734AF">
        <w:t>within the set timeline.</w:t>
      </w:r>
    </w:p>
    <w:p w14:paraId="4B37F929" w14:textId="17D02841" w:rsidR="0057082B" w:rsidRDefault="00492BDD" w:rsidP="002C3D9F">
      <w:r w:rsidRPr="00492BDD">
        <w:t xml:space="preserve">With a dedicated submission window, portfolio departments and their agencies are encouraged to </w:t>
      </w:r>
      <w:r w:rsidR="00C840C3">
        <w:t>combine</w:t>
      </w:r>
      <w:r w:rsidRPr="00492BDD">
        <w:t xml:space="preserve"> composite report determination and exemption requests, reducing demand on the portfolio departments and their Ministers.</w:t>
      </w:r>
    </w:p>
    <w:p w14:paraId="16EDE3D5" w14:textId="4C9A4EFE" w:rsidR="00F65D33" w:rsidRDefault="00237ECF" w:rsidP="0012319C">
      <w:pPr>
        <w:keepNext/>
      </w:pPr>
      <w:r w:rsidRPr="00237ECF">
        <w:t xml:space="preserve">The submission window will </w:t>
      </w:r>
      <w:r w:rsidR="0097209F">
        <w:t xml:space="preserve">initially </w:t>
      </w:r>
      <w:r w:rsidRPr="00237ECF">
        <w:t>be communicated through the Standing Directions Community of Practice.</w:t>
      </w:r>
      <w:r w:rsidR="00607BF1">
        <w:t xml:space="preserve"> Submission</w:t>
      </w:r>
      <w:r w:rsidR="00C840C3">
        <w:t>s</w:t>
      </w:r>
      <w:r w:rsidR="00607BF1">
        <w:t xml:space="preserve"> will open </w:t>
      </w:r>
      <w:r w:rsidR="001F3670">
        <w:t>for cycle 1 in March and for cycle 2 in September.</w:t>
      </w:r>
      <w:r w:rsidR="00C840C3">
        <w:t xml:space="preserve"> This provides for requests to be approved ahead of 1</w:t>
      </w:r>
      <w:r w:rsidR="00AF57A3">
        <w:rPr>
          <w:rFonts w:ascii="Calibri" w:hAnsi="Calibri" w:cs="Calibri"/>
        </w:rPr>
        <w:t> </w:t>
      </w:r>
      <w:r w:rsidR="00C840C3">
        <w:t>July and 1 January each year.</w:t>
      </w:r>
    </w:p>
    <w:p w14:paraId="4034E618" w14:textId="56D55564" w:rsidR="00F65D33" w:rsidRDefault="004060F1" w:rsidP="002C3D9F">
      <w:r w:rsidRPr="004060F1">
        <w:t xml:space="preserve">With structured submission windows, </w:t>
      </w:r>
      <w:r w:rsidR="00AF57A3">
        <w:t>p</w:t>
      </w:r>
      <w:r w:rsidRPr="004060F1">
        <w:t>ortfolio departments must proactively plan and coordinate their requests to ensure submission requirements are met. Departments are expected to guide the requesting agencies and maintain portfolio oversight.</w:t>
      </w:r>
    </w:p>
    <w:p w14:paraId="3CD69E5B" w14:textId="39F07F08" w:rsidR="008563A8" w:rsidRPr="00503AF8" w:rsidRDefault="008563A8" w:rsidP="00534EFE">
      <w:pPr>
        <w:pStyle w:val="Heading3"/>
      </w:pPr>
      <w:bookmarkStart w:id="42" w:name="_Toc182475063"/>
      <w:bookmarkStart w:id="43" w:name="_Toc205976999"/>
      <w:r w:rsidRPr="00503AF8">
        <w:t xml:space="preserve">3.2 </w:t>
      </w:r>
      <w:r w:rsidR="00421971">
        <w:tab/>
      </w:r>
      <w:r w:rsidRPr="00503AF8">
        <w:t>Urgent requests</w:t>
      </w:r>
      <w:bookmarkEnd w:id="42"/>
      <w:bookmarkEnd w:id="43"/>
    </w:p>
    <w:p w14:paraId="26995635" w14:textId="77777777" w:rsidR="007669B3" w:rsidRDefault="00EB2006" w:rsidP="002C3D9F">
      <w:r w:rsidRPr="00503AF8">
        <w:t xml:space="preserve">For urgent </w:t>
      </w:r>
      <w:r w:rsidR="00867D0E" w:rsidRPr="00503AF8">
        <w:t>composite report determinations or exemption from Standing Directions</w:t>
      </w:r>
      <w:r w:rsidR="00870AA6" w:rsidRPr="00503AF8">
        <w:t xml:space="preserve">, </w:t>
      </w:r>
      <w:r w:rsidR="008C44BD" w:rsidRPr="00503AF8">
        <w:t>such as</w:t>
      </w:r>
      <w:r w:rsidR="00870AA6" w:rsidRPr="00503AF8">
        <w:t xml:space="preserve"> </w:t>
      </w:r>
      <w:r w:rsidR="008C44BD" w:rsidRPr="00503AF8">
        <w:t>machinery of government change</w:t>
      </w:r>
      <w:r w:rsidR="7D2293FA" w:rsidRPr="00503AF8">
        <w:t>s</w:t>
      </w:r>
      <w:r w:rsidR="008C44BD" w:rsidRPr="00503AF8">
        <w:t xml:space="preserve">, </w:t>
      </w:r>
      <w:r w:rsidR="132F0416" w:rsidRPr="00503AF8">
        <w:t xml:space="preserve">an </w:t>
      </w:r>
      <w:r w:rsidR="008D59E8" w:rsidRPr="00503AF8">
        <w:t xml:space="preserve">agency must </w:t>
      </w:r>
      <w:r w:rsidR="00E40311" w:rsidRPr="00503AF8">
        <w:t xml:space="preserve">first contact their portfolio department and seek guidance. </w:t>
      </w:r>
      <w:r w:rsidR="005906DE" w:rsidRPr="00503AF8">
        <w:t xml:space="preserve">The department </w:t>
      </w:r>
      <w:r w:rsidR="007C3C23" w:rsidRPr="00503AF8">
        <w:t>should</w:t>
      </w:r>
      <w:r w:rsidR="00110113" w:rsidRPr="00503AF8">
        <w:t xml:space="preserve"> consult with DTF </w:t>
      </w:r>
      <w:r w:rsidR="7850A70F" w:rsidRPr="00503AF8">
        <w:t>before initiating any urgent request.</w:t>
      </w:r>
    </w:p>
    <w:p w14:paraId="547AA0BD" w14:textId="7C0E71CD" w:rsidR="0012319C" w:rsidRDefault="0012319C" w:rsidP="002C3D9F">
      <w:pPr>
        <w:sectPr w:rsidR="0012319C" w:rsidSect="007600D8">
          <w:type w:val="continuous"/>
          <w:pgSz w:w="11906" w:h="16838" w:code="9"/>
          <w:pgMar w:top="2160" w:right="1440" w:bottom="1728" w:left="1440" w:header="706" w:footer="461" w:gutter="0"/>
          <w:cols w:num="2" w:space="566"/>
          <w:docGrid w:linePitch="360"/>
        </w:sectPr>
      </w:pPr>
    </w:p>
    <w:p w14:paraId="7529AD99" w14:textId="27C0561E" w:rsidR="00421971" w:rsidRDefault="00421971" w:rsidP="002B45C2">
      <w:pPr>
        <w:pStyle w:val="Heading2"/>
      </w:pPr>
      <w:bookmarkStart w:id="44" w:name="_Toc205977000"/>
      <w:bookmarkStart w:id="45" w:name="_Toc182409113"/>
      <w:bookmarkStart w:id="46" w:name="_Toc182409185"/>
      <w:bookmarkStart w:id="47" w:name="_Toc182475064"/>
      <w:r w:rsidRPr="002B45C2">
        <w:lastRenderedPageBreak/>
        <w:t>Attachments</w:t>
      </w:r>
      <w:bookmarkEnd w:id="44"/>
    </w:p>
    <w:p w14:paraId="0D4C8CD8" w14:textId="4F73BACD" w:rsidR="00B45CC1" w:rsidRPr="007C1A19" w:rsidRDefault="007669B3" w:rsidP="002810B1">
      <w:pPr>
        <w:pStyle w:val="Heading4"/>
      </w:pPr>
      <w:bookmarkStart w:id="48" w:name="_Toc205977001"/>
      <w:r w:rsidRPr="007C1A19">
        <w:t>Attachment 1</w:t>
      </w:r>
      <w:r w:rsidR="00B45CC1">
        <w:t xml:space="preserve"> –</w:t>
      </w:r>
      <w:r w:rsidR="00DE7567">
        <w:tab/>
      </w:r>
      <w:r w:rsidRPr="007C1A19">
        <w:t xml:space="preserve">FMA composite </w:t>
      </w:r>
      <w:r w:rsidRPr="0012319C">
        <w:t>report</w:t>
      </w:r>
      <w:r w:rsidRPr="007C1A19">
        <w:t xml:space="preserve"> determination and S</w:t>
      </w:r>
      <w:r w:rsidR="004259B2">
        <w:t xml:space="preserve">tanding </w:t>
      </w:r>
      <w:r w:rsidRPr="007C1A19">
        <w:t>D</w:t>
      </w:r>
      <w:r w:rsidR="004259B2">
        <w:t>irection</w:t>
      </w:r>
      <w:r w:rsidRPr="007C1A19">
        <w:t xml:space="preserve"> exemption new request and reconfirmation </w:t>
      </w:r>
      <w:r w:rsidR="001D25B9" w:rsidRPr="007C1A19">
        <w:t xml:space="preserve">process </w:t>
      </w:r>
      <w:r w:rsidRPr="007C1A19">
        <w:t xml:space="preserve">and </w:t>
      </w:r>
      <w:r w:rsidR="001D25B9" w:rsidRPr="007C1A19">
        <w:t>timeline</w:t>
      </w:r>
      <w:bookmarkEnd w:id="45"/>
      <w:bookmarkEnd w:id="46"/>
      <w:bookmarkEnd w:id="47"/>
      <w:bookmarkEnd w:id="48"/>
    </w:p>
    <w:p w14:paraId="1BFFB0D4" w14:textId="5F62D86F" w:rsidR="007669B3" w:rsidRDefault="007669B3" w:rsidP="007669B3">
      <w:r w:rsidRPr="00470D02">
        <w:t xml:space="preserve">Entities seeking new </w:t>
      </w:r>
      <w:r>
        <w:t xml:space="preserve">composite report determination under </w:t>
      </w:r>
      <w:r w:rsidRPr="00470D02">
        <w:t xml:space="preserve">section 53 </w:t>
      </w:r>
      <w:r>
        <w:t xml:space="preserve">of the </w:t>
      </w:r>
      <w:r w:rsidRPr="00470D02">
        <w:t xml:space="preserve">FMA and/or exemption/s from the Standing Directions must first inform their </w:t>
      </w:r>
      <w:r w:rsidR="00B35D3E">
        <w:t>d</w:t>
      </w:r>
      <w:r w:rsidRPr="00470D02">
        <w:t xml:space="preserve">epartment’s </w:t>
      </w:r>
      <w:r w:rsidR="002653C9">
        <w:t>c</w:t>
      </w:r>
      <w:r w:rsidRPr="00470D02">
        <w:t xml:space="preserve">ompliance </w:t>
      </w:r>
      <w:r w:rsidR="002653C9">
        <w:t>m</w:t>
      </w:r>
      <w:r w:rsidRPr="00470D02">
        <w:t xml:space="preserve">anager. The portfolio department will then consolidate all the requests before sending them to DTF for processing. New requests will be processed twice a year and are due to DTF in April and October of each year. Entities are also requested to complete a risk </w:t>
      </w:r>
      <w:r>
        <w:t>assessment information</w:t>
      </w:r>
      <w:r w:rsidRPr="00470D02">
        <w:t xml:space="preserve"> t</w:t>
      </w:r>
      <w:r>
        <w:t>emplate</w:t>
      </w:r>
      <w:r w:rsidRPr="00470D02">
        <w:t xml:space="preserve"> to assist DTF in assessing the entity’s eligibility (see</w:t>
      </w:r>
      <w:r>
        <w:t xml:space="preserve"> flowchart</w:t>
      </w:r>
      <w:r w:rsidR="00B04EEC">
        <w:t xml:space="preserve"> and timeline</w:t>
      </w:r>
      <w:r w:rsidRPr="00470D02">
        <w:t xml:space="preserve"> below).</w:t>
      </w:r>
    </w:p>
    <w:p w14:paraId="6EF2FBFA" w14:textId="2792DF1F" w:rsidR="00B04EEC" w:rsidRPr="0093702F" w:rsidRDefault="00B04EEC" w:rsidP="00421971">
      <w:pPr>
        <w:pStyle w:val="Caption"/>
      </w:pPr>
      <w:r w:rsidRPr="0093702F">
        <w:t>Table 1</w:t>
      </w:r>
      <w:r w:rsidR="00421971">
        <w:t>:</w:t>
      </w:r>
      <w:r w:rsidRPr="0093702F">
        <w:t xml:space="preserve"> New FMA composite report determination and SD exemption request and reconfirmation process flowchart</w:t>
      </w:r>
    </w:p>
    <w:p w14:paraId="6468DDC9" w14:textId="77777777" w:rsidR="00421971" w:rsidRDefault="00421971" w:rsidP="00421971">
      <w:pPr>
        <w:spacing w:after="0"/>
      </w:pPr>
      <w:r>
        <w:rPr>
          <w:noProof/>
        </w:rPr>
        <mc:AlternateContent>
          <mc:Choice Requires="wpg">
            <w:drawing>
              <wp:inline distT="0" distB="0" distL="0" distR="0" wp14:anchorId="0023BA92" wp14:editId="716A26F2">
                <wp:extent cx="9067952" cy="3489351"/>
                <wp:effectExtent l="0" t="0" r="19050" b="0"/>
                <wp:docPr id="1981547986" name="Group 1"/>
                <wp:cNvGraphicFramePr/>
                <a:graphic xmlns:a="http://schemas.openxmlformats.org/drawingml/2006/main">
                  <a:graphicData uri="http://schemas.microsoft.com/office/word/2010/wordprocessingGroup">
                    <wpg:wgp>
                      <wpg:cNvGrpSpPr/>
                      <wpg:grpSpPr>
                        <a:xfrm>
                          <a:off x="0" y="0"/>
                          <a:ext cx="9067952" cy="3489351"/>
                          <a:chOff x="0" y="0"/>
                          <a:chExt cx="9067952" cy="3489351"/>
                        </a:xfrm>
                      </wpg:grpSpPr>
                      <wps:wsp>
                        <wps:cNvPr id="960867476" name="Rectangle: Rounded Corners 1"/>
                        <wps:cNvSpPr/>
                        <wps:spPr>
                          <a:xfrm>
                            <a:off x="6824" y="211541"/>
                            <a:ext cx="1332865" cy="923027"/>
                          </a:xfrm>
                          <a:prstGeom prst="roundRect">
                            <a:avLst>
                              <a:gd name="adj" fmla="val 8834"/>
                            </a:avLst>
                          </a:prstGeom>
                          <a:solidFill>
                            <a:srgbClr val="004C97">
                              <a:lumMod val="75000"/>
                            </a:srgbClr>
                          </a:solidFill>
                          <a:ln w="12700" cap="flat" cmpd="sng" algn="ctr">
                            <a:noFill/>
                            <a:prstDash val="solid"/>
                            <a:miter lim="800000"/>
                          </a:ln>
                          <a:effectLst/>
                        </wps:spPr>
                        <wps:txbx>
                          <w:txbxContent>
                            <w:p w14:paraId="3C772714"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Request window</w:t>
                              </w:r>
                            </w:p>
                            <w:p w14:paraId="4222FF62"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Departments submit a request with risk profile to DTF within agreed window*</w:t>
                              </w:r>
                            </w:p>
                          </w:txbxContent>
                        </wps:txbx>
                        <wps:bodyPr rtlCol="0" anchor="t">
                          <a:noAutofit/>
                        </wps:bodyPr>
                      </wps:wsp>
                      <wps:wsp>
                        <wps:cNvPr id="602740639" name="Rectangle: Rounded Corners 2"/>
                        <wps:cNvSpPr/>
                        <wps:spPr>
                          <a:xfrm>
                            <a:off x="1521726" y="211541"/>
                            <a:ext cx="1332865" cy="879895"/>
                          </a:xfrm>
                          <a:prstGeom prst="roundRect">
                            <a:avLst>
                              <a:gd name="adj" fmla="val 8834"/>
                            </a:avLst>
                          </a:prstGeom>
                          <a:solidFill>
                            <a:srgbClr val="004C97">
                              <a:lumMod val="75000"/>
                            </a:srgbClr>
                          </a:solidFill>
                          <a:ln w="12700" cap="flat" cmpd="sng" algn="ctr">
                            <a:noFill/>
                            <a:prstDash val="solid"/>
                            <a:miter lim="800000"/>
                          </a:ln>
                          <a:effectLst/>
                        </wps:spPr>
                        <wps:txbx>
                          <w:txbxContent>
                            <w:p w14:paraId="53AC39A1"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Receipt of request</w:t>
                              </w:r>
                            </w:p>
                            <w:p w14:paraId="112BA5F7"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DTF provides acknowledgement in response to requests</w:t>
                              </w:r>
                            </w:p>
                          </w:txbxContent>
                        </wps:txbx>
                        <wps:bodyPr rtlCol="0" anchor="t">
                          <a:noAutofit/>
                        </wps:bodyPr>
                      </wps:wsp>
                      <wps:wsp>
                        <wps:cNvPr id="325352100" name="Rectangle: Rounded Corners 3"/>
                        <wps:cNvSpPr/>
                        <wps:spPr>
                          <a:xfrm>
                            <a:off x="3057099" y="211541"/>
                            <a:ext cx="1332865" cy="879475"/>
                          </a:xfrm>
                          <a:prstGeom prst="roundRect">
                            <a:avLst>
                              <a:gd name="adj" fmla="val 8834"/>
                            </a:avLst>
                          </a:prstGeom>
                          <a:solidFill>
                            <a:srgbClr val="004C97">
                              <a:lumMod val="75000"/>
                            </a:srgbClr>
                          </a:solidFill>
                          <a:ln w="12700" cap="flat" cmpd="sng" algn="ctr">
                            <a:noFill/>
                            <a:prstDash val="solid"/>
                            <a:miter lim="800000"/>
                          </a:ln>
                          <a:effectLst/>
                        </wps:spPr>
                        <wps:txbx>
                          <w:txbxContent>
                            <w:p w14:paraId="528AAB5A"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Window closes</w:t>
                              </w:r>
                            </w:p>
                            <w:p w14:paraId="2CDC857F"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The submission window for requests closes</w:t>
                              </w:r>
                            </w:p>
                          </w:txbxContent>
                        </wps:txbx>
                        <wps:bodyPr rtlCol="0" anchor="t">
                          <a:noAutofit/>
                        </wps:bodyPr>
                      </wps:wsp>
                      <wps:wsp>
                        <wps:cNvPr id="2092486890" name="Rectangle: Rounded Corners 4"/>
                        <wps:cNvSpPr/>
                        <wps:spPr>
                          <a:xfrm>
                            <a:off x="4578824" y="211541"/>
                            <a:ext cx="1332865" cy="879475"/>
                          </a:xfrm>
                          <a:prstGeom prst="roundRect">
                            <a:avLst>
                              <a:gd name="adj" fmla="val 8834"/>
                            </a:avLst>
                          </a:prstGeom>
                          <a:solidFill>
                            <a:srgbClr val="004C97">
                              <a:lumMod val="75000"/>
                            </a:srgbClr>
                          </a:solidFill>
                          <a:ln w="12700" cap="flat" cmpd="sng" algn="ctr">
                            <a:noFill/>
                            <a:prstDash val="solid"/>
                            <a:miter lim="800000"/>
                          </a:ln>
                          <a:effectLst/>
                        </wps:spPr>
                        <wps:txbx>
                          <w:txbxContent>
                            <w:p w14:paraId="22FA1EE6"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Consultation </w:t>
                              </w:r>
                            </w:p>
                            <w:p w14:paraId="70801526"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DTF consults with stakeholders to conduct risk analysis</w:t>
                              </w:r>
                            </w:p>
                          </w:txbxContent>
                        </wps:txbx>
                        <wps:bodyPr rtlCol="0" anchor="t">
                          <a:noAutofit/>
                        </wps:bodyPr>
                      </wps:wsp>
                      <wps:wsp>
                        <wps:cNvPr id="1122086700" name="Arrow: Right 5"/>
                        <wps:cNvSpPr/>
                        <wps:spPr>
                          <a:xfrm>
                            <a:off x="1371600" y="483074"/>
                            <a:ext cx="113992" cy="121359"/>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71505252" name="Rectangle: Rounded Corners 6"/>
                        <wps:cNvSpPr/>
                        <wps:spPr>
                          <a:xfrm>
                            <a:off x="7559751" y="211905"/>
                            <a:ext cx="1470025" cy="567748"/>
                          </a:xfrm>
                          <a:prstGeom prst="roundRect">
                            <a:avLst>
                              <a:gd name="adj" fmla="val 8834"/>
                            </a:avLst>
                          </a:prstGeom>
                          <a:solidFill>
                            <a:srgbClr val="00B050"/>
                          </a:solidFill>
                          <a:ln w="12700" cap="flat" cmpd="sng" algn="ctr">
                            <a:noFill/>
                            <a:prstDash val="solid"/>
                            <a:miter lim="800000"/>
                          </a:ln>
                          <a:effectLst/>
                        </wps:spPr>
                        <wps:txbx>
                          <w:txbxContent>
                            <w:p w14:paraId="7CB84A76" w14:textId="77777777" w:rsidR="00421971" w:rsidRPr="001D4231" w:rsidRDefault="00421971" w:rsidP="00421971">
                              <w:pPr>
                                <w:spacing w:before="0" w:after="0" w:line="240" w:lineRule="auto"/>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Low risk </w:t>
                              </w:r>
                            </w:p>
                            <w:p w14:paraId="450D9437" w14:textId="77777777" w:rsidR="00421971" w:rsidRPr="002D0A32" w:rsidRDefault="00421971" w:rsidP="00421971">
                              <w:pPr>
                                <w:spacing w:before="0" w:after="0" w:line="240" w:lineRule="auto"/>
                                <w:jc w:val="center"/>
                                <w:rPr>
                                  <w:rFonts w:ascii="VIC" w:hAnsi="VIC" w:cs="Segoe UI"/>
                                  <w:color w:val="FFFFFF"/>
                                  <w:kern w:val="24"/>
                                  <w:sz w:val="14"/>
                                  <w:szCs w:val="14"/>
                                </w:rPr>
                              </w:pPr>
                              <w:r w:rsidRPr="002D0A32">
                                <w:rPr>
                                  <w:rFonts w:ascii="VIC" w:hAnsi="VIC" w:cs="Segoe UI"/>
                                  <w:color w:val="FFFFFF"/>
                                  <w:kern w:val="24"/>
                                  <w:sz w:val="14"/>
                                  <w:szCs w:val="14"/>
                                </w:rPr>
                                <w:t>Low risk entities are likely to have their requests recommended</w:t>
                              </w:r>
                            </w:p>
                          </w:txbxContent>
                        </wps:txbx>
                        <wps:bodyPr tIns="0" bIns="0" rtlCol="0" anchor="t">
                          <a:noAutofit/>
                        </wps:bodyPr>
                      </wps:wsp>
                      <wps:wsp>
                        <wps:cNvPr id="545323353" name="Rectangle: Rounded Corners 7"/>
                        <wps:cNvSpPr/>
                        <wps:spPr>
                          <a:xfrm>
                            <a:off x="7574508" y="868709"/>
                            <a:ext cx="1470025" cy="566928"/>
                          </a:xfrm>
                          <a:prstGeom prst="roundRect">
                            <a:avLst>
                              <a:gd name="adj" fmla="val 8834"/>
                            </a:avLst>
                          </a:prstGeom>
                          <a:solidFill>
                            <a:srgbClr val="FFC000"/>
                          </a:solidFill>
                          <a:ln w="12700" cap="flat" cmpd="sng" algn="ctr">
                            <a:noFill/>
                            <a:prstDash val="solid"/>
                            <a:miter lim="800000"/>
                          </a:ln>
                          <a:effectLst/>
                        </wps:spPr>
                        <wps:txbx>
                          <w:txbxContent>
                            <w:p w14:paraId="34FBEBDB" w14:textId="77777777" w:rsidR="00421971" w:rsidRPr="001D4231" w:rsidRDefault="00421971" w:rsidP="00421971">
                              <w:pPr>
                                <w:spacing w:before="0" w:after="0" w:line="240" w:lineRule="auto"/>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 xml:space="preserve">Medium risk </w:t>
                              </w:r>
                            </w:p>
                            <w:p w14:paraId="3F93FD49" w14:textId="77777777" w:rsidR="00421971" w:rsidRPr="001D4231" w:rsidRDefault="00421971" w:rsidP="00421971">
                              <w:pPr>
                                <w:spacing w:before="0" w:after="0" w:line="240" w:lineRule="auto"/>
                                <w:jc w:val="center"/>
                                <w:rPr>
                                  <w:rFonts w:ascii="VIC" w:hAnsi="VIC" w:cs="Segoe UI"/>
                                  <w:color w:val="auto"/>
                                  <w:kern w:val="24"/>
                                  <w:sz w:val="14"/>
                                  <w:szCs w:val="14"/>
                                </w:rPr>
                              </w:pPr>
                              <w:r w:rsidRPr="001D4231">
                                <w:rPr>
                                  <w:rFonts w:ascii="VIC" w:hAnsi="VIC" w:cs="Segoe UI"/>
                                  <w:color w:val="auto"/>
                                  <w:kern w:val="24"/>
                                  <w:sz w:val="14"/>
                                  <w:szCs w:val="14"/>
                                </w:rPr>
                                <w:t>DTF may recommend a partial exemption relative to the level of risk</w:t>
                              </w:r>
                            </w:p>
                          </w:txbxContent>
                        </wps:txbx>
                        <wps:bodyPr tIns="0" bIns="0" rtlCol="0" anchor="t">
                          <a:noAutofit/>
                        </wps:bodyPr>
                      </wps:wsp>
                      <wps:wsp>
                        <wps:cNvPr id="784775997" name="Rectangle: Rounded Corners 8"/>
                        <wps:cNvSpPr/>
                        <wps:spPr>
                          <a:xfrm>
                            <a:off x="7574508" y="1525071"/>
                            <a:ext cx="1470025" cy="566928"/>
                          </a:xfrm>
                          <a:prstGeom prst="roundRect">
                            <a:avLst>
                              <a:gd name="adj" fmla="val 8834"/>
                            </a:avLst>
                          </a:prstGeom>
                          <a:solidFill>
                            <a:srgbClr val="C00000"/>
                          </a:solidFill>
                          <a:ln w="12700" cap="flat" cmpd="sng" algn="ctr">
                            <a:noFill/>
                            <a:prstDash val="solid"/>
                            <a:miter lim="800000"/>
                          </a:ln>
                          <a:effectLst/>
                        </wps:spPr>
                        <wps:txbx>
                          <w:txbxContent>
                            <w:p w14:paraId="2B68B35C" w14:textId="77777777" w:rsidR="00421971" w:rsidRPr="001D4231" w:rsidRDefault="00421971" w:rsidP="00421971">
                              <w:pPr>
                                <w:spacing w:before="0" w:after="0" w:line="240" w:lineRule="auto"/>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High risk </w:t>
                              </w:r>
                            </w:p>
                            <w:p w14:paraId="6AB5A217" w14:textId="77777777" w:rsidR="00421971" w:rsidRPr="002D0A32" w:rsidRDefault="00421971" w:rsidP="00421971">
                              <w:pPr>
                                <w:spacing w:before="0" w:after="0" w:line="240" w:lineRule="auto"/>
                                <w:jc w:val="center"/>
                                <w:rPr>
                                  <w:rFonts w:ascii="VIC" w:hAnsi="VIC" w:cs="Segoe UI"/>
                                  <w:color w:val="FFFFFF"/>
                                  <w:kern w:val="24"/>
                                  <w:sz w:val="14"/>
                                  <w:szCs w:val="14"/>
                                </w:rPr>
                              </w:pPr>
                              <w:r w:rsidRPr="002D0A32">
                                <w:rPr>
                                  <w:rFonts w:ascii="VIC" w:hAnsi="VIC" w:cs="Segoe UI"/>
                                  <w:color w:val="FFFFFF"/>
                                  <w:kern w:val="24"/>
                                  <w:sz w:val="14"/>
                                  <w:szCs w:val="14"/>
                                </w:rPr>
                                <w:t>High risk entities are unlikely to have their requests recommended</w:t>
                              </w:r>
                            </w:p>
                          </w:txbxContent>
                        </wps:txbx>
                        <wps:bodyPr tIns="0" bIns="0" rtlCol="0" anchor="t">
                          <a:noAutofit/>
                        </wps:bodyPr>
                      </wps:wsp>
                      <wps:wsp>
                        <wps:cNvPr id="1991624723" name="Rectangle: Rounded Corners 9"/>
                        <wps:cNvSpPr/>
                        <wps:spPr>
                          <a:xfrm>
                            <a:off x="4599296" y="1282890"/>
                            <a:ext cx="1332865" cy="815340"/>
                          </a:xfrm>
                          <a:prstGeom prst="roundRect">
                            <a:avLst>
                              <a:gd name="adj" fmla="val 8834"/>
                            </a:avLst>
                          </a:prstGeom>
                          <a:solidFill>
                            <a:srgbClr val="0072CE"/>
                          </a:solidFill>
                          <a:ln w="12700" cap="flat" cmpd="sng" algn="ctr">
                            <a:noFill/>
                            <a:prstDash val="solid"/>
                            <a:miter lim="800000"/>
                          </a:ln>
                          <a:effectLst/>
                        </wps:spPr>
                        <wps:txbx>
                          <w:txbxContent>
                            <w:p w14:paraId="55184C1B"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Briefing</w:t>
                              </w:r>
                            </w:p>
                            <w:p w14:paraId="202C9C66"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DTF develops omnibus brief for the AT covering the suite of requests</w:t>
                              </w:r>
                            </w:p>
                          </w:txbxContent>
                        </wps:txbx>
                        <wps:bodyPr rtlCol="0" anchor="t"/>
                      </wps:wsp>
                      <wps:wsp>
                        <wps:cNvPr id="1847153218" name="Rectangle: Rounded Corners 10"/>
                        <wps:cNvSpPr/>
                        <wps:spPr>
                          <a:xfrm>
                            <a:off x="3036627" y="1282890"/>
                            <a:ext cx="1349375" cy="815340"/>
                          </a:xfrm>
                          <a:prstGeom prst="roundRect">
                            <a:avLst>
                              <a:gd name="adj" fmla="val 8834"/>
                            </a:avLst>
                          </a:prstGeom>
                          <a:solidFill>
                            <a:srgbClr val="0072CE"/>
                          </a:solidFill>
                          <a:ln w="12700" cap="flat" cmpd="sng" algn="ctr">
                            <a:noFill/>
                            <a:prstDash val="solid"/>
                            <a:miter lim="800000"/>
                          </a:ln>
                          <a:effectLst/>
                        </wps:spPr>
                        <wps:txbx>
                          <w:txbxContent>
                            <w:p w14:paraId="6A78C0CE"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Approval</w:t>
                              </w:r>
                            </w:p>
                            <w:p w14:paraId="3589912D"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AT, where agrees, approves request via notice of determination/ exemption</w:t>
                              </w:r>
                            </w:p>
                          </w:txbxContent>
                        </wps:txbx>
                        <wps:bodyPr rtlCol="0" anchor="t"/>
                      </wps:wsp>
                      <wps:wsp>
                        <wps:cNvPr id="417555859" name="Rectangle: Rounded Corners 11"/>
                        <wps:cNvSpPr/>
                        <wps:spPr>
                          <a:xfrm>
                            <a:off x="1508078" y="1282890"/>
                            <a:ext cx="1332865" cy="815340"/>
                          </a:xfrm>
                          <a:prstGeom prst="roundRect">
                            <a:avLst>
                              <a:gd name="adj" fmla="val 8834"/>
                            </a:avLst>
                          </a:prstGeom>
                          <a:solidFill>
                            <a:srgbClr val="0072CE"/>
                          </a:solidFill>
                          <a:ln w="12700" cap="flat" cmpd="sng" algn="ctr">
                            <a:noFill/>
                            <a:prstDash val="solid"/>
                            <a:miter lim="800000"/>
                          </a:ln>
                          <a:effectLst/>
                        </wps:spPr>
                        <wps:txbx>
                          <w:txbxContent>
                            <w:p w14:paraId="79934C3A"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Confirmation</w:t>
                              </w:r>
                            </w:p>
                            <w:p w14:paraId="22E047F4"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Relevant department or agency receives Ministerial letter of confirmation</w:t>
                              </w:r>
                            </w:p>
                          </w:txbxContent>
                        </wps:txbx>
                        <wps:bodyPr rtlCol="0" anchor="t"/>
                      </wps:wsp>
                      <wps:wsp>
                        <wps:cNvPr id="1862202452" name="Rectangle: Rounded Corners 12"/>
                        <wps:cNvSpPr/>
                        <wps:spPr>
                          <a:xfrm>
                            <a:off x="6246638" y="212013"/>
                            <a:ext cx="1211580" cy="1880648"/>
                          </a:xfrm>
                          <a:prstGeom prst="roundRect">
                            <a:avLst>
                              <a:gd name="adj" fmla="val 8834"/>
                            </a:avLst>
                          </a:prstGeom>
                          <a:solidFill>
                            <a:srgbClr val="00B0F0"/>
                          </a:solidFill>
                          <a:ln w="12700" cap="flat" cmpd="sng" algn="ctr">
                            <a:noFill/>
                            <a:prstDash val="solid"/>
                            <a:miter lim="800000"/>
                          </a:ln>
                          <a:effectLst/>
                        </wps:spPr>
                        <wps:txbx>
                          <w:txbxContent>
                            <w:p w14:paraId="11353149"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Risk profile</w:t>
                              </w:r>
                            </w:p>
                            <w:p w14:paraId="40B08899"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 xml:space="preserve">Risk profiles are developed to inform the appropriateness of a composite report or exemption request. </w:t>
                              </w:r>
                            </w:p>
                          </w:txbxContent>
                        </wps:txbx>
                        <wps:bodyPr rtlCol="0" anchor="ctr">
                          <a:noAutofit/>
                        </wps:bodyPr>
                      </wps:wsp>
                      <wps:wsp>
                        <wps:cNvPr id="1984064182" name="Rectangle: Rounded Corners 13"/>
                        <wps:cNvSpPr/>
                        <wps:spPr>
                          <a:xfrm>
                            <a:off x="6824" y="1276066"/>
                            <a:ext cx="1332865" cy="822960"/>
                          </a:xfrm>
                          <a:prstGeom prst="roundRect">
                            <a:avLst>
                              <a:gd name="adj" fmla="val 8834"/>
                            </a:avLst>
                          </a:prstGeom>
                          <a:solidFill>
                            <a:srgbClr val="0072CE"/>
                          </a:solidFill>
                          <a:ln w="12700" cap="flat" cmpd="sng" algn="ctr">
                            <a:noFill/>
                            <a:prstDash val="solid"/>
                            <a:miter lim="800000"/>
                          </a:ln>
                          <a:effectLst/>
                        </wps:spPr>
                        <wps:txbx>
                          <w:txbxContent>
                            <w:p w14:paraId="4F752F92"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Attestation</w:t>
                              </w:r>
                            </w:p>
                            <w:p w14:paraId="5DAED3A5"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 xml:space="preserve">The department and agency </w:t>
                              </w:r>
                              <w:r w:rsidRPr="001D4231">
                                <w:rPr>
                                  <w:rFonts w:asciiTheme="majorHAnsi" w:hAnsiTheme="majorHAnsi" w:cs="Segoe UI"/>
                                  <w:bCs/>
                                  <w:color w:val="FFFFFF"/>
                                  <w:kern w:val="24"/>
                                  <w:sz w:val="14"/>
                                  <w:szCs w:val="14"/>
                                </w:rPr>
                                <w:t>must</w:t>
                              </w:r>
                              <w:r w:rsidRPr="002D0A32">
                                <w:rPr>
                                  <w:rFonts w:ascii="VIC" w:hAnsi="VIC" w:cs="Segoe UI"/>
                                  <w:color w:val="FFFFFF"/>
                                  <w:kern w:val="24"/>
                                  <w:sz w:val="14"/>
                                  <w:szCs w:val="14"/>
                                </w:rPr>
                                <w:t xml:space="preserve"> disclose the approval in the Annual Report.</w:t>
                              </w:r>
                            </w:p>
                          </w:txbxContent>
                        </wps:txbx>
                        <wps:bodyPr rtlCol="0" anchor="t"/>
                      </wps:wsp>
                      <wps:wsp>
                        <wps:cNvPr id="106546651" name="Rectangle: Rounded Corners 14"/>
                        <wps:cNvSpPr/>
                        <wps:spPr>
                          <a:xfrm>
                            <a:off x="0" y="2381535"/>
                            <a:ext cx="1332865" cy="1088136"/>
                          </a:xfrm>
                          <a:prstGeom prst="roundRect">
                            <a:avLst>
                              <a:gd name="adj" fmla="val 8834"/>
                            </a:avLst>
                          </a:prstGeom>
                          <a:solidFill>
                            <a:srgbClr val="5BBD74">
                              <a:lumMod val="60000"/>
                              <a:lumOff val="40000"/>
                            </a:srgbClr>
                          </a:solidFill>
                          <a:ln w="12700" cap="flat" cmpd="sng" algn="ctr">
                            <a:noFill/>
                            <a:prstDash val="solid"/>
                            <a:miter lim="800000"/>
                          </a:ln>
                          <a:effectLst/>
                        </wps:spPr>
                        <wps:txbx>
                          <w:txbxContent>
                            <w:p w14:paraId="16FA5874" w14:textId="77777777" w:rsidR="00421971" w:rsidRPr="001D4231" w:rsidRDefault="00421971" w:rsidP="00421971">
                              <w:pPr>
                                <w:spacing w:before="0" w:after="60"/>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Reconfirmation</w:t>
                              </w:r>
                            </w:p>
                            <w:p w14:paraId="1D20291E"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In subsequent years, DTF receives reconfirmation from entities confirming they continue to meet set conditions.</w:t>
                              </w:r>
                            </w:p>
                          </w:txbxContent>
                        </wps:txbx>
                        <wps:bodyPr rtlCol="0" anchor="t">
                          <a:noAutofit/>
                        </wps:bodyPr>
                      </wps:wsp>
                      <wps:wsp>
                        <wps:cNvPr id="1967757646" name="Rectangle: Rounded Corners 15"/>
                        <wps:cNvSpPr/>
                        <wps:spPr>
                          <a:xfrm>
                            <a:off x="1521726" y="2388358"/>
                            <a:ext cx="1320800" cy="1088136"/>
                          </a:xfrm>
                          <a:prstGeom prst="roundRect">
                            <a:avLst>
                              <a:gd name="adj" fmla="val 8834"/>
                            </a:avLst>
                          </a:prstGeom>
                          <a:solidFill>
                            <a:srgbClr val="5BBD74">
                              <a:lumMod val="60000"/>
                              <a:lumOff val="40000"/>
                            </a:srgbClr>
                          </a:solidFill>
                          <a:ln w="12700" cap="flat" cmpd="sng" algn="ctr">
                            <a:noFill/>
                            <a:prstDash val="solid"/>
                            <a:miter lim="800000"/>
                          </a:ln>
                          <a:effectLst/>
                        </wps:spPr>
                        <wps:txbx>
                          <w:txbxContent>
                            <w:p w14:paraId="75D6289B"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auto"/>
                                  <w:kern w:val="24"/>
                                  <w:sz w:val="16"/>
                                  <w:szCs w:val="16"/>
                                </w:rPr>
                                <w:t>Risk alerts</w:t>
                              </w:r>
                            </w:p>
                            <w:p w14:paraId="33E0B1CE"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FFT will evaluate information indicating that an entity may no longer meet the set conditions.</w:t>
                              </w:r>
                            </w:p>
                          </w:txbxContent>
                        </wps:txbx>
                        <wps:bodyPr rtlCol="0" anchor="t">
                          <a:noAutofit/>
                        </wps:bodyPr>
                      </wps:wsp>
                      <wps:wsp>
                        <wps:cNvPr id="972151042" name="Rectangle: Rounded Corners 16"/>
                        <wps:cNvSpPr/>
                        <wps:spPr>
                          <a:xfrm>
                            <a:off x="3029752" y="2381346"/>
                            <a:ext cx="1203960" cy="1088136"/>
                          </a:xfrm>
                          <a:prstGeom prst="roundRect">
                            <a:avLst>
                              <a:gd name="adj" fmla="val 8834"/>
                            </a:avLst>
                          </a:prstGeom>
                          <a:solidFill>
                            <a:srgbClr val="5BBD74">
                              <a:lumMod val="60000"/>
                              <a:lumOff val="40000"/>
                            </a:srgbClr>
                          </a:solidFill>
                          <a:ln w="12700" cap="flat" cmpd="sng" algn="ctr">
                            <a:noFill/>
                            <a:prstDash val="solid"/>
                            <a:miter lim="800000"/>
                          </a:ln>
                          <a:effectLst/>
                        </wps:spPr>
                        <wps:txbx>
                          <w:txbxContent>
                            <w:p w14:paraId="4E11EA1A" w14:textId="77777777" w:rsidR="00421971" w:rsidRPr="001D4231" w:rsidRDefault="00421971" w:rsidP="00421971">
                              <w:pPr>
                                <w:spacing w:before="0" w:after="60"/>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Approval</w:t>
                              </w:r>
                            </w:p>
                            <w:p w14:paraId="204EBF1D"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ED confirms consolidation extension where appropriate</w:t>
                              </w:r>
                            </w:p>
                          </w:txbxContent>
                        </wps:txbx>
                        <wps:bodyPr rtlCol="0" anchor="t">
                          <a:noAutofit/>
                        </wps:bodyPr>
                      </wps:wsp>
                      <wps:wsp>
                        <wps:cNvPr id="1540994500" name="Rectangle: Rounded Corners 17"/>
                        <wps:cNvSpPr/>
                        <wps:spPr>
                          <a:xfrm>
                            <a:off x="6824" y="2210938"/>
                            <a:ext cx="9047480" cy="110490"/>
                          </a:xfrm>
                          <a:prstGeom prst="roundRect">
                            <a:avLst>
                              <a:gd name="adj" fmla="val 8834"/>
                            </a:avLst>
                          </a:prstGeom>
                          <a:solidFill>
                            <a:schemeClr val="bg1">
                              <a:lumMod val="75000"/>
                            </a:schemeClr>
                          </a:solidFill>
                          <a:ln w="12700" cap="flat" cmpd="sng" algn="ctr">
                            <a:solidFill>
                              <a:schemeClr val="bg1">
                                <a:lumMod val="75000"/>
                              </a:schemeClr>
                            </a:solidFill>
                            <a:prstDash val="solid"/>
                            <a:miter lim="800000"/>
                          </a:ln>
                          <a:effectLst/>
                        </wps:spPr>
                        <wps:txbx>
                          <w:txbxContent>
                            <w:p w14:paraId="080682F2" w14:textId="77777777" w:rsidR="00421971" w:rsidRDefault="00421971" w:rsidP="00421971">
                              <w:pPr>
                                <w:spacing w:after="60"/>
                                <w:jc w:val="center"/>
                                <w:rPr>
                                  <w:rFonts w:ascii="VIC" w:hAnsi="VIC" w:cs="Segoe UI"/>
                                  <w:b/>
                                  <w:bCs/>
                                  <w:kern w:val="24"/>
                                </w:rPr>
                              </w:pPr>
                              <w:r>
                                <w:rPr>
                                  <w:rFonts w:ascii="VIC" w:hAnsi="VIC" w:cs="Segoe UI"/>
                                  <w:b/>
                                  <w:bCs/>
                                  <w:kern w:val="24"/>
                                </w:rPr>
                                <w:t>Reconfirmation requests</w:t>
                              </w:r>
                            </w:p>
                          </w:txbxContent>
                        </wps:txbx>
                        <wps:bodyPr rtlCol="0" anchor="ctr"/>
                      </wps:wsp>
                      <wps:wsp>
                        <wps:cNvPr id="307780020" name="Rectangle: Rounded Corners 18"/>
                        <wps:cNvSpPr/>
                        <wps:spPr>
                          <a:xfrm>
                            <a:off x="4428625" y="2401715"/>
                            <a:ext cx="4618355" cy="1087636"/>
                          </a:xfrm>
                          <a:prstGeom prst="roundRect">
                            <a:avLst>
                              <a:gd name="adj" fmla="val 8834"/>
                            </a:avLst>
                          </a:prstGeom>
                          <a:solidFill>
                            <a:srgbClr val="5BBD74">
                              <a:lumMod val="20000"/>
                              <a:lumOff val="80000"/>
                            </a:srgbClr>
                          </a:solidFill>
                          <a:ln w="12700" cap="flat" cmpd="sng" algn="ctr">
                            <a:noFill/>
                            <a:prstDash val="solid"/>
                            <a:miter lim="800000"/>
                          </a:ln>
                          <a:effectLst/>
                        </wps:spPr>
                        <wps:txbx>
                          <w:txbxContent>
                            <w:p w14:paraId="7CDA355C" w14:textId="77777777" w:rsidR="00421971" w:rsidRPr="002D0A32" w:rsidRDefault="00421971" w:rsidP="00421971">
                              <w:pPr>
                                <w:spacing w:before="0" w:after="60"/>
                                <w:jc w:val="center"/>
                                <w:rPr>
                                  <w:rFonts w:ascii="VIC" w:hAnsi="VIC" w:cs="Segoe UI"/>
                                  <w:b/>
                                  <w:bCs/>
                                  <w:kern w:val="24"/>
                                  <w:sz w:val="16"/>
                                  <w:szCs w:val="16"/>
                                </w:rPr>
                              </w:pPr>
                              <w:r w:rsidRPr="002D0A32">
                                <w:rPr>
                                  <w:rFonts w:ascii="VIC" w:hAnsi="VIC" w:cs="Segoe UI"/>
                                  <w:b/>
                                  <w:bCs/>
                                  <w:kern w:val="24"/>
                                  <w:sz w:val="16"/>
                                  <w:szCs w:val="16"/>
                                </w:rPr>
                                <w:t>Risk mitigation</w:t>
                              </w:r>
                            </w:p>
                            <w:p w14:paraId="5A3DF425" w14:textId="77777777" w:rsidR="00421971" w:rsidRPr="00F97FD6" w:rsidRDefault="00421971" w:rsidP="00421971">
                              <w:pPr>
                                <w:spacing w:after="60"/>
                                <w:jc w:val="center"/>
                                <w:rPr>
                                  <w:rFonts w:ascii="VIC" w:hAnsi="VIC" w:cs="Segoe UI"/>
                                  <w:kern w:val="24"/>
                                  <w:sz w:val="15"/>
                                  <w:szCs w:val="15"/>
                                </w:rPr>
                              </w:pPr>
                              <w:r w:rsidRPr="00F97FD6">
                                <w:rPr>
                                  <w:rFonts w:ascii="VIC" w:hAnsi="VIC" w:cs="Segoe UI"/>
                                  <w:kern w:val="24"/>
                                  <w:sz w:val="15"/>
                                  <w:szCs w:val="15"/>
                                </w:rPr>
                                <w:t xml:space="preserve">Any significant changes to the risk profile will be raised through the Omnibus brief to the AT for his noting or decision. </w:t>
                              </w:r>
                            </w:p>
                            <w:p w14:paraId="15CC14AC" w14:textId="77777777" w:rsidR="00421971" w:rsidRPr="00F97FD6" w:rsidRDefault="00421971" w:rsidP="00421971">
                              <w:pPr>
                                <w:spacing w:after="60"/>
                                <w:jc w:val="center"/>
                                <w:rPr>
                                  <w:rFonts w:ascii="VIC" w:hAnsi="VIC" w:cs="Segoe UI"/>
                                  <w:kern w:val="24"/>
                                  <w:sz w:val="15"/>
                                  <w:szCs w:val="15"/>
                                </w:rPr>
                              </w:pPr>
                              <w:r w:rsidRPr="00F97FD6">
                                <w:rPr>
                                  <w:rFonts w:ascii="VIC" w:hAnsi="VIC" w:cs="Segoe UI"/>
                                  <w:kern w:val="24"/>
                                  <w:sz w:val="15"/>
                                  <w:szCs w:val="15"/>
                                </w:rPr>
                                <w:t>FFT will evaluate the entity’s eligibility for determination and exemption based on its current risk profile, future changes to its operations, and existing conditions for the determination and exemptions.</w:t>
                              </w:r>
                            </w:p>
                          </w:txbxContent>
                        </wps:txbx>
                        <wps:bodyPr wrap="square" tIns="0" rtlCol="0" anchor="t">
                          <a:noAutofit/>
                        </wps:bodyPr>
                      </wps:wsp>
                      <wps:wsp>
                        <wps:cNvPr id="1070603985" name="Rectangle: Rounded Corners 19"/>
                        <wps:cNvSpPr/>
                        <wps:spPr>
                          <a:xfrm>
                            <a:off x="20472" y="0"/>
                            <a:ext cx="9047480" cy="68239"/>
                          </a:xfrm>
                          <a:prstGeom prst="roundRect">
                            <a:avLst>
                              <a:gd name="adj" fmla="val 8834"/>
                            </a:avLst>
                          </a:prstGeom>
                          <a:solidFill>
                            <a:schemeClr val="bg1">
                              <a:lumMod val="75000"/>
                            </a:schemeClr>
                          </a:solidFill>
                          <a:ln w="12700" cap="flat" cmpd="sng" algn="ctr">
                            <a:solidFill>
                              <a:schemeClr val="bg1">
                                <a:lumMod val="75000"/>
                              </a:schemeClr>
                            </a:solidFill>
                            <a:prstDash val="solid"/>
                            <a:miter lim="800000"/>
                          </a:ln>
                          <a:effectLst/>
                        </wps:spPr>
                        <wps:txbx>
                          <w:txbxContent>
                            <w:p w14:paraId="5141CD2B" w14:textId="77777777" w:rsidR="00421971" w:rsidRDefault="00421971" w:rsidP="00421971">
                              <w:pPr>
                                <w:spacing w:after="60"/>
                                <w:jc w:val="center"/>
                                <w:rPr>
                                  <w:rFonts w:ascii="VIC" w:hAnsi="VIC" w:cs="Segoe UI"/>
                                  <w:b/>
                                  <w:bCs/>
                                  <w:kern w:val="24"/>
                                </w:rPr>
                              </w:pPr>
                              <w:r>
                                <w:rPr>
                                  <w:rFonts w:ascii="VIC" w:hAnsi="VIC" w:cs="Segoe UI"/>
                                  <w:b/>
                                  <w:bCs/>
                                  <w:kern w:val="24"/>
                                </w:rPr>
                                <w:t>New requests</w:t>
                              </w:r>
                            </w:p>
                          </w:txbxContent>
                        </wps:txbx>
                        <wps:bodyPr rtlCol="0" anchor="ctr"/>
                      </wps:wsp>
                      <wps:wsp>
                        <wps:cNvPr id="1417571480" name="Arrow: Right 20"/>
                        <wps:cNvSpPr/>
                        <wps:spPr>
                          <a:xfrm>
                            <a:off x="2893326" y="510370"/>
                            <a:ext cx="113992" cy="121359"/>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69572680" name="Arrow: Right 21"/>
                        <wps:cNvSpPr/>
                        <wps:spPr>
                          <a:xfrm>
                            <a:off x="4421875" y="510370"/>
                            <a:ext cx="113992" cy="121359"/>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47207732" name="Arrow: Right 22"/>
                        <wps:cNvSpPr/>
                        <wps:spPr>
                          <a:xfrm>
                            <a:off x="6039134" y="510370"/>
                            <a:ext cx="113992" cy="121359"/>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ctr"/>
                      </wps:wsp>
                      <wps:wsp>
                        <wps:cNvPr id="33428550" name="Arrow: Right 23"/>
                        <wps:cNvSpPr/>
                        <wps:spPr>
                          <a:xfrm rot="10800000">
                            <a:off x="6044537" y="1609014"/>
                            <a:ext cx="113665" cy="121285"/>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ctr"/>
                      </wps:wsp>
                      <wps:wsp>
                        <wps:cNvPr id="171826236" name="Arrow: Right 24"/>
                        <wps:cNvSpPr/>
                        <wps:spPr>
                          <a:xfrm rot="10800000">
                            <a:off x="4427277" y="1609014"/>
                            <a:ext cx="113665" cy="121285"/>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740820895" name="Arrow: Right 25"/>
                        <wps:cNvSpPr/>
                        <wps:spPr>
                          <a:xfrm rot="10800000">
                            <a:off x="2871432" y="1609014"/>
                            <a:ext cx="113665" cy="121285"/>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647579162" name="Arrow: Right 26"/>
                        <wps:cNvSpPr/>
                        <wps:spPr>
                          <a:xfrm rot="10800000">
                            <a:off x="1356531" y="1609014"/>
                            <a:ext cx="113665" cy="121285"/>
                          </a:xfrm>
                          <a:prstGeom prst="rightArrow">
                            <a:avLst/>
                          </a:prstGeom>
                          <a:solidFill>
                            <a:srgbClr val="004C97">
                              <a:lumMod val="75000"/>
                            </a:srgbClr>
                          </a:solidFill>
                          <a:ln w="12700" cap="flat" cmpd="sng" algn="ctr">
                            <a:solidFill>
                              <a:srgbClr val="0072CE">
                                <a:shade val="50000"/>
                              </a:srgbClr>
                            </a:solidFill>
                            <a:prstDash val="solid"/>
                            <a:miter lim="800000"/>
                          </a:ln>
                          <a:effectLst/>
                        </wps:spPr>
                        <wps:bodyPr rtlCol="0" anchor="t"/>
                      </wps:wsp>
                      <wps:wsp>
                        <wps:cNvPr id="306141372" name="Arrow: Right 27"/>
                        <wps:cNvSpPr/>
                        <wps:spPr>
                          <a:xfrm>
                            <a:off x="1371600" y="2741779"/>
                            <a:ext cx="113665" cy="121285"/>
                          </a:xfrm>
                          <a:prstGeom prst="rightArrow">
                            <a:avLst/>
                          </a:prstGeom>
                          <a:solidFill>
                            <a:srgbClr val="00B050"/>
                          </a:solidFill>
                          <a:ln w="12700" cap="flat" cmpd="sng" algn="ctr">
                            <a:solidFill>
                              <a:srgbClr val="5BBD74">
                                <a:lumMod val="75000"/>
                              </a:srgbClr>
                            </a:solidFill>
                            <a:prstDash val="solid"/>
                            <a:miter lim="800000"/>
                          </a:ln>
                          <a:effectLst/>
                        </wps:spPr>
                        <wps:bodyPr rtlCol="0" anchor="t"/>
                      </wps:wsp>
                      <wps:wsp>
                        <wps:cNvPr id="547028842" name="Arrow: Right 28"/>
                        <wps:cNvSpPr/>
                        <wps:spPr>
                          <a:xfrm>
                            <a:off x="2872854" y="2762250"/>
                            <a:ext cx="113665" cy="121285"/>
                          </a:xfrm>
                          <a:prstGeom prst="rightArrow">
                            <a:avLst/>
                          </a:prstGeom>
                          <a:solidFill>
                            <a:srgbClr val="00B050"/>
                          </a:solidFill>
                          <a:ln w="12700" cap="flat" cmpd="sng" algn="ctr">
                            <a:solidFill>
                              <a:srgbClr val="5BBD74">
                                <a:lumMod val="75000"/>
                              </a:srgbClr>
                            </a:solidFill>
                            <a:prstDash val="solid"/>
                            <a:miter lim="800000"/>
                          </a:ln>
                          <a:effectLst/>
                        </wps:spPr>
                        <wps:bodyPr rtlCol="0" anchor="t"/>
                      </wps:wsp>
                    </wpg:wgp>
                  </a:graphicData>
                </a:graphic>
              </wp:inline>
            </w:drawing>
          </mc:Choice>
          <mc:Fallback>
            <w:pict>
              <v:group w14:anchorId="0023BA92" id="Group 1" o:spid="_x0000_s1026" style="width:714pt;height:274.75pt;mso-position-horizontal-relative:char;mso-position-vertical-relative:line" coordsize="90679,3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">
                <v:roundrect id="Rectangle: Rounded Corners 1" o:spid="_x0000_s1027" style="position:absolute;left:68;top:2115;width:13328;height:9230;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" fillcolor="#003971" stroked="f" strokeweight="1pt">
                  <v:stroke joinstyle="miter"/>
                  <v:textbox>
                    <w:txbxContent>
                      <w:p w14:paraId="3C772714"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Request window</w:t>
                        </w:r>
                      </w:p>
                      <w:p w14:paraId="4222FF62"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Departments submit a request with risk profile to DTF within agreed window*</w:t>
                        </w:r>
                      </w:p>
                    </w:txbxContent>
                  </v:textbox>
                </v:roundrect>
                <v:roundrect id="Rectangle: Rounded Corners 2" o:spid="_x0000_s1028" style="position:absolute;left:15217;top:2115;width:13328;height:8799;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" fillcolor="#003971" stroked="f" strokeweight="1pt">
                  <v:stroke joinstyle="miter"/>
                  <v:textbox>
                    <w:txbxContent>
                      <w:p w14:paraId="53AC39A1"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Receipt of request</w:t>
                        </w:r>
                      </w:p>
                      <w:p w14:paraId="112BA5F7"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DTF provides acknowledgement in response to requests</w:t>
                        </w:r>
                      </w:p>
                    </w:txbxContent>
                  </v:textbox>
                </v:roundrect>
                <v:roundrect id="Rectangle: Rounded Corners 3" o:spid="_x0000_s1029" style="position:absolute;left:30570;top:2115;width:13329;height:8795;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" fillcolor="#003971" stroked="f" strokeweight="1pt">
                  <v:stroke joinstyle="miter"/>
                  <v:textbox>
                    <w:txbxContent>
                      <w:p w14:paraId="528AAB5A"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Window closes</w:t>
                        </w:r>
                      </w:p>
                      <w:p w14:paraId="2CDC857F"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The submission window for requests closes</w:t>
                        </w:r>
                      </w:p>
                    </w:txbxContent>
                  </v:textbox>
                </v:roundrect>
                <v:roundrect id="Rectangle: Rounded Corners 4" o:spid="_x0000_s1030" style="position:absolute;left:45788;top:2115;width:13328;height:8795;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" fillcolor="#003971" stroked="f" strokeweight="1pt">
                  <v:stroke joinstyle="miter"/>
                  <v:textbox>
                    <w:txbxContent>
                      <w:p w14:paraId="22FA1EE6"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Consultation </w:t>
                        </w:r>
                      </w:p>
                      <w:p w14:paraId="70801526"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DTF consults with stakeholders to conduct risk analysis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1" type="#_x0000_t13" style="position:absolute;left:13716;top:4830;width:1139;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" adj="10800" fillcolor="#003971" strokecolor="#005297" strokeweight="1pt"/>
                <v:roundrect id="Rectangle: Rounded Corners 6" o:spid="_x0000_s1032" style="position:absolute;left:75597;top:2119;width:14700;height:5677;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" fillcolor="#00b050" stroked="f" strokeweight="1pt">
                  <v:stroke joinstyle="miter"/>
                  <v:textbox inset=",0,,0">
                    <w:txbxContent>
                      <w:p w14:paraId="7CB84A76" w14:textId="77777777" w:rsidR="00421971" w:rsidRPr="001D4231" w:rsidRDefault="00421971" w:rsidP="00421971">
                        <w:pPr>
                          <w:spacing w:before="0" w:after="0" w:line="240" w:lineRule="auto"/>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Low risk </w:t>
                        </w:r>
                      </w:p>
                      <w:p w14:paraId="450D9437" w14:textId="77777777" w:rsidR="00421971" w:rsidRPr="002D0A32" w:rsidRDefault="00421971" w:rsidP="00421971">
                        <w:pPr>
                          <w:spacing w:before="0" w:after="0" w:line="240" w:lineRule="auto"/>
                          <w:jc w:val="center"/>
                          <w:rPr>
                            <w:rFonts w:ascii="VIC" w:hAnsi="VIC" w:cs="Segoe UI"/>
                            <w:color w:val="FFFFFF"/>
                            <w:kern w:val="24"/>
                            <w:sz w:val="14"/>
                            <w:szCs w:val="14"/>
                          </w:rPr>
                        </w:pPr>
                        <w:r w:rsidRPr="002D0A32">
                          <w:rPr>
                            <w:rFonts w:ascii="VIC" w:hAnsi="VIC" w:cs="Segoe UI"/>
                            <w:color w:val="FFFFFF"/>
                            <w:kern w:val="24"/>
                            <w:sz w:val="14"/>
                            <w:szCs w:val="14"/>
                          </w:rPr>
                          <w:t>Low risk entities are likely to have their requests recommended</w:t>
                        </w:r>
                      </w:p>
                    </w:txbxContent>
                  </v:textbox>
                </v:roundrect>
                <v:roundrect id="Rectangle: Rounded Corners 7" o:spid="_x0000_s1033" style="position:absolute;left:75745;top:8687;width:14700;height:5669;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" fillcolor="#ffc000" stroked="f" strokeweight="1pt">
                  <v:stroke joinstyle="miter"/>
                  <v:textbox inset=",0,,0">
                    <w:txbxContent>
                      <w:p w14:paraId="34FBEBDB" w14:textId="77777777" w:rsidR="00421971" w:rsidRPr="001D4231" w:rsidRDefault="00421971" w:rsidP="00421971">
                        <w:pPr>
                          <w:spacing w:before="0" w:after="0" w:line="240" w:lineRule="auto"/>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 xml:space="preserve">Medium risk </w:t>
                        </w:r>
                      </w:p>
                      <w:p w14:paraId="3F93FD49" w14:textId="77777777" w:rsidR="00421971" w:rsidRPr="001D4231" w:rsidRDefault="00421971" w:rsidP="00421971">
                        <w:pPr>
                          <w:spacing w:before="0" w:after="0" w:line="240" w:lineRule="auto"/>
                          <w:jc w:val="center"/>
                          <w:rPr>
                            <w:rFonts w:ascii="VIC" w:hAnsi="VIC" w:cs="Segoe UI"/>
                            <w:color w:val="auto"/>
                            <w:kern w:val="24"/>
                            <w:sz w:val="14"/>
                            <w:szCs w:val="14"/>
                          </w:rPr>
                        </w:pPr>
                        <w:r w:rsidRPr="001D4231">
                          <w:rPr>
                            <w:rFonts w:ascii="VIC" w:hAnsi="VIC" w:cs="Segoe UI"/>
                            <w:color w:val="auto"/>
                            <w:kern w:val="24"/>
                            <w:sz w:val="14"/>
                            <w:szCs w:val="14"/>
                          </w:rPr>
                          <w:t>DTF may recommend a partial exemption relative to the level of risk</w:t>
                        </w:r>
                      </w:p>
                    </w:txbxContent>
                  </v:textbox>
                </v:roundrect>
                <v:roundrect id="Rectangle: Rounded Corners 8" o:spid="_x0000_s1034" style="position:absolute;left:75745;top:15250;width:14700;height:5669;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" fillcolor="#c00000" stroked="f" strokeweight="1pt">
                  <v:stroke joinstyle="miter"/>
                  <v:textbox inset=",0,,0">
                    <w:txbxContent>
                      <w:p w14:paraId="2B68B35C" w14:textId="77777777" w:rsidR="00421971" w:rsidRPr="001D4231" w:rsidRDefault="00421971" w:rsidP="00421971">
                        <w:pPr>
                          <w:spacing w:before="0" w:after="0" w:line="240" w:lineRule="auto"/>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 xml:space="preserve">High risk </w:t>
                        </w:r>
                      </w:p>
                      <w:p w14:paraId="6AB5A217" w14:textId="77777777" w:rsidR="00421971" w:rsidRPr="002D0A32" w:rsidRDefault="00421971" w:rsidP="00421971">
                        <w:pPr>
                          <w:spacing w:before="0" w:after="0" w:line="240" w:lineRule="auto"/>
                          <w:jc w:val="center"/>
                          <w:rPr>
                            <w:rFonts w:ascii="VIC" w:hAnsi="VIC" w:cs="Segoe UI"/>
                            <w:color w:val="FFFFFF"/>
                            <w:kern w:val="24"/>
                            <w:sz w:val="14"/>
                            <w:szCs w:val="14"/>
                          </w:rPr>
                        </w:pPr>
                        <w:r w:rsidRPr="002D0A32">
                          <w:rPr>
                            <w:rFonts w:ascii="VIC" w:hAnsi="VIC" w:cs="Segoe UI"/>
                            <w:color w:val="FFFFFF"/>
                            <w:kern w:val="24"/>
                            <w:sz w:val="14"/>
                            <w:szCs w:val="14"/>
                          </w:rPr>
                          <w:t>High risk entities are unlikely to have their requests recommended</w:t>
                        </w:r>
                      </w:p>
                    </w:txbxContent>
                  </v:textbox>
                </v:roundrect>
                <v:roundrect id="Rectangle: Rounded Corners 9" o:spid="_x0000_s1035" style="position:absolute;left:45992;top:12828;width:13329;height:8154;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" fillcolor="#0072ce" stroked="f" strokeweight="1pt">
                  <v:stroke joinstyle="miter"/>
                  <v:textbox>
                    <w:txbxContent>
                      <w:p w14:paraId="55184C1B"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Briefing</w:t>
                        </w:r>
                      </w:p>
                      <w:p w14:paraId="202C9C66"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DTF develops omnibus brief for the AT covering the suite of requests</w:t>
                        </w:r>
                      </w:p>
                    </w:txbxContent>
                  </v:textbox>
                </v:roundrect>
                <v:roundrect id="Rectangle: Rounded Corners 10" o:spid="_x0000_s1036" style="position:absolute;left:30366;top:12828;width:13494;height:8154;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" fillcolor="#0072ce" stroked="f" strokeweight="1pt">
                  <v:stroke joinstyle="miter"/>
                  <v:textbox>
                    <w:txbxContent>
                      <w:p w14:paraId="6A78C0CE"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Approval</w:t>
                        </w:r>
                      </w:p>
                      <w:p w14:paraId="3589912D"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AT, where agrees, approves request via notice of determination/ exemption</w:t>
                        </w:r>
                      </w:p>
                    </w:txbxContent>
                  </v:textbox>
                </v:roundrect>
                <v:roundrect id="Rectangle: Rounded Corners 11" o:spid="_x0000_s1037" style="position:absolute;left:15080;top:12828;width:13329;height:8154;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" fillcolor="#0072ce" stroked="f" strokeweight="1pt">
                  <v:stroke joinstyle="miter"/>
                  <v:textbox>
                    <w:txbxContent>
                      <w:p w14:paraId="79934C3A"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Confirmation</w:t>
                        </w:r>
                      </w:p>
                      <w:p w14:paraId="22E047F4"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Relevant department or agency receives Ministerial letter of confirmation</w:t>
                        </w:r>
                      </w:p>
                    </w:txbxContent>
                  </v:textbox>
                </v:roundrect>
                <v:roundrect id="Rectangle: Rounded Corners 12" o:spid="_x0000_s1038" style="position:absolute;left:62466;top:2120;width:12116;height:18806;visibility:visible;mso-wrap-style:square;v-text-anchor:middle"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" fillcolor="#00b0f0" stroked="f" strokeweight="1pt">
                  <v:stroke joinstyle="miter"/>
                  <v:textbox>
                    <w:txbxContent>
                      <w:p w14:paraId="11353149" w14:textId="77777777" w:rsidR="00421971" w:rsidRPr="001D4231" w:rsidRDefault="00421971" w:rsidP="00421971">
                        <w:pPr>
                          <w:spacing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Risk profile</w:t>
                        </w:r>
                      </w:p>
                      <w:p w14:paraId="40B08899" w14:textId="77777777" w:rsidR="00421971" w:rsidRPr="002D0A32" w:rsidRDefault="00421971" w:rsidP="00421971">
                        <w:pPr>
                          <w:spacing w:after="60"/>
                          <w:jc w:val="center"/>
                          <w:rPr>
                            <w:rFonts w:ascii="VIC" w:hAnsi="VIC" w:cs="Segoe UI"/>
                            <w:color w:val="FFFFFF"/>
                            <w:kern w:val="24"/>
                            <w:sz w:val="14"/>
                            <w:szCs w:val="14"/>
                          </w:rPr>
                        </w:pPr>
                        <w:r w:rsidRPr="002D0A32">
                          <w:rPr>
                            <w:rFonts w:ascii="VIC" w:hAnsi="VIC" w:cs="Segoe UI"/>
                            <w:color w:val="FFFFFF"/>
                            <w:kern w:val="24"/>
                            <w:sz w:val="14"/>
                            <w:szCs w:val="14"/>
                          </w:rPr>
                          <w:t xml:space="preserve">Risk profiles are developed to inform the appropriateness of a composite report or exemption request. </w:t>
                        </w:r>
                      </w:p>
                    </w:txbxContent>
                  </v:textbox>
                </v:roundrect>
                <v:roundrect id="Rectangle: Rounded Corners 13" o:spid="_x0000_s1039" style="position:absolute;left:68;top:12760;width:13328;height:8230;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" fillcolor="#0072ce" stroked="f" strokeweight="1pt">
                  <v:stroke joinstyle="miter"/>
                  <v:textbox>
                    <w:txbxContent>
                      <w:p w14:paraId="4F752F92"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FFFFFF"/>
                            <w:kern w:val="24"/>
                            <w:sz w:val="16"/>
                            <w:szCs w:val="16"/>
                          </w:rPr>
                          <w:t>Attestation</w:t>
                        </w:r>
                      </w:p>
                      <w:p w14:paraId="5DAED3A5" w14:textId="77777777" w:rsidR="00421971" w:rsidRPr="002D0A32" w:rsidRDefault="00421971" w:rsidP="00421971">
                        <w:pPr>
                          <w:spacing w:before="0" w:after="60"/>
                          <w:jc w:val="center"/>
                          <w:rPr>
                            <w:rFonts w:ascii="VIC" w:hAnsi="VIC" w:cs="Segoe UI"/>
                            <w:color w:val="FFFFFF"/>
                            <w:kern w:val="24"/>
                            <w:sz w:val="14"/>
                            <w:szCs w:val="14"/>
                          </w:rPr>
                        </w:pPr>
                        <w:r w:rsidRPr="002D0A32">
                          <w:rPr>
                            <w:rFonts w:ascii="VIC" w:hAnsi="VIC" w:cs="Segoe UI"/>
                            <w:color w:val="FFFFFF"/>
                            <w:kern w:val="24"/>
                            <w:sz w:val="14"/>
                            <w:szCs w:val="14"/>
                          </w:rPr>
                          <w:t xml:space="preserve">The department and agency </w:t>
                        </w:r>
                        <w:r w:rsidRPr="001D4231">
                          <w:rPr>
                            <w:rFonts w:asciiTheme="majorHAnsi" w:hAnsiTheme="majorHAnsi" w:cs="Segoe UI"/>
                            <w:bCs/>
                            <w:color w:val="FFFFFF"/>
                            <w:kern w:val="24"/>
                            <w:sz w:val="14"/>
                            <w:szCs w:val="14"/>
                          </w:rPr>
                          <w:t>must</w:t>
                        </w:r>
                        <w:r w:rsidRPr="002D0A32">
                          <w:rPr>
                            <w:rFonts w:ascii="VIC" w:hAnsi="VIC" w:cs="Segoe UI"/>
                            <w:color w:val="FFFFFF"/>
                            <w:kern w:val="24"/>
                            <w:sz w:val="14"/>
                            <w:szCs w:val="14"/>
                          </w:rPr>
                          <w:t xml:space="preserve"> disclose the approval in the Annual Report.</w:t>
                        </w:r>
                      </w:p>
                    </w:txbxContent>
                  </v:textbox>
                </v:roundrect>
                <v:roundrect id="Rectangle: Rounded Corners 14" o:spid="_x0000_s1040" style="position:absolute;top:23815;width:13328;height:10881;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" fillcolor="#9dd7ac" stroked="f" strokeweight="1pt">
                  <v:stroke joinstyle="miter"/>
                  <v:textbox>
                    <w:txbxContent>
                      <w:p w14:paraId="16FA5874" w14:textId="77777777" w:rsidR="00421971" w:rsidRPr="001D4231" w:rsidRDefault="00421971" w:rsidP="00421971">
                        <w:pPr>
                          <w:spacing w:before="0" w:after="60"/>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Reconfirmation</w:t>
                        </w:r>
                      </w:p>
                      <w:p w14:paraId="1D20291E"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In subsequent years, DTF receives reconfirmation from entities confirming they continue to meet set conditions.</w:t>
                        </w:r>
                      </w:p>
                    </w:txbxContent>
                  </v:textbox>
                </v:roundrect>
                <v:roundrect id="Rectangle: Rounded Corners 15" o:spid="_x0000_s1041" style="position:absolute;left:15217;top:23883;width:13208;height:10881;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" fillcolor="#9dd7ac" stroked="f" strokeweight="1pt">
                  <v:stroke joinstyle="miter"/>
                  <v:textbox>
                    <w:txbxContent>
                      <w:p w14:paraId="75D6289B" w14:textId="77777777" w:rsidR="00421971" w:rsidRPr="001D4231" w:rsidRDefault="00421971" w:rsidP="00421971">
                        <w:pPr>
                          <w:spacing w:before="0" w:after="60"/>
                          <w:jc w:val="center"/>
                          <w:rPr>
                            <w:rFonts w:asciiTheme="majorHAnsi" w:hAnsiTheme="majorHAnsi" w:cs="Segoe UI"/>
                            <w:bCs/>
                            <w:color w:val="FFFFFF"/>
                            <w:kern w:val="24"/>
                            <w:sz w:val="16"/>
                            <w:szCs w:val="16"/>
                          </w:rPr>
                        </w:pPr>
                        <w:r w:rsidRPr="001D4231">
                          <w:rPr>
                            <w:rFonts w:asciiTheme="majorHAnsi" w:hAnsiTheme="majorHAnsi" w:cs="Segoe UI"/>
                            <w:bCs/>
                            <w:color w:val="auto"/>
                            <w:kern w:val="24"/>
                            <w:sz w:val="16"/>
                            <w:szCs w:val="16"/>
                          </w:rPr>
                          <w:t>Risk alerts</w:t>
                        </w:r>
                      </w:p>
                      <w:p w14:paraId="33E0B1CE"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FFT will evaluate information indicating that an entity may no longer meet the set conditions.</w:t>
                        </w:r>
                      </w:p>
                    </w:txbxContent>
                  </v:textbox>
                </v:roundrect>
                <v:roundrect id="Rectangle: Rounded Corners 16" o:spid="_x0000_s1042" style="position:absolute;left:30297;top:23813;width:12040;height:10881;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" fillcolor="#9dd7ac" stroked="f" strokeweight="1pt">
                  <v:stroke joinstyle="miter"/>
                  <v:textbox>
                    <w:txbxContent>
                      <w:p w14:paraId="4E11EA1A" w14:textId="77777777" w:rsidR="00421971" w:rsidRPr="001D4231" w:rsidRDefault="00421971" w:rsidP="00421971">
                        <w:pPr>
                          <w:spacing w:before="0" w:after="60"/>
                          <w:jc w:val="center"/>
                          <w:rPr>
                            <w:rFonts w:asciiTheme="majorHAnsi" w:hAnsiTheme="majorHAnsi" w:cs="Segoe UI"/>
                            <w:bCs/>
                            <w:color w:val="auto"/>
                            <w:kern w:val="24"/>
                            <w:sz w:val="16"/>
                            <w:szCs w:val="16"/>
                          </w:rPr>
                        </w:pPr>
                        <w:r w:rsidRPr="001D4231">
                          <w:rPr>
                            <w:rFonts w:asciiTheme="majorHAnsi" w:hAnsiTheme="majorHAnsi" w:cs="Segoe UI"/>
                            <w:bCs/>
                            <w:color w:val="auto"/>
                            <w:kern w:val="24"/>
                            <w:sz w:val="16"/>
                            <w:szCs w:val="16"/>
                          </w:rPr>
                          <w:t>Approval</w:t>
                        </w:r>
                      </w:p>
                      <w:p w14:paraId="204EBF1D" w14:textId="77777777" w:rsidR="00421971" w:rsidRPr="002D0A32" w:rsidRDefault="00421971" w:rsidP="00421971">
                        <w:pPr>
                          <w:spacing w:before="60" w:after="60"/>
                          <w:jc w:val="center"/>
                          <w:rPr>
                            <w:rFonts w:ascii="VIC" w:hAnsi="VIC" w:cs="Segoe UI"/>
                            <w:kern w:val="24"/>
                            <w:sz w:val="14"/>
                            <w:szCs w:val="14"/>
                          </w:rPr>
                        </w:pPr>
                        <w:r w:rsidRPr="002D0A32">
                          <w:rPr>
                            <w:rFonts w:ascii="VIC" w:hAnsi="VIC" w:cs="Segoe UI"/>
                            <w:kern w:val="24"/>
                            <w:sz w:val="14"/>
                            <w:szCs w:val="14"/>
                          </w:rPr>
                          <w:t>ED confirms consolidation extension where appropriate</w:t>
                        </w:r>
                      </w:p>
                    </w:txbxContent>
                  </v:textbox>
                </v:roundrect>
                <v:roundrect id="Rectangle: Rounded Corners 17" o:spid="_x0000_s1043" style="position:absolute;left:68;top:22109;width:90475;height:1105;visibility:visible;mso-wrap-style:square;v-text-anchor:middle"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" fillcolor="#bfbfbf [2412]" strokecolor="#bfbfbf [2412]" strokeweight="1pt">
                  <v:stroke joinstyle="miter"/>
                  <v:textbox>
                    <w:txbxContent>
                      <w:p w14:paraId="080682F2" w14:textId="77777777" w:rsidR="00421971" w:rsidRDefault="00421971" w:rsidP="00421971">
                        <w:pPr>
                          <w:spacing w:after="60"/>
                          <w:jc w:val="center"/>
                          <w:rPr>
                            <w:rFonts w:ascii="VIC" w:hAnsi="VIC" w:cs="Segoe UI"/>
                            <w:b/>
                            <w:bCs/>
                            <w:kern w:val="24"/>
                          </w:rPr>
                        </w:pPr>
                        <w:r>
                          <w:rPr>
                            <w:rFonts w:ascii="VIC" w:hAnsi="VIC" w:cs="Segoe UI"/>
                            <w:b/>
                            <w:bCs/>
                            <w:kern w:val="24"/>
                          </w:rPr>
                          <w:t>Reconfirmation requests</w:t>
                        </w:r>
                      </w:p>
                    </w:txbxContent>
                  </v:textbox>
                </v:roundrect>
                <v:roundrect id="Rectangle: Rounded Corners 18" o:spid="_x0000_s1044" style="position:absolute;left:44286;top:24017;width:46183;height:10876;visibility:visible;mso-wrap-style:square;v-text-anchor:top"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" fillcolor="#def2e3" stroked="f" strokeweight="1pt">
                  <v:stroke joinstyle="miter"/>
                  <v:textbox inset=",0">
                    <w:txbxContent>
                      <w:p w14:paraId="7CDA355C" w14:textId="77777777" w:rsidR="00421971" w:rsidRPr="002D0A32" w:rsidRDefault="00421971" w:rsidP="00421971">
                        <w:pPr>
                          <w:spacing w:before="0" w:after="60"/>
                          <w:jc w:val="center"/>
                          <w:rPr>
                            <w:rFonts w:ascii="VIC" w:hAnsi="VIC" w:cs="Segoe UI"/>
                            <w:b/>
                            <w:bCs/>
                            <w:kern w:val="24"/>
                            <w:sz w:val="16"/>
                            <w:szCs w:val="16"/>
                          </w:rPr>
                        </w:pPr>
                        <w:r w:rsidRPr="002D0A32">
                          <w:rPr>
                            <w:rFonts w:ascii="VIC" w:hAnsi="VIC" w:cs="Segoe UI"/>
                            <w:b/>
                            <w:bCs/>
                            <w:kern w:val="24"/>
                            <w:sz w:val="16"/>
                            <w:szCs w:val="16"/>
                          </w:rPr>
                          <w:t>Risk mitigation</w:t>
                        </w:r>
                      </w:p>
                      <w:p w14:paraId="5A3DF425" w14:textId="77777777" w:rsidR="00421971" w:rsidRPr="00F97FD6" w:rsidRDefault="00421971" w:rsidP="00421971">
                        <w:pPr>
                          <w:spacing w:after="60"/>
                          <w:jc w:val="center"/>
                          <w:rPr>
                            <w:rFonts w:ascii="VIC" w:hAnsi="VIC" w:cs="Segoe UI"/>
                            <w:kern w:val="24"/>
                            <w:sz w:val="15"/>
                            <w:szCs w:val="15"/>
                          </w:rPr>
                        </w:pPr>
                        <w:r w:rsidRPr="00F97FD6">
                          <w:rPr>
                            <w:rFonts w:ascii="VIC" w:hAnsi="VIC" w:cs="Segoe UI"/>
                            <w:kern w:val="24"/>
                            <w:sz w:val="15"/>
                            <w:szCs w:val="15"/>
                          </w:rPr>
                          <w:t xml:space="preserve">Any significant changes to the risk profile will be raised through the Omnibus brief to the AT for his noting or decision. </w:t>
                        </w:r>
                      </w:p>
                      <w:p w14:paraId="15CC14AC" w14:textId="77777777" w:rsidR="00421971" w:rsidRPr="00F97FD6" w:rsidRDefault="00421971" w:rsidP="00421971">
                        <w:pPr>
                          <w:spacing w:after="60"/>
                          <w:jc w:val="center"/>
                          <w:rPr>
                            <w:rFonts w:ascii="VIC" w:hAnsi="VIC" w:cs="Segoe UI"/>
                            <w:kern w:val="24"/>
                            <w:sz w:val="15"/>
                            <w:szCs w:val="15"/>
                          </w:rPr>
                        </w:pPr>
                        <w:r w:rsidRPr="00F97FD6">
                          <w:rPr>
                            <w:rFonts w:ascii="VIC" w:hAnsi="VIC" w:cs="Segoe UI"/>
                            <w:kern w:val="24"/>
                            <w:sz w:val="15"/>
                            <w:szCs w:val="15"/>
                          </w:rPr>
                          <w:t>FFT will evaluate the entity’s eligibility for determination and exemption based on its current risk profile, future changes to its operations, and existing conditions for the determination and exemptions.</w:t>
                        </w:r>
                      </w:p>
                    </w:txbxContent>
                  </v:textbox>
                </v:roundrect>
                <v:roundrect id="Rectangle: Rounded Corners 19" o:spid="_x0000_s1045" style="position:absolute;left:204;width:90475;height:682;visibility:visible;mso-wrap-style:square;v-text-anchor:middle" arcsize="57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" fillcolor="#bfbfbf [2412]" strokecolor="#bfbfbf [2412]" strokeweight="1pt">
                  <v:stroke joinstyle="miter"/>
                  <v:textbox>
                    <w:txbxContent>
                      <w:p w14:paraId="5141CD2B" w14:textId="77777777" w:rsidR="00421971" w:rsidRDefault="00421971" w:rsidP="00421971">
                        <w:pPr>
                          <w:spacing w:after="60"/>
                          <w:jc w:val="center"/>
                          <w:rPr>
                            <w:rFonts w:ascii="VIC" w:hAnsi="VIC" w:cs="Segoe UI"/>
                            <w:b/>
                            <w:bCs/>
                            <w:kern w:val="24"/>
                          </w:rPr>
                        </w:pPr>
                        <w:r>
                          <w:rPr>
                            <w:rFonts w:ascii="VIC" w:hAnsi="VIC" w:cs="Segoe UI"/>
                            <w:b/>
                            <w:bCs/>
                            <w:kern w:val="24"/>
                          </w:rPr>
                          <w:t>New requests</w:t>
                        </w:r>
                      </w:p>
                    </w:txbxContent>
                  </v:textbox>
                </v:roundrect>
                <v:shape id="Arrow: Right 20" o:spid="_x0000_s1046" type="#_x0000_t13" style="position:absolute;left:28933;top:5103;width:1140;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" adj="10800" fillcolor="#003971" strokecolor="#005297" strokeweight="1pt"/>
                <v:shape id="Arrow: Right 21" o:spid="_x0000_s1047" type="#_x0000_t13" style="position:absolute;left:44218;top:5103;width:1140;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" adj="10800" fillcolor="#003971" strokecolor="#005297" strokeweight="1pt"/>
                <v:shape id="Arrow: Right 22" o:spid="_x0000_s1048" type="#_x0000_t13" style="position:absolute;left:60391;top:5103;width:1140;height: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" adj="10800" fillcolor="#003971" strokecolor="#005297" strokeweight="1pt"/>
                <v:shape id="Arrow: Right 23" o:spid="_x0000_s1049" type="#_x0000_t13" style="position:absolute;left:60445;top:16090;width:1137;height:12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" adj="10800" fillcolor="#003971" strokecolor="#005297" strokeweight="1pt"/>
                <v:shape id="Arrow: Right 24" o:spid="_x0000_s1050" type="#_x0000_t13" style="position:absolute;left:44272;top:16090;width:1137;height:12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" adj="10800" fillcolor="#003971" strokecolor="#005297" strokeweight="1pt"/>
                <v:shape id="Arrow: Right 25" o:spid="_x0000_s1051" type="#_x0000_t13" style="position:absolute;left:28714;top:16090;width:1136;height:12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" adj="10800" fillcolor="#003971" strokecolor="#005297" strokeweight="1pt"/>
                <v:shape id="Arrow: Right 26" o:spid="_x0000_s1052" type="#_x0000_t13" style="position:absolute;left:13565;top:16090;width:1136;height:12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" adj="10800" fillcolor="#003971" strokecolor="#005297" strokeweight="1pt"/>
                <v:shape id="Arrow: Right 27" o:spid="_x0000_s1053" type="#_x0000_t13" style="position:absolute;left:13716;top:27417;width:113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" adj="10800" fillcolor="#00b050" strokecolor="#3c9653" strokeweight="1pt"/>
                <v:shape id="Arrow: Right 28" o:spid="_x0000_s1054" type="#_x0000_t13" style="position:absolute;left:28728;top:27622;width:113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" adj="10800" fillcolor="#00b050" strokecolor="#3c9653" strokeweight="1pt"/>
                <w10:anchorlock/>
              </v:group>
            </w:pict>
          </mc:Fallback>
        </mc:AlternateContent>
      </w:r>
    </w:p>
    <w:p w14:paraId="261148D4" w14:textId="77777777" w:rsidR="00421971" w:rsidRPr="008A047E" w:rsidRDefault="00421971" w:rsidP="00363C05">
      <w:pPr>
        <w:pStyle w:val="NoteNormal"/>
        <w:spacing w:before="0"/>
      </w:pPr>
      <w:r w:rsidRPr="008A047E">
        <w:t>* Departments will consolidate requests from agencies at the department level. All new requests will include a risk profile assessment of each agency</w:t>
      </w:r>
      <w:r>
        <w:t xml:space="preserve">. </w:t>
      </w:r>
    </w:p>
    <w:p w14:paraId="297445A6" w14:textId="00C08137" w:rsidR="007669B3" w:rsidRPr="00ED56CC" w:rsidRDefault="007669B3" w:rsidP="00421971">
      <w:pPr>
        <w:pStyle w:val="Caption"/>
        <w:keepNext/>
      </w:pPr>
      <w:r w:rsidRPr="002C3D9F">
        <w:lastRenderedPageBreak/>
        <w:t xml:space="preserve">Table </w:t>
      </w:r>
      <w:r w:rsidR="00BF44B7">
        <w:t>2</w:t>
      </w:r>
      <w:r w:rsidR="00421971">
        <w:t xml:space="preserve">: </w:t>
      </w:r>
      <w:r w:rsidRPr="00ED56CC">
        <w:t>New FMA composite report determination and SD exemption and reconfirmation timeline</w:t>
      </w:r>
    </w:p>
    <w:p w14:paraId="36671F29" w14:textId="77777777" w:rsidR="00010108" w:rsidRDefault="00010108" w:rsidP="00010108">
      <w:pPr>
        <w:pStyle w:val="Caption"/>
      </w:pPr>
      <w:r w:rsidRPr="000A1F8F">
        <w:t>Proposed process for new requests</w:t>
      </w:r>
    </w:p>
    <w:p w14:paraId="0C6FA893" w14:textId="5E9ECEAF" w:rsidR="009E4232" w:rsidRPr="000A1F8F" w:rsidRDefault="009E4232" w:rsidP="00010108">
      <w:r>
        <w:rPr>
          <w:noProof/>
        </w:rPr>
        <w:drawing>
          <wp:inline distT="0" distB="0" distL="0" distR="0" wp14:anchorId="7D874CDC" wp14:editId="7EA1A8D2">
            <wp:extent cx="9172188" cy="3721906"/>
            <wp:effectExtent l="0" t="0" r="0" b="0"/>
            <wp:docPr id="111058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8036" cy="3732394"/>
                    </a:xfrm>
                    <a:prstGeom prst="rect">
                      <a:avLst/>
                    </a:prstGeom>
                    <a:noFill/>
                  </pic:spPr>
                </pic:pic>
              </a:graphicData>
            </a:graphic>
          </wp:inline>
        </w:drawing>
      </w:r>
    </w:p>
    <w:p w14:paraId="29E420B2" w14:textId="066A866C" w:rsidR="007669B3" w:rsidRDefault="007669B3" w:rsidP="007669B3"/>
    <w:p w14:paraId="793B6934" w14:textId="77777777" w:rsidR="007669B3" w:rsidRDefault="007669B3" w:rsidP="002C3D9F"/>
    <w:p w14:paraId="5F42FF8A" w14:textId="35C03936" w:rsidR="007669B3" w:rsidRDefault="007669B3" w:rsidP="002C3D9F">
      <w:pPr>
        <w:sectPr w:rsidR="007669B3" w:rsidSect="00421971">
          <w:headerReference w:type="default" r:id="rId23"/>
          <w:footerReference w:type="default" r:id="rId24"/>
          <w:pgSz w:w="16838" w:h="11906" w:orient="landscape" w:code="9"/>
          <w:pgMar w:top="1440" w:right="1152" w:bottom="1152" w:left="1152" w:header="706" w:footer="461" w:gutter="0"/>
          <w:cols w:space="708"/>
          <w:docGrid w:linePitch="360"/>
        </w:sectPr>
      </w:pPr>
    </w:p>
    <w:p w14:paraId="7472340C" w14:textId="4D513AC8" w:rsidR="00B45CC1" w:rsidRPr="007C1A19" w:rsidRDefault="00C03081" w:rsidP="002810B1">
      <w:pPr>
        <w:pStyle w:val="Heading4"/>
      </w:pPr>
      <w:bookmarkStart w:id="49" w:name="_Toc182409116"/>
      <w:bookmarkStart w:id="50" w:name="_Toc182409188"/>
      <w:bookmarkStart w:id="51" w:name="_Toc182475065"/>
      <w:bookmarkStart w:id="52" w:name="_Toc205977002"/>
      <w:r w:rsidRPr="007C1A19">
        <w:lastRenderedPageBreak/>
        <w:t xml:space="preserve">Attachment </w:t>
      </w:r>
      <w:r w:rsidR="0016029D" w:rsidRPr="007C1A19">
        <w:t>2</w:t>
      </w:r>
      <w:r w:rsidR="00B45CC1">
        <w:t xml:space="preserve"> –</w:t>
      </w:r>
      <w:r w:rsidR="00A72DEC">
        <w:tab/>
      </w:r>
      <w:r w:rsidRPr="007C1A19">
        <w:t xml:space="preserve">FMA </w:t>
      </w:r>
      <w:r w:rsidR="009A7714" w:rsidRPr="007C1A19">
        <w:t xml:space="preserve">composite report </w:t>
      </w:r>
      <w:r w:rsidRPr="007C1A19">
        <w:t>determination and S</w:t>
      </w:r>
      <w:r w:rsidR="007A4CFD">
        <w:t>tanding</w:t>
      </w:r>
      <w:r w:rsidR="00B45CC1">
        <w:rPr>
          <w:rFonts w:ascii="Calibri" w:hAnsi="Calibri" w:cs="Calibri"/>
        </w:rPr>
        <w:t> </w:t>
      </w:r>
      <w:r w:rsidRPr="007C1A19">
        <w:t>D</w:t>
      </w:r>
      <w:r w:rsidR="007A4CFD">
        <w:t>irection</w:t>
      </w:r>
      <w:r w:rsidRPr="007C1A19">
        <w:t xml:space="preserve"> exemption request letter</w:t>
      </w:r>
      <w:r w:rsidR="00B46CD5" w:rsidRPr="007C1A19">
        <w:t xml:space="preserve"> template</w:t>
      </w:r>
      <w:bookmarkEnd w:id="49"/>
      <w:bookmarkEnd w:id="50"/>
      <w:bookmarkEnd w:id="51"/>
      <w:bookmarkEnd w:id="52"/>
    </w:p>
    <w:p w14:paraId="1C1F5EF5" w14:textId="3828F5B9" w:rsidR="00B46CD5" w:rsidRPr="00AF242F" w:rsidRDefault="00B46CD5" w:rsidP="00B46CD5">
      <w:pPr>
        <w:jc w:val="center"/>
        <w:rPr>
          <w:b/>
        </w:rPr>
      </w:pPr>
      <w:r w:rsidRPr="00AF242F">
        <w:rPr>
          <w:b/>
        </w:rPr>
        <w:t xml:space="preserve">{Agency </w:t>
      </w:r>
      <w:r w:rsidR="00B45CC1" w:rsidRPr="00AF242F">
        <w:rPr>
          <w:b/>
        </w:rPr>
        <w:t>letterhead</w:t>
      </w:r>
      <w:r w:rsidRPr="00AF242F">
        <w:rPr>
          <w:b/>
        </w:rPr>
        <w:t>}</w:t>
      </w:r>
    </w:p>
    <w:p w14:paraId="7A8AAA7A" w14:textId="77777777" w:rsidR="00B46CD5" w:rsidRPr="00AF242F" w:rsidRDefault="00B46CD5" w:rsidP="00B46CD5">
      <w:pPr>
        <w:ind w:left="6480" w:firstLine="720"/>
        <w:jc w:val="center"/>
      </w:pPr>
      <w:r w:rsidRPr="00AF242F">
        <w:t xml:space="preserve">File No. </w:t>
      </w:r>
    </w:p>
    <w:p w14:paraId="05815496" w14:textId="77777777" w:rsidR="00B46CD5" w:rsidRPr="00B45CC1" w:rsidRDefault="00B46CD5" w:rsidP="00B46CD5">
      <w:pPr>
        <w:spacing w:before="0" w:after="0"/>
        <w:rPr>
          <w:sz w:val="18"/>
          <w:szCs w:val="18"/>
        </w:rPr>
      </w:pPr>
      <w:r w:rsidRPr="00B45CC1">
        <w:rPr>
          <w:sz w:val="18"/>
          <w:szCs w:val="18"/>
        </w:rPr>
        <w:t>The Hon. Danny Pearson MP</w:t>
      </w:r>
    </w:p>
    <w:p w14:paraId="4D96BC3C" w14:textId="74CAF404" w:rsidR="00B46CD5" w:rsidRPr="00B45CC1" w:rsidRDefault="00E74EBC" w:rsidP="00B46CD5">
      <w:pPr>
        <w:spacing w:before="0" w:after="0"/>
        <w:rPr>
          <w:sz w:val="18"/>
          <w:szCs w:val="18"/>
        </w:rPr>
      </w:pPr>
      <w:r w:rsidRPr="00B45CC1">
        <w:rPr>
          <w:sz w:val="18"/>
          <w:szCs w:val="18"/>
        </w:rPr>
        <w:t>Minister for Finance</w:t>
      </w:r>
    </w:p>
    <w:p w14:paraId="2AC0170D" w14:textId="0CF0AA77" w:rsidR="00B46CD5" w:rsidRPr="00B45CC1" w:rsidRDefault="00B46CD5" w:rsidP="00B46CD5">
      <w:pPr>
        <w:spacing w:before="0" w:after="0"/>
        <w:rPr>
          <w:sz w:val="18"/>
          <w:szCs w:val="18"/>
        </w:rPr>
      </w:pPr>
      <w:r w:rsidRPr="00B45CC1">
        <w:rPr>
          <w:sz w:val="18"/>
          <w:szCs w:val="18"/>
        </w:rPr>
        <w:t xml:space="preserve">Level </w:t>
      </w:r>
      <w:r w:rsidR="009C6BEC" w:rsidRPr="00B45CC1">
        <w:rPr>
          <w:sz w:val="18"/>
          <w:szCs w:val="18"/>
        </w:rPr>
        <w:t>36</w:t>
      </w:r>
      <w:r w:rsidRPr="00B45CC1">
        <w:rPr>
          <w:sz w:val="18"/>
          <w:szCs w:val="18"/>
        </w:rPr>
        <w:t xml:space="preserve">, </w:t>
      </w:r>
      <w:r w:rsidR="009C6BEC" w:rsidRPr="00B45CC1">
        <w:rPr>
          <w:sz w:val="18"/>
          <w:szCs w:val="18"/>
        </w:rPr>
        <w:t>121 Exhibition Street</w:t>
      </w:r>
    </w:p>
    <w:p w14:paraId="26410B9E" w14:textId="77777777" w:rsidR="00B46CD5" w:rsidRPr="00B45CC1" w:rsidRDefault="00B46CD5" w:rsidP="00B46CD5">
      <w:pPr>
        <w:spacing w:before="0" w:after="0"/>
        <w:rPr>
          <w:sz w:val="18"/>
          <w:szCs w:val="18"/>
        </w:rPr>
      </w:pPr>
      <w:r w:rsidRPr="00B45CC1">
        <w:rPr>
          <w:sz w:val="18"/>
          <w:szCs w:val="18"/>
        </w:rPr>
        <w:t>MELBOURNE VIC 3000</w:t>
      </w:r>
    </w:p>
    <w:p w14:paraId="2867613A" w14:textId="77777777" w:rsidR="00B46CD5" w:rsidRPr="00B45CC1" w:rsidRDefault="00B46CD5" w:rsidP="00B46CD5">
      <w:pPr>
        <w:spacing w:before="0" w:after="0"/>
        <w:rPr>
          <w:sz w:val="18"/>
          <w:szCs w:val="18"/>
        </w:rPr>
      </w:pPr>
    </w:p>
    <w:p w14:paraId="2109A3B9" w14:textId="6FDCD7D6" w:rsidR="00B46CD5" w:rsidRPr="00B45CC1" w:rsidRDefault="00B46CD5" w:rsidP="00B46CD5">
      <w:pPr>
        <w:spacing w:before="0" w:after="0"/>
        <w:rPr>
          <w:sz w:val="18"/>
          <w:szCs w:val="18"/>
        </w:rPr>
      </w:pPr>
      <w:r w:rsidRPr="00B45CC1">
        <w:rPr>
          <w:sz w:val="18"/>
          <w:szCs w:val="18"/>
        </w:rPr>
        <w:t xml:space="preserve">Email: </w:t>
      </w:r>
      <w:r w:rsidR="00D9368B" w:rsidRPr="00B45CC1">
        <w:rPr>
          <w:sz w:val="18"/>
          <w:szCs w:val="18"/>
        </w:rPr>
        <w:t>ministerpearson</w:t>
      </w:r>
      <w:r w:rsidRPr="00B45CC1">
        <w:rPr>
          <w:sz w:val="18"/>
          <w:szCs w:val="18"/>
        </w:rPr>
        <w:t>@dtf.vic.gov.au</w:t>
      </w:r>
    </w:p>
    <w:p w14:paraId="09DAA5C9" w14:textId="77777777" w:rsidR="00B46CD5" w:rsidRPr="00B45CC1" w:rsidRDefault="00B46CD5" w:rsidP="00B46CD5">
      <w:pPr>
        <w:rPr>
          <w:sz w:val="18"/>
          <w:szCs w:val="18"/>
        </w:rPr>
      </w:pPr>
    </w:p>
    <w:p w14:paraId="2416BEA1" w14:textId="0502F921" w:rsidR="00B46CD5" w:rsidRPr="00B45CC1" w:rsidRDefault="00B46CD5" w:rsidP="00B46CD5">
      <w:pPr>
        <w:rPr>
          <w:sz w:val="18"/>
          <w:szCs w:val="18"/>
        </w:rPr>
      </w:pPr>
      <w:r w:rsidRPr="00B45CC1">
        <w:rPr>
          <w:sz w:val="18"/>
          <w:szCs w:val="18"/>
        </w:rPr>
        <w:t xml:space="preserve">Dear </w:t>
      </w:r>
      <w:r w:rsidR="00E74EBC" w:rsidRPr="00B45CC1">
        <w:rPr>
          <w:sz w:val="18"/>
          <w:szCs w:val="18"/>
        </w:rPr>
        <w:t>Minister for Finance</w:t>
      </w:r>
    </w:p>
    <w:p w14:paraId="179BD938" w14:textId="77777777" w:rsidR="00B46CD5" w:rsidRPr="00B45CC1" w:rsidRDefault="00B46CD5" w:rsidP="00B46CD5">
      <w:pPr>
        <w:rPr>
          <w:rFonts w:asciiTheme="majorHAnsi" w:hAnsiTheme="majorHAnsi"/>
          <w:color w:val="C00000"/>
          <w:sz w:val="18"/>
          <w:szCs w:val="18"/>
        </w:rPr>
      </w:pPr>
      <w:r w:rsidRPr="00B45CC1">
        <w:rPr>
          <w:rFonts w:asciiTheme="majorHAnsi" w:hAnsiTheme="majorHAnsi"/>
          <w:bCs/>
          <w:sz w:val="18"/>
          <w:szCs w:val="18"/>
        </w:rPr>
        <w:t>Application for</w:t>
      </w:r>
      <w:r w:rsidRPr="00B45CC1">
        <w:rPr>
          <w:b/>
          <w:sz w:val="18"/>
          <w:szCs w:val="18"/>
        </w:rPr>
        <w:t xml:space="preserve"> </w:t>
      </w:r>
      <w:r w:rsidRPr="00B45CC1">
        <w:rPr>
          <w:rFonts w:asciiTheme="majorHAnsi" w:hAnsiTheme="majorHAnsi"/>
          <w:color w:val="C00000"/>
          <w:sz w:val="18"/>
          <w:szCs w:val="18"/>
        </w:rPr>
        <w:t>an exemption from the Standing Directions and/or a determination for a composite report under the Financial Management Act 1994 (FMA)</w:t>
      </w:r>
    </w:p>
    <w:p w14:paraId="50E8EBB2" w14:textId="064B277C" w:rsidR="00B46CD5" w:rsidRPr="00B45CC1" w:rsidRDefault="00B46CD5" w:rsidP="00B46CD5">
      <w:pPr>
        <w:rPr>
          <w:bCs/>
          <w:i/>
          <w:iCs/>
          <w:color w:val="7C8EAF" w:themeColor="text1" w:themeTint="80"/>
          <w:sz w:val="18"/>
          <w:szCs w:val="18"/>
        </w:rPr>
      </w:pPr>
      <w:r w:rsidRPr="00B45CC1">
        <w:rPr>
          <w:bCs/>
          <w:i/>
          <w:iCs/>
          <w:color w:val="5AC8F1" w:themeColor="background2" w:themeShade="BF"/>
          <w:sz w:val="18"/>
          <w:szCs w:val="18"/>
        </w:rPr>
        <w:t>[</w:t>
      </w:r>
      <w:r w:rsidRPr="00B45CC1">
        <w:rPr>
          <w:bCs/>
          <w:i/>
          <w:iCs/>
          <w:color w:val="7C8EAF" w:themeColor="text1" w:themeTint="80"/>
          <w:sz w:val="18"/>
          <w:szCs w:val="18"/>
        </w:rPr>
        <w:t>Select the relevant paragraph/s below for your request]</w:t>
      </w:r>
    </w:p>
    <w:p w14:paraId="12A6E7E7" w14:textId="75F7D466" w:rsidR="00B46CD5" w:rsidRPr="00B45CC1" w:rsidRDefault="00421971" w:rsidP="00722431">
      <w:pPr>
        <w:spacing w:line="240" w:lineRule="auto"/>
        <w:rPr>
          <w:sz w:val="18"/>
          <w:szCs w:val="18"/>
        </w:rPr>
      </w:pPr>
      <w:r w:rsidRPr="00B45CC1">
        <w:rPr>
          <w:noProof/>
          <w:sz w:val="18"/>
          <w:szCs w:val="18"/>
        </w:rPr>
        <mc:AlternateContent>
          <mc:Choice Requires="wps">
            <w:drawing>
              <wp:anchor distT="45720" distB="45720" distL="114300" distR="114300" simplePos="0" relativeHeight="251658240" behindDoc="0" locked="0" layoutInCell="1" allowOverlap="1" wp14:anchorId="1DE9CC10" wp14:editId="29A495B8">
                <wp:simplePos x="0" y="0"/>
                <wp:positionH relativeFrom="column">
                  <wp:posOffset>5508345</wp:posOffset>
                </wp:positionH>
                <wp:positionV relativeFrom="paragraph">
                  <wp:posOffset>9576</wp:posOffset>
                </wp:positionV>
                <wp:extent cx="702259" cy="1041400"/>
                <wp:effectExtent l="0" t="0" r="317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59" cy="1041400"/>
                        </a:xfrm>
                        <a:prstGeom prst="rect">
                          <a:avLst/>
                        </a:prstGeom>
                        <a:solidFill>
                          <a:schemeClr val="accent2">
                            <a:lumMod val="20000"/>
                            <a:lumOff val="80000"/>
                          </a:schemeClr>
                        </a:solidFill>
                        <a:ln w="9525">
                          <a:noFill/>
                          <a:miter lim="800000"/>
                          <a:headEnd/>
                          <a:tailEnd/>
                        </a:ln>
                      </wps:spPr>
                      <wps:txbx>
                        <w:txbxContent>
                          <w:p w14:paraId="6477F036" w14:textId="77777777" w:rsidR="00B46CD5" w:rsidRPr="00A05133" w:rsidRDefault="00B46CD5" w:rsidP="00B46CD5">
                            <w:pPr>
                              <w:spacing w:before="0"/>
                              <w:rPr>
                                <w:sz w:val="10"/>
                                <w:szCs w:val="10"/>
                              </w:rPr>
                            </w:pPr>
                            <w:r>
                              <w:rPr>
                                <w:sz w:val="10"/>
                                <w:szCs w:val="10"/>
                              </w:rPr>
                              <w:t>Use if seeking partial exemption from the Standing Directions.</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E9CC10" id="_x0000_t202" coordsize="21600,21600" o:spt="202" path="m,l,21600r21600,l21600,xe">
                <v:stroke joinstyle="miter"/>
                <v:path gradientshapeok="t" o:connecttype="rect"/>
              </v:shapetype>
              <v:shape id="Text Box 2" o:spid="_x0000_s1055" type="#_x0000_t202" style="position:absolute;margin-left:433.75pt;margin-top:.75pt;width:55.3pt;height: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" fillcolor="#e0f5fc [661]" stroked="f">
                <v:textbox inset="3.6pt,,3.6pt">
                  <w:txbxContent>
                    <w:p w14:paraId="6477F036" w14:textId="77777777" w:rsidR="00B46CD5" w:rsidRPr="00A05133" w:rsidRDefault="00B46CD5" w:rsidP="00B46CD5">
                      <w:pPr>
                        <w:spacing w:before="0"/>
                        <w:rPr>
                          <w:sz w:val="10"/>
                          <w:szCs w:val="10"/>
                        </w:rPr>
                      </w:pPr>
                      <w:r>
                        <w:rPr>
                          <w:sz w:val="10"/>
                          <w:szCs w:val="10"/>
                        </w:rPr>
                        <w:t>Use if seeking partial exemption from the Standing Directions.</w:t>
                      </w:r>
                    </w:p>
                  </w:txbxContent>
                </v:textbox>
                <w10:wrap type="square"/>
              </v:shape>
            </w:pict>
          </mc:Fallback>
        </mc:AlternateContent>
      </w:r>
      <w:r w:rsidR="00B46CD5" w:rsidRPr="00B45CC1">
        <w:rPr>
          <w:sz w:val="18"/>
          <w:szCs w:val="18"/>
        </w:rPr>
        <w:t xml:space="preserve">As the Accountable Officer of the </w:t>
      </w:r>
      <w:r w:rsidR="00B46CD5" w:rsidRPr="00B45CC1">
        <w:rPr>
          <w:color w:val="004C97" w:themeColor="accent3"/>
          <w:sz w:val="18"/>
          <w:szCs w:val="18"/>
        </w:rPr>
        <w:t>{</w:t>
      </w:r>
      <w:r w:rsidR="006310D8" w:rsidRPr="00B45CC1">
        <w:rPr>
          <w:color w:val="004C97" w:themeColor="accent3"/>
          <w:sz w:val="18"/>
          <w:szCs w:val="18"/>
        </w:rPr>
        <w:t>a</w:t>
      </w:r>
      <w:r w:rsidR="00B46CD5" w:rsidRPr="00B45CC1">
        <w:rPr>
          <w:color w:val="004C97" w:themeColor="accent3"/>
          <w:sz w:val="18"/>
          <w:szCs w:val="18"/>
        </w:rPr>
        <w:t>gency}</w:t>
      </w:r>
      <w:r w:rsidR="00B46CD5" w:rsidRPr="00B45CC1">
        <w:rPr>
          <w:sz w:val="18"/>
          <w:szCs w:val="18"/>
        </w:rPr>
        <w:t xml:space="preserve">, I write to seek exemptions for the </w:t>
      </w:r>
      <w:r w:rsidR="00B46CD5" w:rsidRPr="00B45CC1">
        <w:rPr>
          <w:color w:val="004C97" w:themeColor="accent3"/>
          <w:sz w:val="18"/>
          <w:szCs w:val="18"/>
        </w:rPr>
        <w:t>{</w:t>
      </w:r>
      <w:r w:rsidR="006310D8" w:rsidRPr="00B45CC1">
        <w:rPr>
          <w:color w:val="004C97" w:themeColor="accent3"/>
          <w:sz w:val="18"/>
          <w:szCs w:val="18"/>
        </w:rPr>
        <w:t>y</w:t>
      </w:r>
      <w:r w:rsidR="00B46CD5" w:rsidRPr="00B45CC1">
        <w:rPr>
          <w:color w:val="004C97" w:themeColor="accent3"/>
          <w:sz w:val="18"/>
          <w:szCs w:val="18"/>
        </w:rPr>
        <w:t xml:space="preserve">ear/s} </w:t>
      </w:r>
      <w:r w:rsidR="00B46CD5" w:rsidRPr="00B45CC1">
        <w:rPr>
          <w:sz w:val="18"/>
          <w:szCs w:val="18"/>
        </w:rPr>
        <w:t xml:space="preserve">compliance year/s and </w:t>
      </w:r>
      <w:r w:rsidR="00B46CD5" w:rsidRPr="00B45CC1">
        <w:rPr>
          <w:color w:val="004C97" w:themeColor="accent3"/>
          <w:sz w:val="18"/>
          <w:szCs w:val="18"/>
        </w:rPr>
        <w:t xml:space="preserve">{future years} </w:t>
      </w:r>
      <w:r w:rsidR="00B46CD5" w:rsidRPr="00B45CC1">
        <w:rPr>
          <w:sz w:val="18"/>
          <w:szCs w:val="18"/>
        </w:rPr>
        <w:t xml:space="preserve">from the following requirements of the </w:t>
      </w:r>
      <w:r w:rsidR="00B46CD5" w:rsidRPr="00B45CC1">
        <w:rPr>
          <w:i/>
          <w:iCs/>
          <w:sz w:val="18"/>
          <w:szCs w:val="18"/>
        </w:rPr>
        <w:t>Standing Directions</w:t>
      </w:r>
      <w:r w:rsidRPr="00B45CC1">
        <w:rPr>
          <w:rFonts w:ascii="Calibri" w:hAnsi="Calibri" w:cs="Calibri"/>
          <w:i/>
          <w:iCs/>
          <w:sz w:val="18"/>
          <w:szCs w:val="18"/>
        </w:rPr>
        <w:t> </w:t>
      </w:r>
      <w:r w:rsidR="00B46CD5" w:rsidRPr="00B45CC1">
        <w:rPr>
          <w:i/>
          <w:iCs/>
          <w:sz w:val="18"/>
          <w:szCs w:val="18"/>
        </w:rPr>
        <w:t>2018</w:t>
      </w:r>
      <w:r w:rsidR="00B46CD5" w:rsidRPr="00B45CC1">
        <w:rPr>
          <w:sz w:val="18"/>
          <w:szCs w:val="18"/>
        </w:rPr>
        <w:t xml:space="preserve"> under the FMA (Standing Directions), pursuant to Direction 1.5 of the Standing</w:t>
      </w:r>
      <w:r w:rsidRPr="00B45CC1">
        <w:rPr>
          <w:rFonts w:ascii="Calibri" w:hAnsi="Calibri" w:cs="Calibri"/>
          <w:sz w:val="18"/>
          <w:szCs w:val="18"/>
        </w:rPr>
        <w:t> </w:t>
      </w:r>
      <w:r w:rsidR="00B46CD5" w:rsidRPr="00B45CC1">
        <w:rPr>
          <w:sz w:val="18"/>
          <w:szCs w:val="18"/>
        </w:rPr>
        <w:t>Directions:</w:t>
      </w:r>
    </w:p>
    <w:p w14:paraId="281B5366" w14:textId="77777777" w:rsidR="00B46CD5" w:rsidRPr="00B45CC1" w:rsidRDefault="00B46CD5" w:rsidP="00B46CD5">
      <w:pPr>
        <w:rPr>
          <w:rFonts w:asciiTheme="majorHAnsi" w:hAnsiTheme="majorHAnsi"/>
          <w:sz w:val="18"/>
          <w:szCs w:val="18"/>
        </w:rPr>
      </w:pPr>
      <w:r w:rsidRPr="00B45CC1">
        <w:rPr>
          <w:rFonts w:asciiTheme="majorHAnsi" w:hAnsiTheme="majorHAnsi"/>
          <w:sz w:val="18"/>
          <w:szCs w:val="18"/>
        </w:rPr>
        <w:t>Example:</w:t>
      </w:r>
    </w:p>
    <w:p w14:paraId="3B5B38A9" w14:textId="3EFBAD5A" w:rsidR="00B46CD5" w:rsidRPr="00B45CC1" w:rsidRDefault="00B46CD5" w:rsidP="00421971">
      <w:pPr>
        <w:pStyle w:val="Bullet1"/>
        <w:contextualSpacing/>
        <w:rPr>
          <w:sz w:val="18"/>
          <w:szCs w:val="18"/>
        </w:rPr>
      </w:pPr>
      <w:r w:rsidRPr="00B45CC1">
        <w:rPr>
          <w:sz w:val="18"/>
          <w:szCs w:val="18"/>
        </w:rPr>
        <w:t>{Direction 3.2.1</w:t>
      </w:r>
      <w:r w:rsidR="00421971" w:rsidRPr="00B45CC1">
        <w:rPr>
          <w:sz w:val="18"/>
          <w:szCs w:val="18"/>
        </w:rPr>
        <w:t xml:space="preserve"> – </w:t>
      </w:r>
      <w:r w:rsidRPr="00B45CC1">
        <w:rPr>
          <w:sz w:val="18"/>
          <w:szCs w:val="18"/>
        </w:rPr>
        <w:t>Audit Committee}</w:t>
      </w:r>
    </w:p>
    <w:p w14:paraId="3599859C" w14:textId="77A50158" w:rsidR="00B46CD5" w:rsidRPr="00B45CC1" w:rsidRDefault="00B46CD5" w:rsidP="00421971">
      <w:pPr>
        <w:pStyle w:val="Bullet1"/>
        <w:contextualSpacing/>
        <w:rPr>
          <w:sz w:val="18"/>
          <w:szCs w:val="18"/>
        </w:rPr>
      </w:pPr>
      <w:r w:rsidRPr="00B45CC1">
        <w:rPr>
          <w:sz w:val="18"/>
          <w:szCs w:val="18"/>
        </w:rPr>
        <w:t>{Direction 3.2.2</w:t>
      </w:r>
      <w:r w:rsidR="00421971" w:rsidRPr="00B45CC1">
        <w:rPr>
          <w:sz w:val="18"/>
          <w:szCs w:val="18"/>
        </w:rPr>
        <w:t xml:space="preserve"> – </w:t>
      </w:r>
      <w:r w:rsidRPr="00B45CC1">
        <w:rPr>
          <w:sz w:val="18"/>
          <w:szCs w:val="18"/>
        </w:rPr>
        <w:t>Internal Audit Function}</w:t>
      </w:r>
    </w:p>
    <w:p w14:paraId="5DA77FD2" w14:textId="77777777" w:rsidR="00B46CD5" w:rsidRPr="00B45CC1" w:rsidRDefault="00B46CD5" w:rsidP="00421971">
      <w:pPr>
        <w:spacing w:before="0"/>
        <w:rPr>
          <w:color w:val="C00000"/>
          <w:sz w:val="18"/>
          <w:szCs w:val="18"/>
        </w:rPr>
      </w:pPr>
      <w:r w:rsidRPr="00B45CC1">
        <w:rPr>
          <w:color w:val="C00000"/>
          <w:sz w:val="18"/>
          <w:szCs w:val="18"/>
        </w:rPr>
        <w:t>[Delete above if full exemption sought]</w:t>
      </w:r>
    </w:p>
    <w:p w14:paraId="7DDF866F" w14:textId="0E4A5C31" w:rsidR="00B46CD5" w:rsidRPr="00B45CC1" w:rsidRDefault="00421971" w:rsidP="00B46CD5">
      <w:pPr>
        <w:spacing w:before="0"/>
        <w:rPr>
          <w:color w:val="C00000"/>
          <w:sz w:val="18"/>
          <w:szCs w:val="18"/>
        </w:rPr>
      </w:pPr>
      <w:r w:rsidRPr="00B45CC1">
        <w:rPr>
          <w:noProof/>
          <w:color w:val="C00000"/>
          <w:sz w:val="18"/>
          <w:szCs w:val="18"/>
        </w:rPr>
        <mc:AlternateContent>
          <mc:Choice Requires="wps">
            <w:drawing>
              <wp:anchor distT="45720" distB="45720" distL="114300" distR="114300" simplePos="0" relativeHeight="251658241" behindDoc="0" locked="0" layoutInCell="1" allowOverlap="1" wp14:anchorId="7E25D39F" wp14:editId="2A106B38">
                <wp:simplePos x="0" y="0"/>
                <wp:positionH relativeFrom="column">
                  <wp:posOffset>5508345</wp:posOffset>
                </wp:positionH>
                <wp:positionV relativeFrom="paragraph">
                  <wp:posOffset>245186</wp:posOffset>
                </wp:positionV>
                <wp:extent cx="702259" cy="539750"/>
                <wp:effectExtent l="0" t="0" r="3175" b="0"/>
                <wp:wrapSquare wrapText="bothSides"/>
                <wp:docPr id="523548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59" cy="539750"/>
                        </a:xfrm>
                        <a:prstGeom prst="rect">
                          <a:avLst/>
                        </a:prstGeom>
                        <a:solidFill>
                          <a:schemeClr val="accent2">
                            <a:lumMod val="20000"/>
                            <a:lumOff val="80000"/>
                          </a:schemeClr>
                        </a:solidFill>
                        <a:ln w="9525">
                          <a:noFill/>
                          <a:miter lim="800000"/>
                          <a:headEnd/>
                          <a:tailEnd/>
                        </a:ln>
                      </wps:spPr>
                      <wps:txbx>
                        <w:txbxContent>
                          <w:p w14:paraId="6847214E" w14:textId="77777777" w:rsidR="00B46CD5" w:rsidRPr="00A05133" w:rsidRDefault="00B46CD5" w:rsidP="00B46CD5">
                            <w:pPr>
                              <w:spacing w:before="0"/>
                              <w:rPr>
                                <w:sz w:val="10"/>
                                <w:szCs w:val="10"/>
                              </w:rPr>
                            </w:pPr>
                            <w:r>
                              <w:rPr>
                                <w:sz w:val="10"/>
                                <w:szCs w:val="10"/>
                              </w:rPr>
                              <w:t>Use if seeking full exemption for the Stading Directions.</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25D39F" id="_x0000_s1056" type="#_x0000_t202" style="position:absolute;margin-left:433.75pt;margin-top:19.3pt;width:55.3pt;height:4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" fillcolor="#e0f5fc [661]" stroked="f">
                <v:textbox inset="3.6pt,,3.6pt">
                  <w:txbxContent>
                    <w:p w14:paraId="6847214E" w14:textId="77777777" w:rsidR="00B46CD5" w:rsidRPr="00A05133" w:rsidRDefault="00B46CD5" w:rsidP="00B46CD5">
                      <w:pPr>
                        <w:spacing w:before="0"/>
                        <w:rPr>
                          <w:sz w:val="10"/>
                          <w:szCs w:val="10"/>
                        </w:rPr>
                      </w:pPr>
                      <w:r>
                        <w:rPr>
                          <w:sz w:val="10"/>
                          <w:szCs w:val="10"/>
                        </w:rPr>
                        <w:t>Use if seeking full exemption for the Stading Directions.</w:t>
                      </w:r>
                    </w:p>
                  </w:txbxContent>
                </v:textbox>
                <w10:wrap type="square"/>
              </v:shape>
            </w:pict>
          </mc:Fallback>
        </mc:AlternateContent>
      </w:r>
      <w:r w:rsidR="00B46CD5" w:rsidRPr="00B45CC1">
        <w:rPr>
          <w:color w:val="C00000"/>
          <w:sz w:val="18"/>
          <w:szCs w:val="18"/>
        </w:rPr>
        <w:t>OR</w:t>
      </w:r>
    </w:p>
    <w:p w14:paraId="033546CA" w14:textId="6B8320C1" w:rsidR="00B46CD5" w:rsidRPr="00B45CC1" w:rsidRDefault="00B46CD5" w:rsidP="00722431">
      <w:pPr>
        <w:spacing w:line="240" w:lineRule="auto"/>
        <w:rPr>
          <w:sz w:val="18"/>
          <w:szCs w:val="18"/>
        </w:rPr>
      </w:pPr>
      <w:r w:rsidRPr="00B45CC1">
        <w:rPr>
          <w:sz w:val="18"/>
          <w:szCs w:val="18"/>
        </w:rPr>
        <w:t xml:space="preserve">As the Accountable Officer of the </w:t>
      </w:r>
      <w:r w:rsidRPr="00B45CC1">
        <w:rPr>
          <w:color w:val="004C97" w:themeColor="accent3"/>
          <w:sz w:val="18"/>
          <w:szCs w:val="18"/>
        </w:rPr>
        <w:t>{</w:t>
      </w:r>
      <w:r w:rsidR="006310D8" w:rsidRPr="00B45CC1">
        <w:rPr>
          <w:color w:val="004C97" w:themeColor="accent3"/>
          <w:sz w:val="18"/>
          <w:szCs w:val="18"/>
        </w:rPr>
        <w:t>a</w:t>
      </w:r>
      <w:r w:rsidRPr="00B45CC1">
        <w:rPr>
          <w:color w:val="004C97" w:themeColor="accent3"/>
          <w:sz w:val="18"/>
          <w:szCs w:val="18"/>
        </w:rPr>
        <w:t>gency}</w:t>
      </w:r>
      <w:r w:rsidRPr="00B45CC1">
        <w:rPr>
          <w:sz w:val="18"/>
          <w:szCs w:val="18"/>
        </w:rPr>
        <w:t xml:space="preserve">, I write to seek full exemptions for the </w:t>
      </w:r>
      <w:r w:rsidRPr="00B45CC1">
        <w:rPr>
          <w:color w:val="004C97" w:themeColor="accent3"/>
          <w:sz w:val="18"/>
          <w:szCs w:val="18"/>
        </w:rPr>
        <w:t>{</w:t>
      </w:r>
      <w:r w:rsidR="006310D8" w:rsidRPr="00B45CC1">
        <w:rPr>
          <w:color w:val="004C97" w:themeColor="accent3"/>
          <w:sz w:val="18"/>
          <w:szCs w:val="18"/>
        </w:rPr>
        <w:t>y</w:t>
      </w:r>
      <w:r w:rsidRPr="00B45CC1">
        <w:rPr>
          <w:color w:val="004C97" w:themeColor="accent3"/>
          <w:sz w:val="18"/>
          <w:szCs w:val="18"/>
        </w:rPr>
        <w:t xml:space="preserve">ear/s} </w:t>
      </w:r>
      <w:r w:rsidRPr="00B45CC1">
        <w:rPr>
          <w:sz w:val="18"/>
          <w:szCs w:val="18"/>
        </w:rPr>
        <w:t xml:space="preserve">compliance year/s and </w:t>
      </w:r>
      <w:r w:rsidRPr="00B45CC1">
        <w:rPr>
          <w:color w:val="004C97" w:themeColor="accent3"/>
          <w:sz w:val="18"/>
          <w:szCs w:val="18"/>
        </w:rPr>
        <w:t xml:space="preserve">{future years} </w:t>
      </w:r>
      <w:r w:rsidRPr="00B45CC1">
        <w:rPr>
          <w:sz w:val="18"/>
          <w:szCs w:val="18"/>
        </w:rPr>
        <w:t xml:space="preserve">from the requirements of the Standing Directions 2018 under the FMA (Standing Directions), pursuant to Direction 1.5 of the Standing Directions. </w:t>
      </w:r>
    </w:p>
    <w:p w14:paraId="2DE96D9B" w14:textId="1DF80A3A" w:rsidR="00B46CD5" w:rsidRPr="00B45CC1" w:rsidRDefault="00B46CD5" w:rsidP="00B46CD5">
      <w:pPr>
        <w:spacing w:before="0"/>
        <w:rPr>
          <w:color w:val="C00000"/>
          <w:sz w:val="18"/>
          <w:szCs w:val="18"/>
        </w:rPr>
      </w:pPr>
      <w:r w:rsidRPr="00B45CC1">
        <w:rPr>
          <w:color w:val="C00000"/>
          <w:sz w:val="18"/>
          <w:szCs w:val="18"/>
        </w:rPr>
        <w:t>[Delete above if partial exemption sought]</w:t>
      </w:r>
    </w:p>
    <w:p w14:paraId="6F1E8BF4" w14:textId="55BF7C72" w:rsidR="00B46CD5" w:rsidRPr="00B45CC1" w:rsidRDefault="00421971" w:rsidP="00B46CD5">
      <w:pPr>
        <w:spacing w:before="0"/>
        <w:rPr>
          <w:i/>
          <w:iCs/>
          <w:color w:val="C00000"/>
          <w:sz w:val="18"/>
          <w:szCs w:val="18"/>
        </w:rPr>
      </w:pPr>
      <w:r w:rsidRPr="00B45CC1">
        <w:rPr>
          <w:noProof/>
          <w:color w:val="C00000"/>
          <w:sz w:val="18"/>
          <w:szCs w:val="18"/>
        </w:rPr>
        <mc:AlternateContent>
          <mc:Choice Requires="wps">
            <w:drawing>
              <wp:anchor distT="45720" distB="45720" distL="114300" distR="114300" simplePos="0" relativeHeight="251658242" behindDoc="0" locked="0" layoutInCell="1" allowOverlap="1" wp14:anchorId="557ABABF" wp14:editId="52EDFFBC">
                <wp:simplePos x="0" y="0"/>
                <wp:positionH relativeFrom="column">
                  <wp:posOffset>5508346</wp:posOffset>
                </wp:positionH>
                <wp:positionV relativeFrom="paragraph">
                  <wp:posOffset>267030</wp:posOffset>
                </wp:positionV>
                <wp:extent cx="758185" cy="755015"/>
                <wp:effectExtent l="0" t="0" r="4445" b="6985"/>
                <wp:wrapSquare wrapText="bothSides"/>
                <wp:docPr id="1180059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85" cy="755015"/>
                        </a:xfrm>
                        <a:prstGeom prst="rect">
                          <a:avLst/>
                        </a:prstGeom>
                        <a:solidFill>
                          <a:srgbClr val="E97132">
                            <a:lumMod val="20000"/>
                            <a:lumOff val="80000"/>
                          </a:srgbClr>
                        </a:solidFill>
                        <a:ln w="9525">
                          <a:noFill/>
                          <a:miter lim="800000"/>
                          <a:headEnd/>
                          <a:tailEnd/>
                        </a:ln>
                      </wps:spPr>
                      <wps:txbx>
                        <w:txbxContent>
                          <w:p w14:paraId="0BD59770" w14:textId="77777777" w:rsidR="00B46CD5" w:rsidRPr="00A05133" w:rsidRDefault="00B46CD5" w:rsidP="00B46CD5">
                            <w:pPr>
                              <w:rPr>
                                <w:sz w:val="10"/>
                                <w:szCs w:val="10"/>
                              </w:rPr>
                            </w:pPr>
                            <w:r>
                              <w:rPr>
                                <w:sz w:val="10"/>
                                <w:szCs w:val="10"/>
                              </w:rPr>
                              <w:t>Use if seeking FMA determination – composite report.</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ABABF" id="_x0000_s1057" type="#_x0000_t202" style="position:absolute;margin-left:433.75pt;margin-top:21.05pt;width:59.7pt;height:59.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" fillcolor="#fbe3d6" stroked="f">
                <v:textbox inset="3.6pt,,3.6pt">
                  <w:txbxContent>
                    <w:p w14:paraId="0BD59770" w14:textId="77777777" w:rsidR="00B46CD5" w:rsidRPr="00A05133" w:rsidRDefault="00B46CD5" w:rsidP="00B46CD5">
                      <w:pPr>
                        <w:rPr>
                          <w:sz w:val="10"/>
                          <w:szCs w:val="10"/>
                        </w:rPr>
                      </w:pPr>
                      <w:r>
                        <w:rPr>
                          <w:sz w:val="10"/>
                          <w:szCs w:val="10"/>
                        </w:rPr>
                        <w:t>Use if seeking FMA determination – composite report.</w:t>
                      </w:r>
                    </w:p>
                  </w:txbxContent>
                </v:textbox>
                <w10:wrap type="square"/>
              </v:shape>
            </w:pict>
          </mc:Fallback>
        </mc:AlternateContent>
      </w:r>
      <w:r w:rsidR="00B46CD5" w:rsidRPr="00B45CC1">
        <w:rPr>
          <w:color w:val="C00000"/>
          <w:sz w:val="18"/>
          <w:szCs w:val="18"/>
        </w:rPr>
        <w:t>AND/OR</w:t>
      </w:r>
    </w:p>
    <w:p w14:paraId="01EC0CC6" w14:textId="48748DD4" w:rsidR="00B46CD5" w:rsidRPr="00B45CC1" w:rsidRDefault="00B46CD5" w:rsidP="00722431">
      <w:pPr>
        <w:spacing w:line="240" w:lineRule="auto"/>
        <w:rPr>
          <w:i/>
          <w:iCs/>
          <w:color w:val="FF0000"/>
          <w:sz w:val="18"/>
          <w:szCs w:val="18"/>
        </w:rPr>
      </w:pPr>
      <w:r w:rsidRPr="00B45CC1">
        <w:rPr>
          <w:sz w:val="18"/>
          <w:szCs w:val="18"/>
        </w:rPr>
        <w:t xml:space="preserve">As the Accountable Officer of the </w:t>
      </w:r>
      <w:r w:rsidRPr="00B45CC1">
        <w:rPr>
          <w:color w:val="004C97" w:themeColor="accent3"/>
          <w:sz w:val="18"/>
          <w:szCs w:val="18"/>
        </w:rPr>
        <w:t>{</w:t>
      </w:r>
      <w:r w:rsidR="006310D8" w:rsidRPr="00B45CC1">
        <w:rPr>
          <w:color w:val="004C97" w:themeColor="accent3"/>
          <w:sz w:val="18"/>
          <w:szCs w:val="18"/>
        </w:rPr>
        <w:t>a</w:t>
      </w:r>
      <w:r w:rsidRPr="00B45CC1">
        <w:rPr>
          <w:color w:val="004C97" w:themeColor="accent3"/>
          <w:sz w:val="18"/>
          <w:szCs w:val="18"/>
        </w:rPr>
        <w:t xml:space="preserve">gency}, </w:t>
      </w:r>
      <w:r w:rsidRPr="00B45CC1">
        <w:rPr>
          <w:sz w:val="18"/>
          <w:szCs w:val="18"/>
        </w:rPr>
        <w:t xml:space="preserve">I [also} write to seek a determination under section 53 1 (b) of the FMA to consolidate the financial statements </w:t>
      </w:r>
      <w:r w:rsidRPr="00B45CC1">
        <w:rPr>
          <w:sz w:val="18"/>
          <w:szCs w:val="18"/>
          <w:u w:val="single"/>
        </w:rPr>
        <w:t>and</w:t>
      </w:r>
      <w:r w:rsidR="00E7082B" w:rsidRPr="00B45CC1">
        <w:rPr>
          <w:sz w:val="18"/>
          <w:szCs w:val="18"/>
          <w:u w:val="single"/>
        </w:rPr>
        <w:t xml:space="preserve"> </w:t>
      </w:r>
      <w:r w:rsidRPr="00B45CC1">
        <w:rPr>
          <w:sz w:val="18"/>
          <w:szCs w:val="18"/>
        </w:rPr>
        <w:t xml:space="preserve">report of operations for the </w:t>
      </w:r>
      <w:r w:rsidRPr="00B45CC1">
        <w:rPr>
          <w:color w:val="004C97" w:themeColor="accent3"/>
          <w:sz w:val="18"/>
          <w:szCs w:val="18"/>
        </w:rPr>
        <w:t xml:space="preserve">{Year/s} financial </w:t>
      </w:r>
      <w:r w:rsidRPr="00B45CC1">
        <w:rPr>
          <w:sz w:val="18"/>
          <w:szCs w:val="18"/>
        </w:rPr>
        <w:t xml:space="preserve">year/s and </w:t>
      </w:r>
      <w:r w:rsidRPr="00B45CC1">
        <w:rPr>
          <w:color w:val="004C97" w:themeColor="accent3"/>
          <w:sz w:val="18"/>
          <w:szCs w:val="18"/>
        </w:rPr>
        <w:t>{subsequent future years} with the (</w:t>
      </w:r>
      <w:r w:rsidR="006310D8" w:rsidRPr="00B45CC1">
        <w:rPr>
          <w:color w:val="004C97" w:themeColor="accent3"/>
          <w:sz w:val="18"/>
          <w:szCs w:val="18"/>
        </w:rPr>
        <w:t>a</w:t>
      </w:r>
      <w:r w:rsidRPr="00B45CC1">
        <w:rPr>
          <w:color w:val="004C97" w:themeColor="accent3"/>
          <w:sz w:val="18"/>
          <w:szCs w:val="18"/>
        </w:rPr>
        <w:t>gency name).</w:t>
      </w:r>
      <w:r w:rsidRPr="00B45CC1">
        <w:rPr>
          <w:color w:val="FF0000"/>
          <w:sz w:val="18"/>
          <w:szCs w:val="18"/>
        </w:rPr>
        <w:t xml:space="preserve"> </w:t>
      </w:r>
      <w:r w:rsidRPr="00B45CC1">
        <w:rPr>
          <w:color w:val="C00000"/>
          <w:sz w:val="18"/>
          <w:szCs w:val="18"/>
        </w:rPr>
        <w:t xml:space="preserve">[Delete above if </w:t>
      </w:r>
      <w:r w:rsidR="000904B4" w:rsidRPr="00B45CC1">
        <w:rPr>
          <w:color w:val="C00000"/>
          <w:sz w:val="18"/>
          <w:szCs w:val="18"/>
        </w:rPr>
        <w:t xml:space="preserve">composite reporting </w:t>
      </w:r>
      <w:r w:rsidRPr="00B45CC1">
        <w:rPr>
          <w:color w:val="C00000"/>
          <w:sz w:val="18"/>
          <w:szCs w:val="18"/>
        </w:rPr>
        <w:t>not sought]</w:t>
      </w:r>
    </w:p>
    <w:p w14:paraId="2B05FDE3" w14:textId="148C5873" w:rsidR="009608DE" w:rsidRPr="00B45CC1" w:rsidRDefault="00B46CD5" w:rsidP="00722431">
      <w:pPr>
        <w:spacing w:line="240" w:lineRule="auto"/>
        <w:rPr>
          <w:sz w:val="18"/>
          <w:szCs w:val="18"/>
        </w:rPr>
      </w:pPr>
      <w:r w:rsidRPr="00B45CC1">
        <w:rPr>
          <w:sz w:val="18"/>
          <w:szCs w:val="18"/>
        </w:rPr>
        <w:t>I recognise the importance of financial management governance, compliance and transparency</w:t>
      </w:r>
      <w:r w:rsidR="000B697C" w:rsidRPr="00B45CC1">
        <w:rPr>
          <w:sz w:val="18"/>
          <w:szCs w:val="18"/>
        </w:rPr>
        <w:t xml:space="preserve">. However, the compliance burden of the {FMA annual reporting} and {Standing Directions compliance} is considered onerous, given the size and nature of </w:t>
      </w:r>
      <w:r w:rsidR="000B697C" w:rsidRPr="00B45CC1">
        <w:rPr>
          <w:color w:val="004C97" w:themeColor="accent3"/>
          <w:sz w:val="18"/>
          <w:szCs w:val="18"/>
        </w:rPr>
        <w:t>&lt;insert agency name&gt;</w:t>
      </w:r>
      <w:r w:rsidR="000B697C" w:rsidRPr="00B45CC1">
        <w:rPr>
          <w:sz w:val="18"/>
          <w:szCs w:val="18"/>
        </w:rPr>
        <w:t xml:space="preserve"> functions as set out in this application.</w:t>
      </w:r>
      <w:r w:rsidRPr="00B45CC1">
        <w:rPr>
          <w:sz w:val="18"/>
          <w:szCs w:val="18"/>
        </w:rPr>
        <w:t xml:space="preserve"> </w:t>
      </w:r>
      <w:r w:rsidR="009608DE" w:rsidRPr="00B45CC1">
        <w:rPr>
          <w:sz w:val="18"/>
          <w:szCs w:val="18"/>
        </w:rPr>
        <w:t>Applying a different standard of financial management compared to other VPS agencies presents a manageable risk in this situation. The risk is outweighed by the reduced cost of compliance, which presents an overall benefit to the community.</w:t>
      </w:r>
    </w:p>
    <w:p w14:paraId="4DB5C09E" w14:textId="7ACB3AA1" w:rsidR="00B46CD5" w:rsidRPr="00B45CC1" w:rsidRDefault="00B46CD5" w:rsidP="00722431">
      <w:pPr>
        <w:spacing w:line="240" w:lineRule="auto"/>
        <w:rPr>
          <w:sz w:val="18"/>
          <w:szCs w:val="18"/>
        </w:rPr>
      </w:pPr>
      <w:r w:rsidRPr="00B45CC1">
        <w:rPr>
          <w:color w:val="004C97" w:themeColor="accent3"/>
          <w:sz w:val="18"/>
          <w:szCs w:val="18"/>
        </w:rPr>
        <w:t xml:space="preserve">&lt;Insert name of department&gt; </w:t>
      </w:r>
      <w:r w:rsidRPr="00B45CC1">
        <w:rPr>
          <w:sz w:val="18"/>
          <w:szCs w:val="18"/>
        </w:rPr>
        <w:t xml:space="preserve">supports </w:t>
      </w:r>
      <w:r w:rsidRPr="00B45CC1">
        <w:rPr>
          <w:color w:val="004C97" w:themeColor="accent3"/>
          <w:sz w:val="18"/>
          <w:szCs w:val="18"/>
        </w:rPr>
        <w:t>&lt;insert agency name&gt;</w:t>
      </w:r>
      <w:r w:rsidRPr="00B45CC1">
        <w:rPr>
          <w:sz w:val="18"/>
          <w:szCs w:val="18"/>
        </w:rPr>
        <w:t xml:space="preserve">’s request for a </w:t>
      </w:r>
      <w:r w:rsidRPr="00B45CC1">
        <w:rPr>
          <w:color w:val="004C97" w:themeColor="accent3"/>
          <w:sz w:val="18"/>
          <w:szCs w:val="18"/>
        </w:rPr>
        <w:t>partial/full</w:t>
      </w:r>
      <w:r w:rsidRPr="00B45CC1">
        <w:rPr>
          <w:sz w:val="18"/>
          <w:szCs w:val="18"/>
        </w:rPr>
        <w:t xml:space="preserve"> exemption from the Standing Directions, and a </w:t>
      </w:r>
      <w:r w:rsidR="002679B6" w:rsidRPr="00B45CC1">
        <w:rPr>
          <w:sz w:val="18"/>
          <w:szCs w:val="18"/>
        </w:rPr>
        <w:t xml:space="preserve">composite report </w:t>
      </w:r>
      <w:r w:rsidRPr="00B45CC1">
        <w:rPr>
          <w:sz w:val="18"/>
          <w:szCs w:val="18"/>
        </w:rPr>
        <w:t xml:space="preserve">of the financial statements and/or report of operations </w:t>
      </w:r>
      <w:r w:rsidR="00421971" w:rsidRPr="00B45CC1">
        <w:rPr>
          <w:color w:val="C00000"/>
          <w:sz w:val="18"/>
          <w:szCs w:val="18"/>
        </w:rPr>
        <w:t>[</w:t>
      </w:r>
      <w:r w:rsidRPr="00B45CC1">
        <w:rPr>
          <w:color w:val="C00000"/>
          <w:sz w:val="18"/>
          <w:szCs w:val="18"/>
        </w:rPr>
        <w:t xml:space="preserve">Delete if </w:t>
      </w:r>
      <w:r w:rsidR="002679B6" w:rsidRPr="00B45CC1">
        <w:rPr>
          <w:color w:val="C00000"/>
          <w:sz w:val="18"/>
          <w:szCs w:val="18"/>
        </w:rPr>
        <w:t xml:space="preserve">composite reporting </w:t>
      </w:r>
      <w:r w:rsidRPr="00B45CC1">
        <w:rPr>
          <w:color w:val="C00000"/>
          <w:sz w:val="18"/>
          <w:szCs w:val="18"/>
        </w:rPr>
        <w:t>not sought</w:t>
      </w:r>
      <w:r w:rsidR="00421971" w:rsidRPr="00B45CC1">
        <w:rPr>
          <w:color w:val="C00000"/>
          <w:sz w:val="18"/>
          <w:szCs w:val="18"/>
        </w:rPr>
        <w:t>]</w:t>
      </w:r>
      <w:r w:rsidRPr="00B45CC1">
        <w:rPr>
          <w:color w:val="C00000"/>
          <w:sz w:val="18"/>
          <w:szCs w:val="18"/>
        </w:rPr>
        <w:t>.</w:t>
      </w:r>
    </w:p>
    <w:p w14:paraId="7573B2B3" w14:textId="13BD7A9F" w:rsidR="00B46CD5" w:rsidRPr="00B45CC1" w:rsidRDefault="00B46CD5" w:rsidP="00B46CD5">
      <w:pPr>
        <w:spacing w:before="0"/>
        <w:rPr>
          <w:rFonts w:asciiTheme="majorHAnsi" w:hAnsiTheme="majorHAnsi"/>
          <w:iCs/>
          <w:sz w:val="18"/>
          <w:szCs w:val="18"/>
        </w:rPr>
      </w:pPr>
      <w:r w:rsidRPr="00B45CC1">
        <w:rPr>
          <w:rFonts w:asciiTheme="majorHAnsi" w:hAnsiTheme="majorHAnsi"/>
          <w:iCs/>
          <w:sz w:val="18"/>
          <w:szCs w:val="18"/>
        </w:rPr>
        <w:lastRenderedPageBreak/>
        <w:t>Agency background (example)</w:t>
      </w:r>
    </w:p>
    <w:p w14:paraId="729B841F" w14:textId="78CB2668" w:rsidR="00B46CD5" w:rsidRPr="00B45CC1" w:rsidRDefault="00B46CD5" w:rsidP="00722431">
      <w:pPr>
        <w:spacing w:line="240" w:lineRule="auto"/>
        <w:rPr>
          <w:sz w:val="18"/>
          <w:szCs w:val="18"/>
        </w:rPr>
      </w:pPr>
      <w:r w:rsidRPr="00B45CC1">
        <w:rPr>
          <w:sz w:val="18"/>
          <w:szCs w:val="18"/>
        </w:rPr>
        <w:t xml:space="preserve">The </w:t>
      </w:r>
      <w:r w:rsidRPr="00B45CC1">
        <w:rPr>
          <w:color w:val="004C97" w:themeColor="accent3"/>
          <w:sz w:val="18"/>
          <w:szCs w:val="18"/>
        </w:rPr>
        <w:t xml:space="preserve">{Agency} </w:t>
      </w:r>
      <w:r w:rsidRPr="00B45CC1">
        <w:rPr>
          <w:sz w:val="18"/>
          <w:szCs w:val="18"/>
        </w:rPr>
        <w:t>is, pursuant to the FMA,</w:t>
      </w:r>
      <w:r w:rsidRPr="00B45CC1">
        <w:rPr>
          <w:i/>
          <w:sz w:val="18"/>
          <w:szCs w:val="18"/>
        </w:rPr>
        <w:t xml:space="preserve"> </w:t>
      </w:r>
      <w:r w:rsidRPr="00B45CC1">
        <w:rPr>
          <w:sz w:val="18"/>
          <w:szCs w:val="18"/>
        </w:rPr>
        <w:t xml:space="preserve">a public body. As such, it has an obligation to prepare an Annual Report to Parliament. </w:t>
      </w:r>
      <w:r w:rsidRPr="00B45CC1">
        <w:rPr>
          <w:i/>
          <w:iCs/>
          <w:color w:val="FF0000"/>
          <w:sz w:val="18"/>
          <w:szCs w:val="18"/>
        </w:rPr>
        <w:t>If applicable</w:t>
      </w:r>
      <w:r w:rsidRPr="00B45CC1">
        <w:rPr>
          <w:color w:val="FF0000"/>
          <w:sz w:val="18"/>
          <w:szCs w:val="18"/>
        </w:rPr>
        <w:t xml:space="preserve"> </w:t>
      </w:r>
      <w:r w:rsidRPr="00B45CC1">
        <w:rPr>
          <w:color w:val="004C97" w:themeColor="accent3"/>
          <w:sz w:val="18"/>
          <w:szCs w:val="18"/>
        </w:rPr>
        <w:t xml:space="preserve">&lt;However, pursuant to section 53 of the FMA, the </w:t>
      </w:r>
      <w:r w:rsidR="00E74EBC" w:rsidRPr="00B45CC1">
        <w:rPr>
          <w:color w:val="004C97" w:themeColor="accent3"/>
          <w:sz w:val="18"/>
          <w:szCs w:val="18"/>
        </w:rPr>
        <w:t>Minister for Finance</w:t>
      </w:r>
      <w:r w:rsidRPr="00B45CC1">
        <w:rPr>
          <w:color w:val="004C97" w:themeColor="accent3"/>
          <w:sz w:val="18"/>
          <w:szCs w:val="18"/>
        </w:rPr>
        <w:t xml:space="preserve"> has issued a Determination that the {Department/Agency} Annual Report incorporates that of the {Agency}&gt;</w:t>
      </w:r>
      <w:r w:rsidRPr="00B45CC1">
        <w:rPr>
          <w:sz w:val="18"/>
          <w:szCs w:val="18"/>
        </w:rPr>
        <w:t>.</w:t>
      </w:r>
    </w:p>
    <w:p w14:paraId="53288648" w14:textId="39516703" w:rsidR="00B46CD5" w:rsidRPr="00B45CC1" w:rsidRDefault="00B46CD5" w:rsidP="00722431">
      <w:pPr>
        <w:spacing w:line="240" w:lineRule="auto"/>
        <w:rPr>
          <w:color w:val="FF0000"/>
          <w:sz w:val="18"/>
          <w:szCs w:val="18"/>
        </w:rPr>
      </w:pPr>
      <w:r w:rsidRPr="00B45CC1">
        <w:rPr>
          <w:sz w:val="18"/>
          <w:szCs w:val="18"/>
        </w:rPr>
        <w:t xml:space="preserve">The </w:t>
      </w:r>
      <w:r w:rsidRPr="00B45CC1">
        <w:rPr>
          <w:color w:val="004C97" w:themeColor="accent3"/>
          <w:sz w:val="18"/>
          <w:szCs w:val="18"/>
        </w:rPr>
        <w:t xml:space="preserve">{Agency} </w:t>
      </w:r>
      <w:r w:rsidRPr="00B45CC1">
        <w:rPr>
          <w:sz w:val="18"/>
          <w:szCs w:val="18"/>
        </w:rPr>
        <w:t>is a legal entity established under {</w:t>
      </w:r>
      <w:r w:rsidRPr="00B45CC1">
        <w:rPr>
          <w:color w:val="004C97" w:themeColor="accent3"/>
          <w:sz w:val="18"/>
          <w:szCs w:val="18"/>
        </w:rPr>
        <w:t xml:space="preserve">legislation} </w:t>
      </w:r>
      <w:r w:rsidRPr="00B45CC1">
        <w:rPr>
          <w:sz w:val="18"/>
          <w:szCs w:val="18"/>
        </w:rPr>
        <w:t xml:space="preserve">and is overseen by a Responsible Body (Board) that </w:t>
      </w:r>
      <w:r w:rsidRPr="00B45CC1">
        <w:rPr>
          <w:color w:val="C00000"/>
          <w:sz w:val="18"/>
          <w:szCs w:val="18"/>
        </w:rPr>
        <w:t>…</w:t>
      </w:r>
      <w:r w:rsidRPr="00B45CC1">
        <w:rPr>
          <w:rFonts w:asciiTheme="majorHAnsi" w:hAnsiTheme="majorHAnsi"/>
          <w:color w:val="C00000"/>
          <w:sz w:val="18"/>
          <w:szCs w:val="18"/>
        </w:rPr>
        <w:t xml:space="preserve"> </w:t>
      </w:r>
      <w:r w:rsidRPr="00B45CC1">
        <w:rPr>
          <w:color w:val="C00000"/>
          <w:sz w:val="18"/>
          <w:szCs w:val="18"/>
        </w:rPr>
        <w:t>{briefly outline agency governance arrangements</w:t>
      </w:r>
      <w:r w:rsidR="00BC4459" w:rsidRPr="00B45CC1">
        <w:rPr>
          <w:color w:val="C00000"/>
          <w:sz w:val="18"/>
          <w:szCs w:val="18"/>
        </w:rPr>
        <w:t xml:space="preserve"> – </w:t>
      </w:r>
      <w:r w:rsidR="00D66D36" w:rsidRPr="00B45CC1">
        <w:rPr>
          <w:color w:val="C00000"/>
          <w:sz w:val="18"/>
          <w:szCs w:val="18"/>
        </w:rPr>
        <w:t xml:space="preserve">for a sample </w:t>
      </w:r>
      <w:r w:rsidR="00682153" w:rsidRPr="00B45CC1">
        <w:rPr>
          <w:color w:val="C00000"/>
          <w:sz w:val="18"/>
          <w:szCs w:val="18"/>
        </w:rPr>
        <w:t>arrangement,</w:t>
      </w:r>
      <w:r w:rsidR="00D66D36" w:rsidRPr="00B45CC1">
        <w:rPr>
          <w:color w:val="C00000"/>
          <w:sz w:val="18"/>
          <w:szCs w:val="18"/>
        </w:rPr>
        <w:t xml:space="preserve"> refer to the Guidance</w:t>
      </w:r>
      <w:r w:rsidRPr="00B45CC1">
        <w:rPr>
          <w:color w:val="C00000"/>
          <w:sz w:val="18"/>
          <w:szCs w:val="18"/>
        </w:rPr>
        <w:t>}.</w:t>
      </w:r>
    </w:p>
    <w:p w14:paraId="2663E22C" w14:textId="77777777" w:rsidR="00B46CD5" w:rsidRPr="00B45CC1" w:rsidRDefault="00B46CD5" w:rsidP="00421971">
      <w:pPr>
        <w:spacing w:before="0"/>
        <w:rPr>
          <w:rFonts w:asciiTheme="majorHAnsi" w:hAnsiTheme="majorHAnsi"/>
          <w:iCs/>
          <w:sz w:val="18"/>
          <w:szCs w:val="18"/>
        </w:rPr>
      </w:pPr>
      <w:r w:rsidRPr="00B45CC1">
        <w:rPr>
          <w:rFonts w:asciiTheme="majorHAnsi" w:hAnsiTheme="majorHAnsi"/>
          <w:iCs/>
          <w:sz w:val="18"/>
          <w:szCs w:val="18"/>
        </w:rPr>
        <w:t>Agency complexity and risk analysis</w:t>
      </w:r>
    </w:p>
    <w:p w14:paraId="018C48DB" w14:textId="3CF9D827" w:rsidR="00ED56CC" w:rsidRPr="00B45CC1" w:rsidRDefault="00B46CD5" w:rsidP="00722431">
      <w:pPr>
        <w:spacing w:line="240" w:lineRule="auto"/>
        <w:rPr>
          <w:sz w:val="18"/>
          <w:szCs w:val="18"/>
        </w:rPr>
      </w:pPr>
      <w:r w:rsidRPr="00B45CC1">
        <w:rPr>
          <w:color w:val="C00000"/>
          <w:sz w:val="18"/>
          <w:szCs w:val="18"/>
        </w:rPr>
        <w:t xml:space="preserve">The </w:t>
      </w:r>
      <w:r w:rsidRPr="00B45CC1">
        <w:rPr>
          <w:color w:val="004C97" w:themeColor="accent3"/>
          <w:sz w:val="18"/>
          <w:szCs w:val="18"/>
        </w:rPr>
        <w:t>{</w:t>
      </w:r>
      <w:r w:rsidR="007E0DD7" w:rsidRPr="00B45CC1">
        <w:rPr>
          <w:color w:val="004C97" w:themeColor="accent3"/>
          <w:sz w:val="18"/>
          <w:szCs w:val="18"/>
        </w:rPr>
        <w:t>a</w:t>
      </w:r>
      <w:r w:rsidRPr="00B45CC1">
        <w:rPr>
          <w:color w:val="004C97" w:themeColor="accent3"/>
          <w:sz w:val="18"/>
          <w:szCs w:val="18"/>
        </w:rPr>
        <w:t xml:space="preserve">gency} </w:t>
      </w:r>
      <w:r w:rsidRPr="00B45CC1">
        <w:rPr>
          <w:sz w:val="18"/>
          <w:szCs w:val="18"/>
        </w:rPr>
        <w:t xml:space="preserve">operates in a low complexity environment as summarised below. The low level of complexity in most of the </w:t>
      </w:r>
      <w:r w:rsidRPr="00B45CC1">
        <w:rPr>
          <w:color w:val="004C97" w:themeColor="accent3"/>
          <w:sz w:val="18"/>
          <w:szCs w:val="18"/>
        </w:rPr>
        <w:t>{</w:t>
      </w:r>
      <w:r w:rsidR="007E0DD7" w:rsidRPr="00B45CC1">
        <w:rPr>
          <w:color w:val="004C97" w:themeColor="accent3"/>
          <w:sz w:val="18"/>
          <w:szCs w:val="18"/>
        </w:rPr>
        <w:t>a</w:t>
      </w:r>
      <w:r w:rsidRPr="00B45CC1">
        <w:rPr>
          <w:color w:val="004C97" w:themeColor="accent3"/>
          <w:sz w:val="18"/>
          <w:szCs w:val="18"/>
        </w:rPr>
        <w:t xml:space="preserve">gency} </w:t>
      </w:r>
      <w:r w:rsidRPr="00B45CC1">
        <w:rPr>
          <w:sz w:val="18"/>
          <w:szCs w:val="18"/>
        </w:rPr>
        <w:t>critical operating parameters result in low overall financial risk.</w:t>
      </w:r>
      <w:r w:rsidR="00ED56CC" w:rsidRPr="00B45CC1">
        <w:rPr>
          <w:sz w:val="18"/>
          <w:szCs w:val="18"/>
        </w:rPr>
        <w:t xml:space="preserve"> </w:t>
      </w:r>
      <w:r w:rsidR="00ED56CC" w:rsidRPr="00B45CC1">
        <w:rPr>
          <w:color w:val="C00000"/>
          <w:sz w:val="18"/>
          <w:szCs w:val="18"/>
        </w:rPr>
        <w:t>Please provide details in the Risk profile assessment information matrix attachment (see Attachment 1)</w:t>
      </w:r>
    </w:p>
    <w:p w14:paraId="4F0D6B97" w14:textId="77777777" w:rsidR="00B46CD5" w:rsidRPr="00B45CC1" w:rsidRDefault="00B46CD5" w:rsidP="00B45CC1">
      <w:pPr>
        <w:spacing w:before="0"/>
        <w:rPr>
          <w:rFonts w:asciiTheme="majorHAnsi" w:hAnsiTheme="majorHAnsi"/>
          <w:iCs/>
          <w:sz w:val="18"/>
          <w:szCs w:val="18"/>
        </w:rPr>
      </w:pPr>
      <w:r w:rsidRPr="00B45CC1">
        <w:rPr>
          <w:rFonts w:asciiTheme="majorHAnsi" w:hAnsiTheme="majorHAnsi"/>
          <w:iCs/>
          <w:sz w:val="18"/>
          <w:szCs w:val="18"/>
        </w:rPr>
        <w:t>Audit findings</w:t>
      </w:r>
    </w:p>
    <w:p w14:paraId="50E55B7E" w14:textId="57E627AF" w:rsidR="00B46CD5" w:rsidRPr="00B45CC1" w:rsidRDefault="00B46CD5" w:rsidP="00722431">
      <w:pPr>
        <w:spacing w:line="240" w:lineRule="auto"/>
        <w:rPr>
          <w:rFonts w:asciiTheme="majorHAnsi" w:hAnsiTheme="majorHAnsi"/>
          <w:color w:val="C00000"/>
          <w:sz w:val="18"/>
          <w:szCs w:val="18"/>
        </w:rPr>
      </w:pPr>
      <w:r w:rsidRPr="00B45CC1">
        <w:rPr>
          <w:color w:val="C00000"/>
          <w:sz w:val="18"/>
          <w:szCs w:val="18"/>
        </w:rPr>
        <w:t xml:space="preserve">Has there been any key audit findings (internal or external) that might suggest significant deficiencies in the </w:t>
      </w:r>
      <w:r w:rsidR="008265B4" w:rsidRPr="00B45CC1">
        <w:rPr>
          <w:color w:val="C00000"/>
          <w:sz w:val="18"/>
          <w:szCs w:val="18"/>
        </w:rPr>
        <w:t>a</w:t>
      </w:r>
      <w:r w:rsidRPr="00B45CC1">
        <w:rPr>
          <w:color w:val="C00000"/>
          <w:sz w:val="18"/>
          <w:szCs w:val="18"/>
        </w:rPr>
        <w:t xml:space="preserve">gency’s financial management and internal control systems in the last 3 years? </w:t>
      </w:r>
      <w:r w:rsidRPr="00B45CC1">
        <w:rPr>
          <w:rFonts w:asciiTheme="majorHAnsi" w:hAnsiTheme="majorHAnsi"/>
          <w:color w:val="C00000"/>
          <w:sz w:val="18"/>
          <w:szCs w:val="18"/>
        </w:rPr>
        <w:t>If yes, please specify.</w:t>
      </w:r>
    </w:p>
    <w:p w14:paraId="09F3D03C" w14:textId="77777777" w:rsidR="00B46CD5" w:rsidRPr="00B45CC1" w:rsidRDefault="00B46CD5" w:rsidP="00B46CD5">
      <w:pPr>
        <w:rPr>
          <w:rFonts w:asciiTheme="majorHAnsi" w:hAnsiTheme="majorHAnsi"/>
          <w:iCs/>
          <w:sz w:val="18"/>
          <w:szCs w:val="18"/>
        </w:rPr>
      </w:pPr>
      <w:r w:rsidRPr="00B45CC1">
        <w:rPr>
          <w:rFonts w:asciiTheme="majorHAnsi" w:hAnsiTheme="majorHAnsi"/>
          <w:iCs/>
          <w:sz w:val="18"/>
          <w:szCs w:val="18"/>
        </w:rPr>
        <w:t>Overall profile</w:t>
      </w:r>
    </w:p>
    <w:p w14:paraId="69885101" w14:textId="4D862FD5" w:rsidR="00B46CD5" w:rsidRPr="00B45CC1" w:rsidRDefault="00B46CD5" w:rsidP="00722431">
      <w:pPr>
        <w:spacing w:line="240" w:lineRule="auto"/>
        <w:rPr>
          <w:rFonts w:asciiTheme="majorHAnsi" w:hAnsiTheme="majorHAnsi"/>
          <w:color w:val="C00000"/>
          <w:sz w:val="18"/>
          <w:szCs w:val="18"/>
        </w:rPr>
      </w:pPr>
      <w:r w:rsidRPr="00B45CC1">
        <w:rPr>
          <w:color w:val="C00000"/>
          <w:sz w:val="18"/>
          <w:szCs w:val="18"/>
        </w:rPr>
        <w:t xml:space="preserve">Has there been any significant change to the </w:t>
      </w:r>
      <w:r w:rsidR="008265B4" w:rsidRPr="00B45CC1">
        <w:rPr>
          <w:color w:val="C00000"/>
          <w:sz w:val="18"/>
          <w:szCs w:val="18"/>
        </w:rPr>
        <w:t>a</w:t>
      </w:r>
      <w:r w:rsidRPr="00B45CC1">
        <w:rPr>
          <w:color w:val="C00000"/>
          <w:sz w:val="18"/>
          <w:szCs w:val="18"/>
        </w:rPr>
        <w:t xml:space="preserve">gency’s overall risk profile and functions in the last </w:t>
      </w:r>
      <w:r w:rsidR="00BF2FDF" w:rsidRPr="00B45CC1">
        <w:rPr>
          <w:color w:val="C00000"/>
          <w:sz w:val="18"/>
          <w:szCs w:val="18"/>
        </w:rPr>
        <w:t>three</w:t>
      </w:r>
      <w:r w:rsidRPr="00B45CC1">
        <w:rPr>
          <w:color w:val="C00000"/>
          <w:sz w:val="18"/>
          <w:szCs w:val="18"/>
        </w:rPr>
        <w:t xml:space="preserve"> years? </w:t>
      </w:r>
      <w:r w:rsidRPr="00B45CC1">
        <w:rPr>
          <w:rFonts w:asciiTheme="majorHAnsi" w:hAnsiTheme="majorHAnsi"/>
          <w:color w:val="C00000"/>
          <w:sz w:val="18"/>
          <w:szCs w:val="18"/>
        </w:rPr>
        <w:t>If so, please provide details.</w:t>
      </w:r>
    </w:p>
    <w:p w14:paraId="2D9890F2" w14:textId="77777777" w:rsidR="00B46CD5" w:rsidRPr="00B45CC1" w:rsidRDefault="00B46CD5" w:rsidP="00B46CD5">
      <w:pPr>
        <w:rPr>
          <w:rFonts w:asciiTheme="majorHAnsi" w:hAnsiTheme="majorHAnsi"/>
          <w:iCs/>
          <w:sz w:val="18"/>
          <w:szCs w:val="18"/>
        </w:rPr>
      </w:pPr>
      <w:r w:rsidRPr="00B45CC1">
        <w:rPr>
          <w:rFonts w:asciiTheme="majorHAnsi" w:hAnsiTheme="majorHAnsi"/>
          <w:iCs/>
          <w:sz w:val="18"/>
          <w:szCs w:val="18"/>
        </w:rPr>
        <w:t>Change in operations</w:t>
      </w:r>
    </w:p>
    <w:p w14:paraId="50FD57E0" w14:textId="77777777" w:rsidR="00B46CD5" w:rsidRPr="00B45CC1" w:rsidRDefault="00B46CD5" w:rsidP="00722431">
      <w:pPr>
        <w:spacing w:line="240" w:lineRule="auto"/>
        <w:rPr>
          <w:color w:val="C00000"/>
          <w:sz w:val="18"/>
          <w:szCs w:val="18"/>
        </w:rPr>
      </w:pPr>
      <w:r w:rsidRPr="00B45CC1">
        <w:rPr>
          <w:color w:val="C00000"/>
          <w:sz w:val="18"/>
          <w:szCs w:val="18"/>
        </w:rPr>
        <w:t>Are there any anticipated changes to operations in the medium term? If yes, please specify the projected changes.</w:t>
      </w:r>
    </w:p>
    <w:p w14:paraId="2220FC8D" w14:textId="77777777" w:rsidR="00B46CD5" w:rsidRPr="00B45CC1" w:rsidRDefault="00B46CD5" w:rsidP="00B46CD5">
      <w:pPr>
        <w:rPr>
          <w:rFonts w:asciiTheme="majorHAnsi" w:hAnsiTheme="majorHAnsi"/>
          <w:iCs/>
          <w:sz w:val="18"/>
          <w:szCs w:val="18"/>
        </w:rPr>
      </w:pPr>
      <w:r w:rsidRPr="00B45CC1">
        <w:rPr>
          <w:rFonts w:asciiTheme="majorHAnsi" w:hAnsiTheme="majorHAnsi"/>
          <w:iCs/>
          <w:sz w:val="18"/>
          <w:szCs w:val="18"/>
        </w:rPr>
        <w:t>Board composition</w:t>
      </w:r>
    </w:p>
    <w:p w14:paraId="66856E55" w14:textId="0F4436C3" w:rsidR="00B46CD5" w:rsidRPr="00B45CC1" w:rsidRDefault="00B46CD5" w:rsidP="00722431">
      <w:pPr>
        <w:spacing w:line="240" w:lineRule="auto"/>
        <w:rPr>
          <w:rFonts w:asciiTheme="majorHAnsi" w:hAnsiTheme="majorHAnsi"/>
          <w:color w:val="C00000"/>
          <w:sz w:val="18"/>
          <w:szCs w:val="18"/>
        </w:rPr>
      </w:pPr>
      <w:r w:rsidRPr="00B45CC1">
        <w:rPr>
          <w:color w:val="C00000"/>
          <w:sz w:val="18"/>
          <w:szCs w:val="18"/>
        </w:rPr>
        <w:t xml:space="preserve">How many directors are on the </w:t>
      </w:r>
      <w:r w:rsidR="00924810" w:rsidRPr="00B45CC1">
        <w:rPr>
          <w:color w:val="C00000"/>
          <w:sz w:val="18"/>
          <w:szCs w:val="18"/>
        </w:rPr>
        <w:t>a</w:t>
      </w:r>
      <w:r w:rsidRPr="00B45CC1">
        <w:rPr>
          <w:color w:val="C00000"/>
          <w:sz w:val="18"/>
          <w:szCs w:val="18"/>
        </w:rPr>
        <w:t xml:space="preserve">gency’s Responsible </w:t>
      </w:r>
      <w:r w:rsidR="00924810" w:rsidRPr="00B45CC1">
        <w:rPr>
          <w:color w:val="C00000"/>
          <w:sz w:val="18"/>
          <w:szCs w:val="18"/>
        </w:rPr>
        <w:t>B</w:t>
      </w:r>
      <w:r w:rsidRPr="00B45CC1">
        <w:rPr>
          <w:color w:val="C00000"/>
          <w:sz w:val="18"/>
          <w:szCs w:val="18"/>
        </w:rPr>
        <w:t>ody (</w:t>
      </w:r>
      <w:r w:rsidR="00924810" w:rsidRPr="00B45CC1">
        <w:rPr>
          <w:color w:val="C00000"/>
          <w:sz w:val="18"/>
          <w:szCs w:val="18"/>
        </w:rPr>
        <w:t>b</w:t>
      </w:r>
      <w:r w:rsidRPr="00B45CC1">
        <w:rPr>
          <w:color w:val="C00000"/>
          <w:sz w:val="18"/>
          <w:szCs w:val="18"/>
        </w:rPr>
        <w:t xml:space="preserve">oard)? How many directors are independent? </w:t>
      </w:r>
      <w:r w:rsidRPr="00B45CC1">
        <w:rPr>
          <w:rFonts w:asciiTheme="majorHAnsi" w:hAnsiTheme="majorHAnsi"/>
          <w:color w:val="C00000"/>
          <w:sz w:val="18"/>
          <w:szCs w:val="18"/>
        </w:rPr>
        <w:t>Please specify.</w:t>
      </w:r>
    </w:p>
    <w:p w14:paraId="27E6AD2A" w14:textId="77777777" w:rsidR="00B46CD5" w:rsidRPr="00B45CC1" w:rsidRDefault="00B46CD5" w:rsidP="00225455">
      <w:pPr>
        <w:keepNext/>
        <w:rPr>
          <w:rFonts w:asciiTheme="majorHAnsi" w:hAnsiTheme="majorHAnsi"/>
          <w:iCs/>
          <w:sz w:val="18"/>
          <w:szCs w:val="18"/>
        </w:rPr>
      </w:pPr>
      <w:r w:rsidRPr="00B45CC1">
        <w:rPr>
          <w:rFonts w:asciiTheme="majorHAnsi" w:hAnsiTheme="majorHAnsi"/>
          <w:iCs/>
          <w:sz w:val="18"/>
          <w:szCs w:val="18"/>
        </w:rPr>
        <w:t>Corporate services</w:t>
      </w:r>
    </w:p>
    <w:p w14:paraId="578DE884" w14:textId="46F57DA7" w:rsidR="00B46CD5" w:rsidRPr="00B45CC1" w:rsidRDefault="00B46CD5" w:rsidP="00722431">
      <w:pPr>
        <w:spacing w:line="240" w:lineRule="auto"/>
        <w:rPr>
          <w:rFonts w:asciiTheme="majorHAnsi" w:hAnsiTheme="majorHAnsi"/>
          <w:color w:val="C00000"/>
          <w:sz w:val="18"/>
          <w:szCs w:val="18"/>
        </w:rPr>
      </w:pPr>
      <w:r w:rsidRPr="00B45CC1">
        <w:rPr>
          <w:color w:val="C00000"/>
          <w:sz w:val="18"/>
          <w:szCs w:val="18"/>
        </w:rPr>
        <w:t xml:space="preserve">Who provides corporate services for the </w:t>
      </w:r>
      <w:r w:rsidR="00E00A62" w:rsidRPr="00B45CC1">
        <w:rPr>
          <w:color w:val="C00000"/>
          <w:sz w:val="18"/>
          <w:szCs w:val="18"/>
        </w:rPr>
        <w:t>a</w:t>
      </w:r>
      <w:r w:rsidRPr="00B45CC1">
        <w:rPr>
          <w:color w:val="C00000"/>
          <w:sz w:val="18"/>
          <w:szCs w:val="18"/>
        </w:rPr>
        <w:t xml:space="preserve">gency? E.g. Internally, through the department, shared services, or outsourced? </w:t>
      </w:r>
      <w:r w:rsidRPr="00B45CC1">
        <w:rPr>
          <w:rFonts w:asciiTheme="majorHAnsi" w:hAnsiTheme="majorHAnsi"/>
          <w:color w:val="C00000"/>
          <w:sz w:val="18"/>
          <w:szCs w:val="18"/>
        </w:rPr>
        <w:t>Please specify.</w:t>
      </w:r>
    </w:p>
    <w:p w14:paraId="7A1DFBFF" w14:textId="77777777" w:rsidR="00B46CD5" w:rsidRPr="00B45CC1" w:rsidRDefault="00B46CD5" w:rsidP="00B46CD5">
      <w:pPr>
        <w:rPr>
          <w:rFonts w:asciiTheme="majorHAnsi" w:hAnsiTheme="majorHAnsi"/>
          <w:iCs/>
          <w:sz w:val="18"/>
          <w:szCs w:val="18"/>
        </w:rPr>
      </w:pPr>
      <w:r w:rsidRPr="00B45CC1">
        <w:rPr>
          <w:rFonts w:asciiTheme="majorHAnsi" w:hAnsiTheme="majorHAnsi"/>
          <w:iCs/>
          <w:sz w:val="18"/>
          <w:szCs w:val="18"/>
        </w:rPr>
        <w:t>Alternative arrangements and mitigating factors</w:t>
      </w:r>
    </w:p>
    <w:p w14:paraId="6B5962FD" w14:textId="52E24CF4" w:rsidR="00B46CD5" w:rsidRPr="00B45CC1" w:rsidRDefault="00B46CD5" w:rsidP="00722431">
      <w:pPr>
        <w:spacing w:line="240" w:lineRule="auto"/>
        <w:rPr>
          <w:rFonts w:asciiTheme="majorHAnsi" w:hAnsiTheme="majorHAnsi"/>
          <w:color w:val="C00000"/>
          <w:sz w:val="18"/>
          <w:szCs w:val="18"/>
        </w:rPr>
      </w:pPr>
      <w:r w:rsidRPr="00B45CC1">
        <w:rPr>
          <w:color w:val="C00000"/>
          <w:sz w:val="18"/>
          <w:szCs w:val="18"/>
        </w:rPr>
        <w:t xml:space="preserve">Has the </w:t>
      </w:r>
      <w:r w:rsidR="00E00A62" w:rsidRPr="00B45CC1">
        <w:rPr>
          <w:color w:val="C00000"/>
          <w:sz w:val="18"/>
          <w:szCs w:val="18"/>
        </w:rPr>
        <w:t>a</w:t>
      </w:r>
      <w:r w:rsidRPr="00B45CC1">
        <w:rPr>
          <w:color w:val="C00000"/>
          <w:sz w:val="18"/>
          <w:szCs w:val="18"/>
        </w:rPr>
        <w:t>gency established alternative arrangements or has other mitigating factors to ensure that no aspect of financial governance is compromised in the event of an exemption/determination being approved? If yes, please provide rationale and details</w:t>
      </w:r>
      <w:r w:rsidRPr="00B45CC1">
        <w:rPr>
          <w:rFonts w:asciiTheme="majorHAnsi" w:hAnsiTheme="majorHAnsi"/>
          <w:color w:val="C00000"/>
          <w:sz w:val="18"/>
          <w:szCs w:val="18"/>
        </w:rPr>
        <w:t xml:space="preserve"> (see example below).</w:t>
      </w:r>
    </w:p>
    <w:p w14:paraId="5F377FC4" w14:textId="77777777" w:rsidR="00B46CD5" w:rsidRPr="00B45CC1" w:rsidRDefault="00B46CD5" w:rsidP="00B45CC1">
      <w:pPr>
        <w:keepNext/>
        <w:rPr>
          <w:rFonts w:asciiTheme="majorHAnsi" w:hAnsiTheme="majorHAnsi"/>
          <w:iCs/>
          <w:sz w:val="18"/>
          <w:szCs w:val="18"/>
        </w:rPr>
      </w:pPr>
      <w:r w:rsidRPr="00B45CC1">
        <w:rPr>
          <w:rFonts w:asciiTheme="majorHAnsi" w:hAnsiTheme="majorHAnsi"/>
          <w:iCs/>
          <w:sz w:val="18"/>
          <w:szCs w:val="18"/>
        </w:rPr>
        <w:t>Full SD exemption</w:t>
      </w:r>
    </w:p>
    <w:p w14:paraId="6F2D65C8" w14:textId="4EAF0BF3" w:rsidR="00B46CD5" w:rsidRPr="00B45CC1" w:rsidRDefault="00B46CD5" w:rsidP="00B45CC1">
      <w:pPr>
        <w:keepNext/>
        <w:spacing w:line="240" w:lineRule="auto"/>
        <w:rPr>
          <w:color w:val="C00000"/>
          <w:sz w:val="18"/>
          <w:szCs w:val="18"/>
        </w:rPr>
      </w:pPr>
      <w:r w:rsidRPr="00B45CC1">
        <w:rPr>
          <w:color w:val="C00000"/>
          <w:sz w:val="18"/>
          <w:szCs w:val="18"/>
        </w:rPr>
        <w:t xml:space="preserve">For a full SD exemption please provide a detailed description of the appropriate financial arrangements established with the </w:t>
      </w:r>
      <w:r w:rsidR="00A51626" w:rsidRPr="00B45CC1">
        <w:rPr>
          <w:color w:val="C00000"/>
          <w:sz w:val="18"/>
          <w:szCs w:val="18"/>
        </w:rPr>
        <w:t>p</w:t>
      </w:r>
      <w:r w:rsidRPr="00B45CC1">
        <w:rPr>
          <w:color w:val="C00000"/>
          <w:sz w:val="18"/>
          <w:szCs w:val="18"/>
        </w:rPr>
        <w:t xml:space="preserve">ortfolio department or responsible agency. This could include: </w:t>
      </w:r>
    </w:p>
    <w:p w14:paraId="3BA692DB" w14:textId="03E2A478" w:rsidR="00B46CD5" w:rsidRPr="00B45CC1" w:rsidRDefault="00B46CD5" w:rsidP="00B45CC1">
      <w:pPr>
        <w:pStyle w:val="Bullet1"/>
        <w:keepNext/>
        <w:spacing w:line="240" w:lineRule="auto"/>
        <w:rPr>
          <w:color w:val="C00000"/>
          <w:sz w:val="18"/>
          <w:szCs w:val="18"/>
        </w:rPr>
      </w:pPr>
      <w:r w:rsidRPr="00B45CC1">
        <w:rPr>
          <w:color w:val="C00000"/>
          <w:sz w:val="18"/>
          <w:szCs w:val="18"/>
        </w:rPr>
        <w:t xml:space="preserve">the relevant </w:t>
      </w:r>
      <w:r w:rsidR="00A51626" w:rsidRPr="00B45CC1">
        <w:rPr>
          <w:color w:val="C00000"/>
          <w:sz w:val="18"/>
          <w:szCs w:val="18"/>
        </w:rPr>
        <w:t>p</w:t>
      </w:r>
      <w:r w:rsidRPr="00B45CC1">
        <w:rPr>
          <w:color w:val="C00000"/>
          <w:sz w:val="18"/>
          <w:szCs w:val="18"/>
        </w:rPr>
        <w:t xml:space="preserve">ortfolio department/responsible agency directly undertaking most of the financial management requirements on behalf of the </w:t>
      </w:r>
      <w:r w:rsidR="00A51626" w:rsidRPr="00B45CC1">
        <w:rPr>
          <w:color w:val="C00000"/>
          <w:sz w:val="18"/>
          <w:szCs w:val="18"/>
        </w:rPr>
        <w:t>a</w:t>
      </w:r>
      <w:r w:rsidRPr="00B45CC1">
        <w:rPr>
          <w:color w:val="C00000"/>
          <w:sz w:val="18"/>
          <w:szCs w:val="18"/>
        </w:rPr>
        <w:t>gency (usually under a formal agreement), or</w:t>
      </w:r>
    </w:p>
    <w:p w14:paraId="005CB64D" w14:textId="72404858" w:rsidR="00B46CD5" w:rsidRPr="00B45CC1" w:rsidRDefault="00B46CD5" w:rsidP="00722431">
      <w:pPr>
        <w:pStyle w:val="Bullet1"/>
        <w:spacing w:line="240" w:lineRule="auto"/>
        <w:rPr>
          <w:color w:val="C00000"/>
          <w:sz w:val="18"/>
          <w:szCs w:val="18"/>
        </w:rPr>
      </w:pPr>
      <w:r w:rsidRPr="00B45CC1">
        <w:rPr>
          <w:color w:val="C00000"/>
          <w:sz w:val="18"/>
          <w:szCs w:val="18"/>
        </w:rPr>
        <w:t>putting in place a tailored portfolio financial management framework and requirements guided by the S</w:t>
      </w:r>
      <w:r w:rsidR="00F57D0D" w:rsidRPr="00B45CC1">
        <w:rPr>
          <w:color w:val="C00000"/>
          <w:sz w:val="18"/>
          <w:szCs w:val="18"/>
        </w:rPr>
        <w:t xml:space="preserve">tanding </w:t>
      </w:r>
      <w:r w:rsidRPr="00B45CC1">
        <w:rPr>
          <w:color w:val="C00000"/>
          <w:sz w:val="18"/>
          <w:szCs w:val="18"/>
        </w:rPr>
        <w:t>D</w:t>
      </w:r>
      <w:r w:rsidR="00F57D0D" w:rsidRPr="00B45CC1">
        <w:rPr>
          <w:color w:val="C00000"/>
          <w:sz w:val="18"/>
          <w:szCs w:val="18"/>
        </w:rPr>
        <w:t>irection</w:t>
      </w:r>
      <w:r w:rsidRPr="00B45CC1">
        <w:rPr>
          <w:color w:val="C00000"/>
          <w:sz w:val="18"/>
          <w:szCs w:val="18"/>
        </w:rPr>
        <w:t>s and relevant for the agency or several agencies.</w:t>
      </w:r>
    </w:p>
    <w:p w14:paraId="73969571" w14:textId="77777777" w:rsidR="00B46CD5" w:rsidRPr="00B45CC1" w:rsidRDefault="00B46CD5" w:rsidP="00B45CC1">
      <w:pPr>
        <w:rPr>
          <w:rFonts w:asciiTheme="majorHAnsi" w:hAnsiTheme="majorHAnsi"/>
          <w:iCs/>
          <w:sz w:val="18"/>
          <w:szCs w:val="18"/>
        </w:rPr>
      </w:pPr>
      <w:r w:rsidRPr="00B45CC1">
        <w:rPr>
          <w:rFonts w:asciiTheme="majorHAnsi" w:hAnsiTheme="majorHAnsi"/>
          <w:iCs/>
          <w:sz w:val="18"/>
          <w:szCs w:val="18"/>
        </w:rPr>
        <w:t>Example of further rationale and details for exemption</w:t>
      </w:r>
    </w:p>
    <w:p w14:paraId="72F00769" w14:textId="77777777" w:rsidR="00B46CD5" w:rsidRPr="00B45CC1" w:rsidRDefault="00B46CD5" w:rsidP="00722431">
      <w:pPr>
        <w:spacing w:line="240" w:lineRule="auto"/>
        <w:rPr>
          <w:color w:val="004C97" w:themeColor="accent3"/>
          <w:sz w:val="18"/>
          <w:szCs w:val="18"/>
        </w:rPr>
      </w:pPr>
      <w:r w:rsidRPr="00B45CC1">
        <w:rPr>
          <w:sz w:val="18"/>
          <w:szCs w:val="18"/>
        </w:rPr>
        <w:lastRenderedPageBreak/>
        <w:t xml:space="preserve">Further, I outline the following mitigating factors and alternative actions to ensure that no aspect of financial management will be compromised if an exemption from the specific Standing Directions is granted to </w:t>
      </w:r>
      <w:r w:rsidRPr="00B45CC1">
        <w:rPr>
          <w:color w:val="004C97" w:themeColor="accent3"/>
          <w:sz w:val="18"/>
          <w:szCs w:val="18"/>
        </w:rPr>
        <w:t>{Agency}:</w:t>
      </w:r>
    </w:p>
    <w:p w14:paraId="7D592E9E" w14:textId="0B006589" w:rsidR="00B46CD5" w:rsidRPr="00B45CC1" w:rsidRDefault="00F77ACF" w:rsidP="00421971">
      <w:pPr>
        <w:pStyle w:val="Numpara"/>
        <w:rPr>
          <w:sz w:val="18"/>
          <w:szCs w:val="18"/>
        </w:rPr>
      </w:pPr>
      <w:r w:rsidRPr="00B45CC1">
        <w:rPr>
          <w:sz w:val="18"/>
          <w:szCs w:val="18"/>
        </w:rPr>
        <w:t>A</w:t>
      </w:r>
      <w:r w:rsidR="00B46CD5" w:rsidRPr="00B45CC1">
        <w:rPr>
          <w:sz w:val="18"/>
          <w:szCs w:val="18"/>
        </w:rPr>
        <w:t xml:space="preserve">s a </w:t>
      </w:r>
      <w:r w:rsidR="00B46CD5" w:rsidRPr="00B45CC1">
        <w:rPr>
          <w:color w:val="004C97" w:themeColor="accent3"/>
          <w:sz w:val="18"/>
          <w:szCs w:val="18"/>
        </w:rPr>
        <w:t>{</w:t>
      </w:r>
      <w:r w:rsidR="00223836" w:rsidRPr="00B45CC1">
        <w:rPr>
          <w:color w:val="004C97" w:themeColor="accent3"/>
          <w:sz w:val="18"/>
          <w:szCs w:val="18"/>
        </w:rPr>
        <w:t>n</w:t>
      </w:r>
      <w:r w:rsidR="00B46CD5" w:rsidRPr="00B45CC1">
        <w:rPr>
          <w:color w:val="004C97" w:themeColor="accent3"/>
          <w:sz w:val="18"/>
          <w:szCs w:val="18"/>
        </w:rPr>
        <w:t xml:space="preserve">o.} </w:t>
      </w:r>
      <w:r w:rsidR="00B46CD5" w:rsidRPr="00B45CC1">
        <w:rPr>
          <w:sz w:val="18"/>
          <w:szCs w:val="18"/>
        </w:rPr>
        <w:t xml:space="preserve">member corporate body structure, these Directions will not create a meaningful improvement in overall governance. They will increase the costs of compliance </w:t>
      </w:r>
      <w:proofErr w:type="gramStart"/>
      <w:r w:rsidR="00B46CD5" w:rsidRPr="00B45CC1">
        <w:rPr>
          <w:sz w:val="18"/>
          <w:szCs w:val="18"/>
        </w:rPr>
        <w:t>as a result of</w:t>
      </w:r>
      <w:proofErr w:type="gramEnd"/>
      <w:r w:rsidR="00B46CD5" w:rsidRPr="00B45CC1">
        <w:rPr>
          <w:sz w:val="18"/>
          <w:szCs w:val="18"/>
        </w:rPr>
        <w:t xml:space="preserve"> committing extra resources, primarily the engagement of additional contractors, to set up a separate Audit Committee and </w:t>
      </w:r>
      <w:r w:rsidR="008D7A79" w:rsidRPr="00B45CC1">
        <w:rPr>
          <w:sz w:val="18"/>
          <w:szCs w:val="18"/>
        </w:rPr>
        <w:t>i</w:t>
      </w:r>
      <w:r w:rsidR="00B46CD5" w:rsidRPr="00B45CC1">
        <w:rPr>
          <w:sz w:val="18"/>
          <w:szCs w:val="18"/>
        </w:rPr>
        <w:t xml:space="preserve">nternal </w:t>
      </w:r>
      <w:r w:rsidR="008D7A79" w:rsidRPr="00B45CC1">
        <w:rPr>
          <w:sz w:val="18"/>
          <w:szCs w:val="18"/>
        </w:rPr>
        <w:t>a</w:t>
      </w:r>
      <w:r w:rsidR="00B46CD5" w:rsidRPr="00B45CC1">
        <w:rPr>
          <w:sz w:val="18"/>
          <w:szCs w:val="18"/>
        </w:rPr>
        <w:t xml:space="preserve">udit function to meet the requirements of the Standing </w:t>
      </w:r>
      <w:r w:rsidR="00B311C1" w:rsidRPr="00B45CC1">
        <w:rPr>
          <w:sz w:val="18"/>
          <w:szCs w:val="18"/>
        </w:rPr>
        <w:t>Directions.</w:t>
      </w:r>
    </w:p>
    <w:p w14:paraId="615E5DC1" w14:textId="2FD62706" w:rsidR="00B46CD5" w:rsidRPr="00B45CC1" w:rsidRDefault="00F77ACF" w:rsidP="00421971">
      <w:pPr>
        <w:pStyle w:val="Numpara"/>
        <w:rPr>
          <w:sz w:val="18"/>
          <w:szCs w:val="18"/>
        </w:rPr>
      </w:pPr>
      <w:r w:rsidRPr="00B45CC1">
        <w:rPr>
          <w:sz w:val="18"/>
          <w:szCs w:val="18"/>
        </w:rPr>
        <w:t>T</w:t>
      </w:r>
      <w:r w:rsidR="00B46CD5" w:rsidRPr="00B45CC1">
        <w:rPr>
          <w:sz w:val="18"/>
          <w:szCs w:val="18"/>
        </w:rPr>
        <w:t xml:space="preserve">he </w:t>
      </w:r>
      <w:r w:rsidR="00B46CD5" w:rsidRPr="00B45CC1">
        <w:rPr>
          <w:color w:val="004C97" w:themeColor="accent3"/>
          <w:sz w:val="18"/>
          <w:szCs w:val="18"/>
        </w:rPr>
        <w:t>{</w:t>
      </w:r>
      <w:r w:rsidR="00AB27D3" w:rsidRPr="00B45CC1">
        <w:rPr>
          <w:color w:val="004C97" w:themeColor="accent3"/>
          <w:sz w:val="18"/>
          <w:szCs w:val="18"/>
        </w:rPr>
        <w:t>a</w:t>
      </w:r>
      <w:r w:rsidR="00B46CD5" w:rsidRPr="00B45CC1">
        <w:rPr>
          <w:color w:val="004C97" w:themeColor="accent3"/>
          <w:sz w:val="18"/>
          <w:szCs w:val="18"/>
        </w:rPr>
        <w:t xml:space="preserve">gency} </w:t>
      </w:r>
      <w:r w:rsidR="00B46CD5" w:rsidRPr="00B45CC1">
        <w:rPr>
          <w:sz w:val="18"/>
          <w:szCs w:val="18"/>
        </w:rPr>
        <w:t xml:space="preserve">complexity and risk levels have been and are expected to remain </w:t>
      </w:r>
      <w:r w:rsidR="00B311C1" w:rsidRPr="00B45CC1">
        <w:rPr>
          <w:sz w:val="18"/>
          <w:szCs w:val="18"/>
        </w:rPr>
        <w:t>low.</w:t>
      </w:r>
    </w:p>
    <w:p w14:paraId="7C3FA6C7" w14:textId="7D41804C" w:rsidR="00B46CD5" w:rsidRPr="00B45CC1" w:rsidRDefault="00567EEE" w:rsidP="00421971">
      <w:pPr>
        <w:pStyle w:val="Numpara"/>
        <w:rPr>
          <w:sz w:val="18"/>
          <w:szCs w:val="18"/>
        </w:rPr>
      </w:pPr>
      <w:r w:rsidRPr="00B45CC1">
        <w:rPr>
          <w:sz w:val="18"/>
          <w:szCs w:val="18"/>
        </w:rPr>
        <w:t>T</w:t>
      </w:r>
      <w:r w:rsidR="00B46CD5" w:rsidRPr="00B45CC1">
        <w:rPr>
          <w:sz w:val="18"/>
          <w:szCs w:val="18"/>
        </w:rPr>
        <w:t xml:space="preserve">he </w:t>
      </w:r>
      <w:r w:rsidR="00B46CD5" w:rsidRPr="00B45CC1">
        <w:rPr>
          <w:color w:val="004C97" w:themeColor="accent3"/>
          <w:sz w:val="18"/>
          <w:szCs w:val="18"/>
        </w:rPr>
        <w:t>{</w:t>
      </w:r>
      <w:r w:rsidR="00AB27D3" w:rsidRPr="00B45CC1">
        <w:rPr>
          <w:color w:val="004C97" w:themeColor="accent3"/>
          <w:sz w:val="18"/>
          <w:szCs w:val="18"/>
        </w:rPr>
        <w:t>d</w:t>
      </w:r>
      <w:r w:rsidR="00B46CD5" w:rsidRPr="00B45CC1">
        <w:rPr>
          <w:color w:val="004C97" w:themeColor="accent3"/>
          <w:sz w:val="18"/>
          <w:szCs w:val="18"/>
        </w:rPr>
        <w:t>epartment/</w:t>
      </w:r>
      <w:r w:rsidR="00E606ED" w:rsidRPr="00B45CC1">
        <w:rPr>
          <w:color w:val="004C97" w:themeColor="accent3"/>
          <w:sz w:val="18"/>
          <w:szCs w:val="18"/>
        </w:rPr>
        <w:t>a</w:t>
      </w:r>
      <w:r w:rsidR="00B46CD5" w:rsidRPr="00B45CC1">
        <w:rPr>
          <w:color w:val="004C97" w:themeColor="accent3"/>
          <w:sz w:val="18"/>
          <w:szCs w:val="18"/>
        </w:rPr>
        <w:t xml:space="preserve">gency} </w:t>
      </w:r>
      <w:r w:rsidR="00B46CD5" w:rsidRPr="00B45CC1">
        <w:rPr>
          <w:sz w:val="18"/>
          <w:szCs w:val="18"/>
        </w:rPr>
        <w:t xml:space="preserve">CFO has agreed to be the </w:t>
      </w:r>
      <w:r w:rsidR="00B46CD5" w:rsidRPr="00B45CC1">
        <w:rPr>
          <w:color w:val="004C97" w:themeColor="accent3"/>
          <w:sz w:val="18"/>
          <w:szCs w:val="18"/>
        </w:rPr>
        <w:t>{</w:t>
      </w:r>
      <w:r w:rsidR="00E606ED" w:rsidRPr="00B45CC1">
        <w:rPr>
          <w:color w:val="004C97" w:themeColor="accent3"/>
          <w:sz w:val="18"/>
          <w:szCs w:val="18"/>
        </w:rPr>
        <w:t>a</w:t>
      </w:r>
      <w:r w:rsidR="00B46CD5" w:rsidRPr="00B45CC1">
        <w:rPr>
          <w:color w:val="004C97" w:themeColor="accent3"/>
          <w:sz w:val="18"/>
          <w:szCs w:val="18"/>
        </w:rPr>
        <w:t xml:space="preserve">gency} </w:t>
      </w:r>
      <w:r w:rsidR="00B46CD5" w:rsidRPr="00B45CC1">
        <w:rPr>
          <w:sz w:val="18"/>
          <w:szCs w:val="18"/>
        </w:rPr>
        <w:t>CFO; and</w:t>
      </w:r>
    </w:p>
    <w:p w14:paraId="30EE0F30" w14:textId="720CDFDA" w:rsidR="00B46CD5" w:rsidRPr="00B45CC1" w:rsidRDefault="00567EEE" w:rsidP="00421971">
      <w:pPr>
        <w:pStyle w:val="Numpara"/>
        <w:rPr>
          <w:sz w:val="18"/>
          <w:szCs w:val="18"/>
        </w:rPr>
      </w:pPr>
      <w:r w:rsidRPr="00B45CC1">
        <w:rPr>
          <w:sz w:val="18"/>
          <w:szCs w:val="18"/>
        </w:rPr>
        <w:t>T</w:t>
      </w:r>
      <w:r w:rsidR="00B46CD5" w:rsidRPr="00B45CC1">
        <w:rPr>
          <w:sz w:val="18"/>
          <w:szCs w:val="18"/>
        </w:rPr>
        <w:t xml:space="preserve">he </w:t>
      </w:r>
      <w:r w:rsidR="00B46CD5" w:rsidRPr="00B45CC1">
        <w:rPr>
          <w:color w:val="004C97" w:themeColor="accent3"/>
          <w:sz w:val="18"/>
          <w:szCs w:val="18"/>
        </w:rPr>
        <w:t>{</w:t>
      </w:r>
      <w:r w:rsidR="00E606ED" w:rsidRPr="00B45CC1">
        <w:rPr>
          <w:color w:val="004C97" w:themeColor="accent3"/>
          <w:sz w:val="18"/>
          <w:szCs w:val="18"/>
        </w:rPr>
        <w:t>d</w:t>
      </w:r>
      <w:r w:rsidR="00B46CD5" w:rsidRPr="00B45CC1">
        <w:rPr>
          <w:color w:val="004C97" w:themeColor="accent3"/>
          <w:sz w:val="18"/>
          <w:szCs w:val="18"/>
        </w:rPr>
        <w:t>epartment/</w:t>
      </w:r>
      <w:r w:rsidR="00E12FC7" w:rsidRPr="00B45CC1">
        <w:rPr>
          <w:color w:val="004C97" w:themeColor="accent3"/>
          <w:sz w:val="18"/>
          <w:szCs w:val="18"/>
        </w:rPr>
        <w:t>a</w:t>
      </w:r>
      <w:r w:rsidR="00B46CD5" w:rsidRPr="00B45CC1">
        <w:rPr>
          <w:color w:val="004C97" w:themeColor="accent3"/>
          <w:sz w:val="18"/>
          <w:szCs w:val="18"/>
        </w:rPr>
        <w:t xml:space="preserve">gency} </w:t>
      </w:r>
      <w:r w:rsidR="00B46CD5" w:rsidRPr="00B45CC1">
        <w:rPr>
          <w:sz w:val="18"/>
          <w:szCs w:val="18"/>
        </w:rPr>
        <w:t xml:space="preserve">will provide a </w:t>
      </w:r>
      <w:r w:rsidR="00421971" w:rsidRPr="00B45CC1">
        <w:rPr>
          <w:sz w:val="18"/>
          <w:szCs w:val="18"/>
        </w:rPr>
        <w:t>‘</w:t>
      </w:r>
      <w:r w:rsidR="00B46CD5" w:rsidRPr="00B45CC1">
        <w:rPr>
          <w:sz w:val="18"/>
          <w:szCs w:val="18"/>
        </w:rPr>
        <w:t>letter of assurance</w:t>
      </w:r>
      <w:r w:rsidR="00421971" w:rsidRPr="00B45CC1">
        <w:rPr>
          <w:sz w:val="18"/>
          <w:szCs w:val="18"/>
        </w:rPr>
        <w:t>’</w:t>
      </w:r>
      <w:r w:rsidR="00B46CD5" w:rsidRPr="00B45CC1">
        <w:rPr>
          <w:sz w:val="18"/>
          <w:szCs w:val="18"/>
        </w:rPr>
        <w:t xml:space="preserve"> on outsourced services upon which </w:t>
      </w:r>
      <w:r w:rsidR="00B46CD5" w:rsidRPr="00B45CC1">
        <w:rPr>
          <w:color w:val="004C97" w:themeColor="accent3"/>
          <w:sz w:val="18"/>
          <w:szCs w:val="18"/>
        </w:rPr>
        <w:t>({</w:t>
      </w:r>
      <w:r w:rsidR="00E12FC7" w:rsidRPr="00B45CC1">
        <w:rPr>
          <w:color w:val="004C97" w:themeColor="accent3"/>
          <w:sz w:val="18"/>
          <w:szCs w:val="18"/>
        </w:rPr>
        <w:t>a</w:t>
      </w:r>
      <w:r w:rsidR="00B46CD5" w:rsidRPr="00B45CC1">
        <w:rPr>
          <w:color w:val="004C97" w:themeColor="accent3"/>
          <w:sz w:val="18"/>
          <w:szCs w:val="18"/>
        </w:rPr>
        <w:t>gency}</w:t>
      </w:r>
      <w:r w:rsidR="00B46CD5" w:rsidRPr="00B45CC1">
        <w:rPr>
          <w:sz w:val="18"/>
          <w:szCs w:val="18"/>
        </w:rPr>
        <w:t xml:space="preserve"> can rely.</w:t>
      </w:r>
    </w:p>
    <w:p w14:paraId="37C977AF" w14:textId="77777777" w:rsidR="00B46CD5" w:rsidRPr="00B45CC1" w:rsidRDefault="00B46CD5" w:rsidP="00B46CD5">
      <w:pPr>
        <w:rPr>
          <w:color w:val="004C97" w:themeColor="accent3"/>
          <w:sz w:val="18"/>
          <w:szCs w:val="18"/>
        </w:rPr>
      </w:pPr>
      <w:r w:rsidRPr="00B45CC1">
        <w:rPr>
          <w:sz w:val="18"/>
          <w:szCs w:val="18"/>
        </w:rPr>
        <w:t xml:space="preserve">Should you or your officers wish to discuss the matter, please </w:t>
      </w:r>
      <w:r w:rsidRPr="00B45CC1">
        <w:rPr>
          <w:color w:val="004C97" w:themeColor="accent3"/>
          <w:sz w:val="18"/>
          <w:szCs w:val="18"/>
        </w:rPr>
        <w:t xml:space="preserve">&lt;insert name of contact officer&gt; </w:t>
      </w:r>
      <w:r w:rsidRPr="00B45CC1">
        <w:rPr>
          <w:sz w:val="18"/>
          <w:szCs w:val="18"/>
        </w:rPr>
        <w:t xml:space="preserve">on </w:t>
      </w:r>
      <w:r w:rsidRPr="00B45CC1">
        <w:rPr>
          <w:color w:val="004C97" w:themeColor="accent3"/>
          <w:sz w:val="18"/>
          <w:szCs w:val="18"/>
        </w:rPr>
        <w:t>&lt;insert telephone number&gt;.</w:t>
      </w:r>
    </w:p>
    <w:p w14:paraId="470146D8" w14:textId="77777777" w:rsidR="00B46CD5" w:rsidRPr="00B45CC1" w:rsidRDefault="00B46CD5" w:rsidP="00B46CD5">
      <w:pPr>
        <w:rPr>
          <w:sz w:val="18"/>
          <w:szCs w:val="18"/>
        </w:rPr>
      </w:pPr>
    </w:p>
    <w:p w14:paraId="1707B73F" w14:textId="48E839DE" w:rsidR="00B46CD5" w:rsidRPr="00B45CC1" w:rsidRDefault="00B46CD5" w:rsidP="00B46CD5">
      <w:pPr>
        <w:rPr>
          <w:sz w:val="18"/>
          <w:szCs w:val="18"/>
        </w:rPr>
      </w:pPr>
      <w:r w:rsidRPr="00B45CC1">
        <w:rPr>
          <w:sz w:val="18"/>
          <w:szCs w:val="18"/>
        </w:rPr>
        <w:t>Yours sincerely</w:t>
      </w:r>
    </w:p>
    <w:p w14:paraId="1E0D9925" w14:textId="77777777" w:rsidR="00B46CD5" w:rsidRPr="00B45CC1" w:rsidRDefault="00B46CD5" w:rsidP="00B46CD5">
      <w:pPr>
        <w:rPr>
          <w:sz w:val="18"/>
          <w:szCs w:val="18"/>
        </w:rPr>
      </w:pPr>
    </w:p>
    <w:p w14:paraId="0AB8EF32" w14:textId="77777777" w:rsidR="00B46CD5" w:rsidRPr="00B45CC1" w:rsidRDefault="00B46CD5" w:rsidP="00B46CD5">
      <w:pPr>
        <w:spacing w:after="0"/>
        <w:rPr>
          <w:color w:val="004C97" w:themeColor="accent3"/>
          <w:sz w:val="18"/>
          <w:szCs w:val="18"/>
        </w:rPr>
      </w:pPr>
      <w:r w:rsidRPr="00B45CC1">
        <w:rPr>
          <w:color w:val="004C97" w:themeColor="accent3"/>
          <w:sz w:val="18"/>
          <w:szCs w:val="18"/>
        </w:rPr>
        <w:t>{Name}</w:t>
      </w:r>
    </w:p>
    <w:p w14:paraId="73BD00F7" w14:textId="77777777" w:rsidR="00B46CD5" w:rsidRPr="00B45CC1" w:rsidRDefault="00B46CD5" w:rsidP="00B46CD5">
      <w:pPr>
        <w:spacing w:after="0"/>
        <w:rPr>
          <w:color w:val="004C97" w:themeColor="accent3"/>
          <w:sz w:val="18"/>
          <w:szCs w:val="18"/>
        </w:rPr>
      </w:pPr>
      <w:r w:rsidRPr="00B45CC1">
        <w:rPr>
          <w:color w:val="004C97" w:themeColor="accent3"/>
          <w:sz w:val="18"/>
          <w:szCs w:val="18"/>
        </w:rPr>
        <w:t>{Position}</w:t>
      </w:r>
    </w:p>
    <w:p w14:paraId="34DAFF97" w14:textId="77777777" w:rsidR="00B46CD5" w:rsidRPr="00B45CC1" w:rsidRDefault="00B46CD5" w:rsidP="00B46CD5">
      <w:pPr>
        <w:spacing w:before="0"/>
        <w:rPr>
          <w:color w:val="004C97" w:themeColor="accent3"/>
          <w:sz w:val="18"/>
          <w:szCs w:val="18"/>
        </w:rPr>
      </w:pPr>
      <w:r w:rsidRPr="00B45CC1">
        <w:rPr>
          <w:color w:val="004C97" w:themeColor="accent3"/>
          <w:sz w:val="18"/>
          <w:szCs w:val="18"/>
        </w:rPr>
        <w:t>{Agency name}</w:t>
      </w:r>
    </w:p>
    <w:p w14:paraId="508C0112" w14:textId="77777777" w:rsidR="00B46CD5" w:rsidRPr="00B45CC1" w:rsidRDefault="00B46CD5" w:rsidP="00B46CD5">
      <w:pPr>
        <w:spacing w:before="0"/>
        <w:rPr>
          <w:sz w:val="18"/>
          <w:szCs w:val="18"/>
        </w:rPr>
      </w:pPr>
    </w:p>
    <w:p w14:paraId="1A804567" w14:textId="0C22B953" w:rsidR="00B46CD5" w:rsidRPr="00B45CC1" w:rsidRDefault="00B311C1" w:rsidP="00421971">
      <w:pPr>
        <w:ind w:left="450" w:hanging="450"/>
        <w:rPr>
          <w:sz w:val="18"/>
          <w:szCs w:val="18"/>
        </w:rPr>
      </w:pPr>
      <w:r w:rsidRPr="00B45CC1">
        <w:rPr>
          <w:sz w:val="18"/>
          <w:szCs w:val="18"/>
        </w:rPr>
        <w:t xml:space="preserve">Cc </w:t>
      </w:r>
      <w:proofErr w:type="gramStart"/>
      <w:r w:rsidR="005051E3" w:rsidRPr="00B45CC1">
        <w:rPr>
          <w:sz w:val="18"/>
          <w:szCs w:val="18"/>
        </w:rPr>
        <w:t xml:space="preserve">   [</w:t>
      </w:r>
      <w:proofErr w:type="gramEnd"/>
      <w:r w:rsidR="005051E3" w:rsidRPr="00B45CC1">
        <w:rPr>
          <w:sz w:val="18"/>
          <w:szCs w:val="18"/>
        </w:rPr>
        <w:t>N</w:t>
      </w:r>
      <w:r w:rsidR="00B46CD5" w:rsidRPr="00B45CC1">
        <w:rPr>
          <w:sz w:val="18"/>
          <w:szCs w:val="18"/>
        </w:rPr>
        <w:t>a</w:t>
      </w:r>
      <w:r w:rsidR="005051E3" w:rsidRPr="00B45CC1">
        <w:rPr>
          <w:sz w:val="18"/>
          <w:szCs w:val="18"/>
        </w:rPr>
        <w:t>me]</w:t>
      </w:r>
      <w:r w:rsidR="00B46CD5" w:rsidRPr="00B45CC1">
        <w:rPr>
          <w:sz w:val="18"/>
          <w:szCs w:val="18"/>
        </w:rPr>
        <w:t>, Director, Financial Frameworks, Budget Strategy Group</w:t>
      </w:r>
      <w:r w:rsidR="00421971" w:rsidRPr="00B45CC1">
        <w:rPr>
          <w:sz w:val="18"/>
          <w:szCs w:val="18"/>
        </w:rPr>
        <w:br/>
      </w:r>
      <w:r w:rsidR="00B46CD5" w:rsidRPr="00B45CC1">
        <w:rPr>
          <w:sz w:val="18"/>
          <w:szCs w:val="18"/>
        </w:rPr>
        <w:t>Department of Treasury and Finance</w:t>
      </w:r>
    </w:p>
    <w:p w14:paraId="45F3329F" w14:textId="4551A3CC" w:rsidR="00B46CD5" w:rsidRPr="00B45CC1" w:rsidRDefault="27DEEFE5" w:rsidP="00C31222">
      <w:pPr>
        <w:ind w:firstLine="450"/>
        <w:rPr>
          <w:sz w:val="18"/>
          <w:szCs w:val="18"/>
        </w:rPr>
      </w:pPr>
      <w:r w:rsidRPr="00B45CC1">
        <w:rPr>
          <w:sz w:val="18"/>
          <w:szCs w:val="18"/>
        </w:rPr>
        <w:t>E</w:t>
      </w:r>
      <w:r w:rsidR="00C31222" w:rsidRPr="00B45CC1">
        <w:rPr>
          <w:sz w:val="18"/>
          <w:szCs w:val="18"/>
        </w:rPr>
        <w:t>mail</w:t>
      </w:r>
      <w:r w:rsidRPr="00B45CC1">
        <w:rPr>
          <w:sz w:val="18"/>
          <w:szCs w:val="18"/>
        </w:rPr>
        <w:t xml:space="preserve">: </w:t>
      </w:r>
      <w:hyperlink r:id="rId25" w:history="1">
        <w:r w:rsidR="00722431" w:rsidRPr="00B45CC1">
          <w:rPr>
            <w:rStyle w:val="Hyperlink"/>
            <w:sz w:val="18"/>
            <w:szCs w:val="18"/>
          </w:rPr>
          <w:t>standing.directions@dtf.vic.gov.au</w:t>
        </w:r>
      </w:hyperlink>
    </w:p>
    <w:p w14:paraId="1D79A040" w14:textId="5B582388" w:rsidR="00A72DEC" w:rsidRPr="007C1A19" w:rsidRDefault="004D135B" w:rsidP="002810B1">
      <w:pPr>
        <w:pStyle w:val="Heading4"/>
        <w:pageBreakBefore/>
      </w:pPr>
      <w:bookmarkStart w:id="53" w:name="_Toc182409117"/>
      <w:bookmarkStart w:id="54" w:name="_Toc182409189"/>
      <w:bookmarkStart w:id="55" w:name="_Toc182475066"/>
      <w:bookmarkStart w:id="56" w:name="_Toc205977003"/>
      <w:r w:rsidRPr="007C1A19">
        <w:lastRenderedPageBreak/>
        <w:t xml:space="preserve">Attachment </w:t>
      </w:r>
      <w:r w:rsidR="0016029D" w:rsidRPr="007C1A19">
        <w:t>3</w:t>
      </w:r>
      <w:r w:rsidR="00421971">
        <w:t xml:space="preserve"> </w:t>
      </w:r>
      <w:r w:rsidR="00B45CC1">
        <w:t>–</w:t>
      </w:r>
      <w:r w:rsidR="00A72DEC">
        <w:tab/>
      </w:r>
      <w:r w:rsidRPr="007C1A19">
        <w:t xml:space="preserve">Risk profile assessment </w:t>
      </w:r>
      <w:r w:rsidRPr="000201A0">
        <w:t>information</w:t>
      </w:r>
      <w:r w:rsidRPr="007C1A19">
        <w:t xml:space="preserve"> matrix</w:t>
      </w:r>
      <w:bookmarkEnd w:id="53"/>
      <w:bookmarkEnd w:id="54"/>
      <w:bookmarkEnd w:id="55"/>
      <w:bookmarkEnd w:id="56"/>
    </w:p>
    <w:p w14:paraId="3E4216FC" w14:textId="72F494FF" w:rsidR="004D135B" w:rsidRDefault="004D135B" w:rsidP="004D135B">
      <w:r>
        <w:t>Entities requesting new exemption from the Standing Directions and FMA composite annual reporting must complete the risk profile assessment information matrix (use the Excel template) and attach it to the request (see letter template). Using this matrix template, the entities will self-assess its risk profile using the drop</w:t>
      </w:r>
      <w:r w:rsidR="002A4181">
        <w:noBreakHyphen/>
      </w:r>
      <w:r>
        <w:t xml:space="preserve">down selections. The assessment information has </w:t>
      </w:r>
      <w:r w:rsidR="00F713C1" w:rsidRPr="00470D02">
        <w:t>three</w:t>
      </w:r>
      <w:r w:rsidRPr="00470D02">
        <w:t xml:space="preserve"> areas, namely</w:t>
      </w:r>
      <w:r>
        <w:t>: (1) Financial Management, (2) Assets and liabilities, and (3) Operations.</w:t>
      </w:r>
      <w:r w:rsidR="0060644D">
        <w:t xml:space="preserve"> </w:t>
      </w:r>
    </w:p>
    <w:tbl>
      <w:tblPr>
        <w:tblStyle w:val="DTFtexttable"/>
        <w:tblW w:w="9810" w:type="dxa"/>
        <w:tblLook w:val="04A0" w:firstRow="1" w:lastRow="0" w:firstColumn="1" w:lastColumn="0" w:noHBand="0" w:noVBand="1"/>
      </w:tblPr>
      <w:tblGrid>
        <w:gridCol w:w="3240"/>
        <w:gridCol w:w="6570"/>
      </w:tblGrid>
      <w:tr w:rsidR="00010108" w:rsidRPr="00AE6E89" w14:paraId="3B276B95" w14:textId="77777777" w:rsidTr="00204C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10" w:type="dxa"/>
            <w:gridSpan w:val="2"/>
            <w:noWrap/>
            <w:hideMark/>
          </w:tcPr>
          <w:p w14:paraId="7CF4171B" w14:textId="77777777" w:rsidR="00010108" w:rsidRPr="00AE6E89" w:rsidRDefault="00010108" w:rsidP="00AE6E89">
            <w:pPr>
              <w:pStyle w:val="Tableheader"/>
            </w:pPr>
            <w:r w:rsidRPr="00AE6E89">
              <w:t>Agency information</w:t>
            </w:r>
          </w:p>
        </w:tc>
      </w:tr>
      <w:tr w:rsidR="00010108" w:rsidRPr="000A1F8F" w14:paraId="1B14B32E" w14:textId="77777777" w:rsidTr="00204C00">
        <w:tc>
          <w:tcPr>
            <w:cnfStyle w:val="001000000000" w:firstRow="0" w:lastRow="0" w:firstColumn="1" w:lastColumn="0" w:oddVBand="0" w:evenVBand="0" w:oddHBand="0" w:evenHBand="0" w:firstRowFirstColumn="0" w:firstRowLastColumn="0" w:lastRowFirstColumn="0" w:lastRowLastColumn="0"/>
            <w:tcW w:w="3240" w:type="dxa"/>
            <w:noWrap/>
            <w:hideMark/>
          </w:tcPr>
          <w:p w14:paraId="725707DF" w14:textId="77777777" w:rsidR="00010108" w:rsidRPr="00AE6E89" w:rsidRDefault="00010108" w:rsidP="00AE6E89">
            <w:pPr>
              <w:pStyle w:val="Tabletext"/>
              <w:rPr>
                <w:rFonts w:asciiTheme="majorHAnsi" w:hAnsiTheme="majorHAnsi"/>
              </w:rPr>
            </w:pPr>
            <w:r w:rsidRPr="00AE6E89">
              <w:rPr>
                <w:rFonts w:asciiTheme="majorHAnsi" w:hAnsiTheme="majorHAnsi"/>
              </w:rPr>
              <w:t>Agency name:</w:t>
            </w:r>
          </w:p>
        </w:tc>
        <w:tc>
          <w:tcPr>
            <w:tcW w:w="6570" w:type="dxa"/>
            <w:noWrap/>
          </w:tcPr>
          <w:p w14:paraId="0FD5E090" w14:textId="77777777" w:rsidR="00010108" w:rsidRPr="00AE6E89" w:rsidRDefault="00010108" w:rsidP="00AE6E89">
            <w:pPr>
              <w:pStyle w:val="Tabletext"/>
              <w:cnfStyle w:val="000000000000" w:firstRow="0" w:lastRow="0" w:firstColumn="0" w:lastColumn="0" w:oddVBand="0" w:evenVBand="0" w:oddHBand="0" w:evenHBand="0" w:firstRowFirstColumn="0" w:firstRowLastColumn="0" w:lastRowFirstColumn="0" w:lastRowLastColumn="0"/>
            </w:pPr>
          </w:p>
        </w:tc>
      </w:tr>
      <w:tr w:rsidR="00010108" w:rsidRPr="000A1F8F" w14:paraId="3977F15E" w14:textId="77777777" w:rsidTr="0020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042AAE67" w14:textId="28314203" w:rsidR="00010108" w:rsidRPr="00AE6E89" w:rsidRDefault="00010108" w:rsidP="00AE6E89">
            <w:pPr>
              <w:pStyle w:val="Tabletext"/>
              <w:rPr>
                <w:rFonts w:asciiTheme="majorHAnsi" w:hAnsiTheme="majorHAnsi"/>
              </w:rPr>
            </w:pPr>
            <w:r w:rsidRPr="00AE6E89">
              <w:rPr>
                <w:rFonts w:asciiTheme="majorHAnsi" w:hAnsiTheme="majorHAnsi"/>
              </w:rPr>
              <w:t>Date established (mmm/</w:t>
            </w:r>
            <w:r w:rsidR="00DF5904" w:rsidRPr="00AE6E89">
              <w:rPr>
                <w:rFonts w:asciiTheme="majorHAnsi" w:hAnsiTheme="majorHAnsi"/>
              </w:rPr>
              <w:t>ivy</w:t>
            </w:r>
            <w:r w:rsidRPr="00AE6E89">
              <w:rPr>
                <w:rFonts w:asciiTheme="majorHAnsi" w:hAnsiTheme="majorHAnsi"/>
              </w:rPr>
              <w:t>):</w:t>
            </w:r>
          </w:p>
        </w:tc>
        <w:tc>
          <w:tcPr>
            <w:tcW w:w="6570" w:type="dxa"/>
            <w:noWrap/>
          </w:tcPr>
          <w:p w14:paraId="74714BDA" w14:textId="77777777" w:rsidR="00010108" w:rsidRPr="00AE6E89" w:rsidRDefault="00010108" w:rsidP="00AE6E89">
            <w:pPr>
              <w:pStyle w:val="Tabletext"/>
              <w:cnfStyle w:val="000000010000" w:firstRow="0" w:lastRow="0" w:firstColumn="0" w:lastColumn="0" w:oddVBand="0" w:evenVBand="0" w:oddHBand="0" w:evenHBand="1" w:firstRowFirstColumn="0" w:firstRowLastColumn="0" w:lastRowFirstColumn="0" w:lastRowLastColumn="0"/>
            </w:pPr>
          </w:p>
        </w:tc>
      </w:tr>
      <w:tr w:rsidR="00010108" w:rsidRPr="000A1F8F" w14:paraId="516FA273" w14:textId="77777777" w:rsidTr="00204C00">
        <w:tc>
          <w:tcPr>
            <w:cnfStyle w:val="001000000000" w:firstRow="0" w:lastRow="0" w:firstColumn="1" w:lastColumn="0" w:oddVBand="0" w:evenVBand="0" w:oddHBand="0" w:evenHBand="0" w:firstRowFirstColumn="0" w:firstRowLastColumn="0" w:lastRowFirstColumn="0" w:lastRowLastColumn="0"/>
            <w:tcW w:w="3240" w:type="dxa"/>
            <w:noWrap/>
            <w:hideMark/>
          </w:tcPr>
          <w:p w14:paraId="497370B3" w14:textId="77777777" w:rsidR="00010108" w:rsidRPr="00AE6E89" w:rsidRDefault="00010108" w:rsidP="00AE6E89">
            <w:pPr>
              <w:pStyle w:val="Tabletext"/>
              <w:rPr>
                <w:rFonts w:asciiTheme="majorHAnsi" w:hAnsiTheme="majorHAnsi"/>
              </w:rPr>
            </w:pPr>
            <w:r w:rsidRPr="00AE6E89">
              <w:rPr>
                <w:rFonts w:asciiTheme="majorHAnsi" w:hAnsiTheme="majorHAnsi"/>
              </w:rPr>
              <w:t>Portfolio department:</w:t>
            </w:r>
          </w:p>
        </w:tc>
        <w:tc>
          <w:tcPr>
            <w:tcW w:w="6570" w:type="dxa"/>
            <w:noWrap/>
          </w:tcPr>
          <w:p w14:paraId="6CB75CCA" w14:textId="77777777" w:rsidR="00010108" w:rsidRPr="00AE6E89" w:rsidRDefault="00010108" w:rsidP="00AE6E89">
            <w:pPr>
              <w:pStyle w:val="Tabletext"/>
              <w:cnfStyle w:val="000000000000" w:firstRow="0" w:lastRow="0" w:firstColumn="0" w:lastColumn="0" w:oddVBand="0" w:evenVBand="0" w:oddHBand="0" w:evenHBand="0" w:firstRowFirstColumn="0" w:firstRowLastColumn="0" w:lastRowFirstColumn="0" w:lastRowLastColumn="0"/>
            </w:pPr>
          </w:p>
        </w:tc>
      </w:tr>
      <w:tr w:rsidR="00010108" w:rsidRPr="000A1F8F" w14:paraId="6ACA0476" w14:textId="77777777" w:rsidTr="0020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42B7F35D" w14:textId="77777777" w:rsidR="00010108" w:rsidRPr="00AE6E89" w:rsidRDefault="00010108" w:rsidP="00AE6E89">
            <w:pPr>
              <w:pStyle w:val="Tabletext"/>
              <w:rPr>
                <w:rFonts w:asciiTheme="majorHAnsi" w:hAnsiTheme="majorHAnsi"/>
              </w:rPr>
            </w:pPr>
            <w:r w:rsidRPr="00AE6E89">
              <w:rPr>
                <w:rFonts w:asciiTheme="majorHAnsi" w:hAnsiTheme="majorHAnsi"/>
              </w:rPr>
              <w:t>Accountable officer name, title:</w:t>
            </w:r>
          </w:p>
        </w:tc>
        <w:tc>
          <w:tcPr>
            <w:tcW w:w="6570" w:type="dxa"/>
            <w:noWrap/>
          </w:tcPr>
          <w:p w14:paraId="26000B9B" w14:textId="77777777" w:rsidR="00010108" w:rsidRPr="00AE6E89" w:rsidRDefault="00010108" w:rsidP="00AE6E89">
            <w:pPr>
              <w:pStyle w:val="Tabletext"/>
              <w:cnfStyle w:val="000000010000" w:firstRow="0" w:lastRow="0" w:firstColumn="0" w:lastColumn="0" w:oddVBand="0" w:evenVBand="0" w:oddHBand="0" w:evenHBand="1" w:firstRowFirstColumn="0" w:firstRowLastColumn="0" w:lastRowFirstColumn="0" w:lastRowLastColumn="0"/>
            </w:pPr>
          </w:p>
        </w:tc>
      </w:tr>
      <w:tr w:rsidR="00010108" w:rsidRPr="000A1F8F" w14:paraId="54FFA357" w14:textId="77777777" w:rsidTr="00204C00">
        <w:tc>
          <w:tcPr>
            <w:cnfStyle w:val="001000000000" w:firstRow="0" w:lastRow="0" w:firstColumn="1" w:lastColumn="0" w:oddVBand="0" w:evenVBand="0" w:oddHBand="0" w:evenHBand="0" w:firstRowFirstColumn="0" w:firstRowLastColumn="0" w:lastRowFirstColumn="0" w:lastRowLastColumn="0"/>
            <w:tcW w:w="3240" w:type="dxa"/>
            <w:noWrap/>
            <w:hideMark/>
          </w:tcPr>
          <w:p w14:paraId="631A03D3" w14:textId="77777777" w:rsidR="00010108" w:rsidRPr="00AE6E89" w:rsidRDefault="00010108" w:rsidP="00AE6E89">
            <w:pPr>
              <w:pStyle w:val="Tabletext"/>
              <w:rPr>
                <w:rFonts w:asciiTheme="majorHAnsi" w:hAnsiTheme="majorHAnsi"/>
              </w:rPr>
            </w:pPr>
            <w:r w:rsidRPr="00AE6E89">
              <w:rPr>
                <w:rFonts w:asciiTheme="majorHAnsi" w:hAnsiTheme="majorHAnsi"/>
              </w:rPr>
              <w:t>Agency finance contact name, title:</w:t>
            </w:r>
          </w:p>
        </w:tc>
        <w:tc>
          <w:tcPr>
            <w:tcW w:w="6570" w:type="dxa"/>
            <w:noWrap/>
          </w:tcPr>
          <w:p w14:paraId="78119149" w14:textId="77777777" w:rsidR="00010108" w:rsidRPr="00AE6E89" w:rsidRDefault="00010108" w:rsidP="00AE6E89">
            <w:pPr>
              <w:pStyle w:val="Tabletext"/>
              <w:cnfStyle w:val="000000000000" w:firstRow="0" w:lastRow="0" w:firstColumn="0" w:lastColumn="0" w:oddVBand="0" w:evenVBand="0" w:oddHBand="0" w:evenHBand="0" w:firstRowFirstColumn="0" w:firstRowLastColumn="0" w:lastRowFirstColumn="0" w:lastRowLastColumn="0"/>
            </w:pPr>
          </w:p>
        </w:tc>
      </w:tr>
      <w:tr w:rsidR="00010108" w:rsidRPr="000A1F8F" w14:paraId="31C72B5A" w14:textId="77777777" w:rsidTr="0020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6E2A2A54" w14:textId="77777777" w:rsidR="00010108" w:rsidRPr="00AE6E89" w:rsidRDefault="00010108" w:rsidP="00AE6E89">
            <w:pPr>
              <w:pStyle w:val="Tabletext"/>
              <w:rPr>
                <w:rFonts w:asciiTheme="majorHAnsi" w:hAnsiTheme="majorHAnsi"/>
              </w:rPr>
            </w:pPr>
            <w:r w:rsidRPr="00AE6E89">
              <w:rPr>
                <w:rFonts w:asciiTheme="majorHAnsi" w:hAnsiTheme="majorHAnsi"/>
              </w:rPr>
              <w:t>Description of agency operations:</w:t>
            </w:r>
          </w:p>
        </w:tc>
        <w:tc>
          <w:tcPr>
            <w:tcW w:w="6570" w:type="dxa"/>
            <w:noWrap/>
          </w:tcPr>
          <w:p w14:paraId="62A6BDAB" w14:textId="77777777" w:rsidR="00010108" w:rsidRPr="00AE6E89" w:rsidRDefault="00010108" w:rsidP="00AE6E89">
            <w:pPr>
              <w:pStyle w:val="Tabletext"/>
              <w:cnfStyle w:val="000000010000" w:firstRow="0" w:lastRow="0" w:firstColumn="0" w:lastColumn="0" w:oddVBand="0" w:evenVBand="0" w:oddHBand="0" w:evenHBand="1" w:firstRowFirstColumn="0" w:firstRowLastColumn="0" w:lastRowFirstColumn="0" w:lastRowLastColumn="0"/>
            </w:pPr>
          </w:p>
        </w:tc>
      </w:tr>
      <w:tr w:rsidR="00010108" w:rsidRPr="000A1F8F" w14:paraId="2C86311E" w14:textId="77777777" w:rsidTr="00204C00">
        <w:tc>
          <w:tcPr>
            <w:cnfStyle w:val="001000000000" w:firstRow="0" w:lastRow="0" w:firstColumn="1" w:lastColumn="0" w:oddVBand="0" w:evenVBand="0" w:oddHBand="0" w:evenHBand="0" w:firstRowFirstColumn="0" w:firstRowLastColumn="0" w:lastRowFirstColumn="0" w:lastRowLastColumn="0"/>
            <w:tcW w:w="3240" w:type="dxa"/>
            <w:noWrap/>
            <w:hideMark/>
          </w:tcPr>
          <w:p w14:paraId="40D6FA8E" w14:textId="77777777" w:rsidR="00010108" w:rsidRPr="00AE6E89" w:rsidRDefault="00010108" w:rsidP="00AE6E89">
            <w:pPr>
              <w:pStyle w:val="Tabletext"/>
              <w:rPr>
                <w:rFonts w:asciiTheme="majorHAnsi" w:hAnsiTheme="majorHAnsi"/>
              </w:rPr>
            </w:pPr>
            <w:r w:rsidRPr="00AE6E89">
              <w:rPr>
                <w:rFonts w:asciiTheme="majorHAnsi" w:hAnsiTheme="majorHAnsi"/>
              </w:rPr>
              <w:t>Type of entity:</w:t>
            </w:r>
          </w:p>
        </w:tc>
        <w:tc>
          <w:tcPr>
            <w:tcW w:w="6570" w:type="dxa"/>
            <w:noWrap/>
          </w:tcPr>
          <w:p w14:paraId="1256F1C8" w14:textId="77777777" w:rsidR="00010108" w:rsidRPr="00AE6E89" w:rsidRDefault="00010108" w:rsidP="00AE6E89">
            <w:pPr>
              <w:pStyle w:val="Tabletext"/>
              <w:cnfStyle w:val="000000000000" w:firstRow="0" w:lastRow="0" w:firstColumn="0" w:lastColumn="0" w:oddVBand="0" w:evenVBand="0" w:oddHBand="0" w:evenHBand="0" w:firstRowFirstColumn="0" w:firstRowLastColumn="0" w:lastRowFirstColumn="0" w:lastRowLastColumn="0"/>
            </w:pPr>
          </w:p>
        </w:tc>
      </w:tr>
      <w:tr w:rsidR="00010108" w:rsidRPr="000A1F8F" w14:paraId="5F8F6391" w14:textId="77777777" w:rsidTr="0020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hideMark/>
          </w:tcPr>
          <w:p w14:paraId="33170CDD" w14:textId="77777777" w:rsidR="00010108" w:rsidRPr="00AE6E89" w:rsidRDefault="00010108" w:rsidP="00AE6E89">
            <w:pPr>
              <w:pStyle w:val="Tabletext"/>
              <w:rPr>
                <w:rFonts w:asciiTheme="majorHAnsi" w:hAnsiTheme="majorHAnsi"/>
              </w:rPr>
            </w:pPr>
            <w:r w:rsidRPr="00AE6E89">
              <w:rPr>
                <w:rFonts w:asciiTheme="majorHAnsi" w:hAnsiTheme="majorHAnsi"/>
              </w:rPr>
              <w:t>FMA determination or Standing Direction exemption being sought:</w:t>
            </w:r>
          </w:p>
        </w:tc>
        <w:tc>
          <w:tcPr>
            <w:tcW w:w="6570" w:type="dxa"/>
            <w:noWrap/>
          </w:tcPr>
          <w:p w14:paraId="16554045" w14:textId="77777777" w:rsidR="00010108" w:rsidRPr="00AE6E89" w:rsidRDefault="00010108" w:rsidP="00AE6E89">
            <w:pPr>
              <w:pStyle w:val="Tabletext"/>
              <w:cnfStyle w:val="000000010000" w:firstRow="0" w:lastRow="0" w:firstColumn="0" w:lastColumn="0" w:oddVBand="0" w:evenVBand="0" w:oddHBand="0" w:evenHBand="1" w:firstRowFirstColumn="0" w:firstRowLastColumn="0" w:lastRowFirstColumn="0" w:lastRowLastColumn="0"/>
            </w:pPr>
          </w:p>
        </w:tc>
      </w:tr>
    </w:tbl>
    <w:p w14:paraId="1AEB9CFA" w14:textId="77777777" w:rsidR="00010108" w:rsidRDefault="00010108" w:rsidP="00010108">
      <w:pPr>
        <w:pStyle w:val="Spacer"/>
      </w:pPr>
    </w:p>
    <w:tbl>
      <w:tblPr>
        <w:tblStyle w:val="DTFtexttable"/>
        <w:tblW w:w="9184" w:type="dxa"/>
        <w:tblLayout w:type="fixed"/>
        <w:tblLook w:val="04A0" w:firstRow="1" w:lastRow="0" w:firstColumn="1" w:lastColumn="0" w:noHBand="0" w:noVBand="1"/>
      </w:tblPr>
      <w:tblGrid>
        <w:gridCol w:w="1260"/>
        <w:gridCol w:w="1260"/>
        <w:gridCol w:w="3690"/>
        <w:gridCol w:w="1350"/>
        <w:gridCol w:w="1624"/>
      </w:tblGrid>
      <w:tr w:rsidR="00010108" w:rsidRPr="000A1F8F" w14:paraId="00ABF36A" w14:textId="77777777" w:rsidTr="00EA13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0" w:type="dxa"/>
            <w:vMerge w:val="restart"/>
            <w:noWrap/>
            <w:hideMark/>
          </w:tcPr>
          <w:p w14:paraId="5BF1DA7E" w14:textId="77777777" w:rsidR="00010108" w:rsidRPr="00EA13B1" w:rsidRDefault="00010108">
            <w:pPr>
              <w:pStyle w:val="Tableheader"/>
              <w:spacing w:before="40" w:after="40"/>
              <w:rPr>
                <w:rFonts w:asciiTheme="majorHAnsi" w:hAnsiTheme="majorHAnsi"/>
                <w:b w:val="0"/>
                <w:bCs/>
                <w:sz w:val="16"/>
                <w:szCs w:val="16"/>
              </w:rPr>
            </w:pPr>
            <w:r w:rsidRPr="00EA13B1">
              <w:rPr>
                <w:rFonts w:asciiTheme="majorHAnsi" w:hAnsiTheme="majorHAnsi"/>
                <w:b w:val="0"/>
                <w:bCs/>
                <w:sz w:val="16"/>
                <w:szCs w:val="16"/>
              </w:rPr>
              <w:t>Area</w:t>
            </w:r>
          </w:p>
        </w:tc>
        <w:tc>
          <w:tcPr>
            <w:tcW w:w="1260" w:type="dxa"/>
            <w:vMerge w:val="restart"/>
            <w:noWrap/>
            <w:hideMark/>
          </w:tcPr>
          <w:p w14:paraId="6857EC09"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sz w:val="16"/>
                <w:szCs w:val="16"/>
              </w:rPr>
            </w:pPr>
            <w:r w:rsidRPr="00EA13B1">
              <w:rPr>
                <w:rFonts w:asciiTheme="majorHAnsi" w:hAnsiTheme="majorHAnsi"/>
                <w:b w:val="0"/>
                <w:bCs/>
                <w:sz w:val="16"/>
                <w:szCs w:val="16"/>
              </w:rPr>
              <w:t>Parameter</w:t>
            </w:r>
          </w:p>
        </w:tc>
        <w:tc>
          <w:tcPr>
            <w:tcW w:w="3690" w:type="dxa"/>
            <w:vMerge w:val="restart"/>
            <w:noWrap/>
            <w:hideMark/>
          </w:tcPr>
          <w:p w14:paraId="1007146D"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sz w:val="16"/>
                <w:szCs w:val="16"/>
              </w:rPr>
            </w:pPr>
            <w:r w:rsidRPr="00EA13B1">
              <w:rPr>
                <w:rFonts w:asciiTheme="majorHAnsi" w:hAnsiTheme="majorHAnsi"/>
                <w:b w:val="0"/>
                <w:bCs/>
                <w:sz w:val="16"/>
                <w:szCs w:val="16"/>
              </w:rPr>
              <w:t>Details</w:t>
            </w:r>
          </w:p>
        </w:tc>
        <w:tc>
          <w:tcPr>
            <w:tcW w:w="2974" w:type="dxa"/>
            <w:gridSpan w:val="2"/>
            <w:shd w:val="clear" w:color="auto" w:fill="D3D5D7" w:themeFill="accent4"/>
            <w:hideMark/>
          </w:tcPr>
          <w:p w14:paraId="7AA75670"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auto"/>
                <w:sz w:val="16"/>
                <w:szCs w:val="16"/>
              </w:rPr>
            </w:pPr>
            <w:r w:rsidRPr="00EA13B1">
              <w:rPr>
                <w:rFonts w:asciiTheme="majorHAnsi" w:hAnsiTheme="majorHAnsi"/>
                <w:b w:val="0"/>
                <w:bCs/>
                <w:color w:val="auto"/>
                <w:sz w:val="16"/>
                <w:szCs w:val="16"/>
              </w:rPr>
              <w:t>Agency to complete</w:t>
            </w:r>
          </w:p>
        </w:tc>
      </w:tr>
      <w:tr w:rsidR="00BF02BA" w:rsidRPr="000A1F8F" w14:paraId="6328D210" w14:textId="77777777" w:rsidTr="00EA13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0" w:type="dxa"/>
            <w:vMerge/>
            <w:hideMark/>
          </w:tcPr>
          <w:p w14:paraId="5FA5CC33" w14:textId="77777777" w:rsidR="00010108" w:rsidRPr="00EA13B1" w:rsidRDefault="00010108">
            <w:pPr>
              <w:pStyle w:val="Tableheader"/>
              <w:spacing w:before="40" w:after="40"/>
              <w:rPr>
                <w:rFonts w:asciiTheme="majorHAnsi" w:eastAsia="Times New Roman" w:hAnsiTheme="majorHAnsi" w:cs="Calibri"/>
                <w:b w:val="0"/>
                <w:bCs/>
                <w:color w:val="FFFFFF"/>
                <w:sz w:val="16"/>
                <w:szCs w:val="16"/>
              </w:rPr>
            </w:pPr>
          </w:p>
        </w:tc>
        <w:tc>
          <w:tcPr>
            <w:tcW w:w="1260" w:type="dxa"/>
            <w:vMerge/>
            <w:hideMark/>
          </w:tcPr>
          <w:p w14:paraId="76979E30"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color w:val="FFFFFF"/>
                <w:sz w:val="16"/>
                <w:szCs w:val="16"/>
              </w:rPr>
            </w:pPr>
          </w:p>
        </w:tc>
        <w:tc>
          <w:tcPr>
            <w:tcW w:w="3690" w:type="dxa"/>
            <w:vMerge/>
            <w:hideMark/>
          </w:tcPr>
          <w:p w14:paraId="319C7EB1"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color w:val="FFFFFF"/>
                <w:sz w:val="16"/>
                <w:szCs w:val="16"/>
              </w:rPr>
            </w:pPr>
          </w:p>
        </w:tc>
        <w:tc>
          <w:tcPr>
            <w:tcW w:w="1350" w:type="dxa"/>
            <w:shd w:val="clear" w:color="auto" w:fill="D3D5D7" w:themeFill="accent4"/>
            <w:noWrap/>
            <w:hideMark/>
          </w:tcPr>
          <w:p w14:paraId="5BB50B77"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auto"/>
                <w:sz w:val="16"/>
                <w:szCs w:val="16"/>
              </w:rPr>
            </w:pPr>
            <w:r w:rsidRPr="00EA13B1">
              <w:rPr>
                <w:rFonts w:asciiTheme="majorHAnsi" w:hAnsiTheme="majorHAnsi"/>
                <w:b w:val="0"/>
                <w:bCs/>
                <w:color w:val="auto"/>
                <w:sz w:val="16"/>
                <w:szCs w:val="16"/>
              </w:rPr>
              <w:t>Amounts/</w:t>
            </w:r>
            <w:r w:rsidRPr="00EA13B1">
              <w:rPr>
                <w:rFonts w:asciiTheme="majorHAnsi" w:hAnsiTheme="majorHAnsi"/>
                <w:b w:val="0"/>
                <w:bCs/>
                <w:color w:val="auto"/>
                <w:sz w:val="16"/>
                <w:szCs w:val="16"/>
              </w:rPr>
              <w:br/>
              <w:t>selection</w:t>
            </w:r>
          </w:p>
        </w:tc>
        <w:tc>
          <w:tcPr>
            <w:tcW w:w="1624" w:type="dxa"/>
            <w:shd w:val="clear" w:color="auto" w:fill="D3D5D7" w:themeFill="accent4"/>
            <w:noWrap/>
            <w:hideMark/>
          </w:tcPr>
          <w:p w14:paraId="4B85B2CA" w14:textId="77777777" w:rsidR="00010108" w:rsidRPr="00EA13B1" w:rsidRDefault="00010108">
            <w:pPr>
              <w:pStyle w:val="Tableheader"/>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auto"/>
                <w:sz w:val="16"/>
                <w:szCs w:val="16"/>
              </w:rPr>
            </w:pPr>
            <w:r w:rsidRPr="00EA13B1">
              <w:rPr>
                <w:rFonts w:asciiTheme="majorHAnsi" w:hAnsiTheme="majorHAnsi"/>
                <w:b w:val="0"/>
                <w:bCs/>
                <w:color w:val="auto"/>
                <w:sz w:val="16"/>
                <w:szCs w:val="16"/>
              </w:rPr>
              <w:t>Comments</w:t>
            </w:r>
          </w:p>
        </w:tc>
      </w:tr>
      <w:tr w:rsidR="00010108" w:rsidRPr="006C7009" w14:paraId="307A910A"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300F921F" w14:textId="77777777" w:rsidR="00010108" w:rsidRPr="006C7009" w:rsidRDefault="00010108">
            <w:pPr>
              <w:pStyle w:val="Tabletext"/>
              <w:spacing w:before="10" w:after="10" w:line="240" w:lineRule="auto"/>
              <w:rPr>
                <w:rFonts w:asciiTheme="majorHAnsi" w:hAnsiTheme="majorHAnsi"/>
                <w:sz w:val="15"/>
                <w:szCs w:val="17"/>
              </w:rPr>
            </w:pPr>
            <w:r w:rsidRPr="006C7009">
              <w:rPr>
                <w:rFonts w:asciiTheme="majorHAnsi" w:hAnsiTheme="majorHAnsi"/>
                <w:sz w:val="15"/>
                <w:szCs w:val="17"/>
              </w:rPr>
              <w:t>Financial management</w:t>
            </w:r>
          </w:p>
        </w:tc>
        <w:tc>
          <w:tcPr>
            <w:tcW w:w="1260" w:type="dxa"/>
            <w:vMerge w:val="restart"/>
            <w:hideMark/>
          </w:tcPr>
          <w:p w14:paraId="60656EB9"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Funding</w:t>
            </w:r>
          </w:p>
        </w:tc>
        <w:tc>
          <w:tcPr>
            <w:tcW w:w="3690" w:type="dxa"/>
            <w:hideMark/>
          </w:tcPr>
          <w:p w14:paraId="2E55A9A4"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sz w:val="15"/>
                <w:szCs w:val="17"/>
              </w:rPr>
            </w:pPr>
            <w:r w:rsidRPr="006C7009">
              <w:rPr>
                <w:sz w:val="15"/>
                <w:szCs w:val="17"/>
              </w:rPr>
              <w:t>What is the agency's budget for 2024-25, including appropriations and grants?</w:t>
            </w:r>
          </w:p>
        </w:tc>
        <w:tc>
          <w:tcPr>
            <w:tcW w:w="1350" w:type="dxa"/>
            <w:noWrap/>
            <w:hideMark/>
          </w:tcPr>
          <w:p w14:paraId="2759CAC7"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$1m–&lt;$5m</w:t>
            </w:r>
          </w:p>
        </w:tc>
        <w:tc>
          <w:tcPr>
            <w:tcW w:w="1624" w:type="dxa"/>
            <w:noWrap/>
          </w:tcPr>
          <w:p w14:paraId="3AC4F1BC"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5E41D256"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691AFB01"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hideMark/>
          </w:tcPr>
          <w:p w14:paraId="4B1C556A"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p>
        </w:tc>
        <w:tc>
          <w:tcPr>
            <w:tcW w:w="3690" w:type="dxa"/>
            <w:hideMark/>
          </w:tcPr>
          <w:p w14:paraId="1905AD9C" w14:textId="678A73D9"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sz w:val="15"/>
                <w:szCs w:val="17"/>
              </w:rPr>
            </w:pPr>
            <w:r w:rsidRPr="006C7009">
              <w:rPr>
                <w:sz w:val="15"/>
                <w:szCs w:val="17"/>
              </w:rPr>
              <w:t>Which institution are funds primarily held at? Provide details in the comments section.</w:t>
            </w:r>
          </w:p>
        </w:tc>
        <w:tc>
          <w:tcPr>
            <w:tcW w:w="1350" w:type="dxa"/>
            <w:hideMark/>
          </w:tcPr>
          <w:p w14:paraId="09E1F4F2"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An Authorised deposit-taking institution (ADI)</w:t>
            </w:r>
          </w:p>
        </w:tc>
        <w:tc>
          <w:tcPr>
            <w:tcW w:w="1624" w:type="dxa"/>
            <w:noWrap/>
          </w:tcPr>
          <w:p w14:paraId="3C7E8F07"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372C544C"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1E2F226F"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hideMark/>
          </w:tcPr>
          <w:p w14:paraId="1148B31A"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Financial sustainability</w:t>
            </w:r>
          </w:p>
        </w:tc>
        <w:tc>
          <w:tcPr>
            <w:tcW w:w="3690" w:type="dxa"/>
            <w:hideMark/>
          </w:tcPr>
          <w:p w14:paraId="2D0B9775" w14:textId="2C04DC92"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sz w:val="15"/>
                <w:szCs w:val="17"/>
              </w:rPr>
            </w:pPr>
            <w:r w:rsidRPr="006C7009">
              <w:rPr>
                <w:sz w:val="15"/>
                <w:szCs w:val="17"/>
              </w:rPr>
              <w:t xml:space="preserve">Has the agency exceeded its annual budget in the past three years? Provide the financial year(s), reasons and amount of overspend in the </w:t>
            </w:r>
            <w:r w:rsidR="002B02B2">
              <w:rPr>
                <w:sz w:val="15"/>
                <w:szCs w:val="17"/>
              </w:rPr>
              <w:t>c</w:t>
            </w:r>
            <w:r w:rsidRPr="006C7009">
              <w:rPr>
                <w:sz w:val="15"/>
                <w:szCs w:val="17"/>
              </w:rPr>
              <w:t>omments section.</w:t>
            </w:r>
          </w:p>
        </w:tc>
        <w:tc>
          <w:tcPr>
            <w:tcW w:w="1350" w:type="dxa"/>
            <w:noWrap/>
            <w:hideMark/>
          </w:tcPr>
          <w:p w14:paraId="30BE2105"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No</w:t>
            </w:r>
          </w:p>
        </w:tc>
        <w:tc>
          <w:tcPr>
            <w:tcW w:w="1624" w:type="dxa"/>
            <w:hideMark/>
          </w:tcPr>
          <w:p w14:paraId="09059B88"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i/>
                <w:iCs/>
                <w:sz w:val="15"/>
                <w:szCs w:val="17"/>
              </w:rPr>
            </w:pPr>
            <w:r w:rsidRPr="00722431">
              <w:rPr>
                <w:i/>
                <w:iCs/>
                <w:color w:val="auto"/>
                <w:sz w:val="15"/>
                <w:szCs w:val="17"/>
              </w:rPr>
              <w:t>Yes/No</w:t>
            </w:r>
            <w:r w:rsidRPr="00722431">
              <w:rPr>
                <w:i/>
                <w:iCs/>
                <w:color w:val="auto"/>
                <w:sz w:val="15"/>
                <w:szCs w:val="17"/>
              </w:rPr>
              <w:br/>
              <w:t>Examples: Changes in EBA, legislation</w:t>
            </w:r>
          </w:p>
        </w:tc>
      </w:tr>
      <w:tr w:rsidR="00010108" w:rsidRPr="006C7009" w14:paraId="1BDE4931"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3AAAC1AD" w14:textId="77777777" w:rsidR="00010108" w:rsidRPr="006C7009" w:rsidRDefault="00010108">
            <w:pPr>
              <w:pStyle w:val="Tabletext"/>
              <w:spacing w:before="10" w:after="10" w:line="240" w:lineRule="auto"/>
              <w:rPr>
                <w:rFonts w:asciiTheme="majorHAnsi" w:hAnsiTheme="majorHAnsi"/>
                <w:sz w:val="15"/>
                <w:szCs w:val="17"/>
              </w:rPr>
            </w:pPr>
            <w:r w:rsidRPr="006C7009">
              <w:rPr>
                <w:rFonts w:asciiTheme="majorHAnsi" w:hAnsiTheme="majorHAnsi"/>
                <w:sz w:val="15"/>
                <w:szCs w:val="17"/>
              </w:rPr>
              <w:t>Assets and liabilities</w:t>
            </w:r>
          </w:p>
        </w:tc>
        <w:tc>
          <w:tcPr>
            <w:tcW w:w="1260" w:type="dxa"/>
            <w:vMerge w:val="restart"/>
            <w:hideMark/>
          </w:tcPr>
          <w:p w14:paraId="43D4CA10"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Assets</w:t>
            </w:r>
          </w:p>
        </w:tc>
        <w:tc>
          <w:tcPr>
            <w:tcW w:w="3690" w:type="dxa"/>
            <w:hideMark/>
          </w:tcPr>
          <w:p w14:paraId="555894D6"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sz w:val="15"/>
                <w:szCs w:val="17"/>
              </w:rPr>
            </w:pPr>
            <w:r w:rsidRPr="006C7009">
              <w:rPr>
                <w:sz w:val="15"/>
                <w:szCs w:val="17"/>
              </w:rPr>
              <w:t>What is the value of the agency's total assets on the balance sheet?</w:t>
            </w:r>
          </w:p>
        </w:tc>
        <w:tc>
          <w:tcPr>
            <w:tcW w:w="1350" w:type="dxa"/>
            <w:noWrap/>
            <w:hideMark/>
          </w:tcPr>
          <w:p w14:paraId="4252CB74"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$200</w:t>
            </w:r>
            <w:r w:rsidRPr="006C7009">
              <w:rPr>
                <w:rFonts w:ascii="Calibri" w:hAnsi="Calibri" w:cs="Calibri"/>
                <w:color w:val="000000"/>
                <w:sz w:val="15"/>
                <w:szCs w:val="17"/>
              </w:rPr>
              <w:t> </w:t>
            </w:r>
            <w:r w:rsidRPr="006C7009">
              <w:rPr>
                <w:color w:val="000000"/>
                <w:sz w:val="15"/>
                <w:szCs w:val="17"/>
              </w:rPr>
              <w:t>000–&lt;$500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7D5408B0"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2D6218D5"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39AA9D04"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hideMark/>
          </w:tcPr>
          <w:p w14:paraId="61566F7A"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p>
        </w:tc>
        <w:tc>
          <w:tcPr>
            <w:tcW w:w="3690" w:type="dxa"/>
            <w:hideMark/>
          </w:tcPr>
          <w:p w14:paraId="4BFF9108"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sz w:val="15"/>
                <w:szCs w:val="17"/>
              </w:rPr>
            </w:pPr>
            <w:r w:rsidRPr="006C7009">
              <w:rPr>
                <w:sz w:val="15"/>
                <w:szCs w:val="17"/>
              </w:rPr>
              <w:t>What is the value of the agency's physical assets? If applicable, provide details of physical assets in comments.</w:t>
            </w:r>
          </w:p>
        </w:tc>
        <w:tc>
          <w:tcPr>
            <w:tcW w:w="1350" w:type="dxa"/>
            <w:noWrap/>
            <w:hideMark/>
          </w:tcPr>
          <w:p w14:paraId="266BC776"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$100</w:t>
            </w:r>
            <w:r w:rsidRPr="006C7009">
              <w:rPr>
                <w:rFonts w:ascii="Calibri" w:hAnsi="Calibri" w:cs="Calibri"/>
                <w:color w:val="000000"/>
                <w:sz w:val="15"/>
                <w:szCs w:val="17"/>
              </w:rPr>
              <w:t> </w:t>
            </w:r>
            <w:r w:rsidRPr="006C7009">
              <w:rPr>
                <w:color w:val="000000"/>
                <w:sz w:val="15"/>
                <w:szCs w:val="17"/>
              </w:rPr>
              <w:t>000–&lt;$500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0FCFAE65"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1B53028D"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275F6970"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hideMark/>
          </w:tcPr>
          <w:p w14:paraId="125CC129"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Cash and investments</w:t>
            </w:r>
          </w:p>
        </w:tc>
        <w:tc>
          <w:tcPr>
            <w:tcW w:w="3690" w:type="dxa"/>
            <w:hideMark/>
          </w:tcPr>
          <w:p w14:paraId="0B6B02B6"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sz w:val="15"/>
                <w:szCs w:val="17"/>
              </w:rPr>
            </w:pPr>
            <w:r w:rsidRPr="006C7009">
              <w:rPr>
                <w:sz w:val="15"/>
                <w:szCs w:val="17"/>
              </w:rPr>
              <w:t>How much does the agency have in cash and investments?</w:t>
            </w:r>
          </w:p>
        </w:tc>
        <w:tc>
          <w:tcPr>
            <w:tcW w:w="1350" w:type="dxa"/>
            <w:noWrap/>
            <w:hideMark/>
          </w:tcPr>
          <w:p w14:paraId="2353B82A"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&lt;$100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5DCCF800"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6B37786D"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5A9599F0"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hideMark/>
          </w:tcPr>
          <w:p w14:paraId="383F674D"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Borrowings and liabilities</w:t>
            </w:r>
          </w:p>
        </w:tc>
        <w:tc>
          <w:tcPr>
            <w:tcW w:w="3690" w:type="dxa"/>
            <w:hideMark/>
          </w:tcPr>
          <w:p w14:paraId="736ACA03"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sz w:val="15"/>
                <w:szCs w:val="17"/>
              </w:rPr>
            </w:pPr>
            <w:r w:rsidRPr="006C7009">
              <w:rPr>
                <w:sz w:val="15"/>
                <w:szCs w:val="17"/>
              </w:rPr>
              <w:t>How much does the agency have in borrowings or liabilities?</w:t>
            </w:r>
          </w:p>
        </w:tc>
        <w:tc>
          <w:tcPr>
            <w:tcW w:w="1350" w:type="dxa"/>
            <w:noWrap/>
            <w:hideMark/>
          </w:tcPr>
          <w:p w14:paraId="62D4DB82"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&lt;$100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1AF60556"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68CDE306"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4A13D2AD" w14:textId="77777777" w:rsidR="00010108" w:rsidRPr="006C7009" w:rsidRDefault="00010108">
            <w:pPr>
              <w:pStyle w:val="Tabletext"/>
              <w:spacing w:before="10" w:after="10" w:line="240" w:lineRule="auto"/>
              <w:rPr>
                <w:rFonts w:asciiTheme="majorHAnsi" w:hAnsiTheme="majorHAnsi"/>
                <w:sz w:val="15"/>
                <w:szCs w:val="17"/>
              </w:rPr>
            </w:pPr>
            <w:r w:rsidRPr="006C7009">
              <w:rPr>
                <w:rFonts w:asciiTheme="majorHAnsi" w:hAnsiTheme="majorHAnsi"/>
                <w:sz w:val="15"/>
                <w:szCs w:val="17"/>
              </w:rPr>
              <w:t>Operations</w:t>
            </w:r>
          </w:p>
        </w:tc>
        <w:tc>
          <w:tcPr>
            <w:tcW w:w="1260" w:type="dxa"/>
            <w:hideMark/>
          </w:tcPr>
          <w:p w14:paraId="75861208"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FTE and employees</w:t>
            </w:r>
          </w:p>
        </w:tc>
        <w:tc>
          <w:tcPr>
            <w:tcW w:w="3690" w:type="dxa"/>
            <w:hideMark/>
          </w:tcPr>
          <w:p w14:paraId="336EBF48" w14:textId="518E9019"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sz w:val="15"/>
                <w:szCs w:val="17"/>
              </w:rPr>
            </w:pPr>
            <w:r w:rsidRPr="006C7009">
              <w:rPr>
                <w:sz w:val="15"/>
                <w:szCs w:val="17"/>
              </w:rPr>
              <w:t>How many full</w:t>
            </w:r>
            <w:r w:rsidR="00D472E8">
              <w:rPr>
                <w:sz w:val="15"/>
                <w:szCs w:val="17"/>
              </w:rPr>
              <w:t>-</w:t>
            </w:r>
            <w:r w:rsidRPr="006C7009">
              <w:rPr>
                <w:sz w:val="15"/>
                <w:szCs w:val="17"/>
              </w:rPr>
              <w:t xml:space="preserve">time equivalent (FTE) positions </w:t>
            </w:r>
            <w:r w:rsidR="00F30AA3" w:rsidRPr="006C7009">
              <w:rPr>
                <w:sz w:val="15"/>
                <w:szCs w:val="17"/>
              </w:rPr>
              <w:t>do</w:t>
            </w:r>
            <w:r w:rsidRPr="006C7009">
              <w:rPr>
                <w:sz w:val="15"/>
                <w:szCs w:val="17"/>
              </w:rPr>
              <w:t xml:space="preserve"> the agency have? Specify number of FTE currently filled and headcount in the Comments column.</w:t>
            </w:r>
          </w:p>
        </w:tc>
        <w:tc>
          <w:tcPr>
            <w:tcW w:w="1350" w:type="dxa"/>
            <w:noWrap/>
            <w:hideMark/>
          </w:tcPr>
          <w:p w14:paraId="3AAD0918"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5–9</w:t>
            </w:r>
          </w:p>
        </w:tc>
        <w:tc>
          <w:tcPr>
            <w:tcW w:w="1624" w:type="dxa"/>
            <w:noWrap/>
          </w:tcPr>
          <w:p w14:paraId="1B42B2B1"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4C937522"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3D8B5C42"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hideMark/>
          </w:tcPr>
          <w:p w14:paraId="265F2C37"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Services</w:t>
            </w:r>
          </w:p>
        </w:tc>
        <w:tc>
          <w:tcPr>
            <w:tcW w:w="3690" w:type="dxa"/>
            <w:hideMark/>
          </w:tcPr>
          <w:p w14:paraId="2C300476"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sz w:val="15"/>
                <w:szCs w:val="17"/>
              </w:rPr>
            </w:pPr>
            <w:r w:rsidRPr="006C7009">
              <w:rPr>
                <w:sz w:val="15"/>
                <w:szCs w:val="17"/>
              </w:rPr>
              <w:t>Does the agency collect revenue from the public for services provided? If yes, please select the average annual collection. If no, select 'Not Applicable'. If the agency delivers services, specify in comments.</w:t>
            </w:r>
          </w:p>
        </w:tc>
        <w:tc>
          <w:tcPr>
            <w:tcW w:w="1350" w:type="dxa"/>
            <w:noWrap/>
            <w:hideMark/>
          </w:tcPr>
          <w:p w14:paraId="4927EB79"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$10</w:t>
            </w:r>
            <w:r w:rsidRPr="006C7009">
              <w:rPr>
                <w:rFonts w:ascii="Calibri" w:hAnsi="Calibri" w:cs="Calibri"/>
                <w:color w:val="000000"/>
                <w:sz w:val="15"/>
                <w:szCs w:val="17"/>
              </w:rPr>
              <w:t> </w:t>
            </w:r>
            <w:r w:rsidRPr="006C7009">
              <w:rPr>
                <w:color w:val="000000"/>
                <w:sz w:val="15"/>
                <w:szCs w:val="17"/>
              </w:rPr>
              <w:t>000–&lt;$50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1B815B2C"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0FDFF4C2"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0018480"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val="restart"/>
            <w:hideMark/>
          </w:tcPr>
          <w:p w14:paraId="6544F299"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Significant transactions with third parties and financial authorisations</w:t>
            </w:r>
          </w:p>
        </w:tc>
        <w:tc>
          <w:tcPr>
            <w:tcW w:w="3690" w:type="dxa"/>
            <w:hideMark/>
          </w:tcPr>
          <w:p w14:paraId="211BB818"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What percentage of third-party transactions are less than $50</w:t>
            </w:r>
            <w:r w:rsidRPr="006C7009">
              <w:rPr>
                <w:rFonts w:ascii="Calibri" w:hAnsi="Calibri" w:cs="Calibri"/>
                <w:color w:val="000000"/>
                <w:sz w:val="15"/>
                <w:szCs w:val="17"/>
              </w:rPr>
              <w:t> </w:t>
            </w:r>
            <w:r w:rsidRPr="006C7009">
              <w:rPr>
                <w:color w:val="000000"/>
                <w:sz w:val="15"/>
                <w:szCs w:val="17"/>
              </w:rPr>
              <w:t>000?</w:t>
            </w:r>
          </w:p>
        </w:tc>
        <w:tc>
          <w:tcPr>
            <w:tcW w:w="1350" w:type="dxa"/>
            <w:noWrap/>
            <w:hideMark/>
          </w:tcPr>
          <w:p w14:paraId="3F722266"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30%–&lt;50%</w:t>
            </w:r>
          </w:p>
        </w:tc>
        <w:tc>
          <w:tcPr>
            <w:tcW w:w="1624" w:type="dxa"/>
            <w:noWrap/>
          </w:tcPr>
          <w:p w14:paraId="189E66F1"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7E0D0C97"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1DBD7BB6"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hideMark/>
          </w:tcPr>
          <w:p w14:paraId="093FC8AA"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p>
        </w:tc>
        <w:tc>
          <w:tcPr>
            <w:tcW w:w="3690" w:type="dxa"/>
            <w:hideMark/>
          </w:tcPr>
          <w:p w14:paraId="6F01E989" w14:textId="653AFEB9"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Do all transactions up to $50</w:t>
            </w:r>
            <w:r w:rsidR="00984631">
              <w:rPr>
                <w:rFonts w:ascii="Calibri" w:hAnsi="Calibri" w:cs="Calibri"/>
                <w:color w:val="000000"/>
                <w:sz w:val="15"/>
                <w:szCs w:val="17"/>
              </w:rPr>
              <w:t> </w:t>
            </w:r>
            <w:r w:rsidRPr="006C7009">
              <w:rPr>
                <w:color w:val="000000"/>
                <w:sz w:val="15"/>
                <w:szCs w:val="17"/>
              </w:rPr>
              <w:t>000 require approval from the CFO or officer responsible for finance functions?</w:t>
            </w:r>
          </w:p>
        </w:tc>
        <w:tc>
          <w:tcPr>
            <w:tcW w:w="1350" w:type="dxa"/>
            <w:noWrap/>
            <w:hideMark/>
          </w:tcPr>
          <w:p w14:paraId="37692D6C"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Yes</w:t>
            </w:r>
          </w:p>
        </w:tc>
        <w:tc>
          <w:tcPr>
            <w:tcW w:w="1624" w:type="dxa"/>
            <w:noWrap/>
          </w:tcPr>
          <w:p w14:paraId="59005D6D"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32910C1A"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55A8EF92"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hideMark/>
          </w:tcPr>
          <w:p w14:paraId="4CFB9179"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 w:val="15"/>
                <w:szCs w:val="17"/>
              </w:rPr>
            </w:pPr>
          </w:p>
        </w:tc>
        <w:tc>
          <w:tcPr>
            <w:tcW w:w="3690" w:type="dxa"/>
            <w:hideMark/>
          </w:tcPr>
          <w:p w14:paraId="6A08BC33"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sz w:val="15"/>
                <w:szCs w:val="17"/>
              </w:rPr>
            </w:pPr>
            <w:r w:rsidRPr="006C7009">
              <w:rPr>
                <w:sz w:val="15"/>
                <w:szCs w:val="17"/>
              </w:rPr>
              <w:t>Do transactions above this amount require approval of the CEO or someone with higher authority?</w:t>
            </w:r>
          </w:p>
        </w:tc>
        <w:tc>
          <w:tcPr>
            <w:tcW w:w="1350" w:type="dxa"/>
            <w:noWrap/>
            <w:hideMark/>
          </w:tcPr>
          <w:p w14:paraId="6C28EA49"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Yes</w:t>
            </w:r>
          </w:p>
        </w:tc>
        <w:tc>
          <w:tcPr>
            <w:tcW w:w="1624" w:type="dxa"/>
            <w:noWrap/>
          </w:tcPr>
          <w:p w14:paraId="78B0D2B9"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r w:rsidR="00010108" w:rsidRPr="006C7009" w14:paraId="0D53109C" w14:textId="77777777" w:rsidTr="00EA13B1">
        <w:tc>
          <w:tcPr>
            <w:cnfStyle w:val="001000000000" w:firstRow="0" w:lastRow="0" w:firstColumn="1" w:lastColumn="0" w:oddVBand="0" w:evenVBand="0" w:oddHBand="0" w:evenHBand="0" w:firstRowFirstColumn="0" w:firstRowLastColumn="0" w:lastRowFirstColumn="0" w:lastRowLastColumn="0"/>
            <w:tcW w:w="1260" w:type="dxa"/>
            <w:vMerge/>
            <w:hideMark/>
          </w:tcPr>
          <w:p w14:paraId="018A15E5" w14:textId="77777777" w:rsidR="00010108" w:rsidRPr="006C7009" w:rsidRDefault="00010108">
            <w:pPr>
              <w:pStyle w:val="Tabletext"/>
              <w:spacing w:before="10" w:after="10" w:line="240" w:lineRule="auto"/>
              <w:rPr>
                <w:rFonts w:asciiTheme="majorHAnsi" w:hAnsiTheme="majorHAnsi"/>
                <w:sz w:val="15"/>
                <w:szCs w:val="17"/>
              </w:rPr>
            </w:pPr>
          </w:p>
        </w:tc>
        <w:tc>
          <w:tcPr>
            <w:tcW w:w="1260" w:type="dxa"/>
            <w:vMerge w:val="restart"/>
            <w:hideMark/>
          </w:tcPr>
          <w:p w14:paraId="29769A81"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5"/>
                <w:szCs w:val="17"/>
              </w:rPr>
            </w:pPr>
            <w:r w:rsidRPr="006C7009">
              <w:rPr>
                <w:rFonts w:asciiTheme="majorHAnsi" w:hAnsiTheme="majorHAnsi"/>
                <w:sz w:val="15"/>
                <w:szCs w:val="17"/>
              </w:rPr>
              <w:t>Purchasing cards and petty cash</w:t>
            </w:r>
          </w:p>
        </w:tc>
        <w:tc>
          <w:tcPr>
            <w:tcW w:w="3690" w:type="dxa"/>
            <w:hideMark/>
          </w:tcPr>
          <w:p w14:paraId="46121610"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How many corporate purchasing cards do agency employees hold?</w:t>
            </w:r>
          </w:p>
        </w:tc>
        <w:tc>
          <w:tcPr>
            <w:tcW w:w="1350" w:type="dxa"/>
            <w:noWrap/>
            <w:hideMark/>
          </w:tcPr>
          <w:p w14:paraId="3EE548EE" w14:textId="77777777" w:rsidR="00010108" w:rsidRPr="006C7009" w:rsidRDefault="00010108">
            <w:pPr>
              <w:pStyle w:val="Tabletext"/>
              <w:spacing w:before="10" w:after="10" w:line="240" w:lineRule="auto"/>
              <w:cnfStyle w:val="000000000000" w:firstRow="0" w:lastRow="0" w:firstColumn="0" w:lastColumn="0" w:oddVBand="0" w:evenVBand="0" w:oddHBand="0" w:evenHBand="0" w:firstRowFirstColumn="0" w:firstRowLastColumn="0" w:lastRowFirstColumn="0" w:lastRowLastColumn="0"/>
              <w:rPr>
                <w:color w:val="000000"/>
                <w:sz w:val="15"/>
                <w:szCs w:val="17"/>
              </w:rPr>
            </w:pPr>
            <w:r w:rsidRPr="006C7009">
              <w:rPr>
                <w:color w:val="000000"/>
                <w:sz w:val="15"/>
                <w:szCs w:val="17"/>
              </w:rPr>
              <w:t>1–3</w:t>
            </w:r>
          </w:p>
        </w:tc>
        <w:tc>
          <w:tcPr>
            <w:tcW w:w="1624" w:type="dxa"/>
            <w:noWrap/>
          </w:tcPr>
          <w:p w14:paraId="7D2B9DD6" w14:textId="77777777" w:rsidR="00010108" w:rsidRPr="000A1F8F" w:rsidRDefault="00010108">
            <w:pPr>
              <w:keepLines w:val="0"/>
              <w:spacing w:before="10" w:after="1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7"/>
              </w:rPr>
            </w:pPr>
          </w:p>
        </w:tc>
      </w:tr>
      <w:tr w:rsidR="00010108" w:rsidRPr="006C7009" w14:paraId="45C5F778" w14:textId="77777777" w:rsidTr="00EA1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6B0D982" w14:textId="77777777" w:rsidR="00010108" w:rsidRPr="000A1F8F" w:rsidRDefault="00010108">
            <w:pPr>
              <w:keepLines w:val="0"/>
              <w:spacing w:before="10" w:after="10" w:line="240" w:lineRule="auto"/>
              <w:rPr>
                <w:rFonts w:ascii="Calibri" w:eastAsia="Times New Roman" w:hAnsi="Calibri" w:cs="Calibri"/>
                <w:b/>
                <w:bCs/>
                <w:color w:val="000000"/>
                <w:sz w:val="15"/>
                <w:szCs w:val="17"/>
              </w:rPr>
            </w:pPr>
          </w:p>
        </w:tc>
        <w:tc>
          <w:tcPr>
            <w:tcW w:w="1260" w:type="dxa"/>
            <w:vMerge/>
            <w:hideMark/>
          </w:tcPr>
          <w:p w14:paraId="099529D8"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 w:val="15"/>
                <w:szCs w:val="17"/>
              </w:rPr>
            </w:pPr>
          </w:p>
        </w:tc>
        <w:tc>
          <w:tcPr>
            <w:tcW w:w="3690" w:type="dxa"/>
            <w:hideMark/>
          </w:tcPr>
          <w:p w14:paraId="3A73003C"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What is the highest purchasing card limit?</w:t>
            </w:r>
          </w:p>
        </w:tc>
        <w:tc>
          <w:tcPr>
            <w:tcW w:w="1350" w:type="dxa"/>
            <w:noWrap/>
            <w:hideMark/>
          </w:tcPr>
          <w:p w14:paraId="68DCE38C" w14:textId="77777777" w:rsidR="00010108" w:rsidRPr="006C7009" w:rsidRDefault="00010108">
            <w:pPr>
              <w:pStyle w:val="Tabletext"/>
              <w:spacing w:before="10" w:after="10" w:line="240" w:lineRule="auto"/>
              <w:cnfStyle w:val="000000010000" w:firstRow="0" w:lastRow="0" w:firstColumn="0" w:lastColumn="0" w:oddVBand="0" w:evenVBand="0" w:oddHBand="0" w:evenHBand="1" w:firstRowFirstColumn="0" w:firstRowLastColumn="0" w:lastRowFirstColumn="0" w:lastRowLastColumn="0"/>
              <w:rPr>
                <w:color w:val="000000"/>
                <w:sz w:val="15"/>
                <w:szCs w:val="17"/>
              </w:rPr>
            </w:pPr>
            <w:r w:rsidRPr="006C7009">
              <w:rPr>
                <w:color w:val="000000"/>
                <w:sz w:val="15"/>
                <w:szCs w:val="17"/>
              </w:rPr>
              <w:t>$5</w:t>
            </w:r>
            <w:r w:rsidRPr="006C7009">
              <w:rPr>
                <w:rFonts w:ascii="Calibri" w:hAnsi="Calibri" w:cs="Calibri"/>
                <w:color w:val="000000"/>
                <w:sz w:val="15"/>
                <w:szCs w:val="17"/>
              </w:rPr>
              <w:t> </w:t>
            </w:r>
            <w:r w:rsidRPr="006C7009">
              <w:rPr>
                <w:color w:val="000000"/>
                <w:sz w:val="15"/>
                <w:szCs w:val="17"/>
              </w:rPr>
              <w:t>000–&lt;$10</w:t>
            </w:r>
            <w:r w:rsidRPr="006C7009">
              <w:rPr>
                <w:rFonts w:ascii="Calibri" w:hAnsi="Calibri" w:cs="Calibri"/>
                <w:color w:val="000000"/>
                <w:sz w:val="15"/>
                <w:szCs w:val="17"/>
              </w:rPr>
              <w:t> </w:t>
            </w:r>
            <w:r w:rsidRPr="006C7009">
              <w:rPr>
                <w:color w:val="000000"/>
                <w:sz w:val="15"/>
                <w:szCs w:val="17"/>
              </w:rPr>
              <w:t>000</w:t>
            </w:r>
          </w:p>
        </w:tc>
        <w:tc>
          <w:tcPr>
            <w:tcW w:w="1624" w:type="dxa"/>
            <w:noWrap/>
          </w:tcPr>
          <w:p w14:paraId="7D126552" w14:textId="77777777" w:rsidR="00010108" w:rsidRPr="000A1F8F" w:rsidRDefault="00010108">
            <w:pPr>
              <w:keepLines w:val="0"/>
              <w:spacing w:before="10" w:after="1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5"/>
                <w:szCs w:val="17"/>
              </w:rPr>
            </w:pPr>
          </w:p>
        </w:tc>
      </w:tr>
    </w:tbl>
    <w:p w14:paraId="56B39A06" w14:textId="77777777" w:rsidR="00010108" w:rsidRDefault="00010108" w:rsidP="00EA13B1"/>
    <w:sectPr w:rsidR="00010108" w:rsidSect="00225455">
      <w:headerReference w:type="default" r:id="rId26"/>
      <w:footerReference w:type="default" r:id="rId27"/>
      <w:pgSz w:w="11906" w:h="16838" w:code="9"/>
      <w:pgMar w:top="2160" w:right="1440" w:bottom="172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F9F84" w14:textId="77777777" w:rsidR="004D1C94" w:rsidRDefault="004D1C94" w:rsidP="006805B9">
      <w:r>
        <w:separator/>
      </w:r>
    </w:p>
  </w:endnote>
  <w:endnote w:type="continuationSeparator" w:id="0">
    <w:p w14:paraId="38BCF2C9" w14:textId="77777777" w:rsidR="004D1C94" w:rsidRDefault="004D1C94" w:rsidP="006805B9">
      <w:r>
        <w:continuationSeparator/>
      </w:r>
    </w:p>
  </w:endnote>
  <w:endnote w:type="continuationNotice" w:id="1">
    <w:p w14:paraId="71E8F740" w14:textId="77777777" w:rsidR="004D1C94" w:rsidRDefault="004D1C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FD4960-C681-452F-9DC1-9C83FE138DF6}"/>
    <w:embedBold r:id="rId2" w:fontKey="{566265DA-CD7D-4D43-9758-402A159B3D7D}"/>
    <w:embedItalic r:id="rId3" w:fontKey="{4235EF28-5344-4800-9CC5-66FDE68471D3}"/>
    <w:embedBoldItalic r:id="rId4" w:fontKey="{746AF9E6-7560-44DB-92F2-7A47EDD82043}"/>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9B2344B7-B4E4-47B4-ADA8-08B7A3A2E9BC}"/>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E6CE3AAE-BE46-4245-BF58-1E5E10AB0D93}"/>
    <w:embedBold r:id="rId7" w:fontKey="{5C0359C5-7A33-4791-84FC-51EFB227E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9B21" w14:textId="7DC36DCF" w:rsidR="00522F8A" w:rsidRDefault="00522F8A" w:rsidP="00491C72">
    <w:pPr>
      <w:pStyle w:val="Footer"/>
      <w:tabs>
        <w:tab w:val="clear" w:pos="9026"/>
        <w:tab w:val="right" w:pos="9602"/>
      </w:tabs>
      <w:rPr>
        <w:rStyle w:val="PageNumber"/>
      </w:rPr>
    </w:pPr>
    <w:r w:rsidRPr="008E49B3">
      <w:rPr>
        <w:noProof w:val="0"/>
      </w:rPr>
      <w:fldChar w:fldCharType="begin"/>
    </w:r>
    <w:r w:rsidRPr="008E49B3">
      <w:instrText xml:space="preserve"> StyleRef “Title” </w:instrText>
    </w:r>
    <w:r w:rsidRPr="008E49B3">
      <w:rPr>
        <w:noProof w:val="0"/>
      </w:rPr>
      <w:fldChar w:fldCharType="separate"/>
    </w:r>
    <w:r w:rsidR="0009725A">
      <w:t>Additional guidance for requests for composite report determinations under the Financial Management Act 1994 (FMA) and exemptions from the Standing Directions</w:t>
    </w:r>
    <w:r w:rsidRPr="008E49B3">
      <w:fldChar w:fldCharType="end"/>
    </w:r>
    <w:r w:rsidR="00491C72">
      <w:tab/>
      <w:t xml:space="preserve">Page </w:t>
    </w:r>
    <w:r w:rsidR="00491C72">
      <w:fldChar w:fldCharType="begin"/>
    </w:r>
    <w:r w:rsidR="00491C72">
      <w:instrText xml:space="preserve"> page </w:instrText>
    </w:r>
    <w:r w:rsidR="00491C72">
      <w:fldChar w:fldCharType="separate"/>
    </w:r>
    <w:r w:rsidR="00491C72">
      <w:t>2</w:t>
    </w:r>
    <w:r w:rsidR="00491C72">
      <w:fldChar w:fldCharType="end"/>
    </w:r>
  </w:p>
  <w:p w14:paraId="56241A3A" w14:textId="77777777" w:rsidR="00522F8A" w:rsidRPr="00C022F9" w:rsidRDefault="00522F8A" w:rsidP="00680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C6D2" w14:textId="711C1CC8" w:rsidR="00973844" w:rsidRDefault="00C02CEC" w:rsidP="004C7125">
    <w:pPr>
      <w:pStyle w:val="Footer"/>
      <w:jc w:val="right"/>
    </w:pPr>
    <w:r>
      <w:drawing>
        <wp:inline distT="0" distB="0" distL="0" distR="0" wp14:anchorId="30FD574A" wp14:editId="020A91CC">
          <wp:extent cx="1536192" cy="457200"/>
          <wp:effectExtent l="0" t="0" r="6985" b="0"/>
          <wp:docPr id="1791697353"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2DDC" w14:textId="20736660" w:rsidR="00421971" w:rsidRDefault="00421971" w:rsidP="00421971">
    <w:pPr>
      <w:pStyle w:val="Footer"/>
      <w:tabs>
        <w:tab w:val="clear" w:pos="9026"/>
        <w:tab w:val="right" w:pos="9602"/>
      </w:tabs>
      <w:rPr>
        <w:rStyle w:val="PageNumber"/>
      </w:rPr>
    </w:pPr>
    <w:r w:rsidRPr="008E49B3">
      <w:rPr>
        <w:noProof w:val="0"/>
      </w:rPr>
      <w:fldChar w:fldCharType="begin"/>
    </w:r>
    <w:r w:rsidRPr="008E49B3">
      <w:instrText xml:space="preserve"> StyleRef “Title” </w:instrText>
    </w:r>
    <w:r w:rsidRPr="008E49B3">
      <w:rPr>
        <w:noProof w:val="0"/>
      </w:rPr>
      <w:fldChar w:fldCharType="separate"/>
    </w:r>
    <w:r w:rsidR="0009725A">
      <w:t>Additional guidance for requests for composite report determinations under the Financial Management Act 1994 (FMA) and exemptions from the Standing Directions</w:t>
    </w:r>
    <w:r w:rsidRPr="008E49B3">
      <w:fldChar w:fldCharType="end"/>
    </w:r>
    <w:r>
      <w:tab/>
      <w:t xml:space="preserve">Page </w:t>
    </w:r>
    <w:r>
      <w:fldChar w:fldCharType="begin"/>
    </w:r>
    <w:r>
      <w:instrText xml:space="preserve"> page </w:instrText>
    </w:r>
    <w:r>
      <w:fldChar w:fldCharType="separate"/>
    </w:r>
    <w:r>
      <w:t>2</w:t>
    </w:r>
    <w:r>
      <w:fldChar w:fldCharType="end"/>
    </w:r>
  </w:p>
  <w:p w14:paraId="7726FBCD" w14:textId="710893D4" w:rsidR="00421971" w:rsidRPr="00C022F9" w:rsidRDefault="00421971" w:rsidP="004219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61F3" w14:textId="5D4F3E5A" w:rsidR="00363C05" w:rsidRDefault="00363C05" w:rsidP="00363C05">
    <w:pPr>
      <w:pStyle w:val="Footer"/>
      <w:tabs>
        <w:tab w:val="clear" w:pos="9026"/>
        <w:tab w:val="right" w:pos="14490"/>
      </w:tabs>
      <w:rPr>
        <w:rStyle w:val="PageNumber"/>
      </w:rPr>
    </w:pPr>
    <w:r w:rsidRPr="008E49B3">
      <w:rPr>
        <w:noProof w:val="0"/>
      </w:rPr>
      <w:fldChar w:fldCharType="begin"/>
    </w:r>
    <w:r w:rsidRPr="008E49B3">
      <w:instrText xml:space="preserve"> StyleRef “Title” </w:instrText>
    </w:r>
    <w:r w:rsidRPr="008E49B3">
      <w:rPr>
        <w:noProof w:val="0"/>
      </w:rPr>
      <w:fldChar w:fldCharType="separate"/>
    </w:r>
    <w:r w:rsidR="0009725A">
      <w:t>Additional guidance for requests for composite report determinations under the Financial Management Act 1994 (FMA) and exemptions from the Standing Directions</w:t>
    </w:r>
    <w:r w:rsidRPr="008E49B3">
      <w:fldChar w:fldCharType="end"/>
    </w:r>
    <w:r>
      <w:tab/>
      <w:t xml:space="preserve">Page </w:t>
    </w:r>
    <w:r>
      <w:fldChar w:fldCharType="begin"/>
    </w:r>
    <w:r>
      <w:instrText xml:space="preserve"> page </w:instrText>
    </w:r>
    <w:r>
      <w:fldChar w:fldCharType="separate"/>
    </w:r>
    <w:r>
      <w:t>2</w:t>
    </w:r>
    <w:r>
      <w:fldChar w:fldCharType="end"/>
    </w:r>
  </w:p>
  <w:p w14:paraId="5FF4968B" w14:textId="18D2FB8A" w:rsidR="00363C05" w:rsidRPr="00C022F9" w:rsidRDefault="00363C05" w:rsidP="004219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277B" w14:textId="3FA0800A" w:rsidR="00363C05" w:rsidRDefault="00363C05" w:rsidP="00421971">
    <w:pPr>
      <w:pStyle w:val="Footer"/>
      <w:tabs>
        <w:tab w:val="clear" w:pos="9026"/>
        <w:tab w:val="right" w:pos="9602"/>
      </w:tabs>
      <w:rPr>
        <w:rStyle w:val="PageNumber"/>
      </w:rPr>
    </w:pPr>
    <w:r w:rsidRPr="008E49B3">
      <w:rPr>
        <w:noProof w:val="0"/>
      </w:rPr>
      <w:fldChar w:fldCharType="begin"/>
    </w:r>
    <w:r w:rsidRPr="008E49B3">
      <w:instrText xml:space="preserve"> StyleRef “Title” </w:instrText>
    </w:r>
    <w:r w:rsidRPr="008E49B3">
      <w:rPr>
        <w:noProof w:val="0"/>
      </w:rPr>
      <w:fldChar w:fldCharType="separate"/>
    </w:r>
    <w:r w:rsidR="0009725A">
      <w:t>Additional guidance for requests for composite report determinations under the Financial Management Act 1994 (FMA) and exemptions from the Standing Directions</w:t>
    </w:r>
    <w:r w:rsidRPr="008E49B3">
      <w:fldChar w:fldCharType="end"/>
    </w:r>
    <w:r>
      <w:tab/>
      <w:t xml:space="preserve">Page </w:t>
    </w:r>
    <w:r>
      <w:fldChar w:fldCharType="begin"/>
    </w:r>
    <w:r>
      <w:instrText xml:space="preserve"> page </w:instrText>
    </w:r>
    <w:r>
      <w:fldChar w:fldCharType="separate"/>
    </w:r>
    <w:r>
      <w:t>2</w:t>
    </w:r>
    <w:r>
      <w:fldChar w:fldCharType="end"/>
    </w:r>
  </w:p>
  <w:p w14:paraId="29A53C4D" w14:textId="1E0DF73F" w:rsidR="00363C05" w:rsidRPr="00C022F9" w:rsidRDefault="00363C05" w:rsidP="00421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B7EED" w14:textId="77777777" w:rsidR="004D1C94" w:rsidRDefault="004D1C94" w:rsidP="006805B9">
      <w:r>
        <w:separator/>
      </w:r>
    </w:p>
  </w:footnote>
  <w:footnote w:type="continuationSeparator" w:id="0">
    <w:p w14:paraId="384A1E45" w14:textId="77777777" w:rsidR="004D1C94" w:rsidRDefault="004D1C94" w:rsidP="006805B9">
      <w:r>
        <w:continuationSeparator/>
      </w:r>
    </w:p>
  </w:footnote>
  <w:footnote w:type="continuationNotice" w:id="1">
    <w:p w14:paraId="2E61877C" w14:textId="77777777" w:rsidR="004D1C94" w:rsidRDefault="004D1C94">
      <w:pPr>
        <w:spacing w:before="0" w:after="0" w:line="240" w:lineRule="auto"/>
      </w:pPr>
    </w:p>
  </w:footnote>
  <w:footnote w:id="2">
    <w:p w14:paraId="44742A8F" w14:textId="0C439805" w:rsidR="00AB630C" w:rsidRDefault="00AB630C" w:rsidP="00421971">
      <w:pPr>
        <w:pStyle w:val="NoteNormal"/>
      </w:pPr>
      <w:r w:rsidRPr="00764D3D">
        <w:rPr>
          <w:rStyle w:val="FootnoteReference"/>
          <w:sz w:val="14"/>
        </w:rPr>
        <w:footnoteRef/>
      </w:r>
      <w:r w:rsidRPr="00764D3D">
        <w:t xml:space="preserve"> A large number of smaller agencies that do not prepare audited financial statements or report annually to Parliament</w:t>
      </w:r>
      <w:r w:rsidR="00655CE0">
        <w:t>,</w:t>
      </w:r>
      <w:r w:rsidRPr="00764D3D">
        <w:t xml:space="preserve"> and are primarily run by volunteers</w:t>
      </w:r>
      <w:r w:rsidR="00655CE0">
        <w:t xml:space="preserve"> </w:t>
      </w:r>
      <w:r w:rsidRPr="00764D3D">
        <w:t xml:space="preserve">such as incorporated Crown land committees of management, Class B cemetery trusts, </w:t>
      </w:r>
      <w:r w:rsidR="00655CE0">
        <w:t>s</w:t>
      </w:r>
      <w:r w:rsidRPr="00764D3D">
        <w:t>chool councils, volunteer fire brigades or SES units</w:t>
      </w:r>
      <w:r w:rsidR="001C1F97">
        <w:t>,</w:t>
      </w:r>
      <w:r w:rsidRPr="00764D3D">
        <w:t xml:space="preserve"> have been provided a complete exemption under the Directions (SD 1.2.1)</w:t>
      </w:r>
      <w:r w:rsidR="007D5CAC">
        <w:t>,</w:t>
      </w:r>
      <w:r w:rsidRPr="00764D3D">
        <w:t xml:space="preserve"> on the basis that the relevant </w:t>
      </w:r>
      <w:r w:rsidR="001C1F97">
        <w:t>p</w:t>
      </w:r>
      <w:r w:rsidRPr="00764D3D">
        <w:t xml:space="preserve">ortfolio </w:t>
      </w:r>
      <w:r w:rsidR="001C1F97">
        <w:t>d</w:t>
      </w:r>
      <w:r w:rsidRPr="00764D3D">
        <w:t xml:space="preserve">epartment or oversight </w:t>
      </w:r>
      <w:r w:rsidR="001C1F97">
        <w:t>a</w:t>
      </w:r>
      <w:r w:rsidRPr="00764D3D">
        <w:t>gency establishes appropriate financial management requirements for their agencies excluded from these Directions (SD 2.3.5).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149F" w14:textId="3070AC40" w:rsidR="00F417C3" w:rsidRPr="0041689E" w:rsidRDefault="00F83E89" w:rsidP="006805B9">
    <w:pPr>
      <w:pStyle w:val="Header"/>
    </w:pPr>
    <w:r>
      <w:rPr>
        <w:noProof/>
      </w:rPr>
      <mc:AlternateContent>
        <mc:Choice Requires="wpg">
          <w:drawing>
            <wp:anchor distT="0" distB="0" distL="114300" distR="114300" simplePos="0" relativeHeight="251658246" behindDoc="0" locked="0" layoutInCell="1" allowOverlap="1" wp14:anchorId="6D8CD556" wp14:editId="6D14AFD0">
              <wp:simplePos x="0" y="0"/>
              <wp:positionH relativeFrom="page">
                <wp:align>right</wp:align>
              </wp:positionH>
              <wp:positionV relativeFrom="page">
                <wp:align>top</wp:align>
              </wp:positionV>
              <wp:extent cx="7598664" cy="978408"/>
              <wp:effectExtent l="0" t="0" r="2540" b="0"/>
              <wp:wrapNone/>
              <wp:docPr id="1516132336"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191400771"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350650"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7613"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037619"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06667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4771E" id="Page banner" o:spid="_x0000_s1026" alt="&quot;&quot;" style="position:absolute;margin-left:547.1pt;margin-top:0;width:598.3pt;height:77.05pt;z-index:251658246;mso-position-horizontal:righ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95F89" w14:textId="76CCFB72" w:rsidR="005135A8" w:rsidRDefault="001A53BF">
    <w:pPr>
      <w:pStyle w:val="Header"/>
    </w:pPr>
    <w:r>
      <w:rPr>
        <w:noProof/>
      </w:rPr>
      <mc:AlternateContent>
        <mc:Choice Requires="wpg">
          <w:drawing>
            <wp:anchor distT="0" distB="0" distL="114300" distR="114300" simplePos="0" relativeHeight="251658245" behindDoc="0" locked="0" layoutInCell="1" allowOverlap="1" wp14:anchorId="30D73FE6" wp14:editId="26B07648">
              <wp:simplePos x="0" y="0"/>
              <wp:positionH relativeFrom="page">
                <wp:align>left</wp:align>
              </wp:positionH>
              <wp:positionV relativeFrom="page">
                <wp:align>top</wp:align>
              </wp:positionV>
              <wp:extent cx="7598664" cy="978408"/>
              <wp:effectExtent l="0" t="0" r="2540" b="0"/>
              <wp:wrapNone/>
              <wp:docPr id="3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86C90" id="Page banner" o:spid="_x0000_s1026" alt="&quot;&quot;" style="position:absolute;margin-left:0;margin-top:0;width:598.3pt;height:77.05pt;z-index:251658245;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DEouxY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CCA0" w14:textId="0281AD10" w:rsidR="00421971" w:rsidRPr="0041689E" w:rsidRDefault="00D33446" w:rsidP="00421971">
    <w:pPr>
      <w:pStyle w:val="Header"/>
      <w:spacing w:before="0"/>
    </w:pPr>
    <w:r>
      <w:rPr>
        <w:noProof/>
      </w:rPr>
      <mc:AlternateContent>
        <mc:Choice Requires="wpg">
          <w:drawing>
            <wp:anchor distT="0" distB="0" distL="114300" distR="114300" simplePos="0" relativeHeight="251658247" behindDoc="0" locked="0" layoutInCell="1" allowOverlap="1" wp14:anchorId="43D8E553" wp14:editId="4327E4D7">
              <wp:simplePos x="0" y="0"/>
              <wp:positionH relativeFrom="page">
                <wp:align>right</wp:align>
              </wp:positionH>
              <wp:positionV relativeFrom="page">
                <wp:align>top</wp:align>
              </wp:positionV>
              <wp:extent cx="10744200" cy="731520"/>
              <wp:effectExtent l="0" t="0" r="0" b="0"/>
              <wp:wrapNone/>
              <wp:docPr id="2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44200" cy="731520"/>
                        <a:chOff x="0" y="0"/>
                        <a:chExt cx="10746000" cy="727400"/>
                      </a:xfrm>
                    </wpg:grpSpPr>
                    <wps:wsp>
                      <wps:cNvPr id="22" name="Shape 5"/>
                      <wps:cNvSpPr/>
                      <wps:spPr>
                        <a:xfrm>
                          <a:off x="0" y="0"/>
                          <a:ext cx="10746000" cy="723113"/>
                        </a:xfrm>
                        <a:custGeom>
                          <a:avLst/>
                          <a:gdLst>
                            <a:gd name="connsiteX0" fmla="*/ 0 w 8019002"/>
                            <a:gd name="connsiteY0" fmla="*/ 0 h 539877"/>
                            <a:gd name="connsiteX1" fmla="*/ 8019003 w 8019002"/>
                            <a:gd name="connsiteY1" fmla="*/ 0 h 539877"/>
                            <a:gd name="connsiteX2" fmla="*/ 8019003 w 8019002"/>
                            <a:gd name="connsiteY2" fmla="*/ 539877 h 539877"/>
                            <a:gd name="connsiteX3" fmla="*/ 0 w 8019002"/>
                            <a:gd name="connsiteY3" fmla="*/ 539877 h 539877"/>
                          </a:gdLst>
                          <a:ahLst/>
                          <a:cxnLst>
                            <a:cxn ang="0">
                              <a:pos x="connsiteX0" y="connsiteY0"/>
                            </a:cxn>
                            <a:cxn ang="0">
                              <a:pos x="connsiteX1" y="connsiteY1"/>
                            </a:cxn>
                            <a:cxn ang="0">
                              <a:pos x="connsiteX2" y="connsiteY2"/>
                            </a:cxn>
                            <a:cxn ang="0">
                              <a:pos x="connsiteX3" y="connsiteY3"/>
                            </a:cxn>
                          </a:cxnLst>
                          <a:rect l="l" t="t" r="r" b="b"/>
                          <a:pathLst>
                            <a:path w="8019002" h="539877">
                              <a:moveTo>
                                <a:pt x="0" y="0"/>
                              </a:moveTo>
                              <a:lnTo>
                                <a:pt x="8019003" y="0"/>
                              </a:lnTo>
                              <a:lnTo>
                                <a:pt x="8019003" y="539877"/>
                              </a:lnTo>
                              <a:lnTo>
                                <a:pt x="0" y="539877"/>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9048307" y="0"/>
                          <a:ext cx="1696736" cy="723240"/>
                        </a:xfrm>
                        <a:custGeom>
                          <a:avLst/>
                          <a:gdLst>
                            <a:gd name="connsiteX0" fmla="*/ 1266158 w 1266158"/>
                            <a:gd name="connsiteY0" fmla="*/ 0 h 539972"/>
                            <a:gd name="connsiteX1" fmla="*/ 1266158 w 1266158"/>
                            <a:gd name="connsiteY1" fmla="*/ 539972 h 539972"/>
                            <a:gd name="connsiteX2" fmla="*/ 0 w 1266158"/>
                            <a:gd name="connsiteY2" fmla="*/ 539972 h 539972"/>
                            <a:gd name="connsiteX3" fmla="*/ 255175 w 1266158"/>
                            <a:gd name="connsiteY3" fmla="*/ 0 h 539972"/>
                          </a:gdLst>
                          <a:ahLst/>
                          <a:cxnLst>
                            <a:cxn ang="0">
                              <a:pos x="connsiteX0" y="connsiteY0"/>
                            </a:cxn>
                            <a:cxn ang="0">
                              <a:pos x="connsiteX1" y="connsiteY1"/>
                            </a:cxn>
                            <a:cxn ang="0">
                              <a:pos x="connsiteX2" y="connsiteY2"/>
                            </a:cxn>
                            <a:cxn ang="0">
                              <a:pos x="connsiteX3" y="connsiteY3"/>
                            </a:cxn>
                          </a:cxnLst>
                          <a:rect l="l" t="t" r="r" b="b"/>
                          <a:pathLst>
                            <a:path w="1266158" h="539972">
                              <a:moveTo>
                                <a:pt x="1266158" y="0"/>
                              </a:moveTo>
                              <a:lnTo>
                                <a:pt x="1266158" y="539972"/>
                              </a:lnTo>
                              <a:lnTo>
                                <a:pt x="0" y="539972"/>
                              </a:lnTo>
                              <a:lnTo>
                                <a:pt x="25517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8102009" y="0"/>
                          <a:ext cx="1291475" cy="723240"/>
                        </a:xfrm>
                        <a:custGeom>
                          <a:avLst/>
                          <a:gdLst>
                            <a:gd name="connsiteX0" fmla="*/ 0 w 963739"/>
                            <a:gd name="connsiteY0" fmla="*/ 539972 h 539972"/>
                            <a:gd name="connsiteX1" fmla="*/ 708565 w 963739"/>
                            <a:gd name="connsiteY1" fmla="*/ 539972 h 539972"/>
                            <a:gd name="connsiteX2" fmla="*/ 963739 w 963739"/>
                            <a:gd name="connsiteY2" fmla="*/ 0 h 539972"/>
                            <a:gd name="connsiteX3" fmla="*/ 255270 w 963739"/>
                            <a:gd name="connsiteY3" fmla="*/ 0 h 539972"/>
                          </a:gdLst>
                          <a:ahLst/>
                          <a:cxnLst>
                            <a:cxn ang="0">
                              <a:pos x="connsiteX0" y="connsiteY0"/>
                            </a:cxn>
                            <a:cxn ang="0">
                              <a:pos x="connsiteX1" y="connsiteY1"/>
                            </a:cxn>
                            <a:cxn ang="0">
                              <a:pos x="connsiteX2" y="connsiteY2"/>
                            </a:cxn>
                            <a:cxn ang="0">
                              <a:pos x="connsiteX3" y="connsiteY3"/>
                            </a:cxn>
                          </a:cxnLst>
                          <a:rect l="l" t="t" r="r" b="b"/>
                          <a:pathLst>
                            <a:path w="963739" h="539972">
                              <a:moveTo>
                                <a:pt x="0" y="539972"/>
                              </a:moveTo>
                              <a:lnTo>
                                <a:pt x="708565" y="539972"/>
                              </a:lnTo>
                              <a:lnTo>
                                <a:pt x="963739" y="0"/>
                              </a:lnTo>
                              <a:lnTo>
                                <a:pt x="255270"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9388549" y="0"/>
                          <a:ext cx="1354785" cy="723113"/>
                        </a:xfrm>
                        <a:custGeom>
                          <a:avLst/>
                          <a:gdLst>
                            <a:gd name="connsiteX0" fmla="*/ 0 w 1010983"/>
                            <a:gd name="connsiteY0" fmla="*/ 0 h 539877"/>
                            <a:gd name="connsiteX1" fmla="*/ 255270 w 1010983"/>
                            <a:gd name="connsiteY1" fmla="*/ 539877 h 539877"/>
                            <a:gd name="connsiteX2" fmla="*/ 1010984 w 1010983"/>
                            <a:gd name="connsiteY2" fmla="*/ 539877 h 539877"/>
                            <a:gd name="connsiteX3" fmla="*/ 1010984 w 1010983"/>
                            <a:gd name="connsiteY3" fmla="*/ 0 h 539877"/>
                          </a:gdLst>
                          <a:ahLst/>
                          <a:cxnLst>
                            <a:cxn ang="0">
                              <a:pos x="connsiteX0" y="connsiteY0"/>
                            </a:cxn>
                            <a:cxn ang="0">
                              <a:pos x="connsiteX1" y="connsiteY1"/>
                            </a:cxn>
                            <a:cxn ang="0">
                              <a:pos x="connsiteX2" y="connsiteY2"/>
                            </a:cxn>
                            <a:cxn ang="0">
                              <a:pos x="connsiteX3" y="connsiteY3"/>
                            </a:cxn>
                          </a:cxnLst>
                          <a:rect l="l" t="t" r="r" b="b"/>
                          <a:pathLst>
                            <a:path w="1010983" h="539877">
                              <a:moveTo>
                                <a:pt x="0" y="0"/>
                              </a:moveTo>
                              <a:lnTo>
                                <a:pt x="255270" y="539877"/>
                              </a:lnTo>
                              <a:lnTo>
                                <a:pt x="1010984" y="539877"/>
                              </a:lnTo>
                              <a:lnTo>
                                <a:pt x="101098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7921256" y="361507"/>
                          <a:ext cx="1122350" cy="365893"/>
                        </a:xfrm>
                        <a:custGeom>
                          <a:avLst/>
                          <a:gdLst>
                            <a:gd name="connsiteX0" fmla="*/ 0 w 837533"/>
                            <a:gd name="connsiteY0" fmla="*/ 0 h 273176"/>
                            <a:gd name="connsiteX1" fmla="*/ 708374 w 837533"/>
                            <a:gd name="connsiteY1" fmla="*/ 0 h 273176"/>
                            <a:gd name="connsiteX2" fmla="*/ 837533 w 837533"/>
                            <a:gd name="connsiteY2" fmla="*/ 273177 h 273176"/>
                            <a:gd name="connsiteX3" fmla="*/ 129159 w 837533"/>
                            <a:gd name="connsiteY3" fmla="*/ 273177 h 273176"/>
                          </a:gdLst>
                          <a:ahLst/>
                          <a:cxnLst>
                            <a:cxn ang="0">
                              <a:pos x="connsiteX0" y="connsiteY0"/>
                            </a:cxn>
                            <a:cxn ang="0">
                              <a:pos x="connsiteX1" y="connsiteY1"/>
                            </a:cxn>
                            <a:cxn ang="0">
                              <a:pos x="connsiteX2" y="connsiteY2"/>
                            </a:cxn>
                            <a:cxn ang="0">
                              <a:pos x="connsiteX3" y="connsiteY3"/>
                            </a:cxn>
                          </a:cxnLst>
                          <a:rect l="l" t="t" r="r" b="b"/>
                          <a:pathLst>
                            <a:path w="837533" h="273176">
                              <a:moveTo>
                                <a:pt x="0" y="0"/>
                              </a:moveTo>
                              <a:lnTo>
                                <a:pt x="708374" y="0"/>
                              </a:lnTo>
                              <a:lnTo>
                                <a:pt x="837533" y="273177"/>
                              </a:lnTo>
                              <a:lnTo>
                                <a:pt x="129159" y="273177"/>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EA0ED" id="Page banner" o:spid="_x0000_s1026" alt="&quot;&quot;" style="position:absolute;margin-left:794.8pt;margin-top:0;width:846pt;height:57.6pt;z-index:251658247;mso-position-horizontal:right;mso-position-horizontal-relative:page;mso-position-vertical:top;mso-position-vertical-relative:page;mso-width-relative:margin;mso-height-relative:margin" coordsize="107460,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">
              <v:shape id="Shape 5" o:spid="_x0000_s1027" style="position:absolute;width:107460;height:7231;visibility:visible;mso-wrap-style:square;v-text-anchor:middle" coordsize="8019002,5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" path="m,l8019003,r,539877l,539877,,xe" fillcolor="#c2ebfa [3214]" stroked="f">
                <v:stroke joinstyle="miter"/>
                <v:path arrowok="t" o:connecttype="custom" o:connectlocs="0,0;10746001,0;10746001,723113;0,723113" o:connectangles="0,0,0,0"/>
              </v:shape>
              <v:shape id="Shape 4" o:spid="_x0000_s1028" style="position:absolute;left:90483;width:16967;height:7232;visibility:visible;mso-wrap-style:square;v-text-anchor:middle" coordsize="1266158,53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" path="m1266158,r,539972l,539972,255175,,1266158,xe" fillcolor="#0072ce [3204]" stroked="f">
                <v:stroke joinstyle="miter"/>
                <v:path arrowok="t" o:connecttype="custom" o:connectlocs="1696736,0;1696736,723240;0,723240;341951,0" o:connectangles="0,0,0,0"/>
              </v:shape>
              <v:shape id="Shape 3" o:spid="_x0000_s1029" style="position:absolute;left:81020;width:12914;height:7232;visibility:visible;mso-wrap-style:square;v-text-anchor:middle" coordsize="963739,53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" path="m,539972r708565,l963739,,255270,,,539972xe" fillcolor="#68cef2 [3205]" stroked="f">
                <v:stroke joinstyle="miter"/>
                <v:path arrowok="t" o:connecttype="custom" o:connectlocs="0,723240;949525,723240;1291475,0;342079,0" o:connectangles="0,0,0,0"/>
              </v:shape>
              <v:shape id="Shape 2" o:spid="_x0000_s1030" style="position:absolute;left:93885;width:13548;height:7231;visibility:visible;mso-wrap-style:square;v-text-anchor:middle" coordsize="1010983,5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" path="m,l255270,539877r755714,l1010984,,,xe" fillcolor="#232b39 [3213]" stroked="f">
                <v:stroke joinstyle="miter"/>
                <v:path arrowok="t" o:connecttype="custom" o:connectlocs="0,0;342079,723113;1354786,723113;1354786,0" o:connectangles="0,0,0,0"/>
              </v:shape>
              <v:shape id="Shape 1" o:spid="_x0000_s1031" style="position:absolute;left:79212;top:3615;width:11224;height:3659;visibility:visible;mso-wrap-style:square;v-text-anchor:middle" coordsize="837533,2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" path="m,l708374,,837533,273177r-708374,l,xe" stroked="f">
                <v:fill opacity="32896f"/>
                <v:stroke joinstyle="miter"/>
                <v:path arrowok="t" o:connecttype="custom" o:connectlocs="0,0;949268,0;1122350,365894;173082,365894"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DD44" w14:textId="5D068D09" w:rsidR="00421971" w:rsidRPr="0041689E" w:rsidRDefault="00225455" w:rsidP="006805B9">
    <w:pPr>
      <w:pStyle w:val="Header"/>
    </w:pPr>
    <w:r>
      <w:rPr>
        <w:noProof/>
      </w:rPr>
      <mc:AlternateContent>
        <mc:Choice Requires="wpg">
          <w:drawing>
            <wp:anchor distT="0" distB="0" distL="114300" distR="114300" simplePos="0" relativeHeight="251658248" behindDoc="0" locked="0" layoutInCell="1" allowOverlap="1" wp14:anchorId="5F5D8309" wp14:editId="1C98C62B">
              <wp:simplePos x="0" y="0"/>
              <wp:positionH relativeFrom="page">
                <wp:align>left</wp:align>
              </wp:positionH>
              <wp:positionV relativeFrom="page">
                <wp:align>top</wp:align>
              </wp:positionV>
              <wp:extent cx="7598664" cy="978408"/>
              <wp:effectExtent l="0" t="0" r="2540" b="0"/>
              <wp:wrapNone/>
              <wp:docPr id="1246071590"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856046410"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877590"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637842"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159623"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042055"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0D8E5" id="Page banner" o:spid="_x0000_s1026" alt="&quot;&quot;" style="position:absolute;margin-left:0;margin-top:0;width:598.3pt;height:77.05pt;z-index:251658248;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44E5D65"/>
    <w:multiLevelType w:val="hybridMultilevel"/>
    <w:tmpl w:val="C1F6729E"/>
    <w:lvl w:ilvl="0" w:tplc="A80C5E6C">
      <w:start w:val="1"/>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11F379"/>
    <w:multiLevelType w:val="hybridMultilevel"/>
    <w:tmpl w:val="FFFFFFFF"/>
    <w:lvl w:ilvl="0" w:tplc="9798324C">
      <w:start w:val="1"/>
      <w:numFmt w:val="bullet"/>
      <w:lvlText w:val="o"/>
      <w:lvlJc w:val="left"/>
      <w:pPr>
        <w:ind w:left="720" w:hanging="360"/>
      </w:pPr>
      <w:rPr>
        <w:rFonts w:ascii="Courier New" w:hAnsi="Courier New" w:hint="default"/>
      </w:rPr>
    </w:lvl>
    <w:lvl w:ilvl="1" w:tplc="17522CE4">
      <w:start w:val="1"/>
      <w:numFmt w:val="bullet"/>
      <w:lvlText w:val="o"/>
      <w:lvlJc w:val="left"/>
      <w:pPr>
        <w:ind w:left="1440" w:hanging="360"/>
      </w:pPr>
      <w:rPr>
        <w:rFonts w:ascii="Courier New" w:hAnsi="Courier New" w:hint="default"/>
      </w:rPr>
    </w:lvl>
    <w:lvl w:ilvl="2" w:tplc="A33839C2">
      <w:start w:val="1"/>
      <w:numFmt w:val="bullet"/>
      <w:lvlText w:val=""/>
      <w:lvlJc w:val="left"/>
      <w:pPr>
        <w:ind w:left="2160" w:hanging="360"/>
      </w:pPr>
      <w:rPr>
        <w:rFonts w:ascii="Wingdings" w:hAnsi="Wingdings" w:hint="default"/>
      </w:rPr>
    </w:lvl>
    <w:lvl w:ilvl="3" w:tplc="49407C3E">
      <w:start w:val="1"/>
      <w:numFmt w:val="bullet"/>
      <w:lvlText w:val=""/>
      <w:lvlJc w:val="left"/>
      <w:pPr>
        <w:ind w:left="2880" w:hanging="360"/>
      </w:pPr>
      <w:rPr>
        <w:rFonts w:ascii="Symbol" w:hAnsi="Symbol" w:hint="default"/>
      </w:rPr>
    </w:lvl>
    <w:lvl w:ilvl="4" w:tplc="D3F4C1D8">
      <w:start w:val="1"/>
      <w:numFmt w:val="bullet"/>
      <w:lvlText w:val="o"/>
      <w:lvlJc w:val="left"/>
      <w:pPr>
        <w:ind w:left="3600" w:hanging="360"/>
      </w:pPr>
      <w:rPr>
        <w:rFonts w:ascii="Courier New" w:hAnsi="Courier New" w:hint="default"/>
      </w:rPr>
    </w:lvl>
    <w:lvl w:ilvl="5" w:tplc="1BB8BF18">
      <w:start w:val="1"/>
      <w:numFmt w:val="bullet"/>
      <w:lvlText w:val=""/>
      <w:lvlJc w:val="left"/>
      <w:pPr>
        <w:ind w:left="4320" w:hanging="360"/>
      </w:pPr>
      <w:rPr>
        <w:rFonts w:ascii="Wingdings" w:hAnsi="Wingdings" w:hint="default"/>
      </w:rPr>
    </w:lvl>
    <w:lvl w:ilvl="6" w:tplc="9BFA2CD0">
      <w:start w:val="1"/>
      <w:numFmt w:val="bullet"/>
      <w:lvlText w:val=""/>
      <w:lvlJc w:val="left"/>
      <w:pPr>
        <w:ind w:left="5040" w:hanging="360"/>
      </w:pPr>
      <w:rPr>
        <w:rFonts w:ascii="Symbol" w:hAnsi="Symbol" w:hint="default"/>
      </w:rPr>
    </w:lvl>
    <w:lvl w:ilvl="7" w:tplc="6C22E16A">
      <w:start w:val="1"/>
      <w:numFmt w:val="bullet"/>
      <w:lvlText w:val="o"/>
      <w:lvlJc w:val="left"/>
      <w:pPr>
        <w:ind w:left="5760" w:hanging="360"/>
      </w:pPr>
      <w:rPr>
        <w:rFonts w:ascii="Courier New" w:hAnsi="Courier New" w:hint="default"/>
      </w:rPr>
    </w:lvl>
    <w:lvl w:ilvl="8" w:tplc="3E304080">
      <w:start w:val="1"/>
      <w:numFmt w:val="bullet"/>
      <w:lvlText w:val=""/>
      <w:lvlJc w:val="left"/>
      <w:pPr>
        <w:ind w:left="6480" w:hanging="360"/>
      </w:pPr>
      <w:rPr>
        <w:rFonts w:ascii="Wingdings" w:hAnsi="Wingdings" w:hint="default"/>
      </w:rPr>
    </w:lvl>
  </w:abstractNum>
  <w:abstractNum w:abstractNumId="3"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8868F2"/>
    <w:multiLevelType w:val="hybridMultilevel"/>
    <w:tmpl w:val="DA7A0D72"/>
    <w:lvl w:ilvl="0" w:tplc="B2FE2F88">
      <w:start w:val="1"/>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95B1D29"/>
    <w:multiLevelType w:val="hybridMultilevel"/>
    <w:tmpl w:val="A532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4456C4"/>
    <w:multiLevelType w:val="hybridMultilevel"/>
    <w:tmpl w:val="C4E06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6368A8"/>
    <w:multiLevelType w:val="multilevel"/>
    <w:tmpl w:val="3F142F44"/>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o"/>
      <w:lvlJc w:val="left"/>
      <w:pPr>
        <w:ind w:left="1152" w:hanging="360"/>
      </w:pPr>
      <w:rPr>
        <w:rFonts w:ascii="Courier New" w:hAnsi="Courier New" w:cs="Courier New" w:hint="default"/>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15:restartNumberingAfterBreak="0">
    <w:nsid w:val="446D3A6A"/>
    <w:multiLevelType w:val="multilevel"/>
    <w:tmpl w:val="C3E4B2EC"/>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0"/>
        <w:szCs w:val="20"/>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0" w15:restartNumberingAfterBreak="0">
    <w:nsid w:val="48E1158A"/>
    <w:multiLevelType w:val="hybridMultilevel"/>
    <w:tmpl w:val="006A2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546CA7"/>
    <w:multiLevelType w:val="hybridMultilevel"/>
    <w:tmpl w:val="3B46405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C5D05F4"/>
    <w:multiLevelType w:val="hybridMultilevel"/>
    <w:tmpl w:val="E1704002"/>
    <w:lvl w:ilvl="0" w:tplc="0B4EEE14">
      <w:start w:val="1"/>
      <w:numFmt w:val="bullet"/>
      <w:lvlText w:val="&gt;"/>
      <w:lvlJc w:val="left"/>
      <w:pPr>
        <w:ind w:left="1080" w:hanging="360"/>
      </w:pPr>
      <w:rPr>
        <w:rFonts w:ascii="VIC" w:hAnsi="VIC" w:hint="default"/>
        <w:sz w:val="22"/>
        <w:szCs w:val="22"/>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3" w15:restartNumberingAfterBreak="0">
    <w:nsid w:val="70007BF2"/>
    <w:multiLevelType w:val="hybridMultilevel"/>
    <w:tmpl w:val="AFD8A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C50AAE"/>
    <w:multiLevelType w:val="hybridMultilevel"/>
    <w:tmpl w:val="BFDCF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BE6E27"/>
    <w:multiLevelType w:val="hybridMultilevel"/>
    <w:tmpl w:val="6B1EFCC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16142571">
    <w:abstractNumId w:val="9"/>
  </w:num>
  <w:num w:numId="2" w16cid:durableId="643586985">
    <w:abstractNumId w:val="16"/>
  </w:num>
  <w:num w:numId="3" w16cid:durableId="265230639">
    <w:abstractNumId w:val="18"/>
  </w:num>
  <w:num w:numId="4" w16cid:durableId="1354988645">
    <w:abstractNumId w:val="5"/>
  </w:num>
  <w:num w:numId="5" w16cid:durableId="1044674595">
    <w:abstractNumId w:val="8"/>
  </w:num>
  <w:num w:numId="6" w16cid:durableId="447700272">
    <w:abstractNumId w:val="0"/>
  </w:num>
  <w:num w:numId="7" w16cid:durableId="1602028250">
    <w:abstractNumId w:val="6"/>
  </w:num>
  <w:num w:numId="8" w16cid:durableId="860242244">
    <w:abstractNumId w:val="17"/>
  </w:num>
  <w:num w:numId="9" w16cid:durableId="1891961742">
    <w:abstractNumId w:val="13"/>
  </w:num>
  <w:num w:numId="10" w16cid:durableId="340203853">
    <w:abstractNumId w:val="10"/>
  </w:num>
  <w:num w:numId="11" w16cid:durableId="1413350582">
    <w:abstractNumId w:val="14"/>
  </w:num>
  <w:num w:numId="12" w16cid:durableId="672533973">
    <w:abstractNumId w:val="4"/>
  </w:num>
  <w:num w:numId="13" w16cid:durableId="1420103996">
    <w:abstractNumId w:val="1"/>
  </w:num>
  <w:num w:numId="14" w16cid:durableId="1451237803">
    <w:abstractNumId w:val="2"/>
  </w:num>
  <w:num w:numId="15" w16cid:durableId="633946048">
    <w:abstractNumId w:val="11"/>
  </w:num>
  <w:num w:numId="16" w16cid:durableId="1046219344">
    <w:abstractNumId w:val="7"/>
  </w:num>
  <w:num w:numId="17" w16cid:durableId="512955106">
    <w:abstractNumId w:val="9"/>
  </w:num>
  <w:num w:numId="18" w16cid:durableId="1214003805">
    <w:abstractNumId w:val="9"/>
  </w:num>
  <w:num w:numId="19" w16cid:durableId="1336111932">
    <w:abstractNumId w:val="12"/>
  </w:num>
  <w:num w:numId="20" w16cid:durableId="603264759">
    <w:abstractNumId w:val="9"/>
  </w:num>
  <w:num w:numId="21" w16cid:durableId="395934531">
    <w:abstractNumId w:val="18"/>
  </w:num>
  <w:num w:numId="22" w16cid:durableId="1672640624">
    <w:abstractNumId w:val="18"/>
  </w:num>
  <w:num w:numId="23" w16cid:durableId="267740660">
    <w:abstractNumId w:val="18"/>
  </w:num>
  <w:num w:numId="24" w16cid:durableId="497814788">
    <w:abstractNumId w:val="18"/>
  </w:num>
  <w:num w:numId="25" w16cid:durableId="131334862">
    <w:abstractNumId w:val="18"/>
  </w:num>
  <w:num w:numId="26" w16cid:durableId="1006793">
    <w:abstractNumId w:val="18"/>
  </w:num>
  <w:num w:numId="27" w16cid:durableId="610747373">
    <w:abstractNumId w:val="18"/>
  </w:num>
  <w:num w:numId="28" w16cid:durableId="2015187081">
    <w:abstractNumId w:val="18"/>
  </w:num>
  <w:num w:numId="29" w16cid:durableId="1636333012">
    <w:abstractNumId w:val="16"/>
  </w:num>
  <w:num w:numId="30" w16cid:durableId="200481125">
    <w:abstractNumId w:val="18"/>
  </w:num>
  <w:num w:numId="31" w16cid:durableId="2081633420">
    <w:abstractNumId w:val="5"/>
  </w:num>
  <w:num w:numId="32" w16cid:durableId="1735856917">
    <w:abstractNumId w:val="5"/>
  </w:num>
  <w:num w:numId="33" w16cid:durableId="798962482">
    <w:abstractNumId w:val="5"/>
  </w:num>
  <w:num w:numId="34" w16cid:durableId="229387855">
    <w:abstractNumId w:val="5"/>
  </w:num>
  <w:num w:numId="35" w16cid:durableId="1167130770">
    <w:abstractNumId w:val="12"/>
    <w:lvlOverride w:ilvl="0">
      <w:startOverride w:val="1"/>
    </w:lvlOverride>
  </w:num>
  <w:num w:numId="36" w16cid:durableId="1862013268">
    <w:abstractNumId w:val="15"/>
  </w:num>
  <w:num w:numId="37" w16cid:durableId="12505477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D0"/>
    <w:rsid w:val="000000D8"/>
    <w:rsid w:val="0000037E"/>
    <w:rsid w:val="000016DA"/>
    <w:rsid w:val="00001CF2"/>
    <w:rsid w:val="00001F47"/>
    <w:rsid w:val="00003AC5"/>
    <w:rsid w:val="00004505"/>
    <w:rsid w:val="00004723"/>
    <w:rsid w:val="000061DB"/>
    <w:rsid w:val="0000687D"/>
    <w:rsid w:val="000074B9"/>
    <w:rsid w:val="00007A72"/>
    <w:rsid w:val="00010108"/>
    <w:rsid w:val="00012F6F"/>
    <w:rsid w:val="00013142"/>
    <w:rsid w:val="00013A6D"/>
    <w:rsid w:val="00014213"/>
    <w:rsid w:val="00014B55"/>
    <w:rsid w:val="00015E59"/>
    <w:rsid w:val="00016E32"/>
    <w:rsid w:val="00017041"/>
    <w:rsid w:val="00017300"/>
    <w:rsid w:val="000177E1"/>
    <w:rsid w:val="000201A0"/>
    <w:rsid w:val="000203DE"/>
    <w:rsid w:val="00020E3E"/>
    <w:rsid w:val="0002204E"/>
    <w:rsid w:val="000227D3"/>
    <w:rsid w:val="00022C5F"/>
    <w:rsid w:val="00022E48"/>
    <w:rsid w:val="000231EF"/>
    <w:rsid w:val="00023A83"/>
    <w:rsid w:val="00023BF3"/>
    <w:rsid w:val="00024B1D"/>
    <w:rsid w:val="00025388"/>
    <w:rsid w:val="00026811"/>
    <w:rsid w:val="00030708"/>
    <w:rsid w:val="00031455"/>
    <w:rsid w:val="00032218"/>
    <w:rsid w:val="000324DC"/>
    <w:rsid w:val="000329EF"/>
    <w:rsid w:val="000364DB"/>
    <w:rsid w:val="00037706"/>
    <w:rsid w:val="000408A0"/>
    <w:rsid w:val="00042C46"/>
    <w:rsid w:val="00043296"/>
    <w:rsid w:val="0004356D"/>
    <w:rsid w:val="000440C1"/>
    <w:rsid w:val="00044486"/>
    <w:rsid w:val="00044959"/>
    <w:rsid w:val="00044F99"/>
    <w:rsid w:val="00045296"/>
    <w:rsid w:val="0004621D"/>
    <w:rsid w:val="00046667"/>
    <w:rsid w:val="000466DF"/>
    <w:rsid w:val="00050F89"/>
    <w:rsid w:val="00050FFB"/>
    <w:rsid w:val="00053832"/>
    <w:rsid w:val="00053C2C"/>
    <w:rsid w:val="00054970"/>
    <w:rsid w:val="000550E0"/>
    <w:rsid w:val="00056464"/>
    <w:rsid w:val="000565F7"/>
    <w:rsid w:val="000567CE"/>
    <w:rsid w:val="000570D5"/>
    <w:rsid w:val="0005786B"/>
    <w:rsid w:val="000609AC"/>
    <w:rsid w:val="00062D18"/>
    <w:rsid w:val="000657E2"/>
    <w:rsid w:val="00066E41"/>
    <w:rsid w:val="00070DF8"/>
    <w:rsid w:val="0007214C"/>
    <w:rsid w:val="00072A2A"/>
    <w:rsid w:val="00072DA3"/>
    <w:rsid w:val="000750C0"/>
    <w:rsid w:val="00075544"/>
    <w:rsid w:val="00075E6C"/>
    <w:rsid w:val="0007693A"/>
    <w:rsid w:val="00081641"/>
    <w:rsid w:val="000830A4"/>
    <w:rsid w:val="00083C73"/>
    <w:rsid w:val="00084429"/>
    <w:rsid w:val="00084D31"/>
    <w:rsid w:val="000867E0"/>
    <w:rsid w:val="00086AA5"/>
    <w:rsid w:val="0008725E"/>
    <w:rsid w:val="00090171"/>
    <w:rsid w:val="00090180"/>
    <w:rsid w:val="000904B4"/>
    <w:rsid w:val="00090BEA"/>
    <w:rsid w:val="000912DB"/>
    <w:rsid w:val="00091657"/>
    <w:rsid w:val="00091BFA"/>
    <w:rsid w:val="00092C16"/>
    <w:rsid w:val="00093577"/>
    <w:rsid w:val="000949F3"/>
    <w:rsid w:val="0009564C"/>
    <w:rsid w:val="00095967"/>
    <w:rsid w:val="000966D0"/>
    <w:rsid w:val="0009725A"/>
    <w:rsid w:val="000A074B"/>
    <w:rsid w:val="000A122F"/>
    <w:rsid w:val="000A4D05"/>
    <w:rsid w:val="000A5679"/>
    <w:rsid w:val="000A6013"/>
    <w:rsid w:val="000B18CE"/>
    <w:rsid w:val="000B29AD"/>
    <w:rsid w:val="000B5CFD"/>
    <w:rsid w:val="000B67F5"/>
    <w:rsid w:val="000B6908"/>
    <w:rsid w:val="000B697C"/>
    <w:rsid w:val="000B6B5A"/>
    <w:rsid w:val="000B7261"/>
    <w:rsid w:val="000B756D"/>
    <w:rsid w:val="000C05C3"/>
    <w:rsid w:val="000C3D0B"/>
    <w:rsid w:val="000C4658"/>
    <w:rsid w:val="000C5634"/>
    <w:rsid w:val="000C60B0"/>
    <w:rsid w:val="000C6372"/>
    <w:rsid w:val="000C66A9"/>
    <w:rsid w:val="000C757D"/>
    <w:rsid w:val="000D1DB7"/>
    <w:rsid w:val="000D2FAC"/>
    <w:rsid w:val="000D4D54"/>
    <w:rsid w:val="000D4F14"/>
    <w:rsid w:val="000D54CD"/>
    <w:rsid w:val="000D568E"/>
    <w:rsid w:val="000D593F"/>
    <w:rsid w:val="000D5ACB"/>
    <w:rsid w:val="000D7354"/>
    <w:rsid w:val="000E074C"/>
    <w:rsid w:val="000E0BDD"/>
    <w:rsid w:val="000E2454"/>
    <w:rsid w:val="000E26C0"/>
    <w:rsid w:val="000E392D"/>
    <w:rsid w:val="000E3998"/>
    <w:rsid w:val="000E3C07"/>
    <w:rsid w:val="000E45EF"/>
    <w:rsid w:val="000E5ACC"/>
    <w:rsid w:val="000E5DB7"/>
    <w:rsid w:val="000E60E8"/>
    <w:rsid w:val="000E69F1"/>
    <w:rsid w:val="000F3E30"/>
    <w:rsid w:val="000F407D"/>
    <w:rsid w:val="000F4201"/>
    <w:rsid w:val="000F4288"/>
    <w:rsid w:val="000F48E1"/>
    <w:rsid w:val="000F54B5"/>
    <w:rsid w:val="000F570E"/>
    <w:rsid w:val="000F6D71"/>
    <w:rsid w:val="000F7165"/>
    <w:rsid w:val="000F7581"/>
    <w:rsid w:val="000F7FC2"/>
    <w:rsid w:val="001005E4"/>
    <w:rsid w:val="00102379"/>
    <w:rsid w:val="00102F2E"/>
    <w:rsid w:val="001035E9"/>
    <w:rsid w:val="001043E1"/>
    <w:rsid w:val="00104A47"/>
    <w:rsid w:val="001065D6"/>
    <w:rsid w:val="00106B4D"/>
    <w:rsid w:val="00110113"/>
    <w:rsid w:val="00111042"/>
    <w:rsid w:val="001205AF"/>
    <w:rsid w:val="00121252"/>
    <w:rsid w:val="00121ACA"/>
    <w:rsid w:val="00122ED3"/>
    <w:rsid w:val="0012319C"/>
    <w:rsid w:val="00123989"/>
    <w:rsid w:val="00123DFE"/>
    <w:rsid w:val="00124609"/>
    <w:rsid w:val="001248C4"/>
    <w:rsid w:val="00124ECE"/>
    <w:rsid w:val="001254CE"/>
    <w:rsid w:val="00125514"/>
    <w:rsid w:val="00125F29"/>
    <w:rsid w:val="00126AF9"/>
    <w:rsid w:val="00126CC7"/>
    <w:rsid w:val="00127D4A"/>
    <w:rsid w:val="00133DF9"/>
    <w:rsid w:val="0013456F"/>
    <w:rsid w:val="00134CEA"/>
    <w:rsid w:val="001416C2"/>
    <w:rsid w:val="001419D5"/>
    <w:rsid w:val="001422CC"/>
    <w:rsid w:val="00142C0E"/>
    <w:rsid w:val="00144B11"/>
    <w:rsid w:val="0014573B"/>
    <w:rsid w:val="001461D0"/>
    <w:rsid w:val="00146233"/>
    <w:rsid w:val="00146988"/>
    <w:rsid w:val="001475AA"/>
    <w:rsid w:val="001535A3"/>
    <w:rsid w:val="00153C53"/>
    <w:rsid w:val="001543DF"/>
    <w:rsid w:val="00154DF9"/>
    <w:rsid w:val="00156332"/>
    <w:rsid w:val="00156B66"/>
    <w:rsid w:val="0016029D"/>
    <w:rsid w:val="001604B0"/>
    <w:rsid w:val="0016050A"/>
    <w:rsid w:val="001617B6"/>
    <w:rsid w:val="00163688"/>
    <w:rsid w:val="00163AC4"/>
    <w:rsid w:val="001646EE"/>
    <w:rsid w:val="00165E66"/>
    <w:rsid w:val="001661A9"/>
    <w:rsid w:val="001662EA"/>
    <w:rsid w:val="0016710B"/>
    <w:rsid w:val="001676D0"/>
    <w:rsid w:val="00173546"/>
    <w:rsid w:val="00174836"/>
    <w:rsid w:val="00175A6E"/>
    <w:rsid w:val="00175FE1"/>
    <w:rsid w:val="00176D97"/>
    <w:rsid w:val="0017724A"/>
    <w:rsid w:val="00177A3A"/>
    <w:rsid w:val="00177EB2"/>
    <w:rsid w:val="0018106E"/>
    <w:rsid w:val="00181089"/>
    <w:rsid w:val="001820CF"/>
    <w:rsid w:val="00183066"/>
    <w:rsid w:val="001842D0"/>
    <w:rsid w:val="0018535C"/>
    <w:rsid w:val="00187D2A"/>
    <w:rsid w:val="0019138C"/>
    <w:rsid w:val="0019177A"/>
    <w:rsid w:val="0019185A"/>
    <w:rsid w:val="0019194F"/>
    <w:rsid w:val="00191A58"/>
    <w:rsid w:val="00192DB5"/>
    <w:rsid w:val="00192EDA"/>
    <w:rsid w:val="001964DE"/>
    <w:rsid w:val="001A2CE3"/>
    <w:rsid w:val="001A351F"/>
    <w:rsid w:val="001A39F3"/>
    <w:rsid w:val="001A3DD1"/>
    <w:rsid w:val="001A4236"/>
    <w:rsid w:val="001A51C6"/>
    <w:rsid w:val="001A53BF"/>
    <w:rsid w:val="001A71D7"/>
    <w:rsid w:val="001B1E49"/>
    <w:rsid w:val="001B28A0"/>
    <w:rsid w:val="001B3172"/>
    <w:rsid w:val="001B31DA"/>
    <w:rsid w:val="001B3634"/>
    <w:rsid w:val="001B48AC"/>
    <w:rsid w:val="001B4C6D"/>
    <w:rsid w:val="001B7021"/>
    <w:rsid w:val="001B7496"/>
    <w:rsid w:val="001B75F2"/>
    <w:rsid w:val="001C02D2"/>
    <w:rsid w:val="001C06B5"/>
    <w:rsid w:val="001C1570"/>
    <w:rsid w:val="001C1748"/>
    <w:rsid w:val="001C17E9"/>
    <w:rsid w:val="001C1F53"/>
    <w:rsid w:val="001C1F97"/>
    <w:rsid w:val="001C2904"/>
    <w:rsid w:val="001C31B8"/>
    <w:rsid w:val="001C40E8"/>
    <w:rsid w:val="001C5715"/>
    <w:rsid w:val="001C5B65"/>
    <w:rsid w:val="001C67EA"/>
    <w:rsid w:val="001C6CD6"/>
    <w:rsid w:val="001C7BAE"/>
    <w:rsid w:val="001C7F78"/>
    <w:rsid w:val="001D0161"/>
    <w:rsid w:val="001D0B6D"/>
    <w:rsid w:val="001D0EF9"/>
    <w:rsid w:val="001D14E3"/>
    <w:rsid w:val="001D163F"/>
    <w:rsid w:val="001D25B9"/>
    <w:rsid w:val="001D29D8"/>
    <w:rsid w:val="001D39AF"/>
    <w:rsid w:val="001D4231"/>
    <w:rsid w:val="001D4C75"/>
    <w:rsid w:val="001D60A9"/>
    <w:rsid w:val="001D6B3A"/>
    <w:rsid w:val="001D6D69"/>
    <w:rsid w:val="001D717E"/>
    <w:rsid w:val="001D7F4D"/>
    <w:rsid w:val="001E0549"/>
    <w:rsid w:val="001E11F9"/>
    <w:rsid w:val="001E218C"/>
    <w:rsid w:val="001E31FA"/>
    <w:rsid w:val="001E3349"/>
    <w:rsid w:val="001E4684"/>
    <w:rsid w:val="001E494F"/>
    <w:rsid w:val="001E64EF"/>
    <w:rsid w:val="001E64F6"/>
    <w:rsid w:val="001E79E9"/>
    <w:rsid w:val="001E7A78"/>
    <w:rsid w:val="001F0581"/>
    <w:rsid w:val="001F12FB"/>
    <w:rsid w:val="001F1869"/>
    <w:rsid w:val="001F1E07"/>
    <w:rsid w:val="001F2116"/>
    <w:rsid w:val="001F3670"/>
    <w:rsid w:val="001F4A3F"/>
    <w:rsid w:val="001F4B50"/>
    <w:rsid w:val="001F5E69"/>
    <w:rsid w:val="001F6795"/>
    <w:rsid w:val="001F74CC"/>
    <w:rsid w:val="00200BB3"/>
    <w:rsid w:val="002012B1"/>
    <w:rsid w:val="002026AA"/>
    <w:rsid w:val="00203D5F"/>
    <w:rsid w:val="00204C00"/>
    <w:rsid w:val="002061E1"/>
    <w:rsid w:val="002079E9"/>
    <w:rsid w:val="00207BEB"/>
    <w:rsid w:val="00211E14"/>
    <w:rsid w:val="00212463"/>
    <w:rsid w:val="00214E6D"/>
    <w:rsid w:val="00220061"/>
    <w:rsid w:val="00220198"/>
    <w:rsid w:val="00222330"/>
    <w:rsid w:val="002229D2"/>
    <w:rsid w:val="00222BEB"/>
    <w:rsid w:val="00223836"/>
    <w:rsid w:val="00224FAE"/>
    <w:rsid w:val="002253C6"/>
    <w:rsid w:val="00225455"/>
    <w:rsid w:val="00225E60"/>
    <w:rsid w:val="002264E5"/>
    <w:rsid w:val="00227801"/>
    <w:rsid w:val="00227903"/>
    <w:rsid w:val="00227C39"/>
    <w:rsid w:val="00230B52"/>
    <w:rsid w:val="00230B56"/>
    <w:rsid w:val="00231771"/>
    <w:rsid w:val="0023202C"/>
    <w:rsid w:val="00232F84"/>
    <w:rsid w:val="00236203"/>
    <w:rsid w:val="00237B69"/>
    <w:rsid w:val="00237ECF"/>
    <w:rsid w:val="00240614"/>
    <w:rsid w:val="00241FA2"/>
    <w:rsid w:val="00243339"/>
    <w:rsid w:val="00244F6E"/>
    <w:rsid w:val="00245043"/>
    <w:rsid w:val="00245A26"/>
    <w:rsid w:val="002472FB"/>
    <w:rsid w:val="00251ADA"/>
    <w:rsid w:val="0025245F"/>
    <w:rsid w:val="002528AF"/>
    <w:rsid w:val="00252999"/>
    <w:rsid w:val="002539C5"/>
    <w:rsid w:val="00254409"/>
    <w:rsid w:val="002576CA"/>
    <w:rsid w:val="00257760"/>
    <w:rsid w:val="002608A1"/>
    <w:rsid w:val="00261E7D"/>
    <w:rsid w:val="00261F62"/>
    <w:rsid w:val="002653C9"/>
    <w:rsid w:val="00265E89"/>
    <w:rsid w:val="00266B29"/>
    <w:rsid w:val="002679B6"/>
    <w:rsid w:val="00270BC6"/>
    <w:rsid w:val="00270C9E"/>
    <w:rsid w:val="00272523"/>
    <w:rsid w:val="00274F64"/>
    <w:rsid w:val="0027524F"/>
    <w:rsid w:val="002770EA"/>
    <w:rsid w:val="00277545"/>
    <w:rsid w:val="002775B7"/>
    <w:rsid w:val="00277919"/>
    <w:rsid w:val="00277BA7"/>
    <w:rsid w:val="002800D3"/>
    <w:rsid w:val="002810B1"/>
    <w:rsid w:val="00282974"/>
    <w:rsid w:val="002874A5"/>
    <w:rsid w:val="00287716"/>
    <w:rsid w:val="00287F26"/>
    <w:rsid w:val="00292414"/>
    <w:rsid w:val="00292B07"/>
    <w:rsid w:val="00292D36"/>
    <w:rsid w:val="00292EE1"/>
    <w:rsid w:val="00293A4A"/>
    <w:rsid w:val="00294264"/>
    <w:rsid w:val="002949B5"/>
    <w:rsid w:val="00297058"/>
    <w:rsid w:val="00297281"/>
    <w:rsid w:val="00297DAB"/>
    <w:rsid w:val="002A0BA0"/>
    <w:rsid w:val="002A0FD3"/>
    <w:rsid w:val="002A2C47"/>
    <w:rsid w:val="002A32B0"/>
    <w:rsid w:val="002A34DF"/>
    <w:rsid w:val="002A4181"/>
    <w:rsid w:val="002A6AB7"/>
    <w:rsid w:val="002B02B2"/>
    <w:rsid w:val="002B120F"/>
    <w:rsid w:val="002B1D44"/>
    <w:rsid w:val="002B3497"/>
    <w:rsid w:val="002B41E5"/>
    <w:rsid w:val="002B45C2"/>
    <w:rsid w:val="002B4C80"/>
    <w:rsid w:val="002B5DB5"/>
    <w:rsid w:val="002C1013"/>
    <w:rsid w:val="002C31E3"/>
    <w:rsid w:val="002C3ACC"/>
    <w:rsid w:val="002C3D9F"/>
    <w:rsid w:val="002C3F89"/>
    <w:rsid w:val="002C52FA"/>
    <w:rsid w:val="002C54E0"/>
    <w:rsid w:val="002C6927"/>
    <w:rsid w:val="002C6F73"/>
    <w:rsid w:val="002C7043"/>
    <w:rsid w:val="002D0A32"/>
    <w:rsid w:val="002D1542"/>
    <w:rsid w:val="002D1AC2"/>
    <w:rsid w:val="002D4D7E"/>
    <w:rsid w:val="002D5133"/>
    <w:rsid w:val="002D6A28"/>
    <w:rsid w:val="002D711A"/>
    <w:rsid w:val="002D7336"/>
    <w:rsid w:val="002D7EEE"/>
    <w:rsid w:val="002E0660"/>
    <w:rsid w:val="002E23BA"/>
    <w:rsid w:val="002E263B"/>
    <w:rsid w:val="002E3396"/>
    <w:rsid w:val="002E5AE7"/>
    <w:rsid w:val="002E6067"/>
    <w:rsid w:val="002E64C3"/>
    <w:rsid w:val="002E6BCE"/>
    <w:rsid w:val="002E770B"/>
    <w:rsid w:val="002F015B"/>
    <w:rsid w:val="002F0D22"/>
    <w:rsid w:val="002F45B3"/>
    <w:rsid w:val="002F5867"/>
    <w:rsid w:val="003010D1"/>
    <w:rsid w:val="00301783"/>
    <w:rsid w:val="003026B2"/>
    <w:rsid w:val="003026E0"/>
    <w:rsid w:val="00302BDF"/>
    <w:rsid w:val="00303450"/>
    <w:rsid w:val="00304110"/>
    <w:rsid w:val="003051B5"/>
    <w:rsid w:val="00305718"/>
    <w:rsid w:val="00305929"/>
    <w:rsid w:val="0030597F"/>
    <w:rsid w:val="0030693C"/>
    <w:rsid w:val="0030763A"/>
    <w:rsid w:val="0031149C"/>
    <w:rsid w:val="00311AC7"/>
    <w:rsid w:val="003125BA"/>
    <w:rsid w:val="00312718"/>
    <w:rsid w:val="00313836"/>
    <w:rsid w:val="00313BAD"/>
    <w:rsid w:val="00315F64"/>
    <w:rsid w:val="00316B71"/>
    <w:rsid w:val="0031795F"/>
    <w:rsid w:val="00317CD7"/>
    <w:rsid w:val="003205DD"/>
    <w:rsid w:val="00321AD5"/>
    <w:rsid w:val="0032278F"/>
    <w:rsid w:val="00323BBF"/>
    <w:rsid w:val="003270E4"/>
    <w:rsid w:val="0033056B"/>
    <w:rsid w:val="00330A9A"/>
    <w:rsid w:val="00331970"/>
    <w:rsid w:val="00333111"/>
    <w:rsid w:val="003345BB"/>
    <w:rsid w:val="003354BE"/>
    <w:rsid w:val="00335F4C"/>
    <w:rsid w:val="00336159"/>
    <w:rsid w:val="00340E65"/>
    <w:rsid w:val="003415EF"/>
    <w:rsid w:val="003436F7"/>
    <w:rsid w:val="003438D5"/>
    <w:rsid w:val="00343CFA"/>
    <w:rsid w:val="003457C2"/>
    <w:rsid w:val="00346F0A"/>
    <w:rsid w:val="003531B0"/>
    <w:rsid w:val="0035358B"/>
    <w:rsid w:val="00353EB4"/>
    <w:rsid w:val="00354430"/>
    <w:rsid w:val="003547F8"/>
    <w:rsid w:val="00355572"/>
    <w:rsid w:val="00356356"/>
    <w:rsid w:val="00357336"/>
    <w:rsid w:val="0036009A"/>
    <w:rsid w:val="00360A29"/>
    <w:rsid w:val="00363C05"/>
    <w:rsid w:val="00364DC0"/>
    <w:rsid w:val="00365D55"/>
    <w:rsid w:val="00365EBA"/>
    <w:rsid w:val="00365EF1"/>
    <w:rsid w:val="0037125E"/>
    <w:rsid w:val="0037222E"/>
    <w:rsid w:val="00372E8F"/>
    <w:rsid w:val="003737B1"/>
    <w:rsid w:val="00375727"/>
    <w:rsid w:val="0037722D"/>
    <w:rsid w:val="00377E88"/>
    <w:rsid w:val="003803F7"/>
    <w:rsid w:val="00380404"/>
    <w:rsid w:val="003812DE"/>
    <w:rsid w:val="00381A9C"/>
    <w:rsid w:val="00383000"/>
    <w:rsid w:val="0038368E"/>
    <w:rsid w:val="003838A5"/>
    <w:rsid w:val="0038468D"/>
    <w:rsid w:val="003848DC"/>
    <w:rsid w:val="00385C7A"/>
    <w:rsid w:val="0038627A"/>
    <w:rsid w:val="0038771C"/>
    <w:rsid w:val="003901D6"/>
    <w:rsid w:val="00391697"/>
    <w:rsid w:val="00391DCD"/>
    <w:rsid w:val="00391E90"/>
    <w:rsid w:val="00392A8F"/>
    <w:rsid w:val="0039405B"/>
    <w:rsid w:val="00395A12"/>
    <w:rsid w:val="00395E09"/>
    <w:rsid w:val="0039672D"/>
    <w:rsid w:val="003A1C92"/>
    <w:rsid w:val="003A354E"/>
    <w:rsid w:val="003A36C2"/>
    <w:rsid w:val="003A36CE"/>
    <w:rsid w:val="003A41F7"/>
    <w:rsid w:val="003A541A"/>
    <w:rsid w:val="003A6508"/>
    <w:rsid w:val="003A66CC"/>
    <w:rsid w:val="003A6923"/>
    <w:rsid w:val="003B0669"/>
    <w:rsid w:val="003B1903"/>
    <w:rsid w:val="003B35D3"/>
    <w:rsid w:val="003B3926"/>
    <w:rsid w:val="003B5C77"/>
    <w:rsid w:val="003B5D66"/>
    <w:rsid w:val="003B6042"/>
    <w:rsid w:val="003B6A34"/>
    <w:rsid w:val="003B6FED"/>
    <w:rsid w:val="003B7895"/>
    <w:rsid w:val="003B7BDF"/>
    <w:rsid w:val="003C12AA"/>
    <w:rsid w:val="003C1413"/>
    <w:rsid w:val="003C2C67"/>
    <w:rsid w:val="003C2EA2"/>
    <w:rsid w:val="003C3067"/>
    <w:rsid w:val="003C3850"/>
    <w:rsid w:val="003C3A3C"/>
    <w:rsid w:val="003C476A"/>
    <w:rsid w:val="003C5797"/>
    <w:rsid w:val="003C5BA4"/>
    <w:rsid w:val="003C5F5C"/>
    <w:rsid w:val="003C69EF"/>
    <w:rsid w:val="003C7243"/>
    <w:rsid w:val="003D0D14"/>
    <w:rsid w:val="003D14AB"/>
    <w:rsid w:val="003D1A5B"/>
    <w:rsid w:val="003E0882"/>
    <w:rsid w:val="003E0B38"/>
    <w:rsid w:val="003E1CEC"/>
    <w:rsid w:val="003E21ED"/>
    <w:rsid w:val="003E3E26"/>
    <w:rsid w:val="003E4442"/>
    <w:rsid w:val="003E60CC"/>
    <w:rsid w:val="003E7FDB"/>
    <w:rsid w:val="003F05FD"/>
    <w:rsid w:val="003F1295"/>
    <w:rsid w:val="003F17F5"/>
    <w:rsid w:val="003F1DB3"/>
    <w:rsid w:val="003F4C20"/>
    <w:rsid w:val="003F55A1"/>
    <w:rsid w:val="003F563C"/>
    <w:rsid w:val="003F65E6"/>
    <w:rsid w:val="003F6709"/>
    <w:rsid w:val="003F76FC"/>
    <w:rsid w:val="003F7DAA"/>
    <w:rsid w:val="004002EB"/>
    <w:rsid w:val="0040050E"/>
    <w:rsid w:val="00400B9E"/>
    <w:rsid w:val="004012AC"/>
    <w:rsid w:val="00401A12"/>
    <w:rsid w:val="00402E1A"/>
    <w:rsid w:val="0040535D"/>
    <w:rsid w:val="00405C57"/>
    <w:rsid w:val="004060F1"/>
    <w:rsid w:val="00406B32"/>
    <w:rsid w:val="00407C49"/>
    <w:rsid w:val="0041050B"/>
    <w:rsid w:val="00411542"/>
    <w:rsid w:val="00413545"/>
    <w:rsid w:val="00413B3A"/>
    <w:rsid w:val="00414023"/>
    <w:rsid w:val="004153DC"/>
    <w:rsid w:val="0041689E"/>
    <w:rsid w:val="00416D23"/>
    <w:rsid w:val="004215B0"/>
    <w:rsid w:val="00421971"/>
    <w:rsid w:val="00421979"/>
    <w:rsid w:val="0042202F"/>
    <w:rsid w:val="004221D7"/>
    <w:rsid w:val="00422988"/>
    <w:rsid w:val="00422ACF"/>
    <w:rsid w:val="004236C8"/>
    <w:rsid w:val="00424B90"/>
    <w:rsid w:val="00424E7E"/>
    <w:rsid w:val="00424ED2"/>
    <w:rsid w:val="004259B2"/>
    <w:rsid w:val="004260DD"/>
    <w:rsid w:val="004264FA"/>
    <w:rsid w:val="00427681"/>
    <w:rsid w:val="00427FCF"/>
    <w:rsid w:val="00430229"/>
    <w:rsid w:val="00431965"/>
    <w:rsid w:val="0043206C"/>
    <w:rsid w:val="004335EC"/>
    <w:rsid w:val="00433DB7"/>
    <w:rsid w:val="00434617"/>
    <w:rsid w:val="004347DC"/>
    <w:rsid w:val="00435BD7"/>
    <w:rsid w:val="004361CB"/>
    <w:rsid w:val="00436C73"/>
    <w:rsid w:val="00436E3A"/>
    <w:rsid w:val="00436FA8"/>
    <w:rsid w:val="00436FB2"/>
    <w:rsid w:val="00440A3E"/>
    <w:rsid w:val="00440D15"/>
    <w:rsid w:val="00440F84"/>
    <w:rsid w:val="004414D4"/>
    <w:rsid w:val="0044171E"/>
    <w:rsid w:val="0044535A"/>
    <w:rsid w:val="00447238"/>
    <w:rsid w:val="0045018A"/>
    <w:rsid w:val="00450A50"/>
    <w:rsid w:val="004514E0"/>
    <w:rsid w:val="00452427"/>
    <w:rsid w:val="00453750"/>
    <w:rsid w:val="00453EF8"/>
    <w:rsid w:val="0045447A"/>
    <w:rsid w:val="00454C64"/>
    <w:rsid w:val="00455DE3"/>
    <w:rsid w:val="00456941"/>
    <w:rsid w:val="004613B1"/>
    <w:rsid w:val="004615EF"/>
    <w:rsid w:val="00461824"/>
    <w:rsid w:val="004625F8"/>
    <w:rsid w:val="00462C53"/>
    <w:rsid w:val="0046315D"/>
    <w:rsid w:val="00463E0E"/>
    <w:rsid w:val="00464F85"/>
    <w:rsid w:val="0046564C"/>
    <w:rsid w:val="004659AE"/>
    <w:rsid w:val="00465B19"/>
    <w:rsid w:val="004669DD"/>
    <w:rsid w:val="004669E3"/>
    <w:rsid w:val="00467635"/>
    <w:rsid w:val="004702EA"/>
    <w:rsid w:val="00470D02"/>
    <w:rsid w:val="00471CA7"/>
    <w:rsid w:val="00472443"/>
    <w:rsid w:val="004725C5"/>
    <w:rsid w:val="004728BC"/>
    <w:rsid w:val="00472DDC"/>
    <w:rsid w:val="004738EE"/>
    <w:rsid w:val="004746A8"/>
    <w:rsid w:val="0047528A"/>
    <w:rsid w:val="0047783C"/>
    <w:rsid w:val="00480075"/>
    <w:rsid w:val="00482D02"/>
    <w:rsid w:val="00482F2C"/>
    <w:rsid w:val="00483514"/>
    <w:rsid w:val="00483F98"/>
    <w:rsid w:val="00486C46"/>
    <w:rsid w:val="00487435"/>
    <w:rsid w:val="0048754B"/>
    <w:rsid w:val="00490776"/>
    <w:rsid w:val="00491C72"/>
    <w:rsid w:val="00492694"/>
    <w:rsid w:val="00492BDD"/>
    <w:rsid w:val="00493A40"/>
    <w:rsid w:val="00495346"/>
    <w:rsid w:val="00496C37"/>
    <w:rsid w:val="00496F12"/>
    <w:rsid w:val="004A0218"/>
    <w:rsid w:val="004A0BE4"/>
    <w:rsid w:val="004A1150"/>
    <w:rsid w:val="004A116C"/>
    <w:rsid w:val="004A303D"/>
    <w:rsid w:val="004A3F17"/>
    <w:rsid w:val="004A6B5B"/>
    <w:rsid w:val="004A6EEA"/>
    <w:rsid w:val="004A7519"/>
    <w:rsid w:val="004A7E17"/>
    <w:rsid w:val="004B1248"/>
    <w:rsid w:val="004B135E"/>
    <w:rsid w:val="004B173E"/>
    <w:rsid w:val="004B1821"/>
    <w:rsid w:val="004B2C40"/>
    <w:rsid w:val="004B338A"/>
    <w:rsid w:val="004B3AE4"/>
    <w:rsid w:val="004B41CA"/>
    <w:rsid w:val="004B46E6"/>
    <w:rsid w:val="004B4712"/>
    <w:rsid w:val="004B48D5"/>
    <w:rsid w:val="004B51D1"/>
    <w:rsid w:val="004B7552"/>
    <w:rsid w:val="004C23C6"/>
    <w:rsid w:val="004C2BF9"/>
    <w:rsid w:val="004C307A"/>
    <w:rsid w:val="004C5614"/>
    <w:rsid w:val="004C6428"/>
    <w:rsid w:val="004C6A60"/>
    <w:rsid w:val="004C6DBA"/>
    <w:rsid w:val="004C7125"/>
    <w:rsid w:val="004C7F72"/>
    <w:rsid w:val="004D135B"/>
    <w:rsid w:val="004D1A93"/>
    <w:rsid w:val="004D1C94"/>
    <w:rsid w:val="004D3518"/>
    <w:rsid w:val="004D3E07"/>
    <w:rsid w:val="004D409C"/>
    <w:rsid w:val="004D5010"/>
    <w:rsid w:val="004D62D6"/>
    <w:rsid w:val="004E0A17"/>
    <w:rsid w:val="004E14F7"/>
    <w:rsid w:val="004E21CE"/>
    <w:rsid w:val="004E2CF7"/>
    <w:rsid w:val="004E39E0"/>
    <w:rsid w:val="004E487E"/>
    <w:rsid w:val="004E5AFA"/>
    <w:rsid w:val="004F2AFB"/>
    <w:rsid w:val="004F40BF"/>
    <w:rsid w:val="004F4B47"/>
    <w:rsid w:val="004F58C3"/>
    <w:rsid w:val="004F5F08"/>
    <w:rsid w:val="004F687E"/>
    <w:rsid w:val="004F7824"/>
    <w:rsid w:val="004F7D05"/>
    <w:rsid w:val="004F7E9A"/>
    <w:rsid w:val="004F7FD6"/>
    <w:rsid w:val="00500054"/>
    <w:rsid w:val="005001D7"/>
    <w:rsid w:val="005005BB"/>
    <w:rsid w:val="00503029"/>
    <w:rsid w:val="005031F9"/>
    <w:rsid w:val="00503AF8"/>
    <w:rsid w:val="00503EBE"/>
    <w:rsid w:val="00503FB5"/>
    <w:rsid w:val="00504746"/>
    <w:rsid w:val="00504968"/>
    <w:rsid w:val="00504C27"/>
    <w:rsid w:val="005051E3"/>
    <w:rsid w:val="005062D5"/>
    <w:rsid w:val="00511569"/>
    <w:rsid w:val="00511AF3"/>
    <w:rsid w:val="005129A3"/>
    <w:rsid w:val="005135A8"/>
    <w:rsid w:val="0051614D"/>
    <w:rsid w:val="00517824"/>
    <w:rsid w:val="00517BF6"/>
    <w:rsid w:val="00521782"/>
    <w:rsid w:val="00522F8A"/>
    <w:rsid w:val="00523C1D"/>
    <w:rsid w:val="005251E9"/>
    <w:rsid w:val="00530989"/>
    <w:rsid w:val="00530A3E"/>
    <w:rsid w:val="00532258"/>
    <w:rsid w:val="00532AD5"/>
    <w:rsid w:val="00532C64"/>
    <w:rsid w:val="00533A36"/>
    <w:rsid w:val="00533FF4"/>
    <w:rsid w:val="0053416C"/>
    <w:rsid w:val="00534EFE"/>
    <w:rsid w:val="0053501D"/>
    <w:rsid w:val="00535121"/>
    <w:rsid w:val="005353C1"/>
    <w:rsid w:val="00537049"/>
    <w:rsid w:val="00541C2F"/>
    <w:rsid w:val="00541E07"/>
    <w:rsid w:val="00542F06"/>
    <w:rsid w:val="0054756E"/>
    <w:rsid w:val="00550A53"/>
    <w:rsid w:val="00555123"/>
    <w:rsid w:val="00556EFC"/>
    <w:rsid w:val="0055746B"/>
    <w:rsid w:val="00560DB0"/>
    <w:rsid w:val="00560EDA"/>
    <w:rsid w:val="005614FC"/>
    <w:rsid w:val="00563527"/>
    <w:rsid w:val="0056441F"/>
    <w:rsid w:val="005660FD"/>
    <w:rsid w:val="005667B7"/>
    <w:rsid w:val="00566BB6"/>
    <w:rsid w:val="00567BAB"/>
    <w:rsid w:val="00567CCC"/>
    <w:rsid w:val="00567EEE"/>
    <w:rsid w:val="00570365"/>
    <w:rsid w:val="0057082B"/>
    <w:rsid w:val="005717EA"/>
    <w:rsid w:val="005722D9"/>
    <w:rsid w:val="00573B03"/>
    <w:rsid w:val="0057564E"/>
    <w:rsid w:val="005759E6"/>
    <w:rsid w:val="00575A9F"/>
    <w:rsid w:val="00577BD9"/>
    <w:rsid w:val="0058124E"/>
    <w:rsid w:val="00581667"/>
    <w:rsid w:val="00583033"/>
    <w:rsid w:val="00583120"/>
    <w:rsid w:val="00584301"/>
    <w:rsid w:val="00584335"/>
    <w:rsid w:val="00584E34"/>
    <w:rsid w:val="00584E73"/>
    <w:rsid w:val="00585742"/>
    <w:rsid w:val="005875A3"/>
    <w:rsid w:val="00587D85"/>
    <w:rsid w:val="005906DE"/>
    <w:rsid w:val="00590E29"/>
    <w:rsid w:val="005918A4"/>
    <w:rsid w:val="0059228B"/>
    <w:rsid w:val="00592415"/>
    <w:rsid w:val="0059263F"/>
    <w:rsid w:val="00593411"/>
    <w:rsid w:val="00593B90"/>
    <w:rsid w:val="00593D1E"/>
    <w:rsid w:val="005959F0"/>
    <w:rsid w:val="0059695B"/>
    <w:rsid w:val="0059735B"/>
    <w:rsid w:val="00597E47"/>
    <w:rsid w:val="005A21AA"/>
    <w:rsid w:val="005A3416"/>
    <w:rsid w:val="005A5533"/>
    <w:rsid w:val="005A57E5"/>
    <w:rsid w:val="005A7EC8"/>
    <w:rsid w:val="005B0D67"/>
    <w:rsid w:val="005B27FE"/>
    <w:rsid w:val="005B3377"/>
    <w:rsid w:val="005B3B02"/>
    <w:rsid w:val="005B3E49"/>
    <w:rsid w:val="005B41C2"/>
    <w:rsid w:val="005B41DE"/>
    <w:rsid w:val="005B4F6D"/>
    <w:rsid w:val="005B7596"/>
    <w:rsid w:val="005C03D2"/>
    <w:rsid w:val="005C145B"/>
    <w:rsid w:val="005C3139"/>
    <w:rsid w:val="005C3774"/>
    <w:rsid w:val="005C3E6D"/>
    <w:rsid w:val="005C46EB"/>
    <w:rsid w:val="005C717F"/>
    <w:rsid w:val="005C7B60"/>
    <w:rsid w:val="005D0FCB"/>
    <w:rsid w:val="005D1114"/>
    <w:rsid w:val="005D1216"/>
    <w:rsid w:val="005D1517"/>
    <w:rsid w:val="005D1CE3"/>
    <w:rsid w:val="005D2899"/>
    <w:rsid w:val="005D2FFB"/>
    <w:rsid w:val="005D37B5"/>
    <w:rsid w:val="005D5F36"/>
    <w:rsid w:val="005D69C5"/>
    <w:rsid w:val="005E0575"/>
    <w:rsid w:val="005E1034"/>
    <w:rsid w:val="005E15B8"/>
    <w:rsid w:val="005E4795"/>
    <w:rsid w:val="005E501C"/>
    <w:rsid w:val="005E50F6"/>
    <w:rsid w:val="005E59C8"/>
    <w:rsid w:val="005E5AEA"/>
    <w:rsid w:val="005F0611"/>
    <w:rsid w:val="005F08A0"/>
    <w:rsid w:val="005F09CB"/>
    <w:rsid w:val="005F0D8D"/>
    <w:rsid w:val="005F0FE5"/>
    <w:rsid w:val="005F1281"/>
    <w:rsid w:val="005F331D"/>
    <w:rsid w:val="005F3F9E"/>
    <w:rsid w:val="005F4561"/>
    <w:rsid w:val="005F4A38"/>
    <w:rsid w:val="005F61DF"/>
    <w:rsid w:val="005F7438"/>
    <w:rsid w:val="005F78BE"/>
    <w:rsid w:val="0060063F"/>
    <w:rsid w:val="00601A5F"/>
    <w:rsid w:val="006023F9"/>
    <w:rsid w:val="006036F8"/>
    <w:rsid w:val="006061F4"/>
    <w:rsid w:val="0060644D"/>
    <w:rsid w:val="0060753C"/>
    <w:rsid w:val="00607BF1"/>
    <w:rsid w:val="0061010C"/>
    <w:rsid w:val="00610559"/>
    <w:rsid w:val="00610F5E"/>
    <w:rsid w:val="00612233"/>
    <w:rsid w:val="006122F6"/>
    <w:rsid w:val="00613112"/>
    <w:rsid w:val="00613A43"/>
    <w:rsid w:val="00614739"/>
    <w:rsid w:val="00615294"/>
    <w:rsid w:val="006152E9"/>
    <w:rsid w:val="006168DD"/>
    <w:rsid w:val="00616DA7"/>
    <w:rsid w:val="00617F8A"/>
    <w:rsid w:val="00620FF2"/>
    <w:rsid w:val="0062183D"/>
    <w:rsid w:val="006224D5"/>
    <w:rsid w:val="00622503"/>
    <w:rsid w:val="00623E82"/>
    <w:rsid w:val="006241F7"/>
    <w:rsid w:val="00624CB3"/>
    <w:rsid w:val="006273EB"/>
    <w:rsid w:val="00627B37"/>
    <w:rsid w:val="006310D8"/>
    <w:rsid w:val="00632680"/>
    <w:rsid w:val="0063308F"/>
    <w:rsid w:val="006332F6"/>
    <w:rsid w:val="00633427"/>
    <w:rsid w:val="006334C4"/>
    <w:rsid w:val="00633E3C"/>
    <w:rsid w:val="00635F53"/>
    <w:rsid w:val="00635F56"/>
    <w:rsid w:val="006361E7"/>
    <w:rsid w:val="006363D0"/>
    <w:rsid w:val="00636857"/>
    <w:rsid w:val="00637684"/>
    <w:rsid w:val="00637A01"/>
    <w:rsid w:val="006404C5"/>
    <w:rsid w:val="00640A28"/>
    <w:rsid w:val="00641096"/>
    <w:rsid w:val="00641C5F"/>
    <w:rsid w:val="00641E58"/>
    <w:rsid w:val="00641F39"/>
    <w:rsid w:val="006457C9"/>
    <w:rsid w:val="00645B25"/>
    <w:rsid w:val="00647B78"/>
    <w:rsid w:val="0065013B"/>
    <w:rsid w:val="00650571"/>
    <w:rsid w:val="00650802"/>
    <w:rsid w:val="0065244C"/>
    <w:rsid w:val="00652625"/>
    <w:rsid w:val="00652789"/>
    <w:rsid w:val="00652CB5"/>
    <w:rsid w:val="00653264"/>
    <w:rsid w:val="006534B2"/>
    <w:rsid w:val="00653E2A"/>
    <w:rsid w:val="00654489"/>
    <w:rsid w:val="00654CBE"/>
    <w:rsid w:val="00655CE0"/>
    <w:rsid w:val="00655D9A"/>
    <w:rsid w:val="0065615D"/>
    <w:rsid w:val="0065627A"/>
    <w:rsid w:val="00657011"/>
    <w:rsid w:val="00657946"/>
    <w:rsid w:val="00657ACA"/>
    <w:rsid w:val="00660305"/>
    <w:rsid w:val="00660B1B"/>
    <w:rsid w:val="00660F88"/>
    <w:rsid w:val="00662BE6"/>
    <w:rsid w:val="006634FD"/>
    <w:rsid w:val="00663549"/>
    <w:rsid w:val="006647DA"/>
    <w:rsid w:val="00664B48"/>
    <w:rsid w:val="00664ED4"/>
    <w:rsid w:val="00664EE2"/>
    <w:rsid w:val="006650B5"/>
    <w:rsid w:val="006651B1"/>
    <w:rsid w:val="006652BC"/>
    <w:rsid w:val="0066531F"/>
    <w:rsid w:val="00665778"/>
    <w:rsid w:val="00665B4B"/>
    <w:rsid w:val="00665C53"/>
    <w:rsid w:val="0066667D"/>
    <w:rsid w:val="00666A2D"/>
    <w:rsid w:val="00667CFB"/>
    <w:rsid w:val="0067043E"/>
    <w:rsid w:val="00673450"/>
    <w:rsid w:val="0067382A"/>
    <w:rsid w:val="006738C4"/>
    <w:rsid w:val="00673C7E"/>
    <w:rsid w:val="00673CD5"/>
    <w:rsid w:val="0067438D"/>
    <w:rsid w:val="006761F6"/>
    <w:rsid w:val="006805B9"/>
    <w:rsid w:val="00682153"/>
    <w:rsid w:val="00682AE0"/>
    <w:rsid w:val="006833B0"/>
    <w:rsid w:val="006837DF"/>
    <w:rsid w:val="00683E9A"/>
    <w:rsid w:val="00686A22"/>
    <w:rsid w:val="0068726B"/>
    <w:rsid w:val="0068740A"/>
    <w:rsid w:val="00690399"/>
    <w:rsid w:val="00691C09"/>
    <w:rsid w:val="00692CEA"/>
    <w:rsid w:val="00694D89"/>
    <w:rsid w:val="00694F03"/>
    <w:rsid w:val="006960D3"/>
    <w:rsid w:val="00696B35"/>
    <w:rsid w:val="00696F26"/>
    <w:rsid w:val="006A02AF"/>
    <w:rsid w:val="006A0640"/>
    <w:rsid w:val="006A07FC"/>
    <w:rsid w:val="006A1CA9"/>
    <w:rsid w:val="006A2557"/>
    <w:rsid w:val="006A3088"/>
    <w:rsid w:val="006A33DF"/>
    <w:rsid w:val="006A373E"/>
    <w:rsid w:val="006A4B16"/>
    <w:rsid w:val="006A5B34"/>
    <w:rsid w:val="006A5F5B"/>
    <w:rsid w:val="006A7EFF"/>
    <w:rsid w:val="006A7F42"/>
    <w:rsid w:val="006B11AF"/>
    <w:rsid w:val="006B1296"/>
    <w:rsid w:val="006B13B2"/>
    <w:rsid w:val="006B269D"/>
    <w:rsid w:val="006B34FF"/>
    <w:rsid w:val="006B3EEF"/>
    <w:rsid w:val="006B459E"/>
    <w:rsid w:val="006B7347"/>
    <w:rsid w:val="006B74C3"/>
    <w:rsid w:val="006C0004"/>
    <w:rsid w:val="006C0EBE"/>
    <w:rsid w:val="006C1245"/>
    <w:rsid w:val="006C1447"/>
    <w:rsid w:val="006C18DB"/>
    <w:rsid w:val="006C1BF7"/>
    <w:rsid w:val="006C1CBB"/>
    <w:rsid w:val="006C2FD4"/>
    <w:rsid w:val="006C4C26"/>
    <w:rsid w:val="006C77A9"/>
    <w:rsid w:val="006D1C0A"/>
    <w:rsid w:val="006D3AC0"/>
    <w:rsid w:val="006D3D05"/>
    <w:rsid w:val="006D4AF3"/>
    <w:rsid w:val="006D4D3C"/>
    <w:rsid w:val="006E02AB"/>
    <w:rsid w:val="006E27E8"/>
    <w:rsid w:val="006E426C"/>
    <w:rsid w:val="006E4B14"/>
    <w:rsid w:val="006E7958"/>
    <w:rsid w:val="006E7B1A"/>
    <w:rsid w:val="006F04DE"/>
    <w:rsid w:val="006F0B7B"/>
    <w:rsid w:val="006F0CF7"/>
    <w:rsid w:val="006F1BFD"/>
    <w:rsid w:val="006F21EF"/>
    <w:rsid w:val="006F2A91"/>
    <w:rsid w:val="006F367F"/>
    <w:rsid w:val="006F3802"/>
    <w:rsid w:val="006F3AFA"/>
    <w:rsid w:val="006F4AAB"/>
    <w:rsid w:val="006F4B78"/>
    <w:rsid w:val="006F5021"/>
    <w:rsid w:val="006F5968"/>
    <w:rsid w:val="006F6693"/>
    <w:rsid w:val="006F6C39"/>
    <w:rsid w:val="007004A3"/>
    <w:rsid w:val="00701E40"/>
    <w:rsid w:val="00701FBC"/>
    <w:rsid w:val="0070230A"/>
    <w:rsid w:val="00705706"/>
    <w:rsid w:val="00706370"/>
    <w:rsid w:val="0070722D"/>
    <w:rsid w:val="00707FE8"/>
    <w:rsid w:val="007107BB"/>
    <w:rsid w:val="0071083A"/>
    <w:rsid w:val="00711DDD"/>
    <w:rsid w:val="0071287A"/>
    <w:rsid w:val="00713248"/>
    <w:rsid w:val="007145BA"/>
    <w:rsid w:val="00715F63"/>
    <w:rsid w:val="00720230"/>
    <w:rsid w:val="00721209"/>
    <w:rsid w:val="00721F90"/>
    <w:rsid w:val="00722431"/>
    <w:rsid w:val="00722B90"/>
    <w:rsid w:val="00722E5A"/>
    <w:rsid w:val="00724962"/>
    <w:rsid w:val="00724A0F"/>
    <w:rsid w:val="00724C75"/>
    <w:rsid w:val="00725F3E"/>
    <w:rsid w:val="00726746"/>
    <w:rsid w:val="007271AD"/>
    <w:rsid w:val="00727478"/>
    <w:rsid w:val="0073072C"/>
    <w:rsid w:val="00730CE1"/>
    <w:rsid w:val="0073145F"/>
    <w:rsid w:val="007320B4"/>
    <w:rsid w:val="00732162"/>
    <w:rsid w:val="00733089"/>
    <w:rsid w:val="00735592"/>
    <w:rsid w:val="0073568F"/>
    <w:rsid w:val="00736053"/>
    <w:rsid w:val="00736732"/>
    <w:rsid w:val="00736795"/>
    <w:rsid w:val="00736FFB"/>
    <w:rsid w:val="007372FC"/>
    <w:rsid w:val="00737BB9"/>
    <w:rsid w:val="00737D23"/>
    <w:rsid w:val="00740663"/>
    <w:rsid w:val="0074093D"/>
    <w:rsid w:val="00741DA4"/>
    <w:rsid w:val="00741EA2"/>
    <w:rsid w:val="007438D5"/>
    <w:rsid w:val="00743C49"/>
    <w:rsid w:val="007469D6"/>
    <w:rsid w:val="00750CBE"/>
    <w:rsid w:val="007515C7"/>
    <w:rsid w:val="00752241"/>
    <w:rsid w:val="007522F1"/>
    <w:rsid w:val="00753D56"/>
    <w:rsid w:val="0075505E"/>
    <w:rsid w:val="00755856"/>
    <w:rsid w:val="00755AA2"/>
    <w:rsid w:val="00756A90"/>
    <w:rsid w:val="007600D8"/>
    <w:rsid w:val="00763679"/>
    <w:rsid w:val="00763BE9"/>
    <w:rsid w:val="00763F34"/>
    <w:rsid w:val="0076476E"/>
    <w:rsid w:val="00764D3D"/>
    <w:rsid w:val="00764F39"/>
    <w:rsid w:val="007669B3"/>
    <w:rsid w:val="00766A71"/>
    <w:rsid w:val="00766B5A"/>
    <w:rsid w:val="00767504"/>
    <w:rsid w:val="007707E7"/>
    <w:rsid w:val="00770A99"/>
    <w:rsid w:val="00770BCC"/>
    <w:rsid w:val="007718C5"/>
    <w:rsid w:val="0077311A"/>
    <w:rsid w:val="00774197"/>
    <w:rsid w:val="007760F7"/>
    <w:rsid w:val="00777F6B"/>
    <w:rsid w:val="007834F2"/>
    <w:rsid w:val="00786A09"/>
    <w:rsid w:val="007908AE"/>
    <w:rsid w:val="00791020"/>
    <w:rsid w:val="00792670"/>
    <w:rsid w:val="00792944"/>
    <w:rsid w:val="007938E7"/>
    <w:rsid w:val="0079464B"/>
    <w:rsid w:val="007955D8"/>
    <w:rsid w:val="00795AAF"/>
    <w:rsid w:val="007979E9"/>
    <w:rsid w:val="00797B35"/>
    <w:rsid w:val="007A13F1"/>
    <w:rsid w:val="007A20B0"/>
    <w:rsid w:val="007A2643"/>
    <w:rsid w:val="007A2E59"/>
    <w:rsid w:val="007A4979"/>
    <w:rsid w:val="007A4CFD"/>
    <w:rsid w:val="007A5F82"/>
    <w:rsid w:val="007A70B7"/>
    <w:rsid w:val="007A7492"/>
    <w:rsid w:val="007B01BD"/>
    <w:rsid w:val="007B0E03"/>
    <w:rsid w:val="007B141C"/>
    <w:rsid w:val="007B148B"/>
    <w:rsid w:val="007B1505"/>
    <w:rsid w:val="007B22B6"/>
    <w:rsid w:val="007B37E2"/>
    <w:rsid w:val="007B4DF2"/>
    <w:rsid w:val="007B5320"/>
    <w:rsid w:val="007B6BDF"/>
    <w:rsid w:val="007B6DD4"/>
    <w:rsid w:val="007B722C"/>
    <w:rsid w:val="007B75A4"/>
    <w:rsid w:val="007C09AD"/>
    <w:rsid w:val="007C0C9D"/>
    <w:rsid w:val="007C1024"/>
    <w:rsid w:val="007C155C"/>
    <w:rsid w:val="007C1A19"/>
    <w:rsid w:val="007C1CCD"/>
    <w:rsid w:val="007C2E10"/>
    <w:rsid w:val="007C389C"/>
    <w:rsid w:val="007C3C23"/>
    <w:rsid w:val="007C46DA"/>
    <w:rsid w:val="007C69A5"/>
    <w:rsid w:val="007C737F"/>
    <w:rsid w:val="007C7433"/>
    <w:rsid w:val="007C7C46"/>
    <w:rsid w:val="007C7CB1"/>
    <w:rsid w:val="007D042C"/>
    <w:rsid w:val="007D058C"/>
    <w:rsid w:val="007D26DD"/>
    <w:rsid w:val="007D30A8"/>
    <w:rsid w:val="007D3723"/>
    <w:rsid w:val="007D4941"/>
    <w:rsid w:val="007D5CAC"/>
    <w:rsid w:val="007D735C"/>
    <w:rsid w:val="007E0641"/>
    <w:rsid w:val="007E0DD7"/>
    <w:rsid w:val="007E17BA"/>
    <w:rsid w:val="007E1F56"/>
    <w:rsid w:val="007E26DE"/>
    <w:rsid w:val="007E276C"/>
    <w:rsid w:val="007E3B9F"/>
    <w:rsid w:val="007E5D04"/>
    <w:rsid w:val="007F1A4C"/>
    <w:rsid w:val="007F1D22"/>
    <w:rsid w:val="007F36F9"/>
    <w:rsid w:val="007F45BA"/>
    <w:rsid w:val="007F4959"/>
    <w:rsid w:val="007F6DDA"/>
    <w:rsid w:val="007F7875"/>
    <w:rsid w:val="007F7C51"/>
    <w:rsid w:val="008002E6"/>
    <w:rsid w:val="00800BD9"/>
    <w:rsid w:val="00801382"/>
    <w:rsid w:val="008022C3"/>
    <w:rsid w:val="008041E6"/>
    <w:rsid w:val="008065D2"/>
    <w:rsid w:val="008066C4"/>
    <w:rsid w:val="00806941"/>
    <w:rsid w:val="00806F22"/>
    <w:rsid w:val="00811F2B"/>
    <w:rsid w:val="0081210E"/>
    <w:rsid w:val="008126DE"/>
    <w:rsid w:val="008133F3"/>
    <w:rsid w:val="00814C64"/>
    <w:rsid w:val="00814D89"/>
    <w:rsid w:val="008150C2"/>
    <w:rsid w:val="00816E8B"/>
    <w:rsid w:val="00820078"/>
    <w:rsid w:val="008200EF"/>
    <w:rsid w:val="0082194C"/>
    <w:rsid w:val="00821B23"/>
    <w:rsid w:val="008220C4"/>
    <w:rsid w:val="008222FF"/>
    <w:rsid w:val="00822D1B"/>
    <w:rsid w:val="00822DEC"/>
    <w:rsid w:val="00822E78"/>
    <w:rsid w:val="00823632"/>
    <w:rsid w:val="00823794"/>
    <w:rsid w:val="008241FF"/>
    <w:rsid w:val="00826341"/>
    <w:rsid w:val="008265B4"/>
    <w:rsid w:val="0082666A"/>
    <w:rsid w:val="008269D6"/>
    <w:rsid w:val="008272C7"/>
    <w:rsid w:val="00827B07"/>
    <w:rsid w:val="00830CF1"/>
    <w:rsid w:val="00831B62"/>
    <w:rsid w:val="00833D40"/>
    <w:rsid w:val="00834F26"/>
    <w:rsid w:val="0083624C"/>
    <w:rsid w:val="00836C22"/>
    <w:rsid w:val="00836F6D"/>
    <w:rsid w:val="00840BA5"/>
    <w:rsid w:val="008410B0"/>
    <w:rsid w:val="00841100"/>
    <w:rsid w:val="0084117C"/>
    <w:rsid w:val="008411E9"/>
    <w:rsid w:val="0084158C"/>
    <w:rsid w:val="0084200F"/>
    <w:rsid w:val="0084276B"/>
    <w:rsid w:val="00842F9B"/>
    <w:rsid w:val="008433CD"/>
    <w:rsid w:val="008436AB"/>
    <w:rsid w:val="00843B2C"/>
    <w:rsid w:val="00845103"/>
    <w:rsid w:val="008453C3"/>
    <w:rsid w:val="00845B49"/>
    <w:rsid w:val="008471C4"/>
    <w:rsid w:val="0084789D"/>
    <w:rsid w:val="00847A39"/>
    <w:rsid w:val="00847EC8"/>
    <w:rsid w:val="00851102"/>
    <w:rsid w:val="00852913"/>
    <w:rsid w:val="008557E4"/>
    <w:rsid w:val="008563A8"/>
    <w:rsid w:val="00856559"/>
    <w:rsid w:val="008576FE"/>
    <w:rsid w:val="0086297D"/>
    <w:rsid w:val="008643C7"/>
    <w:rsid w:val="008649F4"/>
    <w:rsid w:val="0086569B"/>
    <w:rsid w:val="00865D1A"/>
    <w:rsid w:val="00866077"/>
    <w:rsid w:val="0086697D"/>
    <w:rsid w:val="008676A1"/>
    <w:rsid w:val="00867D0E"/>
    <w:rsid w:val="008705D6"/>
    <w:rsid w:val="00870AA6"/>
    <w:rsid w:val="0087392E"/>
    <w:rsid w:val="00873AEF"/>
    <w:rsid w:val="00874135"/>
    <w:rsid w:val="00874576"/>
    <w:rsid w:val="008754BA"/>
    <w:rsid w:val="0087735D"/>
    <w:rsid w:val="008777AB"/>
    <w:rsid w:val="00880991"/>
    <w:rsid w:val="0088442C"/>
    <w:rsid w:val="008854AA"/>
    <w:rsid w:val="0088566F"/>
    <w:rsid w:val="00885FD2"/>
    <w:rsid w:val="0088611F"/>
    <w:rsid w:val="0088740E"/>
    <w:rsid w:val="008903A2"/>
    <w:rsid w:val="008904AA"/>
    <w:rsid w:val="00890F22"/>
    <w:rsid w:val="00892101"/>
    <w:rsid w:val="00892B00"/>
    <w:rsid w:val="0089358F"/>
    <w:rsid w:val="00894228"/>
    <w:rsid w:val="008957C3"/>
    <w:rsid w:val="00895AB3"/>
    <w:rsid w:val="008A047E"/>
    <w:rsid w:val="008A1EDF"/>
    <w:rsid w:val="008A2159"/>
    <w:rsid w:val="008A215F"/>
    <w:rsid w:val="008A25B3"/>
    <w:rsid w:val="008A355D"/>
    <w:rsid w:val="008A48E0"/>
    <w:rsid w:val="008A4900"/>
    <w:rsid w:val="008A5631"/>
    <w:rsid w:val="008A574E"/>
    <w:rsid w:val="008B134F"/>
    <w:rsid w:val="008B2819"/>
    <w:rsid w:val="008B2A64"/>
    <w:rsid w:val="008B4627"/>
    <w:rsid w:val="008B4A67"/>
    <w:rsid w:val="008B4B1F"/>
    <w:rsid w:val="008B4D05"/>
    <w:rsid w:val="008B4E0B"/>
    <w:rsid w:val="008B52C0"/>
    <w:rsid w:val="008B6935"/>
    <w:rsid w:val="008B7176"/>
    <w:rsid w:val="008C00EA"/>
    <w:rsid w:val="008C0623"/>
    <w:rsid w:val="008C44BD"/>
    <w:rsid w:val="008C4F22"/>
    <w:rsid w:val="008C58A4"/>
    <w:rsid w:val="008C6946"/>
    <w:rsid w:val="008C6FCF"/>
    <w:rsid w:val="008C725C"/>
    <w:rsid w:val="008C76D2"/>
    <w:rsid w:val="008C7DA7"/>
    <w:rsid w:val="008D015F"/>
    <w:rsid w:val="008D0281"/>
    <w:rsid w:val="008D1271"/>
    <w:rsid w:val="008D2701"/>
    <w:rsid w:val="008D39F3"/>
    <w:rsid w:val="008D4881"/>
    <w:rsid w:val="008D59E8"/>
    <w:rsid w:val="008D76C9"/>
    <w:rsid w:val="008D7A79"/>
    <w:rsid w:val="008E1850"/>
    <w:rsid w:val="008E1CDB"/>
    <w:rsid w:val="008E3C4E"/>
    <w:rsid w:val="008E3F46"/>
    <w:rsid w:val="008E41C6"/>
    <w:rsid w:val="008E43AF"/>
    <w:rsid w:val="008E4405"/>
    <w:rsid w:val="008E49B3"/>
    <w:rsid w:val="008E4D0B"/>
    <w:rsid w:val="008E5029"/>
    <w:rsid w:val="008E5D57"/>
    <w:rsid w:val="008E66B5"/>
    <w:rsid w:val="008E6996"/>
    <w:rsid w:val="008E7A30"/>
    <w:rsid w:val="008E7BFE"/>
    <w:rsid w:val="008F0125"/>
    <w:rsid w:val="008F138B"/>
    <w:rsid w:val="008F3433"/>
    <w:rsid w:val="008F55AE"/>
    <w:rsid w:val="008F62C9"/>
    <w:rsid w:val="008F638C"/>
    <w:rsid w:val="008F68D9"/>
    <w:rsid w:val="008F6D45"/>
    <w:rsid w:val="009000BB"/>
    <w:rsid w:val="009003C3"/>
    <w:rsid w:val="00900F01"/>
    <w:rsid w:val="00901DD6"/>
    <w:rsid w:val="009022FB"/>
    <w:rsid w:val="00902776"/>
    <w:rsid w:val="00903D29"/>
    <w:rsid w:val="00903D4F"/>
    <w:rsid w:val="00904386"/>
    <w:rsid w:val="0090493D"/>
    <w:rsid w:val="00904E71"/>
    <w:rsid w:val="0091184F"/>
    <w:rsid w:val="00911F7C"/>
    <w:rsid w:val="00913C7A"/>
    <w:rsid w:val="00913D3A"/>
    <w:rsid w:val="0091659B"/>
    <w:rsid w:val="00916CE4"/>
    <w:rsid w:val="00916D18"/>
    <w:rsid w:val="00917476"/>
    <w:rsid w:val="00917CE7"/>
    <w:rsid w:val="00920812"/>
    <w:rsid w:val="00920835"/>
    <w:rsid w:val="00921D6F"/>
    <w:rsid w:val="00922108"/>
    <w:rsid w:val="00924049"/>
    <w:rsid w:val="00924810"/>
    <w:rsid w:val="0092546F"/>
    <w:rsid w:val="00925A86"/>
    <w:rsid w:val="009263E4"/>
    <w:rsid w:val="00927414"/>
    <w:rsid w:val="00930409"/>
    <w:rsid w:val="00931A9A"/>
    <w:rsid w:val="00933645"/>
    <w:rsid w:val="00933E10"/>
    <w:rsid w:val="0093420E"/>
    <w:rsid w:val="00934F32"/>
    <w:rsid w:val="0093572D"/>
    <w:rsid w:val="00936092"/>
    <w:rsid w:val="0093702F"/>
    <w:rsid w:val="00940720"/>
    <w:rsid w:val="00942D9F"/>
    <w:rsid w:val="00942E87"/>
    <w:rsid w:val="00943022"/>
    <w:rsid w:val="009434F6"/>
    <w:rsid w:val="009435F0"/>
    <w:rsid w:val="00943897"/>
    <w:rsid w:val="0094417B"/>
    <w:rsid w:val="00947710"/>
    <w:rsid w:val="009479BA"/>
    <w:rsid w:val="009502AF"/>
    <w:rsid w:val="0095056C"/>
    <w:rsid w:val="00950FF0"/>
    <w:rsid w:val="00951243"/>
    <w:rsid w:val="00951521"/>
    <w:rsid w:val="00951772"/>
    <w:rsid w:val="00952565"/>
    <w:rsid w:val="00954D6F"/>
    <w:rsid w:val="009608DE"/>
    <w:rsid w:val="009611F2"/>
    <w:rsid w:val="009620AA"/>
    <w:rsid w:val="0096296A"/>
    <w:rsid w:val="00963C6D"/>
    <w:rsid w:val="00963EF6"/>
    <w:rsid w:val="0096462C"/>
    <w:rsid w:val="00965068"/>
    <w:rsid w:val="0096748D"/>
    <w:rsid w:val="0096774E"/>
    <w:rsid w:val="00971080"/>
    <w:rsid w:val="00971B17"/>
    <w:rsid w:val="0097209F"/>
    <w:rsid w:val="009735D2"/>
    <w:rsid w:val="009737F4"/>
    <w:rsid w:val="00973844"/>
    <w:rsid w:val="00974161"/>
    <w:rsid w:val="00974D4D"/>
    <w:rsid w:val="00975272"/>
    <w:rsid w:val="0097738D"/>
    <w:rsid w:val="009819A2"/>
    <w:rsid w:val="00981A6C"/>
    <w:rsid w:val="00982421"/>
    <w:rsid w:val="009830A6"/>
    <w:rsid w:val="009834C0"/>
    <w:rsid w:val="00984631"/>
    <w:rsid w:val="00984C95"/>
    <w:rsid w:val="009869CC"/>
    <w:rsid w:val="00986AAC"/>
    <w:rsid w:val="00991190"/>
    <w:rsid w:val="00991E83"/>
    <w:rsid w:val="00992916"/>
    <w:rsid w:val="00992EC4"/>
    <w:rsid w:val="00997663"/>
    <w:rsid w:val="00997A07"/>
    <w:rsid w:val="00997EC0"/>
    <w:rsid w:val="009A1BE6"/>
    <w:rsid w:val="009A1DA2"/>
    <w:rsid w:val="009A2092"/>
    <w:rsid w:val="009A3704"/>
    <w:rsid w:val="009A44F9"/>
    <w:rsid w:val="009A4541"/>
    <w:rsid w:val="009A4739"/>
    <w:rsid w:val="009A4B0A"/>
    <w:rsid w:val="009A6204"/>
    <w:rsid w:val="009A674F"/>
    <w:rsid w:val="009A687B"/>
    <w:rsid w:val="009A7714"/>
    <w:rsid w:val="009B1689"/>
    <w:rsid w:val="009B199C"/>
    <w:rsid w:val="009B1F57"/>
    <w:rsid w:val="009B2416"/>
    <w:rsid w:val="009B4E19"/>
    <w:rsid w:val="009B54C8"/>
    <w:rsid w:val="009B61F1"/>
    <w:rsid w:val="009B62E0"/>
    <w:rsid w:val="009B6D1B"/>
    <w:rsid w:val="009C21A6"/>
    <w:rsid w:val="009C2D2A"/>
    <w:rsid w:val="009C3D88"/>
    <w:rsid w:val="009C4274"/>
    <w:rsid w:val="009C54DE"/>
    <w:rsid w:val="009C6640"/>
    <w:rsid w:val="009C6BEC"/>
    <w:rsid w:val="009D0A48"/>
    <w:rsid w:val="009D15AC"/>
    <w:rsid w:val="009D16C7"/>
    <w:rsid w:val="009D367A"/>
    <w:rsid w:val="009D4CBF"/>
    <w:rsid w:val="009D583D"/>
    <w:rsid w:val="009D6138"/>
    <w:rsid w:val="009D6709"/>
    <w:rsid w:val="009E136C"/>
    <w:rsid w:val="009E14B5"/>
    <w:rsid w:val="009E17B3"/>
    <w:rsid w:val="009E1A82"/>
    <w:rsid w:val="009E23DA"/>
    <w:rsid w:val="009E2B21"/>
    <w:rsid w:val="009E3858"/>
    <w:rsid w:val="009E4232"/>
    <w:rsid w:val="009E4BE9"/>
    <w:rsid w:val="009E605B"/>
    <w:rsid w:val="009E70DD"/>
    <w:rsid w:val="009E7125"/>
    <w:rsid w:val="009E7B2D"/>
    <w:rsid w:val="009E7F3E"/>
    <w:rsid w:val="009F2ED9"/>
    <w:rsid w:val="009F3134"/>
    <w:rsid w:val="009F3231"/>
    <w:rsid w:val="009F4968"/>
    <w:rsid w:val="009F517A"/>
    <w:rsid w:val="009F585F"/>
    <w:rsid w:val="009F5ACE"/>
    <w:rsid w:val="009F5B08"/>
    <w:rsid w:val="009F5C17"/>
    <w:rsid w:val="009F5C58"/>
    <w:rsid w:val="009F604A"/>
    <w:rsid w:val="009F61D1"/>
    <w:rsid w:val="009F71DD"/>
    <w:rsid w:val="00A023A0"/>
    <w:rsid w:val="00A03CA1"/>
    <w:rsid w:val="00A051E4"/>
    <w:rsid w:val="00A060C9"/>
    <w:rsid w:val="00A07BE1"/>
    <w:rsid w:val="00A10185"/>
    <w:rsid w:val="00A10439"/>
    <w:rsid w:val="00A11F9E"/>
    <w:rsid w:val="00A13810"/>
    <w:rsid w:val="00A13AA7"/>
    <w:rsid w:val="00A1422B"/>
    <w:rsid w:val="00A14902"/>
    <w:rsid w:val="00A1562B"/>
    <w:rsid w:val="00A16179"/>
    <w:rsid w:val="00A170F4"/>
    <w:rsid w:val="00A1727D"/>
    <w:rsid w:val="00A177F1"/>
    <w:rsid w:val="00A20176"/>
    <w:rsid w:val="00A2146E"/>
    <w:rsid w:val="00A2559E"/>
    <w:rsid w:val="00A25FD9"/>
    <w:rsid w:val="00A26AE6"/>
    <w:rsid w:val="00A32034"/>
    <w:rsid w:val="00A3290A"/>
    <w:rsid w:val="00A32B7D"/>
    <w:rsid w:val="00A32BE4"/>
    <w:rsid w:val="00A32F53"/>
    <w:rsid w:val="00A34D0C"/>
    <w:rsid w:val="00A35498"/>
    <w:rsid w:val="00A35589"/>
    <w:rsid w:val="00A35D5D"/>
    <w:rsid w:val="00A37357"/>
    <w:rsid w:val="00A37910"/>
    <w:rsid w:val="00A37C6C"/>
    <w:rsid w:val="00A42483"/>
    <w:rsid w:val="00A43E06"/>
    <w:rsid w:val="00A43F1D"/>
    <w:rsid w:val="00A4485B"/>
    <w:rsid w:val="00A44AC2"/>
    <w:rsid w:val="00A45B61"/>
    <w:rsid w:val="00A45E9E"/>
    <w:rsid w:val="00A46BA8"/>
    <w:rsid w:val="00A47634"/>
    <w:rsid w:val="00A51626"/>
    <w:rsid w:val="00A55366"/>
    <w:rsid w:val="00A56792"/>
    <w:rsid w:val="00A56CBE"/>
    <w:rsid w:val="00A56E98"/>
    <w:rsid w:val="00A612FE"/>
    <w:rsid w:val="00A61BDE"/>
    <w:rsid w:val="00A620C6"/>
    <w:rsid w:val="00A620E5"/>
    <w:rsid w:val="00A6233A"/>
    <w:rsid w:val="00A623BF"/>
    <w:rsid w:val="00A62B13"/>
    <w:rsid w:val="00A63EC3"/>
    <w:rsid w:val="00A66024"/>
    <w:rsid w:val="00A70B62"/>
    <w:rsid w:val="00A71E4F"/>
    <w:rsid w:val="00A72DEC"/>
    <w:rsid w:val="00A733B1"/>
    <w:rsid w:val="00A74977"/>
    <w:rsid w:val="00A74F73"/>
    <w:rsid w:val="00A7558E"/>
    <w:rsid w:val="00A75598"/>
    <w:rsid w:val="00A82685"/>
    <w:rsid w:val="00A82A13"/>
    <w:rsid w:val="00A82B0C"/>
    <w:rsid w:val="00A8345D"/>
    <w:rsid w:val="00A83642"/>
    <w:rsid w:val="00A84366"/>
    <w:rsid w:val="00A84916"/>
    <w:rsid w:val="00A84921"/>
    <w:rsid w:val="00A858F7"/>
    <w:rsid w:val="00A90F01"/>
    <w:rsid w:val="00A91A7E"/>
    <w:rsid w:val="00A9241D"/>
    <w:rsid w:val="00A92B72"/>
    <w:rsid w:val="00A92FCA"/>
    <w:rsid w:val="00A95E41"/>
    <w:rsid w:val="00A95E54"/>
    <w:rsid w:val="00A962B2"/>
    <w:rsid w:val="00A96885"/>
    <w:rsid w:val="00A96E1F"/>
    <w:rsid w:val="00A96F74"/>
    <w:rsid w:val="00A97BC8"/>
    <w:rsid w:val="00AA26B8"/>
    <w:rsid w:val="00AA2EDA"/>
    <w:rsid w:val="00AA314B"/>
    <w:rsid w:val="00AA419D"/>
    <w:rsid w:val="00AA4A6F"/>
    <w:rsid w:val="00AA4D6A"/>
    <w:rsid w:val="00AA5808"/>
    <w:rsid w:val="00AA6233"/>
    <w:rsid w:val="00AA6FB5"/>
    <w:rsid w:val="00AA76A3"/>
    <w:rsid w:val="00AB0786"/>
    <w:rsid w:val="00AB16F6"/>
    <w:rsid w:val="00AB22B7"/>
    <w:rsid w:val="00AB2333"/>
    <w:rsid w:val="00AB27D3"/>
    <w:rsid w:val="00AB3FE2"/>
    <w:rsid w:val="00AB4E19"/>
    <w:rsid w:val="00AB601E"/>
    <w:rsid w:val="00AB630C"/>
    <w:rsid w:val="00AB7A07"/>
    <w:rsid w:val="00AB7E0B"/>
    <w:rsid w:val="00AC08AF"/>
    <w:rsid w:val="00AC1179"/>
    <w:rsid w:val="00AC16F1"/>
    <w:rsid w:val="00AC4953"/>
    <w:rsid w:val="00AC4C1D"/>
    <w:rsid w:val="00AC4F16"/>
    <w:rsid w:val="00AC57BD"/>
    <w:rsid w:val="00AC598D"/>
    <w:rsid w:val="00AC5D55"/>
    <w:rsid w:val="00AC5EAE"/>
    <w:rsid w:val="00AD0938"/>
    <w:rsid w:val="00AD141F"/>
    <w:rsid w:val="00AD2FD9"/>
    <w:rsid w:val="00AD3200"/>
    <w:rsid w:val="00AD3322"/>
    <w:rsid w:val="00AD5471"/>
    <w:rsid w:val="00AD56EE"/>
    <w:rsid w:val="00AD6560"/>
    <w:rsid w:val="00AD6AA2"/>
    <w:rsid w:val="00AD73AA"/>
    <w:rsid w:val="00AD7AE3"/>
    <w:rsid w:val="00AD7E4E"/>
    <w:rsid w:val="00AE029D"/>
    <w:rsid w:val="00AE0BEF"/>
    <w:rsid w:val="00AE1D19"/>
    <w:rsid w:val="00AE2A26"/>
    <w:rsid w:val="00AE30F4"/>
    <w:rsid w:val="00AE3314"/>
    <w:rsid w:val="00AE47E7"/>
    <w:rsid w:val="00AE63F7"/>
    <w:rsid w:val="00AE6E89"/>
    <w:rsid w:val="00AE7412"/>
    <w:rsid w:val="00AF00F5"/>
    <w:rsid w:val="00AF03CE"/>
    <w:rsid w:val="00AF06D5"/>
    <w:rsid w:val="00AF0EE9"/>
    <w:rsid w:val="00AF1907"/>
    <w:rsid w:val="00AF2389"/>
    <w:rsid w:val="00AF2828"/>
    <w:rsid w:val="00AF2C35"/>
    <w:rsid w:val="00AF34DE"/>
    <w:rsid w:val="00AF4D58"/>
    <w:rsid w:val="00AF4FA4"/>
    <w:rsid w:val="00AF5453"/>
    <w:rsid w:val="00AF5775"/>
    <w:rsid w:val="00AF57A3"/>
    <w:rsid w:val="00AF57D9"/>
    <w:rsid w:val="00AF6666"/>
    <w:rsid w:val="00AF67D3"/>
    <w:rsid w:val="00B0145C"/>
    <w:rsid w:val="00B02AF2"/>
    <w:rsid w:val="00B04EEC"/>
    <w:rsid w:val="00B05E5B"/>
    <w:rsid w:val="00B05FA3"/>
    <w:rsid w:val="00B07347"/>
    <w:rsid w:val="00B073E0"/>
    <w:rsid w:val="00B0759E"/>
    <w:rsid w:val="00B076F2"/>
    <w:rsid w:val="00B07D16"/>
    <w:rsid w:val="00B100C5"/>
    <w:rsid w:val="00B10154"/>
    <w:rsid w:val="00B11275"/>
    <w:rsid w:val="00B1254C"/>
    <w:rsid w:val="00B127BF"/>
    <w:rsid w:val="00B13C3D"/>
    <w:rsid w:val="00B14761"/>
    <w:rsid w:val="00B1770B"/>
    <w:rsid w:val="00B17A0B"/>
    <w:rsid w:val="00B20205"/>
    <w:rsid w:val="00B224C9"/>
    <w:rsid w:val="00B25290"/>
    <w:rsid w:val="00B26281"/>
    <w:rsid w:val="00B30410"/>
    <w:rsid w:val="00B30A70"/>
    <w:rsid w:val="00B311C1"/>
    <w:rsid w:val="00B32712"/>
    <w:rsid w:val="00B3285B"/>
    <w:rsid w:val="00B34362"/>
    <w:rsid w:val="00B35D3E"/>
    <w:rsid w:val="00B36E9C"/>
    <w:rsid w:val="00B378E7"/>
    <w:rsid w:val="00B41251"/>
    <w:rsid w:val="00B41C75"/>
    <w:rsid w:val="00B42F80"/>
    <w:rsid w:val="00B432BE"/>
    <w:rsid w:val="00B43A80"/>
    <w:rsid w:val="00B4440A"/>
    <w:rsid w:val="00B457C0"/>
    <w:rsid w:val="00B45CC1"/>
    <w:rsid w:val="00B46CD5"/>
    <w:rsid w:val="00B5171D"/>
    <w:rsid w:val="00B5181C"/>
    <w:rsid w:val="00B520D6"/>
    <w:rsid w:val="00B53496"/>
    <w:rsid w:val="00B54629"/>
    <w:rsid w:val="00B551DB"/>
    <w:rsid w:val="00B55232"/>
    <w:rsid w:val="00B553AC"/>
    <w:rsid w:val="00B57AD1"/>
    <w:rsid w:val="00B600E9"/>
    <w:rsid w:val="00B616A4"/>
    <w:rsid w:val="00B62745"/>
    <w:rsid w:val="00B64E8D"/>
    <w:rsid w:val="00B65422"/>
    <w:rsid w:val="00B66B82"/>
    <w:rsid w:val="00B670F6"/>
    <w:rsid w:val="00B70485"/>
    <w:rsid w:val="00B72A77"/>
    <w:rsid w:val="00B72F28"/>
    <w:rsid w:val="00B74305"/>
    <w:rsid w:val="00B76C3A"/>
    <w:rsid w:val="00B770EB"/>
    <w:rsid w:val="00B77575"/>
    <w:rsid w:val="00B77F89"/>
    <w:rsid w:val="00B80F51"/>
    <w:rsid w:val="00B81137"/>
    <w:rsid w:val="00B81B44"/>
    <w:rsid w:val="00B82F7E"/>
    <w:rsid w:val="00B847B5"/>
    <w:rsid w:val="00B85E4B"/>
    <w:rsid w:val="00B85FAC"/>
    <w:rsid w:val="00B86142"/>
    <w:rsid w:val="00B872E4"/>
    <w:rsid w:val="00B873BD"/>
    <w:rsid w:val="00B9053B"/>
    <w:rsid w:val="00B94F89"/>
    <w:rsid w:val="00B96874"/>
    <w:rsid w:val="00B9748F"/>
    <w:rsid w:val="00BA0480"/>
    <w:rsid w:val="00BA0F04"/>
    <w:rsid w:val="00BA1948"/>
    <w:rsid w:val="00BA3040"/>
    <w:rsid w:val="00BA326F"/>
    <w:rsid w:val="00BA3813"/>
    <w:rsid w:val="00BA4C65"/>
    <w:rsid w:val="00BA590F"/>
    <w:rsid w:val="00BA5DA4"/>
    <w:rsid w:val="00BA65E1"/>
    <w:rsid w:val="00BA708E"/>
    <w:rsid w:val="00BA7703"/>
    <w:rsid w:val="00BA7DEE"/>
    <w:rsid w:val="00BB018F"/>
    <w:rsid w:val="00BB04CF"/>
    <w:rsid w:val="00BB088D"/>
    <w:rsid w:val="00BB0BEA"/>
    <w:rsid w:val="00BB12BF"/>
    <w:rsid w:val="00BB378B"/>
    <w:rsid w:val="00BB3946"/>
    <w:rsid w:val="00BB3E0C"/>
    <w:rsid w:val="00BB4F6B"/>
    <w:rsid w:val="00BB55A9"/>
    <w:rsid w:val="00BB5BF2"/>
    <w:rsid w:val="00BB61D6"/>
    <w:rsid w:val="00BB61FA"/>
    <w:rsid w:val="00BB660E"/>
    <w:rsid w:val="00BB69B1"/>
    <w:rsid w:val="00BB6CFE"/>
    <w:rsid w:val="00BB7102"/>
    <w:rsid w:val="00BC1408"/>
    <w:rsid w:val="00BC3422"/>
    <w:rsid w:val="00BC4459"/>
    <w:rsid w:val="00BC55C8"/>
    <w:rsid w:val="00BC6686"/>
    <w:rsid w:val="00BD0053"/>
    <w:rsid w:val="00BD0CA7"/>
    <w:rsid w:val="00BD187C"/>
    <w:rsid w:val="00BD270F"/>
    <w:rsid w:val="00BD29D0"/>
    <w:rsid w:val="00BD31C4"/>
    <w:rsid w:val="00BD5795"/>
    <w:rsid w:val="00BD68A2"/>
    <w:rsid w:val="00BD6F06"/>
    <w:rsid w:val="00BD7612"/>
    <w:rsid w:val="00BD7F0C"/>
    <w:rsid w:val="00BD7FE7"/>
    <w:rsid w:val="00BE1DF8"/>
    <w:rsid w:val="00BE2797"/>
    <w:rsid w:val="00BE2844"/>
    <w:rsid w:val="00BE2CFA"/>
    <w:rsid w:val="00BE3F88"/>
    <w:rsid w:val="00BE584A"/>
    <w:rsid w:val="00BE7B9F"/>
    <w:rsid w:val="00BF02BA"/>
    <w:rsid w:val="00BF1206"/>
    <w:rsid w:val="00BF1ED3"/>
    <w:rsid w:val="00BF220C"/>
    <w:rsid w:val="00BF27CA"/>
    <w:rsid w:val="00BF2FDF"/>
    <w:rsid w:val="00BF3B71"/>
    <w:rsid w:val="00BF4143"/>
    <w:rsid w:val="00BF44B7"/>
    <w:rsid w:val="00BF47B4"/>
    <w:rsid w:val="00BF6742"/>
    <w:rsid w:val="00C00ADD"/>
    <w:rsid w:val="00C00E8D"/>
    <w:rsid w:val="00C0126F"/>
    <w:rsid w:val="00C012E0"/>
    <w:rsid w:val="00C015B9"/>
    <w:rsid w:val="00C022F9"/>
    <w:rsid w:val="00C02CEC"/>
    <w:rsid w:val="00C03081"/>
    <w:rsid w:val="00C032EA"/>
    <w:rsid w:val="00C056FC"/>
    <w:rsid w:val="00C06EB5"/>
    <w:rsid w:val="00C07886"/>
    <w:rsid w:val="00C104F5"/>
    <w:rsid w:val="00C10A97"/>
    <w:rsid w:val="00C11098"/>
    <w:rsid w:val="00C1145F"/>
    <w:rsid w:val="00C12B43"/>
    <w:rsid w:val="00C12B60"/>
    <w:rsid w:val="00C138F8"/>
    <w:rsid w:val="00C13E36"/>
    <w:rsid w:val="00C165A5"/>
    <w:rsid w:val="00C16D95"/>
    <w:rsid w:val="00C1739B"/>
    <w:rsid w:val="00C226EB"/>
    <w:rsid w:val="00C23762"/>
    <w:rsid w:val="00C24761"/>
    <w:rsid w:val="00C2618E"/>
    <w:rsid w:val="00C262BB"/>
    <w:rsid w:val="00C26A37"/>
    <w:rsid w:val="00C2779C"/>
    <w:rsid w:val="00C279BB"/>
    <w:rsid w:val="00C31222"/>
    <w:rsid w:val="00C31559"/>
    <w:rsid w:val="00C33667"/>
    <w:rsid w:val="00C34AF1"/>
    <w:rsid w:val="00C35126"/>
    <w:rsid w:val="00C35E6D"/>
    <w:rsid w:val="00C3655B"/>
    <w:rsid w:val="00C37020"/>
    <w:rsid w:val="00C435BC"/>
    <w:rsid w:val="00C4418E"/>
    <w:rsid w:val="00C44446"/>
    <w:rsid w:val="00C444FA"/>
    <w:rsid w:val="00C44FE9"/>
    <w:rsid w:val="00C4524E"/>
    <w:rsid w:val="00C45527"/>
    <w:rsid w:val="00C4701A"/>
    <w:rsid w:val="00C471AA"/>
    <w:rsid w:val="00C52176"/>
    <w:rsid w:val="00C52240"/>
    <w:rsid w:val="00C52592"/>
    <w:rsid w:val="00C52DD7"/>
    <w:rsid w:val="00C56019"/>
    <w:rsid w:val="00C637E1"/>
    <w:rsid w:val="00C65253"/>
    <w:rsid w:val="00C6667B"/>
    <w:rsid w:val="00C66C9C"/>
    <w:rsid w:val="00C70D50"/>
    <w:rsid w:val="00C70D5D"/>
    <w:rsid w:val="00C7370C"/>
    <w:rsid w:val="00C73716"/>
    <w:rsid w:val="00C74511"/>
    <w:rsid w:val="00C74A3D"/>
    <w:rsid w:val="00C74C52"/>
    <w:rsid w:val="00C81D7A"/>
    <w:rsid w:val="00C8243E"/>
    <w:rsid w:val="00C82516"/>
    <w:rsid w:val="00C82D8A"/>
    <w:rsid w:val="00C840C3"/>
    <w:rsid w:val="00C84343"/>
    <w:rsid w:val="00C872BF"/>
    <w:rsid w:val="00C87632"/>
    <w:rsid w:val="00C876EA"/>
    <w:rsid w:val="00C87E05"/>
    <w:rsid w:val="00C907D7"/>
    <w:rsid w:val="00C92338"/>
    <w:rsid w:val="00C936E7"/>
    <w:rsid w:val="00C940B2"/>
    <w:rsid w:val="00C949E9"/>
    <w:rsid w:val="00C968C5"/>
    <w:rsid w:val="00C971FF"/>
    <w:rsid w:val="00CA08AA"/>
    <w:rsid w:val="00CA24D2"/>
    <w:rsid w:val="00CA3053"/>
    <w:rsid w:val="00CA3531"/>
    <w:rsid w:val="00CA4039"/>
    <w:rsid w:val="00CA59B4"/>
    <w:rsid w:val="00CA69B3"/>
    <w:rsid w:val="00CA6F5B"/>
    <w:rsid w:val="00CA7C3A"/>
    <w:rsid w:val="00CA7E82"/>
    <w:rsid w:val="00CB1FE3"/>
    <w:rsid w:val="00CB2A3F"/>
    <w:rsid w:val="00CB353A"/>
    <w:rsid w:val="00CB3D18"/>
    <w:rsid w:val="00CB4745"/>
    <w:rsid w:val="00CB4908"/>
    <w:rsid w:val="00CB7050"/>
    <w:rsid w:val="00CB7685"/>
    <w:rsid w:val="00CB7699"/>
    <w:rsid w:val="00CB7C02"/>
    <w:rsid w:val="00CB7C0B"/>
    <w:rsid w:val="00CC0402"/>
    <w:rsid w:val="00CC2DB2"/>
    <w:rsid w:val="00CC2DF7"/>
    <w:rsid w:val="00CC3C5A"/>
    <w:rsid w:val="00CC451F"/>
    <w:rsid w:val="00CC6D8F"/>
    <w:rsid w:val="00CC6FF2"/>
    <w:rsid w:val="00CC7D4F"/>
    <w:rsid w:val="00CD01C7"/>
    <w:rsid w:val="00CD0307"/>
    <w:rsid w:val="00CD1F97"/>
    <w:rsid w:val="00CD25FF"/>
    <w:rsid w:val="00CD28D2"/>
    <w:rsid w:val="00CD3D1B"/>
    <w:rsid w:val="00CD4CB6"/>
    <w:rsid w:val="00CD5305"/>
    <w:rsid w:val="00CD5FDD"/>
    <w:rsid w:val="00CD62BA"/>
    <w:rsid w:val="00CD6CC5"/>
    <w:rsid w:val="00CD6F98"/>
    <w:rsid w:val="00CD6FD0"/>
    <w:rsid w:val="00CD7995"/>
    <w:rsid w:val="00CE1BB5"/>
    <w:rsid w:val="00CE2969"/>
    <w:rsid w:val="00CE62B3"/>
    <w:rsid w:val="00CE7780"/>
    <w:rsid w:val="00CF0153"/>
    <w:rsid w:val="00CF135D"/>
    <w:rsid w:val="00CF2634"/>
    <w:rsid w:val="00CF3406"/>
    <w:rsid w:val="00CF7C3B"/>
    <w:rsid w:val="00CF7DCA"/>
    <w:rsid w:val="00CF7FFE"/>
    <w:rsid w:val="00D00F5F"/>
    <w:rsid w:val="00D0140F"/>
    <w:rsid w:val="00D01EE6"/>
    <w:rsid w:val="00D022E4"/>
    <w:rsid w:val="00D02680"/>
    <w:rsid w:val="00D0488A"/>
    <w:rsid w:val="00D05507"/>
    <w:rsid w:val="00D07D90"/>
    <w:rsid w:val="00D10177"/>
    <w:rsid w:val="00D10267"/>
    <w:rsid w:val="00D106A0"/>
    <w:rsid w:val="00D114FF"/>
    <w:rsid w:val="00D116BA"/>
    <w:rsid w:val="00D1275D"/>
    <w:rsid w:val="00D1374D"/>
    <w:rsid w:val="00D15D3F"/>
    <w:rsid w:val="00D15EC8"/>
    <w:rsid w:val="00D173F1"/>
    <w:rsid w:val="00D1776B"/>
    <w:rsid w:val="00D20465"/>
    <w:rsid w:val="00D2110C"/>
    <w:rsid w:val="00D211E9"/>
    <w:rsid w:val="00D2206F"/>
    <w:rsid w:val="00D221ED"/>
    <w:rsid w:val="00D229F9"/>
    <w:rsid w:val="00D22B58"/>
    <w:rsid w:val="00D2307E"/>
    <w:rsid w:val="00D2312F"/>
    <w:rsid w:val="00D2501F"/>
    <w:rsid w:val="00D2526E"/>
    <w:rsid w:val="00D25819"/>
    <w:rsid w:val="00D264F7"/>
    <w:rsid w:val="00D269C1"/>
    <w:rsid w:val="00D30041"/>
    <w:rsid w:val="00D30E11"/>
    <w:rsid w:val="00D32F24"/>
    <w:rsid w:val="00D32FA5"/>
    <w:rsid w:val="00D33446"/>
    <w:rsid w:val="00D33DC5"/>
    <w:rsid w:val="00D33DE8"/>
    <w:rsid w:val="00D355AA"/>
    <w:rsid w:val="00D40EC3"/>
    <w:rsid w:val="00D418F4"/>
    <w:rsid w:val="00D42DC9"/>
    <w:rsid w:val="00D44953"/>
    <w:rsid w:val="00D458EB"/>
    <w:rsid w:val="00D472E8"/>
    <w:rsid w:val="00D47D70"/>
    <w:rsid w:val="00D47FB1"/>
    <w:rsid w:val="00D50226"/>
    <w:rsid w:val="00D5039A"/>
    <w:rsid w:val="00D5146D"/>
    <w:rsid w:val="00D53084"/>
    <w:rsid w:val="00D542F3"/>
    <w:rsid w:val="00D543E5"/>
    <w:rsid w:val="00D54BC3"/>
    <w:rsid w:val="00D54D53"/>
    <w:rsid w:val="00D55227"/>
    <w:rsid w:val="00D5644B"/>
    <w:rsid w:val="00D56E25"/>
    <w:rsid w:val="00D602BF"/>
    <w:rsid w:val="00D60E21"/>
    <w:rsid w:val="00D61BBC"/>
    <w:rsid w:val="00D6395A"/>
    <w:rsid w:val="00D63D16"/>
    <w:rsid w:val="00D64BB4"/>
    <w:rsid w:val="00D66D36"/>
    <w:rsid w:val="00D66D79"/>
    <w:rsid w:val="00D67C29"/>
    <w:rsid w:val="00D71896"/>
    <w:rsid w:val="00D718D7"/>
    <w:rsid w:val="00D73212"/>
    <w:rsid w:val="00D7339A"/>
    <w:rsid w:val="00D753F0"/>
    <w:rsid w:val="00D75F5C"/>
    <w:rsid w:val="00D76512"/>
    <w:rsid w:val="00D76DAC"/>
    <w:rsid w:val="00D8139D"/>
    <w:rsid w:val="00D814B7"/>
    <w:rsid w:val="00D82938"/>
    <w:rsid w:val="00D82C5B"/>
    <w:rsid w:val="00D84467"/>
    <w:rsid w:val="00D8464E"/>
    <w:rsid w:val="00D848BD"/>
    <w:rsid w:val="00D86641"/>
    <w:rsid w:val="00D90106"/>
    <w:rsid w:val="00D90688"/>
    <w:rsid w:val="00D90B7F"/>
    <w:rsid w:val="00D90C2A"/>
    <w:rsid w:val="00D90C33"/>
    <w:rsid w:val="00D90DAF"/>
    <w:rsid w:val="00D9144B"/>
    <w:rsid w:val="00D91EC1"/>
    <w:rsid w:val="00D934FB"/>
    <w:rsid w:val="00D9368B"/>
    <w:rsid w:val="00D94F22"/>
    <w:rsid w:val="00D95DE3"/>
    <w:rsid w:val="00DA0B08"/>
    <w:rsid w:val="00DA0B26"/>
    <w:rsid w:val="00DA1278"/>
    <w:rsid w:val="00DA2B1E"/>
    <w:rsid w:val="00DA2DDE"/>
    <w:rsid w:val="00DA30B7"/>
    <w:rsid w:val="00DA3494"/>
    <w:rsid w:val="00DA3AAD"/>
    <w:rsid w:val="00DA3C2B"/>
    <w:rsid w:val="00DA3E52"/>
    <w:rsid w:val="00DA466E"/>
    <w:rsid w:val="00DA7966"/>
    <w:rsid w:val="00DA7D00"/>
    <w:rsid w:val="00DB0548"/>
    <w:rsid w:val="00DB1052"/>
    <w:rsid w:val="00DB312B"/>
    <w:rsid w:val="00DB4DE7"/>
    <w:rsid w:val="00DB5D0A"/>
    <w:rsid w:val="00DB6010"/>
    <w:rsid w:val="00DB6277"/>
    <w:rsid w:val="00DB7C7A"/>
    <w:rsid w:val="00DC2147"/>
    <w:rsid w:val="00DC33A6"/>
    <w:rsid w:val="00DC4D69"/>
    <w:rsid w:val="00DC5654"/>
    <w:rsid w:val="00DC658F"/>
    <w:rsid w:val="00DC76CE"/>
    <w:rsid w:val="00DD1D85"/>
    <w:rsid w:val="00DD2E29"/>
    <w:rsid w:val="00DD5336"/>
    <w:rsid w:val="00DD606D"/>
    <w:rsid w:val="00DD7347"/>
    <w:rsid w:val="00DD78A9"/>
    <w:rsid w:val="00DE021E"/>
    <w:rsid w:val="00DE0543"/>
    <w:rsid w:val="00DE0E9F"/>
    <w:rsid w:val="00DE0F38"/>
    <w:rsid w:val="00DE14A5"/>
    <w:rsid w:val="00DE23AF"/>
    <w:rsid w:val="00DE2810"/>
    <w:rsid w:val="00DE3960"/>
    <w:rsid w:val="00DE60CC"/>
    <w:rsid w:val="00DE61BF"/>
    <w:rsid w:val="00DE6FE0"/>
    <w:rsid w:val="00DE7567"/>
    <w:rsid w:val="00DF0264"/>
    <w:rsid w:val="00DF08FD"/>
    <w:rsid w:val="00DF09B4"/>
    <w:rsid w:val="00DF0B1C"/>
    <w:rsid w:val="00DF11C5"/>
    <w:rsid w:val="00DF3B8A"/>
    <w:rsid w:val="00DF45BF"/>
    <w:rsid w:val="00DF47E7"/>
    <w:rsid w:val="00DF5644"/>
    <w:rsid w:val="00DF5904"/>
    <w:rsid w:val="00DF616B"/>
    <w:rsid w:val="00DF635B"/>
    <w:rsid w:val="00DF7106"/>
    <w:rsid w:val="00E007B0"/>
    <w:rsid w:val="00E00A3B"/>
    <w:rsid w:val="00E00A62"/>
    <w:rsid w:val="00E00C59"/>
    <w:rsid w:val="00E00F7F"/>
    <w:rsid w:val="00E01EF9"/>
    <w:rsid w:val="00E02E9A"/>
    <w:rsid w:val="00E0305D"/>
    <w:rsid w:val="00E03CAF"/>
    <w:rsid w:val="00E07A44"/>
    <w:rsid w:val="00E10928"/>
    <w:rsid w:val="00E113D0"/>
    <w:rsid w:val="00E123F1"/>
    <w:rsid w:val="00E12AB4"/>
    <w:rsid w:val="00E12FC7"/>
    <w:rsid w:val="00E149B4"/>
    <w:rsid w:val="00E171F2"/>
    <w:rsid w:val="00E231C6"/>
    <w:rsid w:val="00E23276"/>
    <w:rsid w:val="00E25F7A"/>
    <w:rsid w:val="00E261EC"/>
    <w:rsid w:val="00E26804"/>
    <w:rsid w:val="00E26B32"/>
    <w:rsid w:val="00E27E58"/>
    <w:rsid w:val="00E31444"/>
    <w:rsid w:val="00E345C8"/>
    <w:rsid w:val="00E3592E"/>
    <w:rsid w:val="00E36420"/>
    <w:rsid w:val="00E36674"/>
    <w:rsid w:val="00E37D54"/>
    <w:rsid w:val="00E401F5"/>
    <w:rsid w:val="00E40311"/>
    <w:rsid w:val="00E407B6"/>
    <w:rsid w:val="00E40832"/>
    <w:rsid w:val="00E41EF1"/>
    <w:rsid w:val="00E423AE"/>
    <w:rsid w:val="00E42942"/>
    <w:rsid w:val="00E43D89"/>
    <w:rsid w:val="00E4509A"/>
    <w:rsid w:val="00E468A6"/>
    <w:rsid w:val="00E4697E"/>
    <w:rsid w:val="00E47A11"/>
    <w:rsid w:val="00E512E1"/>
    <w:rsid w:val="00E53AA0"/>
    <w:rsid w:val="00E53DBB"/>
    <w:rsid w:val="00E540EC"/>
    <w:rsid w:val="00E547BB"/>
    <w:rsid w:val="00E56937"/>
    <w:rsid w:val="00E56BBE"/>
    <w:rsid w:val="00E57B4B"/>
    <w:rsid w:val="00E606ED"/>
    <w:rsid w:val="00E60A17"/>
    <w:rsid w:val="00E61234"/>
    <w:rsid w:val="00E615F1"/>
    <w:rsid w:val="00E6357E"/>
    <w:rsid w:val="00E64DB5"/>
    <w:rsid w:val="00E66B7F"/>
    <w:rsid w:val="00E66DE4"/>
    <w:rsid w:val="00E700D9"/>
    <w:rsid w:val="00E704FF"/>
    <w:rsid w:val="00E707B4"/>
    <w:rsid w:val="00E7082B"/>
    <w:rsid w:val="00E71821"/>
    <w:rsid w:val="00E71BDF"/>
    <w:rsid w:val="00E71C41"/>
    <w:rsid w:val="00E734AF"/>
    <w:rsid w:val="00E74EBC"/>
    <w:rsid w:val="00E754EF"/>
    <w:rsid w:val="00E75DD1"/>
    <w:rsid w:val="00E75FDD"/>
    <w:rsid w:val="00E764FA"/>
    <w:rsid w:val="00E766E2"/>
    <w:rsid w:val="00E76A4A"/>
    <w:rsid w:val="00E76C42"/>
    <w:rsid w:val="00E76FFB"/>
    <w:rsid w:val="00E77817"/>
    <w:rsid w:val="00E77B0A"/>
    <w:rsid w:val="00E77B2E"/>
    <w:rsid w:val="00E82016"/>
    <w:rsid w:val="00E82944"/>
    <w:rsid w:val="00E82E40"/>
    <w:rsid w:val="00E82F77"/>
    <w:rsid w:val="00E83B50"/>
    <w:rsid w:val="00E83CA7"/>
    <w:rsid w:val="00E84A11"/>
    <w:rsid w:val="00E854E9"/>
    <w:rsid w:val="00E85A20"/>
    <w:rsid w:val="00E85E99"/>
    <w:rsid w:val="00E86694"/>
    <w:rsid w:val="00E86713"/>
    <w:rsid w:val="00E934E8"/>
    <w:rsid w:val="00E93A12"/>
    <w:rsid w:val="00E94159"/>
    <w:rsid w:val="00E95A30"/>
    <w:rsid w:val="00E95FCE"/>
    <w:rsid w:val="00E9604A"/>
    <w:rsid w:val="00E97C66"/>
    <w:rsid w:val="00EA0A53"/>
    <w:rsid w:val="00EA1191"/>
    <w:rsid w:val="00EA13B1"/>
    <w:rsid w:val="00EA6427"/>
    <w:rsid w:val="00EA6E6E"/>
    <w:rsid w:val="00EA7649"/>
    <w:rsid w:val="00EA76D7"/>
    <w:rsid w:val="00EB1EF1"/>
    <w:rsid w:val="00EB2006"/>
    <w:rsid w:val="00EB20E8"/>
    <w:rsid w:val="00EB2A9C"/>
    <w:rsid w:val="00EB3882"/>
    <w:rsid w:val="00EB4E85"/>
    <w:rsid w:val="00EB53E1"/>
    <w:rsid w:val="00EB7ACF"/>
    <w:rsid w:val="00EB7FDC"/>
    <w:rsid w:val="00EC0540"/>
    <w:rsid w:val="00EC0F5E"/>
    <w:rsid w:val="00EC171D"/>
    <w:rsid w:val="00EC1B3E"/>
    <w:rsid w:val="00EC2F1A"/>
    <w:rsid w:val="00EC3B04"/>
    <w:rsid w:val="00EC4A97"/>
    <w:rsid w:val="00EC64C9"/>
    <w:rsid w:val="00EC6699"/>
    <w:rsid w:val="00EC7AB4"/>
    <w:rsid w:val="00EC7B20"/>
    <w:rsid w:val="00ED02EE"/>
    <w:rsid w:val="00ED3565"/>
    <w:rsid w:val="00ED358E"/>
    <w:rsid w:val="00ED44BC"/>
    <w:rsid w:val="00ED487E"/>
    <w:rsid w:val="00ED489E"/>
    <w:rsid w:val="00ED56CC"/>
    <w:rsid w:val="00ED7574"/>
    <w:rsid w:val="00ED7FC4"/>
    <w:rsid w:val="00EE0678"/>
    <w:rsid w:val="00EE1211"/>
    <w:rsid w:val="00EE1A5A"/>
    <w:rsid w:val="00EE1CF5"/>
    <w:rsid w:val="00EE2162"/>
    <w:rsid w:val="00EE22C3"/>
    <w:rsid w:val="00EE24BF"/>
    <w:rsid w:val="00EE2EF0"/>
    <w:rsid w:val="00EE3139"/>
    <w:rsid w:val="00EE3757"/>
    <w:rsid w:val="00EE504E"/>
    <w:rsid w:val="00EE57BF"/>
    <w:rsid w:val="00EE63AE"/>
    <w:rsid w:val="00EE7706"/>
    <w:rsid w:val="00EE7A0D"/>
    <w:rsid w:val="00EE7C46"/>
    <w:rsid w:val="00EF0D02"/>
    <w:rsid w:val="00EF0D21"/>
    <w:rsid w:val="00EF2E5C"/>
    <w:rsid w:val="00EF4EA6"/>
    <w:rsid w:val="00EF78D6"/>
    <w:rsid w:val="00F00C18"/>
    <w:rsid w:val="00F02672"/>
    <w:rsid w:val="00F02C19"/>
    <w:rsid w:val="00F02EF7"/>
    <w:rsid w:val="00F03871"/>
    <w:rsid w:val="00F0488E"/>
    <w:rsid w:val="00F05FD4"/>
    <w:rsid w:val="00F07602"/>
    <w:rsid w:val="00F10BC4"/>
    <w:rsid w:val="00F12ADC"/>
    <w:rsid w:val="00F14937"/>
    <w:rsid w:val="00F1517D"/>
    <w:rsid w:val="00F168BC"/>
    <w:rsid w:val="00F17527"/>
    <w:rsid w:val="00F17CE1"/>
    <w:rsid w:val="00F2020D"/>
    <w:rsid w:val="00F2082E"/>
    <w:rsid w:val="00F2115C"/>
    <w:rsid w:val="00F21DDF"/>
    <w:rsid w:val="00F22562"/>
    <w:rsid w:val="00F22ABA"/>
    <w:rsid w:val="00F22DB9"/>
    <w:rsid w:val="00F22FEA"/>
    <w:rsid w:val="00F23F0D"/>
    <w:rsid w:val="00F2695A"/>
    <w:rsid w:val="00F27B11"/>
    <w:rsid w:val="00F30AA3"/>
    <w:rsid w:val="00F30DBA"/>
    <w:rsid w:val="00F315F2"/>
    <w:rsid w:val="00F3170E"/>
    <w:rsid w:val="00F31B67"/>
    <w:rsid w:val="00F3219E"/>
    <w:rsid w:val="00F32A29"/>
    <w:rsid w:val="00F33B6B"/>
    <w:rsid w:val="00F3475B"/>
    <w:rsid w:val="00F348D6"/>
    <w:rsid w:val="00F34F5E"/>
    <w:rsid w:val="00F35FDF"/>
    <w:rsid w:val="00F36B12"/>
    <w:rsid w:val="00F36F03"/>
    <w:rsid w:val="00F3744E"/>
    <w:rsid w:val="00F40DA6"/>
    <w:rsid w:val="00F41427"/>
    <w:rsid w:val="00F417C3"/>
    <w:rsid w:val="00F41902"/>
    <w:rsid w:val="00F41D6B"/>
    <w:rsid w:val="00F425D0"/>
    <w:rsid w:val="00F43252"/>
    <w:rsid w:val="00F434A1"/>
    <w:rsid w:val="00F44512"/>
    <w:rsid w:val="00F44FE8"/>
    <w:rsid w:val="00F455E5"/>
    <w:rsid w:val="00F45E5C"/>
    <w:rsid w:val="00F46EBD"/>
    <w:rsid w:val="00F476DA"/>
    <w:rsid w:val="00F502A4"/>
    <w:rsid w:val="00F509F1"/>
    <w:rsid w:val="00F51CE0"/>
    <w:rsid w:val="00F52BA5"/>
    <w:rsid w:val="00F53237"/>
    <w:rsid w:val="00F547EB"/>
    <w:rsid w:val="00F556D3"/>
    <w:rsid w:val="00F558F1"/>
    <w:rsid w:val="00F568C7"/>
    <w:rsid w:val="00F5690E"/>
    <w:rsid w:val="00F56EFB"/>
    <w:rsid w:val="00F57D0D"/>
    <w:rsid w:val="00F60F9F"/>
    <w:rsid w:val="00F62AFE"/>
    <w:rsid w:val="00F63286"/>
    <w:rsid w:val="00F64BD1"/>
    <w:rsid w:val="00F64F08"/>
    <w:rsid w:val="00F657E0"/>
    <w:rsid w:val="00F65D33"/>
    <w:rsid w:val="00F666EB"/>
    <w:rsid w:val="00F713C1"/>
    <w:rsid w:val="00F71BCD"/>
    <w:rsid w:val="00F71ECA"/>
    <w:rsid w:val="00F723A0"/>
    <w:rsid w:val="00F734F5"/>
    <w:rsid w:val="00F75C05"/>
    <w:rsid w:val="00F76ED4"/>
    <w:rsid w:val="00F7747E"/>
    <w:rsid w:val="00F77ACF"/>
    <w:rsid w:val="00F80A31"/>
    <w:rsid w:val="00F81868"/>
    <w:rsid w:val="00F81A1D"/>
    <w:rsid w:val="00F83A6C"/>
    <w:rsid w:val="00F83A7D"/>
    <w:rsid w:val="00F83E89"/>
    <w:rsid w:val="00F84288"/>
    <w:rsid w:val="00F843EE"/>
    <w:rsid w:val="00F852CE"/>
    <w:rsid w:val="00F85604"/>
    <w:rsid w:val="00F8626A"/>
    <w:rsid w:val="00F86485"/>
    <w:rsid w:val="00F869DC"/>
    <w:rsid w:val="00F87937"/>
    <w:rsid w:val="00F92A98"/>
    <w:rsid w:val="00F92AC3"/>
    <w:rsid w:val="00F9411F"/>
    <w:rsid w:val="00F95D02"/>
    <w:rsid w:val="00F966B1"/>
    <w:rsid w:val="00F96D2E"/>
    <w:rsid w:val="00F97D48"/>
    <w:rsid w:val="00F97FD6"/>
    <w:rsid w:val="00FA0311"/>
    <w:rsid w:val="00FA08BA"/>
    <w:rsid w:val="00FA0FA7"/>
    <w:rsid w:val="00FA0FB6"/>
    <w:rsid w:val="00FA2839"/>
    <w:rsid w:val="00FA2E62"/>
    <w:rsid w:val="00FA4490"/>
    <w:rsid w:val="00FA4786"/>
    <w:rsid w:val="00FA5831"/>
    <w:rsid w:val="00FA5D10"/>
    <w:rsid w:val="00FB08C9"/>
    <w:rsid w:val="00FB0F13"/>
    <w:rsid w:val="00FB137F"/>
    <w:rsid w:val="00FB2B4E"/>
    <w:rsid w:val="00FB3CD0"/>
    <w:rsid w:val="00FB3F2C"/>
    <w:rsid w:val="00FB48D2"/>
    <w:rsid w:val="00FB5E7E"/>
    <w:rsid w:val="00FB6585"/>
    <w:rsid w:val="00FB6FF4"/>
    <w:rsid w:val="00FB74C3"/>
    <w:rsid w:val="00FB7BB5"/>
    <w:rsid w:val="00FB7CB2"/>
    <w:rsid w:val="00FC076D"/>
    <w:rsid w:val="00FC1269"/>
    <w:rsid w:val="00FC1A50"/>
    <w:rsid w:val="00FC3021"/>
    <w:rsid w:val="00FC42E5"/>
    <w:rsid w:val="00FC43BF"/>
    <w:rsid w:val="00FC4B57"/>
    <w:rsid w:val="00FC4EA8"/>
    <w:rsid w:val="00FC7760"/>
    <w:rsid w:val="00FD0B49"/>
    <w:rsid w:val="00FD0D5C"/>
    <w:rsid w:val="00FD14B9"/>
    <w:rsid w:val="00FD1785"/>
    <w:rsid w:val="00FD22F7"/>
    <w:rsid w:val="00FD3721"/>
    <w:rsid w:val="00FD37D1"/>
    <w:rsid w:val="00FD4E7D"/>
    <w:rsid w:val="00FD62BE"/>
    <w:rsid w:val="00FD640F"/>
    <w:rsid w:val="00FD6A2E"/>
    <w:rsid w:val="00FD6B4C"/>
    <w:rsid w:val="00FD6BE9"/>
    <w:rsid w:val="00FE1579"/>
    <w:rsid w:val="00FE1745"/>
    <w:rsid w:val="00FE186F"/>
    <w:rsid w:val="00FE24E9"/>
    <w:rsid w:val="00FE2A70"/>
    <w:rsid w:val="00FE2CC0"/>
    <w:rsid w:val="00FE44EE"/>
    <w:rsid w:val="00FE4977"/>
    <w:rsid w:val="00FE521C"/>
    <w:rsid w:val="00FE71E3"/>
    <w:rsid w:val="00FE78E7"/>
    <w:rsid w:val="00FE7B4C"/>
    <w:rsid w:val="00FF07F8"/>
    <w:rsid w:val="00FF211C"/>
    <w:rsid w:val="00FF2883"/>
    <w:rsid w:val="00FF3263"/>
    <w:rsid w:val="00FF4E99"/>
    <w:rsid w:val="00FF606C"/>
    <w:rsid w:val="00FF60D8"/>
    <w:rsid w:val="00FF6B34"/>
    <w:rsid w:val="00FF6D6B"/>
    <w:rsid w:val="016761A1"/>
    <w:rsid w:val="01B083FB"/>
    <w:rsid w:val="029AC7B3"/>
    <w:rsid w:val="02F0161E"/>
    <w:rsid w:val="032550E4"/>
    <w:rsid w:val="0334DDD9"/>
    <w:rsid w:val="03E6D5A2"/>
    <w:rsid w:val="0468368F"/>
    <w:rsid w:val="04F3C756"/>
    <w:rsid w:val="06B94073"/>
    <w:rsid w:val="06E2545E"/>
    <w:rsid w:val="07AF45AA"/>
    <w:rsid w:val="08D0BDB4"/>
    <w:rsid w:val="0A8E5DCF"/>
    <w:rsid w:val="0AF7D268"/>
    <w:rsid w:val="0BE13641"/>
    <w:rsid w:val="0D6F6ABC"/>
    <w:rsid w:val="0E152CF5"/>
    <w:rsid w:val="0FE12A02"/>
    <w:rsid w:val="101FBDF1"/>
    <w:rsid w:val="104008DA"/>
    <w:rsid w:val="11659D74"/>
    <w:rsid w:val="11ECC09E"/>
    <w:rsid w:val="12DF92F7"/>
    <w:rsid w:val="132F0416"/>
    <w:rsid w:val="135A62B4"/>
    <w:rsid w:val="13A7F109"/>
    <w:rsid w:val="14179442"/>
    <w:rsid w:val="14470D3F"/>
    <w:rsid w:val="1566812A"/>
    <w:rsid w:val="1613B768"/>
    <w:rsid w:val="16EA698F"/>
    <w:rsid w:val="186BFAC3"/>
    <w:rsid w:val="189EECE5"/>
    <w:rsid w:val="18B50084"/>
    <w:rsid w:val="1917F8EE"/>
    <w:rsid w:val="1BB34A85"/>
    <w:rsid w:val="1BB640E2"/>
    <w:rsid w:val="1DCB53F4"/>
    <w:rsid w:val="1EDE214F"/>
    <w:rsid w:val="204C7F41"/>
    <w:rsid w:val="20B68BEF"/>
    <w:rsid w:val="21DB02BF"/>
    <w:rsid w:val="231BA0BA"/>
    <w:rsid w:val="23420C16"/>
    <w:rsid w:val="23CC2015"/>
    <w:rsid w:val="24634853"/>
    <w:rsid w:val="266AA7EA"/>
    <w:rsid w:val="26D77E37"/>
    <w:rsid w:val="2712E6D8"/>
    <w:rsid w:val="277A5D74"/>
    <w:rsid w:val="27DEEFE5"/>
    <w:rsid w:val="28168DB9"/>
    <w:rsid w:val="289EBFF0"/>
    <w:rsid w:val="29BC2D41"/>
    <w:rsid w:val="2AF695BE"/>
    <w:rsid w:val="2AF8174B"/>
    <w:rsid w:val="2AFC03BC"/>
    <w:rsid w:val="2C818629"/>
    <w:rsid w:val="2CC17120"/>
    <w:rsid w:val="2D3447D0"/>
    <w:rsid w:val="2D7C83CB"/>
    <w:rsid w:val="30DEA239"/>
    <w:rsid w:val="31977C66"/>
    <w:rsid w:val="31EA5A96"/>
    <w:rsid w:val="32142FC6"/>
    <w:rsid w:val="3243B043"/>
    <w:rsid w:val="326C6995"/>
    <w:rsid w:val="32B71C0E"/>
    <w:rsid w:val="3386DA6E"/>
    <w:rsid w:val="34E7D3EA"/>
    <w:rsid w:val="35D78F98"/>
    <w:rsid w:val="372FEC07"/>
    <w:rsid w:val="373D93E2"/>
    <w:rsid w:val="3805929E"/>
    <w:rsid w:val="39FCDD40"/>
    <w:rsid w:val="3AEF6065"/>
    <w:rsid w:val="3B1CE7BD"/>
    <w:rsid w:val="3BA08D44"/>
    <w:rsid w:val="3BAFEF8C"/>
    <w:rsid w:val="3BC9132C"/>
    <w:rsid w:val="3C25BFAA"/>
    <w:rsid w:val="3CE898F4"/>
    <w:rsid w:val="3DA42D40"/>
    <w:rsid w:val="3DBEB01A"/>
    <w:rsid w:val="3FD8FA5C"/>
    <w:rsid w:val="40C5FEC0"/>
    <w:rsid w:val="40FC63EA"/>
    <w:rsid w:val="412D6D2F"/>
    <w:rsid w:val="4145E72B"/>
    <w:rsid w:val="41B539F5"/>
    <w:rsid w:val="434EBCDC"/>
    <w:rsid w:val="44740538"/>
    <w:rsid w:val="45C6672D"/>
    <w:rsid w:val="4643EE94"/>
    <w:rsid w:val="467D7A90"/>
    <w:rsid w:val="47A45833"/>
    <w:rsid w:val="4810FF18"/>
    <w:rsid w:val="498EEC8D"/>
    <w:rsid w:val="49A60DD8"/>
    <w:rsid w:val="49FD623F"/>
    <w:rsid w:val="4A173CA2"/>
    <w:rsid w:val="4A84085A"/>
    <w:rsid w:val="4B46D675"/>
    <w:rsid w:val="4B58B20B"/>
    <w:rsid w:val="4BCF5F93"/>
    <w:rsid w:val="4C697847"/>
    <w:rsid w:val="4DEEA183"/>
    <w:rsid w:val="4E0B277E"/>
    <w:rsid w:val="4FC4CADD"/>
    <w:rsid w:val="4FC819E6"/>
    <w:rsid w:val="5053B9AA"/>
    <w:rsid w:val="50E9CB12"/>
    <w:rsid w:val="51D1F0A4"/>
    <w:rsid w:val="51DFA005"/>
    <w:rsid w:val="529D5549"/>
    <w:rsid w:val="52AC073E"/>
    <w:rsid w:val="54092060"/>
    <w:rsid w:val="5427DDA0"/>
    <w:rsid w:val="54C9B50F"/>
    <w:rsid w:val="555F2698"/>
    <w:rsid w:val="57E5DB25"/>
    <w:rsid w:val="58E9429E"/>
    <w:rsid w:val="59376AB4"/>
    <w:rsid w:val="5AEBF749"/>
    <w:rsid w:val="5B48FFBC"/>
    <w:rsid w:val="5B8C71CE"/>
    <w:rsid w:val="5C5273C7"/>
    <w:rsid w:val="5CCD6F77"/>
    <w:rsid w:val="5EA2DC3A"/>
    <w:rsid w:val="5FB42F1E"/>
    <w:rsid w:val="601FA98F"/>
    <w:rsid w:val="60544B86"/>
    <w:rsid w:val="61740512"/>
    <w:rsid w:val="6204147F"/>
    <w:rsid w:val="62262061"/>
    <w:rsid w:val="6240222D"/>
    <w:rsid w:val="62751481"/>
    <w:rsid w:val="6364EB8F"/>
    <w:rsid w:val="63CD9CE7"/>
    <w:rsid w:val="671B6204"/>
    <w:rsid w:val="677E94AC"/>
    <w:rsid w:val="67FB8A6F"/>
    <w:rsid w:val="681ABB2E"/>
    <w:rsid w:val="688D3398"/>
    <w:rsid w:val="68F1F664"/>
    <w:rsid w:val="69335794"/>
    <w:rsid w:val="6BD3C804"/>
    <w:rsid w:val="6CBFF4D3"/>
    <w:rsid w:val="6FC42A46"/>
    <w:rsid w:val="6FC8E120"/>
    <w:rsid w:val="70F82EDF"/>
    <w:rsid w:val="71AC6B96"/>
    <w:rsid w:val="72DBB49F"/>
    <w:rsid w:val="74462352"/>
    <w:rsid w:val="7524CDF5"/>
    <w:rsid w:val="7544C464"/>
    <w:rsid w:val="75B31D6B"/>
    <w:rsid w:val="7607B3D6"/>
    <w:rsid w:val="7659D3B0"/>
    <w:rsid w:val="77A90A1A"/>
    <w:rsid w:val="784A8F03"/>
    <w:rsid w:val="7850A70F"/>
    <w:rsid w:val="78D1B744"/>
    <w:rsid w:val="7A7CD838"/>
    <w:rsid w:val="7A869026"/>
    <w:rsid w:val="7AAA7374"/>
    <w:rsid w:val="7BDF3B31"/>
    <w:rsid w:val="7D2293FA"/>
    <w:rsid w:val="7FC4F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A2186"/>
  <w15:docId w15:val="{FF3FC906-C7D9-43A9-95CA-4C43D94C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A060C9"/>
    <w:pPr>
      <w:keepLines/>
      <w:spacing w:before="120" w:after="120" w:line="252" w:lineRule="auto"/>
    </w:pPr>
    <w:rPr>
      <w:color w:val="232B39" w:themeColor="text1"/>
    </w:rPr>
  </w:style>
  <w:style w:type="paragraph" w:styleId="Heading1">
    <w:name w:val="heading 1"/>
    <w:next w:val="Normal"/>
    <w:link w:val="Heading1Char"/>
    <w:qFormat/>
    <w:rsid w:val="00225455"/>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585742"/>
    <w:pPr>
      <w:keepNext/>
      <w:spacing w:before="280" w:line="216"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85742"/>
    <w:pPr>
      <w:keepNext/>
      <w:spacing w:before="240" w:line="216" w:lineRule="auto"/>
      <w:ind w:left="504" w:hanging="504"/>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2810B1"/>
    <w:pPr>
      <w:keepNext/>
      <w:spacing w:before="200" w:line="216" w:lineRule="auto"/>
      <w:ind w:left="1872" w:hanging="1872"/>
      <w:outlineLvl w:val="3"/>
    </w:pPr>
    <w:rPr>
      <w:rFonts w:asciiTheme="majorHAnsi" w:eastAsiaTheme="majorEastAsia" w:hAnsiTheme="majorHAnsi" w:cstheme="majorBidi"/>
      <w:bCs/>
      <w:iCs/>
      <w:color w:val="3A3467" w:themeColor="text2"/>
      <w:sz w:val="24"/>
      <w:szCs w:val="21"/>
    </w:rPr>
  </w:style>
  <w:style w:type="paragraph" w:styleId="Heading5">
    <w:name w:val="heading 5"/>
    <w:basedOn w:val="Normal"/>
    <w:next w:val="Normal"/>
    <w:link w:val="Heading5Char"/>
    <w:semiHidden/>
    <w:rsid w:val="001A53B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1A53B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1A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1A53B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1A53BF"/>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7C69A5"/>
    <w:pPr>
      <w:keepLines w:val="0"/>
      <w:pBdr>
        <w:bottom w:val="single" w:sz="12" w:space="4" w:color="auto"/>
      </w:pBdr>
      <w:tabs>
        <w:tab w:val="right" w:pos="9000"/>
      </w:tabs>
      <w:spacing w:before="240"/>
      <w:ind w:right="29"/>
    </w:pPr>
    <w:rPr>
      <w:rFonts w:asciiTheme="majorHAnsi" w:hAnsiTheme="majorHAnsi"/>
      <w:szCs w:val="24"/>
    </w:rPr>
  </w:style>
  <w:style w:type="paragraph" w:styleId="TOC2">
    <w:name w:val="toc 2"/>
    <w:next w:val="Normal"/>
    <w:uiPriority w:val="39"/>
    <w:rsid w:val="002B45C2"/>
    <w:pPr>
      <w:tabs>
        <w:tab w:val="right" w:pos="9000"/>
      </w:tabs>
      <w:spacing w:after="100" w:line="252" w:lineRule="auto"/>
      <w:ind w:left="446" w:right="432"/>
      <w:contextualSpacing/>
    </w:pPr>
    <w:rPr>
      <w:noProof/>
      <w:spacing w:val="2"/>
    </w:rPr>
  </w:style>
  <w:style w:type="paragraph" w:styleId="TOC3">
    <w:name w:val="toc 3"/>
    <w:basedOn w:val="Normal"/>
    <w:next w:val="Normal"/>
    <w:uiPriority w:val="39"/>
    <w:rsid w:val="001964DE"/>
    <w:pPr>
      <w:keepLines w:val="0"/>
      <w:tabs>
        <w:tab w:val="left" w:pos="1990"/>
        <w:tab w:val="right" w:pos="9000"/>
      </w:tabs>
      <w:spacing w:before="0"/>
      <w:ind w:left="1541" w:right="576" w:hanging="1541"/>
      <w:contextualSpacing/>
    </w:pPr>
    <w:rPr>
      <w:noProof/>
      <w:szCs w:val="18"/>
    </w:rPr>
  </w:style>
  <w:style w:type="paragraph" w:styleId="Index1">
    <w:name w:val="index 1"/>
    <w:basedOn w:val="Normal"/>
    <w:next w:val="Normal"/>
    <w:uiPriority w:val="99"/>
    <w:semiHidden/>
    <w:rsid w:val="001A53BF"/>
    <w:pPr>
      <w:spacing w:after="60" w:line="240" w:lineRule="auto"/>
    </w:pPr>
    <w:rPr>
      <w:sz w:val="16"/>
    </w:rPr>
  </w:style>
  <w:style w:type="paragraph" w:styleId="Index2">
    <w:name w:val="index 2"/>
    <w:basedOn w:val="Normal"/>
    <w:next w:val="Normal"/>
    <w:uiPriority w:val="99"/>
    <w:semiHidden/>
    <w:rsid w:val="001A53BF"/>
    <w:pPr>
      <w:spacing w:after="0" w:line="240" w:lineRule="auto"/>
      <w:ind w:left="216"/>
    </w:pPr>
    <w:rPr>
      <w:sz w:val="16"/>
      <w:szCs w:val="16"/>
    </w:rPr>
  </w:style>
  <w:style w:type="character" w:styleId="Hyperlink">
    <w:name w:val="Hyperlink"/>
    <w:basedOn w:val="DefaultParagraphFont"/>
    <w:uiPriority w:val="99"/>
    <w:rsid w:val="001A53BF"/>
    <w:rPr>
      <w:color w:val="004C97" w:themeColor="accent3"/>
      <w:u w:val="none"/>
    </w:rPr>
  </w:style>
  <w:style w:type="character" w:customStyle="1" w:styleId="Heading1Char">
    <w:name w:val="Heading 1 Char"/>
    <w:basedOn w:val="DefaultParagraphFont"/>
    <w:link w:val="Heading1"/>
    <w:rsid w:val="00225455"/>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585742"/>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2B45C2"/>
    <w:pPr>
      <w:keepLines/>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1A53BF"/>
    <w:pPr>
      <w:numPr>
        <w:ilvl w:val="1"/>
      </w:numPr>
    </w:pPr>
  </w:style>
  <w:style w:type="paragraph" w:customStyle="1" w:styleId="Bulletindent">
    <w:name w:val="Bullet indent"/>
    <w:basedOn w:val="Bullet2"/>
    <w:uiPriority w:val="9"/>
    <w:qFormat/>
    <w:rsid w:val="00B9748F"/>
    <w:pPr>
      <w:numPr>
        <w:ilvl w:val="2"/>
      </w:numPr>
      <w:tabs>
        <w:tab w:val="clear" w:pos="1152"/>
      </w:tabs>
      <w:spacing w:line="264" w:lineRule="auto"/>
      <w:ind w:left="1080" w:hanging="288"/>
    </w:pPr>
  </w:style>
  <w:style w:type="paragraph" w:customStyle="1" w:styleId="Heading1numbered">
    <w:name w:val="Heading 1 numbered"/>
    <w:basedOn w:val="Heading1"/>
    <w:next w:val="NormalIndent"/>
    <w:uiPriority w:val="8"/>
    <w:qFormat/>
    <w:rsid w:val="001A53BF"/>
    <w:pPr>
      <w:numPr>
        <w:ilvl w:val="2"/>
        <w:numId w:val="3"/>
      </w:numPr>
    </w:pPr>
  </w:style>
  <w:style w:type="paragraph" w:customStyle="1" w:styleId="Heading2numbered">
    <w:name w:val="Heading 2 numbered"/>
    <w:basedOn w:val="Heading2"/>
    <w:next w:val="NormalIndent"/>
    <w:uiPriority w:val="8"/>
    <w:qFormat/>
    <w:rsid w:val="001A53BF"/>
    <w:pPr>
      <w:numPr>
        <w:ilvl w:val="3"/>
        <w:numId w:val="3"/>
      </w:numPr>
    </w:pPr>
  </w:style>
  <w:style w:type="paragraph" w:customStyle="1" w:styleId="Heading3numbered">
    <w:name w:val="Heading 3 numbered"/>
    <w:basedOn w:val="Heading3"/>
    <w:next w:val="NormalIndent"/>
    <w:uiPriority w:val="8"/>
    <w:qFormat/>
    <w:rsid w:val="001A53BF"/>
    <w:pPr>
      <w:numPr>
        <w:ilvl w:val="4"/>
        <w:numId w:val="3"/>
      </w:numPr>
    </w:pPr>
  </w:style>
  <w:style w:type="character" w:customStyle="1" w:styleId="Heading3Char">
    <w:name w:val="Heading 3 Char"/>
    <w:basedOn w:val="DefaultParagraphFont"/>
    <w:link w:val="Heading3"/>
    <w:rsid w:val="00585742"/>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semiHidden/>
    <w:qFormat/>
    <w:rsid w:val="001A53BF"/>
    <w:pPr>
      <w:numPr>
        <w:ilvl w:val="5"/>
        <w:numId w:val="3"/>
      </w:numPr>
    </w:pPr>
  </w:style>
  <w:style w:type="character" w:customStyle="1" w:styleId="Heading4Char">
    <w:name w:val="Heading 4 Char"/>
    <w:basedOn w:val="DefaultParagraphFont"/>
    <w:link w:val="Heading4"/>
    <w:rsid w:val="002810B1"/>
    <w:rPr>
      <w:rFonts w:asciiTheme="majorHAnsi" w:eastAsiaTheme="majorEastAsia" w:hAnsiTheme="majorHAnsi" w:cstheme="majorBidi"/>
      <w:bCs/>
      <w:iCs/>
      <w:color w:val="3A3467" w:themeColor="text2"/>
      <w:sz w:val="24"/>
      <w:szCs w:val="21"/>
    </w:rPr>
  </w:style>
  <w:style w:type="paragraph" w:styleId="NormalIndent">
    <w:name w:val="Normal Indent"/>
    <w:basedOn w:val="Normal"/>
    <w:uiPriority w:val="9"/>
    <w:qFormat/>
    <w:rsid w:val="001A53BF"/>
    <w:pPr>
      <w:ind w:left="792"/>
    </w:pPr>
  </w:style>
  <w:style w:type="paragraph" w:customStyle="1" w:styleId="NoteNormal">
    <w:name w:val="Note Normal"/>
    <w:basedOn w:val="Normal"/>
    <w:rsid w:val="001A53BF"/>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A53B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1A53BF"/>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1A53BF"/>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1A53B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490776"/>
    <w:pPr>
      <w:spacing w:before="200" w:after="0" w:line="216" w:lineRule="auto"/>
      <w:ind w:right="389"/>
    </w:pPr>
    <w:rPr>
      <w:rFonts w:asciiTheme="majorHAnsi" w:eastAsia="Times New Roman" w:hAnsiTheme="majorHAnsi" w:cstheme="majorHAnsi"/>
      <w:color w:val="3A3467" w:themeColor="text2"/>
      <w:sz w:val="44"/>
      <w:szCs w:val="48"/>
    </w:rPr>
  </w:style>
  <w:style w:type="character" w:customStyle="1" w:styleId="TitleChar">
    <w:name w:val="Title Char"/>
    <w:basedOn w:val="DefaultParagraphFont"/>
    <w:link w:val="Title"/>
    <w:uiPriority w:val="44"/>
    <w:rsid w:val="00490776"/>
    <w:rPr>
      <w:rFonts w:asciiTheme="majorHAnsi" w:eastAsia="Times New Roman" w:hAnsiTheme="majorHAnsi" w:cstheme="majorHAnsi"/>
      <w:color w:val="3A3467" w:themeColor="text2"/>
      <w:sz w:val="44"/>
      <w:szCs w:val="48"/>
    </w:rPr>
  </w:style>
  <w:style w:type="paragraph" w:styleId="BalloonText">
    <w:name w:val="Balloon Text"/>
    <w:basedOn w:val="Normal"/>
    <w:link w:val="BalloonTextChar"/>
    <w:uiPriority w:val="99"/>
    <w:semiHidden/>
    <w:rsid w:val="001A5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3BF"/>
    <w:rPr>
      <w:rFonts w:ascii="Tahoma" w:hAnsi="Tahoma" w:cs="Tahoma"/>
      <w:color w:val="232B39" w:themeColor="text1"/>
      <w:sz w:val="16"/>
      <w:szCs w:val="16"/>
    </w:rPr>
  </w:style>
  <w:style w:type="paragraph" w:customStyle="1" w:styleId="Bulletindent2">
    <w:name w:val="Bullet indent 2"/>
    <w:basedOn w:val="Normal"/>
    <w:uiPriority w:val="9"/>
    <w:qFormat/>
    <w:rsid w:val="001A53BF"/>
    <w:pPr>
      <w:numPr>
        <w:ilvl w:val="3"/>
        <w:numId w:val="1"/>
      </w:numPr>
      <w:contextualSpacing/>
    </w:pPr>
  </w:style>
  <w:style w:type="paragraph" w:styleId="IndexHeading">
    <w:name w:val="index heading"/>
    <w:basedOn w:val="Normal"/>
    <w:next w:val="Index1"/>
    <w:uiPriority w:val="99"/>
    <w:semiHidden/>
    <w:rsid w:val="001A53BF"/>
    <w:rPr>
      <w:rFonts w:asciiTheme="majorHAnsi" w:eastAsiaTheme="majorEastAsia" w:hAnsiTheme="majorHAnsi" w:cstheme="majorBidi"/>
      <w:b/>
      <w:bCs/>
    </w:rPr>
  </w:style>
  <w:style w:type="paragraph" w:styleId="Header">
    <w:name w:val="header"/>
    <w:basedOn w:val="Normal"/>
    <w:link w:val="HeaderChar"/>
    <w:uiPriority w:val="99"/>
    <w:semiHidden/>
    <w:rsid w:val="001A53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A53BF"/>
    <w:rPr>
      <w:color w:val="232B39" w:themeColor="text1"/>
    </w:rPr>
  </w:style>
  <w:style w:type="paragraph" w:styleId="Footer">
    <w:name w:val="footer"/>
    <w:basedOn w:val="Normal"/>
    <w:link w:val="FooterChar"/>
    <w:uiPriority w:val="99"/>
    <w:semiHidden/>
    <w:rsid w:val="001A53BF"/>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1A53BF"/>
    <w:rPr>
      <w:noProof/>
      <w:color w:val="232B39" w:themeColor="text1"/>
      <w:sz w:val="18"/>
      <w:szCs w:val="18"/>
    </w:rPr>
  </w:style>
  <w:style w:type="character" w:styleId="PageNumber">
    <w:name w:val="page number"/>
    <w:uiPriority w:val="49"/>
    <w:semiHidden/>
    <w:rsid w:val="001A53BF"/>
    <w:rPr>
      <w:rFonts w:asciiTheme="minorHAnsi" w:hAnsiTheme="minorHAnsi"/>
      <w:b w:val="0"/>
      <w:color w:val="232B39" w:themeColor="text1"/>
    </w:rPr>
  </w:style>
  <w:style w:type="paragraph" w:styleId="TOCHeading">
    <w:name w:val="TOC Heading"/>
    <w:basedOn w:val="Heading1"/>
    <w:next w:val="Normal"/>
    <w:uiPriority w:val="38"/>
    <w:rsid w:val="008754BA"/>
    <w:pPr>
      <w:spacing w:before="440" w:after="440" w:line="276" w:lineRule="auto"/>
      <w:outlineLvl w:val="9"/>
    </w:pPr>
    <w:rPr>
      <w:spacing w:val="2"/>
    </w:rPr>
  </w:style>
  <w:style w:type="paragraph" w:customStyle="1" w:styleId="NormalTight">
    <w:name w:val="Normal Tight"/>
    <w:uiPriority w:val="99"/>
    <w:semiHidden/>
    <w:rsid w:val="001A53B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1A53B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1A53B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1A53BF"/>
    <w:pPr>
      <w:spacing w:before="3800"/>
      <w:ind w:right="1382"/>
    </w:pPr>
  </w:style>
  <w:style w:type="paragraph" w:styleId="TOC4">
    <w:name w:val="toc 4"/>
    <w:basedOn w:val="TOC1"/>
    <w:next w:val="Normal"/>
    <w:uiPriority w:val="39"/>
    <w:semiHidden/>
    <w:rsid w:val="001A53BF"/>
    <w:pPr>
      <w:spacing w:before="280"/>
      <w:ind w:left="446" w:hanging="446"/>
    </w:pPr>
    <w:rPr>
      <w:noProof/>
      <w:lang w:eastAsia="en-US"/>
    </w:rPr>
  </w:style>
  <w:style w:type="paragraph" w:styleId="TOC5">
    <w:name w:val="toc 5"/>
    <w:basedOn w:val="TOC2"/>
    <w:next w:val="Normal"/>
    <w:uiPriority w:val="39"/>
    <w:semiHidden/>
    <w:rsid w:val="001A53BF"/>
    <w:pPr>
      <w:ind w:left="1080" w:hanging="634"/>
    </w:pPr>
    <w:rPr>
      <w:lang w:eastAsia="en-US"/>
    </w:rPr>
  </w:style>
  <w:style w:type="paragraph" w:styleId="TOC6">
    <w:name w:val="toc 6"/>
    <w:basedOn w:val="TOC3"/>
    <w:next w:val="Normal"/>
    <w:uiPriority w:val="39"/>
    <w:semiHidden/>
    <w:rsid w:val="001A53BF"/>
    <w:pPr>
      <w:ind w:left="1800" w:hanging="720"/>
    </w:pPr>
    <w:rPr>
      <w:lang w:eastAsia="en-US"/>
    </w:rPr>
  </w:style>
  <w:style w:type="table" w:customStyle="1" w:styleId="DTFtexttable">
    <w:name w:val="DTF text table"/>
    <w:basedOn w:val="TableNormal"/>
    <w:uiPriority w:val="99"/>
    <w:rsid w:val="001A53BF"/>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1A53B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1A53BF"/>
    <w:pPr>
      <w:spacing w:before="60" w:after="60"/>
    </w:pPr>
    <w:rPr>
      <w:sz w:val="17"/>
    </w:rPr>
  </w:style>
  <w:style w:type="paragraph" w:customStyle="1" w:styleId="Tabletextright">
    <w:name w:val="Table text right"/>
    <w:basedOn w:val="Tabletext"/>
    <w:uiPriority w:val="5"/>
    <w:qFormat/>
    <w:rsid w:val="001A53BF"/>
    <w:pPr>
      <w:jc w:val="right"/>
    </w:pPr>
  </w:style>
  <w:style w:type="paragraph" w:customStyle="1" w:styleId="Listnumindent2">
    <w:name w:val="List num indent 2"/>
    <w:basedOn w:val="Normal"/>
    <w:uiPriority w:val="9"/>
    <w:qFormat/>
    <w:rsid w:val="001A53BF"/>
    <w:pPr>
      <w:numPr>
        <w:ilvl w:val="7"/>
        <w:numId w:val="3"/>
      </w:numPr>
      <w:spacing w:before="100"/>
      <w:contextualSpacing/>
    </w:pPr>
  </w:style>
  <w:style w:type="paragraph" w:customStyle="1" w:styleId="Listnumindent">
    <w:name w:val="List num indent"/>
    <w:basedOn w:val="Normal"/>
    <w:uiPriority w:val="9"/>
    <w:qFormat/>
    <w:rsid w:val="001A53BF"/>
    <w:pPr>
      <w:numPr>
        <w:ilvl w:val="6"/>
        <w:numId w:val="3"/>
      </w:numPr>
      <w:spacing w:before="100"/>
    </w:pPr>
  </w:style>
  <w:style w:type="paragraph" w:customStyle="1" w:styleId="Listnum">
    <w:name w:val="List num"/>
    <w:basedOn w:val="Normal"/>
    <w:uiPriority w:val="2"/>
    <w:qFormat/>
    <w:rsid w:val="001A53BF"/>
    <w:pPr>
      <w:numPr>
        <w:numId w:val="3"/>
      </w:numPr>
    </w:pPr>
  </w:style>
  <w:style w:type="paragraph" w:customStyle="1" w:styleId="Listnum2">
    <w:name w:val="List num 2"/>
    <w:basedOn w:val="Normal"/>
    <w:uiPriority w:val="2"/>
    <w:qFormat/>
    <w:rsid w:val="001A53BF"/>
    <w:pPr>
      <w:numPr>
        <w:ilvl w:val="1"/>
        <w:numId w:val="3"/>
      </w:numPr>
    </w:pPr>
  </w:style>
  <w:style w:type="paragraph" w:customStyle="1" w:styleId="Tabletextcentred">
    <w:name w:val="Table text centred"/>
    <w:basedOn w:val="Tabletext"/>
    <w:uiPriority w:val="5"/>
    <w:qFormat/>
    <w:rsid w:val="001A53BF"/>
    <w:pPr>
      <w:jc w:val="center"/>
    </w:pPr>
  </w:style>
  <w:style w:type="paragraph" w:customStyle="1" w:styleId="Tableheader">
    <w:name w:val="Table header"/>
    <w:basedOn w:val="Tabletext"/>
    <w:uiPriority w:val="5"/>
    <w:qFormat/>
    <w:rsid w:val="001A53B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1A53BF"/>
    <w:pPr>
      <w:numPr>
        <w:numId w:val="4"/>
      </w:numPr>
    </w:pPr>
  </w:style>
  <w:style w:type="paragraph" w:customStyle="1" w:styleId="Tabledash">
    <w:name w:val="Table dash"/>
    <w:basedOn w:val="Tablebullet"/>
    <w:uiPriority w:val="6"/>
    <w:rsid w:val="001A53BF"/>
    <w:pPr>
      <w:numPr>
        <w:ilvl w:val="1"/>
      </w:numPr>
    </w:pPr>
  </w:style>
  <w:style w:type="paragraph" w:customStyle="1" w:styleId="Numpara">
    <w:name w:val="Num para"/>
    <w:basedOn w:val="ListParagraph"/>
    <w:uiPriority w:val="2"/>
    <w:qFormat/>
    <w:rsid w:val="001A53BF"/>
    <w:pPr>
      <w:numPr>
        <w:numId w:val="2"/>
      </w:numPr>
      <w:tabs>
        <w:tab w:val="left" w:pos="540"/>
      </w:tabs>
    </w:pPr>
  </w:style>
  <w:style w:type="paragraph" w:styleId="ListParagraph">
    <w:name w:val="List Paragraph"/>
    <w:basedOn w:val="Normal"/>
    <w:uiPriority w:val="34"/>
    <w:qFormat/>
    <w:rsid w:val="001A53BF"/>
    <w:pPr>
      <w:ind w:left="720"/>
      <w:contextualSpacing/>
    </w:pPr>
  </w:style>
  <w:style w:type="paragraph" w:styleId="FootnoteText">
    <w:name w:val="footnote text"/>
    <w:basedOn w:val="Normal"/>
    <w:link w:val="FootnoteTextChar"/>
    <w:uiPriority w:val="99"/>
    <w:semiHidden/>
    <w:rsid w:val="001A53BF"/>
    <w:pPr>
      <w:spacing w:before="0" w:after="0" w:line="240" w:lineRule="auto"/>
    </w:pPr>
    <w:rPr>
      <w:sz w:val="17"/>
    </w:rPr>
  </w:style>
  <w:style w:type="character" w:customStyle="1" w:styleId="FootnoteTextChar">
    <w:name w:val="Footnote Text Char"/>
    <w:basedOn w:val="DefaultParagraphFont"/>
    <w:link w:val="FootnoteText"/>
    <w:uiPriority w:val="99"/>
    <w:semiHidden/>
    <w:rsid w:val="001A53BF"/>
    <w:rPr>
      <w:color w:val="232B39" w:themeColor="text1"/>
      <w:sz w:val="17"/>
    </w:rPr>
  </w:style>
  <w:style w:type="character" w:styleId="FootnoteReference">
    <w:name w:val="footnote reference"/>
    <w:basedOn w:val="DefaultParagraphFont"/>
    <w:uiPriority w:val="99"/>
    <w:semiHidden/>
    <w:rsid w:val="001A53BF"/>
    <w:rPr>
      <w:vertAlign w:val="superscript"/>
    </w:rPr>
  </w:style>
  <w:style w:type="paragraph" w:customStyle="1" w:styleId="Numparaindent">
    <w:name w:val="Num para indent"/>
    <w:basedOn w:val="Numpara"/>
    <w:uiPriority w:val="9"/>
    <w:qFormat/>
    <w:rsid w:val="001A53BF"/>
    <w:pPr>
      <w:numPr>
        <w:ilvl w:val="8"/>
        <w:numId w:val="3"/>
      </w:numPr>
      <w:tabs>
        <w:tab w:val="clear" w:pos="540"/>
      </w:tabs>
    </w:pPr>
  </w:style>
  <w:style w:type="paragraph" w:customStyle="1" w:styleId="Tablenum1">
    <w:name w:val="Table num 1"/>
    <w:basedOn w:val="Normal"/>
    <w:uiPriority w:val="6"/>
    <w:rsid w:val="001A53BF"/>
    <w:pPr>
      <w:numPr>
        <w:ilvl w:val="2"/>
        <w:numId w:val="4"/>
      </w:numPr>
      <w:spacing w:before="60" w:after="60"/>
    </w:pPr>
    <w:rPr>
      <w:sz w:val="17"/>
    </w:rPr>
  </w:style>
  <w:style w:type="paragraph" w:customStyle="1" w:styleId="Tablenum2">
    <w:name w:val="Table num 2"/>
    <w:basedOn w:val="Normal"/>
    <w:uiPriority w:val="6"/>
    <w:rsid w:val="001A53BF"/>
    <w:pPr>
      <w:numPr>
        <w:ilvl w:val="3"/>
        <w:numId w:val="4"/>
      </w:numPr>
      <w:spacing w:before="60" w:after="60"/>
    </w:pPr>
    <w:rPr>
      <w:sz w:val="17"/>
    </w:rPr>
  </w:style>
  <w:style w:type="paragraph" w:customStyle="1" w:styleId="NoteNormalindent">
    <w:name w:val="Note Normal indent"/>
    <w:basedOn w:val="NoteNormal"/>
    <w:uiPriority w:val="9"/>
    <w:rsid w:val="001A53BF"/>
    <w:pPr>
      <w:ind w:left="792"/>
    </w:pPr>
  </w:style>
  <w:style w:type="paragraph" w:styleId="Caption">
    <w:name w:val="caption"/>
    <w:basedOn w:val="Normal"/>
    <w:next w:val="Normal"/>
    <w:uiPriority w:val="5"/>
    <w:rsid w:val="002B45C2"/>
    <w:pPr>
      <w:spacing w:before="200" w:after="60" w:line="240" w:lineRule="auto"/>
    </w:pPr>
    <w:rPr>
      <w:rFonts w:asciiTheme="majorHAnsi" w:hAnsiTheme="majorHAnsi"/>
      <w:bCs/>
      <w:color w:val="3A3467" w:themeColor="text2"/>
      <w:sz w:val="18"/>
      <w:szCs w:val="18"/>
    </w:rPr>
  </w:style>
  <w:style w:type="paragraph" w:customStyle="1" w:styleId="CM">
    <w:name w:val="CM"/>
    <w:next w:val="Normal"/>
    <w:uiPriority w:val="79"/>
    <w:rsid w:val="001A53BF"/>
    <w:pPr>
      <w:spacing w:after="800" w:line="240" w:lineRule="auto"/>
      <w:ind w:right="2909"/>
    </w:pPr>
    <w:rPr>
      <w:caps/>
    </w:rPr>
  </w:style>
  <w:style w:type="paragraph" w:customStyle="1" w:styleId="CoverSpacer">
    <w:name w:val="CoverSpacer"/>
    <w:basedOn w:val="Normal"/>
    <w:semiHidden/>
    <w:qFormat/>
    <w:rsid w:val="001A53BF"/>
    <w:pPr>
      <w:spacing w:before="4600" w:after="0"/>
    </w:pPr>
  </w:style>
  <w:style w:type="character" w:styleId="FollowedHyperlink">
    <w:name w:val="FollowedHyperlink"/>
    <w:basedOn w:val="DefaultParagraphFont"/>
    <w:uiPriority w:val="99"/>
    <w:semiHidden/>
    <w:rsid w:val="001A53BF"/>
    <w:rPr>
      <w:color w:val="808080" w:themeColor="background1" w:themeShade="80"/>
      <w:u w:val="none"/>
    </w:rPr>
  </w:style>
  <w:style w:type="character" w:customStyle="1" w:styleId="Heading5Char">
    <w:name w:val="Heading 5 Char"/>
    <w:basedOn w:val="DefaultParagraphFont"/>
    <w:link w:val="Heading5"/>
    <w:semiHidden/>
    <w:rsid w:val="001A53BF"/>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1A53BF"/>
    <w:rPr>
      <w:color w:val="808080"/>
    </w:rPr>
  </w:style>
  <w:style w:type="table" w:styleId="PlainTable4">
    <w:name w:val="Plain Table 4"/>
    <w:basedOn w:val="TableNormal"/>
    <w:uiPriority w:val="44"/>
    <w:rsid w:val="001A53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85742"/>
    <w:pPr>
      <w:pBdr>
        <w:top w:val="single" w:sz="12" w:space="6" w:color="C2EBFA" w:themeColor="background2"/>
        <w:bottom w:val="single" w:sz="12" w:space="4" w:color="C2EBFA" w:themeColor="background2"/>
      </w:pBdr>
      <w:tabs>
        <w:tab w:val="right" w:pos="8162"/>
      </w:tabs>
      <w:spacing w:before="200" w:after="200"/>
      <w:ind w:left="288" w:right="360"/>
    </w:pPr>
    <w:rPr>
      <w:i/>
      <w:iCs/>
      <w:color w:val="4B5B79" w:themeColor="text1" w:themeTint="BF"/>
      <w:sz w:val="18"/>
      <w:szCs w:val="18"/>
    </w:rPr>
  </w:style>
  <w:style w:type="character" w:customStyle="1" w:styleId="QuoteChar">
    <w:name w:val="Quote Char"/>
    <w:basedOn w:val="DefaultParagraphFont"/>
    <w:link w:val="Quote"/>
    <w:uiPriority w:val="14"/>
    <w:rsid w:val="00585742"/>
    <w:rPr>
      <w:i/>
      <w:iCs/>
      <w:color w:val="4B5B79" w:themeColor="text1" w:themeTint="BF"/>
      <w:sz w:val="18"/>
      <w:szCs w:val="18"/>
    </w:rPr>
  </w:style>
  <w:style w:type="paragraph" w:customStyle="1" w:styleId="ReportDate">
    <w:name w:val="ReportDate"/>
    <w:uiPriority w:val="79"/>
    <w:semiHidden/>
    <w:rsid w:val="001A53BF"/>
    <w:pPr>
      <w:spacing w:after="0" w:line="240" w:lineRule="auto"/>
      <w:ind w:right="2909"/>
    </w:pPr>
    <w:rPr>
      <w:b/>
      <w:bCs/>
      <w:caps/>
    </w:rPr>
  </w:style>
  <w:style w:type="character" w:styleId="UnresolvedMention">
    <w:name w:val="Unresolved Mention"/>
    <w:basedOn w:val="DefaultParagraphFont"/>
    <w:uiPriority w:val="99"/>
    <w:semiHidden/>
    <w:rsid w:val="001A53BF"/>
    <w:rPr>
      <w:color w:val="605E5C"/>
      <w:shd w:val="clear" w:color="auto" w:fill="E1DFDD"/>
    </w:rPr>
  </w:style>
  <w:style w:type="character" w:styleId="CommentReference">
    <w:name w:val="annotation reference"/>
    <w:basedOn w:val="DefaultParagraphFont"/>
    <w:uiPriority w:val="99"/>
    <w:semiHidden/>
    <w:unhideWhenUsed/>
    <w:rsid w:val="00421971"/>
    <w:rPr>
      <w:sz w:val="16"/>
      <w:szCs w:val="16"/>
    </w:rPr>
  </w:style>
  <w:style w:type="paragraph" w:styleId="CommentText">
    <w:name w:val="annotation text"/>
    <w:basedOn w:val="Normal"/>
    <w:link w:val="CommentTextChar"/>
    <w:uiPriority w:val="99"/>
    <w:unhideWhenUsed/>
    <w:rsid w:val="00421971"/>
    <w:pPr>
      <w:spacing w:line="240" w:lineRule="auto"/>
    </w:pPr>
  </w:style>
  <w:style w:type="character" w:customStyle="1" w:styleId="CommentTextChar">
    <w:name w:val="Comment Text Char"/>
    <w:basedOn w:val="DefaultParagraphFont"/>
    <w:link w:val="CommentText"/>
    <w:uiPriority w:val="99"/>
    <w:rsid w:val="00421971"/>
    <w:rPr>
      <w:color w:val="232B39" w:themeColor="text1"/>
    </w:rPr>
  </w:style>
  <w:style w:type="paragraph" w:styleId="CommentSubject">
    <w:name w:val="annotation subject"/>
    <w:basedOn w:val="CommentText"/>
    <w:next w:val="CommentText"/>
    <w:link w:val="CommentSubjectChar"/>
    <w:uiPriority w:val="99"/>
    <w:semiHidden/>
    <w:unhideWhenUsed/>
    <w:rsid w:val="00421971"/>
    <w:rPr>
      <w:b/>
      <w:bCs/>
    </w:rPr>
  </w:style>
  <w:style w:type="character" w:customStyle="1" w:styleId="CommentSubjectChar">
    <w:name w:val="Comment Subject Char"/>
    <w:basedOn w:val="CommentTextChar"/>
    <w:link w:val="CommentSubject"/>
    <w:uiPriority w:val="99"/>
    <w:semiHidden/>
    <w:rsid w:val="00421971"/>
    <w:rPr>
      <w:b/>
      <w:bCs/>
      <w:color w:val="232B39" w:themeColor="text1"/>
    </w:rPr>
  </w:style>
  <w:style w:type="paragraph" w:customStyle="1" w:styleId="Listnum3">
    <w:name w:val="List num 3"/>
    <w:basedOn w:val="Normal"/>
    <w:rsid w:val="00421971"/>
    <w:pPr>
      <w:keepLines w:val="0"/>
      <w:tabs>
        <w:tab w:val="num" w:pos="1512"/>
      </w:tabs>
      <w:spacing w:before="0" w:after="0" w:line="240" w:lineRule="auto"/>
      <w:ind w:left="1512" w:hanging="504"/>
    </w:pPr>
    <w:rPr>
      <w:rFonts w:eastAsia="Times New Roman" w:cs="Times New Roman"/>
      <w:spacing w:val="2"/>
      <w:lang w:eastAsia="en-US"/>
    </w:rPr>
  </w:style>
  <w:style w:type="paragraph" w:styleId="Revision">
    <w:name w:val="Revision"/>
    <w:hidden/>
    <w:uiPriority w:val="99"/>
    <w:semiHidden/>
    <w:rsid w:val="00D40EC3"/>
    <w:pPr>
      <w:spacing w:after="0" w:line="240" w:lineRule="auto"/>
    </w:pPr>
    <w:rPr>
      <w:color w:val="232B39" w:themeColor="text1"/>
      <w:sz w:val="18"/>
    </w:rPr>
  </w:style>
  <w:style w:type="character" w:styleId="Mention">
    <w:name w:val="Mention"/>
    <w:basedOn w:val="DefaultParagraphFont"/>
    <w:uiPriority w:val="99"/>
    <w:unhideWhenUsed/>
    <w:rsid w:val="002A2C47"/>
    <w:rPr>
      <w:color w:val="2B579A"/>
      <w:shd w:val="clear" w:color="auto" w:fill="E1DFDD"/>
    </w:rPr>
  </w:style>
  <w:style w:type="paragraph" w:customStyle="1" w:styleId="Tabletextindent">
    <w:name w:val="Table text indent"/>
    <w:basedOn w:val="Tabletext"/>
    <w:uiPriority w:val="5"/>
    <w:qFormat/>
    <w:rsid w:val="001A53BF"/>
    <w:pPr>
      <w:ind w:left="288"/>
    </w:pPr>
  </w:style>
  <w:style w:type="table" w:customStyle="1" w:styleId="DTFfinancialtableindent">
    <w:name w:val="DTF financial table indent"/>
    <w:basedOn w:val="DTFfinancialtable"/>
    <w:uiPriority w:val="99"/>
    <w:rsid w:val="001A53BF"/>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1A53B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Captionindent">
    <w:name w:val="Caption indent"/>
    <w:basedOn w:val="Caption"/>
    <w:uiPriority w:val="7"/>
    <w:qFormat/>
    <w:rsid w:val="001A53BF"/>
    <w:pPr>
      <w:spacing w:before="240"/>
      <w:ind w:left="79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01484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59416772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dtf.vic.gov.au/financial-management-government/standing-directions-2018-under-financial-management-act-1994"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dtf.vic.gov.au/Investment-Planning-and-Evaluation/Understanding-investment-planning-and-review/What-is-asset-managemen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mailto:standing.directions@dtf.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tf.vic.gov.au/Publications/Victoria-Economy-publications/Victorian-risk-management-framework-and-insurance-management-poli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dtf.vic.gov.au/files/0b43b325-68cc-4285-9055-a5a6010a5a01/Standing-Directions-Instructions-2016.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_dlc_DocId xmlns="b6e3d215-38fc-4294-ac6f-e1813d9666dd">63PAK4U6Z4MQ-1289146740-75144</_dlc_DocId>
    <_dlc_DocIdUrl xmlns="b6e3d215-38fc-4294-ac6f-e1813d9666dd">
      <Url>https://vicgov.sharepoint.com/sites/DTFStrategicCommunications/_layouts/15/DocIdRedir.aspx?ID=63PAK4U6Z4MQ-1289146740-75144</Url>
      <Description>63PAK4U6Z4MQ-1289146740-75144</Description>
    </_dlc_DocIdUrl>
    <lcf76f155ced4ddcb4097134ff3c332f xmlns="e1efcbdc-f8f0-4bac-929e-ffe707bb63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3465CB8-5BF3-40EF-B2D9-CAE10790BEEA}">
  <ds:schemaRefs>
    <ds:schemaRef ds:uri="http://schemas.microsoft.com/sharepoint/v3/contenttype/forms"/>
  </ds:schemaRefs>
</ds:datastoreItem>
</file>

<file path=customXml/itemProps2.xml><?xml version="1.0" encoding="utf-8"?>
<ds:datastoreItem xmlns:ds="http://schemas.openxmlformats.org/officeDocument/2006/customXml" ds:itemID="{A39E3F53-E2BD-4AAD-A7B9-242451AD59F5}">
  <ds:schemaRefs>
    <ds:schemaRef ds:uri="http://schemas.microsoft.com/sharepoint/events"/>
  </ds:schemaRefs>
</ds:datastoreItem>
</file>

<file path=customXml/itemProps3.xml><?xml version="1.0" encoding="utf-8"?>
<ds:datastoreItem xmlns:ds="http://schemas.openxmlformats.org/officeDocument/2006/customXml" ds:itemID="{84871740-C8C6-4852-89FA-0F9B30A2BD09}">
  <ds:schemaRefs>
    <ds:schemaRef ds:uri="http://schemas.microsoft.com/office/2006/metadata/properties"/>
    <ds:schemaRef ds:uri="b6e3d215-38fc-4294-ac6f-e1813d9666dd"/>
    <ds:schemaRef ds:uri="http://schemas.microsoft.com/office/infopath/2007/PartnerControls"/>
    <ds:schemaRef ds:uri="e1efcbdc-f8f0-4bac-929e-ffe707bb6387"/>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CED503A-EBBA-4DB8-8017-971DD8A82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6.xml><?xml version="1.0" encoding="utf-8"?>
<ds:datastoreItem xmlns:ds="http://schemas.openxmlformats.org/officeDocument/2006/customXml" ds:itemID="{B3144809-0950-4AC2-89BA-6AEF4E75077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4419</Words>
  <Characters>25866</Characters>
  <Application>Microsoft Office Word</Application>
  <DocSecurity>0</DocSecurity>
  <Lines>861</Lines>
  <Paragraphs>245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30115</CharactersWithSpaces>
  <SharedDoc>false</SharedDoc>
  <HLinks>
    <vt:vector size="132" baseType="variant">
      <vt:variant>
        <vt:i4>5701680</vt:i4>
      </vt:variant>
      <vt:variant>
        <vt:i4>117</vt:i4>
      </vt:variant>
      <vt:variant>
        <vt:i4>0</vt:i4>
      </vt:variant>
      <vt:variant>
        <vt:i4>5</vt:i4>
      </vt:variant>
      <vt:variant>
        <vt:lpwstr>mailto:standing.directions@dtf.vic.gov.au</vt:lpwstr>
      </vt:variant>
      <vt:variant>
        <vt:lpwstr/>
      </vt:variant>
      <vt:variant>
        <vt:i4>7012458</vt:i4>
      </vt:variant>
      <vt:variant>
        <vt:i4>114</vt:i4>
      </vt:variant>
      <vt:variant>
        <vt:i4>0</vt:i4>
      </vt:variant>
      <vt:variant>
        <vt:i4>5</vt:i4>
      </vt:variant>
      <vt:variant>
        <vt:lpwstr>http://www.dtf.vic.gov.au/Investment-Planning-and-Evaluation/Understanding-investment-planning-and-review/What-is-asset-management</vt:lpwstr>
      </vt:variant>
      <vt:variant>
        <vt:lpwstr/>
      </vt:variant>
      <vt:variant>
        <vt:i4>75</vt:i4>
      </vt:variant>
      <vt:variant>
        <vt:i4>111</vt:i4>
      </vt:variant>
      <vt:variant>
        <vt:i4>0</vt:i4>
      </vt:variant>
      <vt:variant>
        <vt:i4>5</vt:i4>
      </vt:variant>
      <vt:variant>
        <vt:lpwstr>http://www.dtf.vic.gov.au/Publications/Victoria-Economy-publications/Victorian-risk-management-framework-and-insurance-management-policy</vt:lpwstr>
      </vt:variant>
      <vt:variant>
        <vt:lpwstr/>
      </vt:variant>
      <vt:variant>
        <vt:i4>5177373</vt:i4>
      </vt:variant>
      <vt:variant>
        <vt:i4>108</vt:i4>
      </vt:variant>
      <vt:variant>
        <vt:i4>0</vt:i4>
      </vt:variant>
      <vt:variant>
        <vt:i4>5</vt:i4>
      </vt:variant>
      <vt:variant>
        <vt:lpwstr>http://www.dtf.vic.gov.au/files/0b43b325-68cc-4285-9055-a5a6010a5a01/Standing-Directions-Instructions-2016.docx</vt:lpwstr>
      </vt:variant>
      <vt:variant>
        <vt:lpwstr>Instruction_3_4</vt:lpwstr>
      </vt:variant>
      <vt:variant>
        <vt:i4>2752618</vt:i4>
      </vt:variant>
      <vt:variant>
        <vt:i4>105</vt:i4>
      </vt:variant>
      <vt:variant>
        <vt:i4>0</vt:i4>
      </vt:variant>
      <vt:variant>
        <vt:i4>5</vt:i4>
      </vt:variant>
      <vt:variant>
        <vt:lpwstr>https://www.dtf.vic.gov.au/financial-management-government/standing-directions-2018-under-financial-management-act-1994</vt:lpwstr>
      </vt:variant>
      <vt:variant>
        <vt:lpwstr/>
      </vt:variant>
      <vt:variant>
        <vt:i4>1638448</vt:i4>
      </vt:variant>
      <vt:variant>
        <vt:i4>98</vt:i4>
      </vt:variant>
      <vt:variant>
        <vt:i4>0</vt:i4>
      </vt:variant>
      <vt:variant>
        <vt:i4>5</vt:i4>
      </vt:variant>
      <vt:variant>
        <vt:lpwstr/>
      </vt:variant>
      <vt:variant>
        <vt:lpwstr>_Toc205977003</vt:lpwstr>
      </vt:variant>
      <vt:variant>
        <vt:i4>1638448</vt:i4>
      </vt:variant>
      <vt:variant>
        <vt:i4>92</vt:i4>
      </vt:variant>
      <vt:variant>
        <vt:i4>0</vt:i4>
      </vt:variant>
      <vt:variant>
        <vt:i4>5</vt:i4>
      </vt:variant>
      <vt:variant>
        <vt:lpwstr/>
      </vt:variant>
      <vt:variant>
        <vt:lpwstr>_Toc205977002</vt:lpwstr>
      </vt:variant>
      <vt:variant>
        <vt:i4>1638448</vt:i4>
      </vt:variant>
      <vt:variant>
        <vt:i4>86</vt:i4>
      </vt:variant>
      <vt:variant>
        <vt:i4>0</vt:i4>
      </vt:variant>
      <vt:variant>
        <vt:i4>5</vt:i4>
      </vt:variant>
      <vt:variant>
        <vt:lpwstr/>
      </vt:variant>
      <vt:variant>
        <vt:lpwstr>_Toc205977001</vt:lpwstr>
      </vt:variant>
      <vt:variant>
        <vt:i4>1638448</vt:i4>
      </vt:variant>
      <vt:variant>
        <vt:i4>80</vt:i4>
      </vt:variant>
      <vt:variant>
        <vt:i4>0</vt:i4>
      </vt:variant>
      <vt:variant>
        <vt:i4>5</vt:i4>
      </vt:variant>
      <vt:variant>
        <vt:lpwstr/>
      </vt:variant>
      <vt:variant>
        <vt:lpwstr>_Toc205977000</vt:lpwstr>
      </vt:variant>
      <vt:variant>
        <vt:i4>1114169</vt:i4>
      </vt:variant>
      <vt:variant>
        <vt:i4>74</vt:i4>
      </vt:variant>
      <vt:variant>
        <vt:i4>0</vt:i4>
      </vt:variant>
      <vt:variant>
        <vt:i4>5</vt:i4>
      </vt:variant>
      <vt:variant>
        <vt:lpwstr/>
      </vt:variant>
      <vt:variant>
        <vt:lpwstr>_Toc205976999</vt:lpwstr>
      </vt:variant>
      <vt:variant>
        <vt:i4>1114169</vt:i4>
      </vt:variant>
      <vt:variant>
        <vt:i4>68</vt:i4>
      </vt:variant>
      <vt:variant>
        <vt:i4>0</vt:i4>
      </vt:variant>
      <vt:variant>
        <vt:i4>5</vt:i4>
      </vt:variant>
      <vt:variant>
        <vt:lpwstr/>
      </vt:variant>
      <vt:variant>
        <vt:lpwstr>_Toc205976998</vt:lpwstr>
      </vt:variant>
      <vt:variant>
        <vt:i4>1114169</vt:i4>
      </vt:variant>
      <vt:variant>
        <vt:i4>62</vt:i4>
      </vt:variant>
      <vt:variant>
        <vt:i4>0</vt:i4>
      </vt:variant>
      <vt:variant>
        <vt:i4>5</vt:i4>
      </vt:variant>
      <vt:variant>
        <vt:lpwstr/>
      </vt:variant>
      <vt:variant>
        <vt:lpwstr>_Toc205976997</vt:lpwstr>
      </vt:variant>
      <vt:variant>
        <vt:i4>1114169</vt:i4>
      </vt:variant>
      <vt:variant>
        <vt:i4>56</vt:i4>
      </vt:variant>
      <vt:variant>
        <vt:i4>0</vt:i4>
      </vt:variant>
      <vt:variant>
        <vt:i4>5</vt:i4>
      </vt:variant>
      <vt:variant>
        <vt:lpwstr/>
      </vt:variant>
      <vt:variant>
        <vt:lpwstr>_Toc205976996</vt:lpwstr>
      </vt:variant>
      <vt:variant>
        <vt:i4>1114169</vt:i4>
      </vt:variant>
      <vt:variant>
        <vt:i4>50</vt:i4>
      </vt:variant>
      <vt:variant>
        <vt:i4>0</vt:i4>
      </vt:variant>
      <vt:variant>
        <vt:i4>5</vt:i4>
      </vt:variant>
      <vt:variant>
        <vt:lpwstr/>
      </vt:variant>
      <vt:variant>
        <vt:lpwstr>_Toc205976995</vt:lpwstr>
      </vt:variant>
      <vt:variant>
        <vt:i4>1114169</vt:i4>
      </vt:variant>
      <vt:variant>
        <vt:i4>44</vt:i4>
      </vt:variant>
      <vt:variant>
        <vt:i4>0</vt:i4>
      </vt:variant>
      <vt:variant>
        <vt:i4>5</vt:i4>
      </vt:variant>
      <vt:variant>
        <vt:lpwstr/>
      </vt:variant>
      <vt:variant>
        <vt:lpwstr>_Toc205976994</vt:lpwstr>
      </vt:variant>
      <vt:variant>
        <vt:i4>1114169</vt:i4>
      </vt:variant>
      <vt:variant>
        <vt:i4>38</vt:i4>
      </vt:variant>
      <vt:variant>
        <vt:i4>0</vt:i4>
      </vt:variant>
      <vt:variant>
        <vt:i4>5</vt:i4>
      </vt:variant>
      <vt:variant>
        <vt:lpwstr/>
      </vt:variant>
      <vt:variant>
        <vt:lpwstr>_Toc205976993</vt:lpwstr>
      </vt:variant>
      <vt:variant>
        <vt:i4>1114169</vt:i4>
      </vt:variant>
      <vt:variant>
        <vt:i4>32</vt:i4>
      </vt:variant>
      <vt:variant>
        <vt:i4>0</vt:i4>
      </vt:variant>
      <vt:variant>
        <vt:i4>5</vt:i4>
      </vt:variant>
      <vt:variant>
        <vt:lpwstr/>
      </vt:variant>
      <vt:variant>
        <vt:lpwstr>_Toc205976992</vt:lpwstr>
      </vt:variant>
      <vt:variant>
        <vt:i4>1114169</vt:i4>
      </vt:variant>
      <vt:variant>
        <vt:i4>26</vt:i4>
      </vt:variant>
      <vt:variant>
        <vt:i4>0</vt:i4>
      </vt:variant>
      <vt:variant>
        <vt:i4>5</vt:i4>
      </vt:variant>
      <vt:variant>
        <vt:lpwstr/>
      </vt:variant>
      <vt:variant>
        <vt:lpwstr>_Toc205976991</vt:lpwstr>
      </vt:variant>
      <vt:variant>
        <vt:i4>1114169</vt:i4>
      </vt:variant>
      <vt:variant>
        <vt:i4>20</vt:i4>
      </vt:variant>
      <vt:variant>
        <vt:i4>0</vt:i4>
      </vt:variant>
      <vt:variant>
        <vt:i4>5</vt:i4>
      </vt:variant>
      <vt:variant>
        <vt:lpwstr/>
      </vt:variant>
      <vt:variant>
        <vt:lpwstr>_Toc205976990</vt:lpwstr>
      </vt:variant>
      <vt:variant>
        <vt:i4>1048633</vt:i4>
      </vt:variant>
      <vt:variant>
        <vt:i4>14</vt:i4>
      </vt:variant>
      <vt:variant>
        <vt:i4>0</vt:i4>
      </vt:variant>
      <vt:variant>
        <vt:i4>5</vt:i4>
      </vt:variant>
      <vt:variant>
        <vt:lpwstr/>
      </vt:variant>
      <vt:variant>
        <vt:lpwstr>_Toc205976989</vt:lpwstr>
      </vt:variant>
      <vt:variant>
        <vt:i4>1048633</vt:i4>
      </vt:variant>
      <vt:variant>
        <vt:i4>8</vt:i4>
      </vt:variant>
      <vt:variant>
        <vt:i4>0</vt:i4>
      </vt:variant>
      <vt:variant>
        <vt:i4>5</vt:i4>
      </vt:variant>
      <vt:variant>
        <vt:lpwstr/>
      </vt:variant>
      <vt:variant>
        <vt:lpwstr>_Toc205976988</vt:lpwstr>
      </vt:variant>
      <vt:variant>
        <vt:i4>1048633</vt:i4>
      </vt:variant>
      <vt:variant>
        <vt:i4>2</vt:i4>
      </vt:variant>
      <vt:variant>
        <vt:i4>0</vt:i4>
      </vt:variant>
      <vt:variant>
        <vt:i4>5</vt:i4>
      </vt:variant>
      <vt:variant>
        <vt:lpwstr/>
      </vt:variant>
      <vt:variant>
        <vt:lpwstr>_Toc205976987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Paul Bowerman (DTF)</cp:lastModifiedBy>
  <cp:revision>6</cp:revision>
  <cp:lastPrinted>2025-08-13T06:48:00Z</cp:lastPrinted>
  <dcterms:created xsi:type="dcterms:W3CDTF">2025-08-13T06:41:00Z</dcterms:created>
  <dcterms:modified xsi:type="dcterms:W3CDTF">2025-08-13T23:31:00Z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GrammarlyDocumentId">
    <vt:lpwstr>8069bb6d-9178-457c-afb6-fea27c98eaa1</vt:lpwstr>
  </property>
  <property fmtid="{D5CDD505-2E9C-101B-9397-08002B2CF9AE}" pid="5" name="ContentTypeId">
    <vt:lpwstr>0x010100E2859DFB47952C4E911DE9714EC95DB1</vt:lpwstr>
  </property>
  <property fmtid="{D5CDD505-2E9C-101B-9397-08002B2CF9AE}" pid="6" name="MediaServiceImageTags">
    <vt:lpwstr/>
  </property>
  <property fmtid="{D5CDD505-2E9C-101B-9397-08002B2CF9AE}" pid="7" name="_dlc_DocIdItemGuid">
    <vt:lpwstr>532d9690-7e14-4b2c-a6f5-d6b8789e1c96</vt:lpwstr>
  </property>
  <property fmtid="{D5CDD505-2E9C-101B-9397-08002B2CF9AE}" pid="8" name="MSIP_Label_bb4ee517-5ca4-4fff-98d2-ed4f906edd6d_Enabled">
    <vt:lpwstr>true</vt:lpwstr>
  </property>
  <property fmtid="{D5CDD505-2E9C-101B-9397-08002B2CF9AE}" pid="9" name="MSIP_Label_bb4ee517-5ca4-4fff-98d2-ed4f906edd6d_SetDate">
    <vt:lpwstr>2025-08-13T23:29:38Z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1739fd0d-ba14-4071-9f4d-392f6873db08</vt:lpwstr>
  </property>
  <property fmtid="{D5CDD505-2E9C-101B-9397-08002B2CF9AE}" pid="14" name="MSIP_Label_bb4ee517-5ca4-4fff-98d2-ed4f906edd6d_ContentBits">
    <vt:lpwstr>0</vt:lpwstr>
  </property>
  <property fmtid="{D5CDD505-2E9C-101B-9397-08002B2CF9AE}" pid="15" name="MSIP_Label_bb4ee517-5ca4-4fff-98d2-ed4f906edd6d_Tag">
    <vt:lpwstr>10, 0, 1, 1</vt:lpwstr>
  </property>
</Properties>
</file>