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A260" w14:textId="6D6C2313" w:rsidR="00045296" w:rsidRPr="00351FDF" w:rsidRDefault="006D5CDD" w:rsidP="006D5CDD">
      <w:pPr>
        <w:pStyle w:val="Title"/>
        <w:rPr>
          <w:b w:val="0"/>
          <w:bCs/>
          <w:iCs/>
        </w:rPr>
      </w:pPr>
      <w:bookmarkStart w:id="0" w:name="_Toc442780672"/>
      <w:r w:rsidRPr="006B0EFC">
        <w:t>Guidance on</w:t>
      </w:r>
      <w:r w:rsidR="002F43A3">
        <w:t xml:space="preserve"> the application of</w:t>
      </w:r>
      <w:r w:rsidRPr="006B0EFC">
        <w:t xml:space="preserve"> </w:t>
      </w:r>
      <w:r w:rsidR="00803810">
        <w:t>FRD </w:t>
      </w:r>
      <w:r w:rsidR="003829B6">
        <w:t xml:space="preserve">103 </w:t>
      </w:r>
      <w:r w:rsidR="00803810">
        <w:rPr>
          <w:i/>
        </w:rPr>
        <w:t>Non</w:t>
      </w:r>
      <w:r w:rsidR="00803810">
        <w:rPr>
          <w:i/>
        </w:rPr>
        <w:noBreakHyphen/>
        <w:t>financial physical assets</w:t>
      </w:r>
    </w:p>
    <w:bookmarkEnd w:id="0"/>
    <w:p w14:paraId="21374865" w14:textId="77777777" w:rsidR="00D363DC" w:rsidRDefault="00D363DC" w:rsidP="001A4680">
      <w:pPr>
        <w:pStyle w:val="Heading1numbered"/>
      </w:pPr>
      <w:r>
        <w:t xml:space="preserve">Annual </w:t>
      </w:r>
      <w:r w:rsidR="007B700D">
        <w:t>f</w:t>
      </w:r>
      <w:r>
        <w:t xml:space="preserve">air </w:t>
      </w:r>
      <w:r w:rsidR="007B700D">
        <w:t>v</w:t>
      </w:r>
      <w:r>
        <w:t xml:space="preserve">alue </w:t>
      </w:r>
      <w:r w:rsidR="007B700D">
        <w:t>a</w:t>
      </w:r>
      <w:r>
        <w:t>ssessment</w:t>
      </w:r>
      <w:r w:rsidR="007B700D">
        <w:t>s</w:t>
      </w:r>
      <w:r>
        <w:t xml:space="preserve">, </w:t>
      </w:r>
      <w:r w:rsidR="007B700D">
        <w:t>m</w:t>
      </w:r>
      <w:r>
        <w:t xml:space="preserve">anagerial and </w:t>
      </w:r>
      <w:r w:rsidR="007B700D">
        <w:t>i</w:t>
      </w:r>
      <w:r>
        <w:t xml:space="preserve">nterim </w:t>
      </w:r>
      <w:r w:rsidR="007B700D">
        <w:t>r</w:t>
      </w:r>
      <w:r>
        <w:t>evaluation</w:t>
      </w:r>
      <w:r w:rsidR="00181D0B">
        <w:t>s</w:t>
      </w:r>
    </w:p>
    <w:p w14:paraId="60E1068F" w14:textId="1D3F17BC" w:rsidR="00D363DC" w:rsidRDefault="00D363DC" w:rsidP="00803810">
      <w:pPr>
        <w:pStyle w:val="NormalIndent"/>
      </w:pPr>
      <w:r>
        <w:t>Although it is intended that asset valuations will be based on a five</w:t>
      </w:r>
      <w:r w:rsidR="00803810">
        <w:noBreakHyphen/>
      </w:r>
      <w:r>
        <w:t xml:space="preserve">year cycle, </w:t>
      </w:r>
      <w:r w:rsidR="00803810">
        <w:t>FRD </w:t>
      </w:r>
      <w:r w:rsidR="00DF0A06">
        <w:t>103</w:t>
      </w:r>
      <w:r w:rsidR="00803810">
        <w:t> </w:t>
      </w:r>
      <w:r w:rsidR="00CA2AA0" w:rsidRPr="00CA2AA0">
        <w:rPr>
          <w:i/>
        </w:rPr>
        <w:t>Non</w:t>
      </w:r>
      <w:r w:rsidR="00803810">
        <w:rPr>
          <w:i/>
        </w:rPr>
        <w:noBreakHyphen/>
      </w:r>
      <w:r w:rsidR="00CA2AA0" w:rsidRPr="00CA2AA0">
        <w:rPr>
          <w:i/>
        </w:rPr>
        <w:t>financial physical assets</w:t>
      </w:r>
      <w:r w:rsidR="00803810">
        <w:t xml:space="preserve"> </w:t>
      </w:r>
      <w:r>
        <w:t xml:space="preserve">requires entities to </w:t>
      </w:r>
      <w:r w:rsidR="00296103">
        <w:t>perform</w:t>
      </w:r>
      <w:r>
        <w:t xml:space="preserve"> annual fair value assessments</w:t>
      </w:r>
      <w:r w:rsidR="004F129C">
        <w:t xml:space="preserve"> for each class of non</w:t>
      </w:r>
      <w:r w:rsidR="00803810">
        <w:noBreakHyphen/>
      </w:r>
      <w:r w:rsidR="004F129C">
        <w:t>financial physical assets</w:t>
      </w:r>
      <w:r>
        <w:t xml:space="preserve"> to determine whether additional revaluations need to be undertaken between revaluation cycles.</w:t>
      </w:r>
    </w:p>
    <w:p w14:paraId="33C57ACF" w14:textId="77777777" w:rsidR="00D363DC" w:rsidRDefault="00006915" w:rsidP="00006915">
      <w:pPr>
        <w:pStyle w:val="Heading2numbered"/>
      </w:pPr>
      <w:r>
        <w:t xml:space="preserve">Annual </w:t>
      </w:r>
      <w:r w:rsidR="00D363DC">
        <w:t xml:space="preserve">Fair Value </w:t>
      </w:r>
      <w:r w:rsidR="00803810">
        <w:t xml:space="preserve">assessments </w:t>
      </w:r>
      <w:r w:rsidR="00803810">
        <w:noBreakHyphen/>
        <w:t xml:space="preserve"> land and buildings</w:t>
      </w:r>
    </w:p>
    <w:p w14:paraId="3A052F64" w14:textId="77777777" w:rsidR="00D363DC" w:rsidRDefault="00D363DC" w:rsidP="00006915">
      <w:pPr>
        <w:pStyle w:val="Heading3numbered"/>
      </w:pPr>
      <w:r>
        <w:t xml:space="preserve">VGV </w:t>
      </w:r>
      <w:r w:rsidR="00803810">
        <w:t xml:space="preserve">land and building </w:t>
      </w:r>
      <w:r>
        <w:t>indices</w:t>
      </w:r>
    </w:p>
    <w:p w14:paraId="73F7E126" w14:textId="6C21F1EE" w:rsidR="00AA38A8" w:rsidRDefault="00D363DC" w:rsidP="00803810">
      <w:pPr>
        <w:pStyle w:val="NormalIndent"/>
      </w:pPr>
      <w:r>
        <w:t xml:space="preserve">Separate annual indices for land and buildings are supplied by </w:t>
      </w:r>
      <w:r w:rsidR="00D40642">
        <w:t xml:space="preserve">the </w:t>
      </w:r>
      <w:r>
        <w:t>V</w:t>
      </w:r>
      <w:r w:rsidR="00D40642">
        <w:t>aluer</w:t>
      </w:r>
      <w:r w:rsidR="00803810">
        <w:noBreakHyphen/>
      </w:r>
      <w:r>
        <w:t>G</w:t>
      </w:r>
      <w:r w:rsidR="00D40642">
        <w:t xml:space="preserve">eneral </w:t>
      </w:r>
      <w:r>
        <w:t>V</w:t>
      </w:r>
      <w:r w:rsidR="00D40642">
        <w:t>ictoria (VGV)</w:t>
      </w:r>
      <w:r w:rsidR="00080DA4">
        <w:t xml:space="preserve"> every six months</w:t>
      </w:r>
      <w:r>
        <w:t>, which are based on a postcode and building/land use code matrix</w:t>
      </w:r>
      <w:r w:rsidR="00803810">
        <w:t xml:space="preserve">. </w:t>
      </w:r>
      <w:r w:rsidR="00080DA4">
        <w:t>The indices are published</w:t>
      </w:r>
      <w:r w:rsidR="00CA2AA0">
        <w:t xml:space="preserve"> on</w:t>
      </w:r>
      <w:r w:rsidR="00AA38A8">
        <w:t xml:space="preserve"> DTF</w:t>
      </w:r>
      <w:r w:rsidR="00CA2AA0">
        <w:t>’s</w:t>
      </w:r>
      <w:r w:rsidR="00AA38A8">
        <w:t xml:space="preserve"> </w:t>
      </w:r>
      <w:r w:rsidR="00CA397E">
        <w:t xml:space="preserve">secure </w:t>
      </w:r>
      <w:r w:rsidR="00AA38A8">
        <w:t>website every</w:t>
      </w:r>
      <w:r w:rsidR="00803810">
        <w:t xml:space="preserve"> October (covering the period 1 </w:t>
      </w:r>
      <w:r w:rsidR="00AA38A8">
        <w:t xml:space="preserve">January to 31 December) and April (covering the period 1 July to 30 June). </w:t>
      </w:r>
      <w:r>
        <w:t xml:space="preserve">These </w:t>
      </w:r>
      <w:r w:rsidR="004F129C">
        <w:t xml:space="preserve">indices </w:t>
      </w:r>
      <w:r>
        <w:t>shall be used to determine whether a material or exceptionally material movement in land and/or building values may have occurred</w:t>
      </w:r>
      <w:r w:rsidR="00AA38A8">
        <w:t xml:space="preserve"> during the year</w:t>
      </w:r>
      <w:r w:rsidR="00803810">
        <w:t xml:space="preserve">. </w:t>
      </w:r>
    </w:p>
    <w:p w14:paraId="07855622" w14:textId="5380663D" w:rsidR="006B5D9C" w:rsidRDefault="00D363DC" w:rsidP="00803810">
      <w:pPr>
        <w:pStyle w:val="NormalIndent"/>
      </w:pPr>
      <w:r>
        <w:t xml:space="preserve">Indices are to be applied ‘year on year’, and the </w:t>
      </w:r>
      <w:r w:rsidR="00AA38A8">
        <w:t xml:space="preserve">cumulative </w:t>
      </w:r>
      <w:r>
        <w:t>movement shall be used to assess whether any further procedures are required (e.g. managerial or interim revaluation)</w:t>
      </w:r>
      <w:r w:rsidR="00AA38A8">
        <w:t>, t</w:t>
      </w:r>
      <w:r>
        <w:t xml:space="preserve">o enable sufficient time to conduct any required interim revaluations, and ensure consistency with </w:t>
      </w:r>
      <w:r w:rsidRPr="002B5AFD">
        <w:t>formal Budget Estimates</w:t>
      </w:r>
      <w:r w:rsidR="00AA38A8" w:rsidRPr="002B5AFD">
        <w:t>. This means</w:t>
      </w:r>
      <w:r w:rsidR="00CA2AA0">
        <w:t xml:space="preserve"> that the</w:t>
      </w:r>
      <w:r w:rsidR="00AA38A8" w:rsidRPr="002B5AFD">
        <w:t xml:space="preserve"> movements should be considered in aggregate for the interim years between the last managerial/formal scheduled revaluation (i.e. years 1 to 4). Refer </w:t>
      </w:r>
      <w:r w:rsidR="00584D61" w:rsidRPr="002B5AFD">
        <w:t>to</w:t>
      </w:r>
      <w:r w:rsidR="00584D61">
        <w:t xml:space="preserve"> </w:t>
      </w:r>
      <w:r w:rsidR="00584D61" w:rsidRPr="002B5AFD">
        <w:t>Figure</w:t>
      </w:r>
      <w:r w:rsidR="00696646" w:rsidRPr="002B5AFD">
        <w:t xml:space="preserve"> 1</w:t>
      </w:r>
      <w:r w:rsidR="006E276A">
        <w:t xml:space="preserve"> </w:t>
      </w:r>
      <w:r w:rsidR="003E539C">
        <w:t>for</w:t>
      </w:r>
      <w:r w:rsidR="00AA38A8" w:rsidRPr="002B5AFD">
        <w:t xml:space="preserve"> how indices are considered on a </w:t>
      </w:r>
      <w:r w:rsidR="00DD19A1">
        <w:t xml:space="preserve">cumulative </w:t>
      </w:r>
      <w:r w:rsidR="00AA38A8" w:rsidRPr="002B5AFD">
        <w:t>basis.</w:t>
      </w:r>
    </w:p>
    <w:p w14:paraId="7B93C93F" w14:textId="77777777" w:rsidR="009205CD" w:rsidRPr="009205CD" w:rsidRDefault="009205CD" w:rsidP="009205CD">
      <w:r w:rsidRPr="009205CD">
        <w:br w:type="page"/>
      </w:r>
    </w:p>
    <w:p w14:paraId="19BCBB9E" w14:textId="024A6866" w:rsidR="006B5D9C" w:rsidRDefault="006B5D9C" w:rsidP="00803810">
      <w:pPr>
        <w:pStyle w:val="Heading2numbered"/>
      </w:pPr>
      <w:r>
        <w:lastRenderedPageBreak/>
        <w:t>Illustrative example of how indices should be considered on a cumulative basis</w:t>
      </w:r>
    </w:p>
    <w:p w14:paraId="78765D35" w14:textId="2965394E" w:rsidR="006B5D9C" w:rsidRPr="00662E00" w:rsidRDefault="006B5D9C" w:rsidP="003E539C">
      <w:pPr>
        <w:pStyle w:val="Tablechartdiagramheading"/>
        <w:tabs>
          <w:tab w:val="left" w:pos="1701"/>
        </w:tabs>
        <w:ind w:left="792"/>
      </w:pPr>
      <w:r w:rsidRPr="00662E00">
        <w:t xml:space="preserve">Figure 1: </w:t>
      </w:r>
      <w:r w:rsidR="003E539C">
        <w:tab/>
      </w:r>
      <w:r w:rsidRPr="00662E00">
        <w:t>Illustrative example of an annual fair value assessment calculation</w:t>
      </w:r>
    </w:p>
    <w:tbl>
      <w:tblPr>
        <w:tblStyle w:val="DTFtexttableindent"/>
        <w:tblW w:w="0" w:type="auto"/>
        <w:tblLayout w:type="fixed"/>
        <w:tblLook w:val="06A0" w:firstRow="1" w:lastRow="0" w:firstColumn="1" w:lastColumn="0" w:noHBand="1" w:noVBand="1"/>
      </w:tblPr>
      <w:tblGrid>
        <w:gridCol w:w="3466"/>
        <w:gridCol w:w="1213"/>
        <w:gridCol w:w="1213"/>
        <w:gridCol w:w="1213"/>
        <w:gridCol w:w="1214"/>
      </w:tblGrid>
      <w:tr w:rsidR="006B5D9C" w14:paraId="2760C0D2" w14:textId="77777777" w:rsidTr="006E27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66" w:type="dxa"/>
          </w:tcPr>
          <w:p w14:paraId="6FE2BF06" w14:textId="77777777" w:rsidR="006B5D9C" w:rsidRPr="0066085C" w:rsidRDefault="006B5D9C" w:rsidP="00803810">
            <w:pPr>
              <w:pStyle w:val="Tableheader"/>
              <w:rPr>
                <w:b w:val="0"/>
              </w:rPr>
            </w:pPr>
            <w:r w:rsidRPr="0066085C">
              <w:t>Valuation</w:t>
            </w:r>
          </w:p>
        </w:tc>
        <w:tc>
          <w:tcPr>
            <w:tcW w:w="1213" w:type="dxa"/>
          </w:tcPr>
          <w:p w14:paraId="68C74449" w14:textId="77777777" w:rsidR="006B5D9C" w:rsidRPr="0066085C" w:rsidRDefault="006B5D9C" w:rsidP="006E276A">
            <w:pPr>
              <w:pStyle w:val="Tableheader"/>
              <w:jc w:val="center"/>
              <w:cnfStyle w:val="100000000000" w:firstRow="1" w:lastRow="0" w:firstColumn="0" w:lastColumn="0" w:oddVBand="0" w:evenVBand="0" w:oddHBand="0" w:evenHBand="0" w:firstRowFirstColumn="0" w:firstRowLastColumn="0" w:lastRowFirstColumn="0" w:lastRowLastColumn="0"/>
              <w:rPr>
                <w:b w:val="0"/>
              </w:rPr>
            </w:pPr>
            <w:r w:rsidRPr="0066085C">
              <w:t>Year 1</w:t>
            </w:r>
          </w:p>
        </w:tc>
        <w:tc>
          <w:tcPr>
            <w:tcW w:w="1213" w:type="dxa"/>
          </w:tcPr>
          <w:p w14:paraId="3F938F25" w14:textId="77777777" w:rsidR="006B5D9C" w:rsidRPr="0066085C" w:rsidRDefault="006B5D9C" w:rsidP="006E276A">
            <w:pPr>
              <w:pStyle w:val="Tableheader"/>
              <w:jc w:val="center"/>
              <w:cnfStyle w:val="100000000000" w:firstRow="1" w:lastRow="0" w:firstColumn="0" w:lastColumn="0" w:oddVBand="0" w:evenVBand="0" w:oddHBand="0" w:evenHBand="0" w:firstRowFirstColumn="0" w:firstRowLastColumn="0" w:lastRowFirstColumn="0" w:lastRowLastColumn="0"/>
              <w:rPr>
                <w:b w:val="0"/>
              </w:rPr>
            </w:pPr>
            <w:r w:rsidRPr="0066085C">
              <w:t>Year 2</w:t>
            </w:r>
          </w:p>
        </w:tc>
        <w:tc>
          <w:tcPr>
            <w:tcW w:w="1213" w:type="dxa"/>
          </w:tcPr>
          <w:p w14:paraId="1AE74421" w14:textId="77777777" w:rsidR="006B5D9C" w:rsidRPr="0066085C" w:rsidRDefault="006B5D9C" w:rsidP="006E276A">
            <w:pPr>
              <w:pStyle w:val="Tableheader"/>
              <w:jc w:val="center"/>
              <w:cnfStyle w:val="100000000000" w:firstRow="1" w:lastRow="0" w:firstColumn="0" w:lastColumn="0" w:oddVBand="0" w:evenVBand="0" w:oddHBand="0" w:evenHBand="0" w:firstRowFirstColumn="0" w:firstRowLastColumn="0" w:lastRowFirstColumn="0" w:lastRowLastColumn="0"/>
              <w:rPr>
                <w:b w:val="0"/>
              </w:rPr>
            </w:pPr>
            <w:r w:rsidRPr="0066085C">
              <w:t>Year 3</w:t>
            </w:r>
          </w:p>
        </w:tc>
        <w:tc>
          <w:tcPr>
            <w:tcW w:w="1214" w:type="dxa"/>
          </w:tcPr>
          <w:p w14:paraId="352D569E" w14:textId="77777777" w:rsidR="006B5D9C" w:rsidRPr="0066085C" w:rsidRDefault="006B5D9C" w:rsidP="006E276A">
            <w:pPr>
              <w:pStyle w:val="Tableheader"/>
              <w:jc w:val="center"/>
              <w:cnfStyle w:val="100000000000" w:firstRow="1" w:lastRow="0" w:firstColumn="0" w:lastColumn="0" w:oddVBand="0" w:evenVBand="0" w:oddHBand="0" w:evenHBand="0" w:firstRowFirstColumn="0" w:firstRowLastColumn="0" w:lastRowFirstColumn="0" w:lastRowLastColumn="0"/>
              <w:rPr>
                <w:b w:val="0"/>
              </w:rPr>
            </w:pPr>
            <w:r w:rsidRPr="0066085C">
              <w:t>Year 4</w:t>
            </w:r>
          </w:p>
        </w:tc>
      </w:tr>
      <w:tr w:rsidR="006B5D9C" w14:paraId="5B709217" w14:textId="77777777" w:rsidTr="006E276A">
        <w:trPr>
          <w:cantSplit w:val="0"/>
        </w:trPr>
        <w:tc>
          <w:tcPr>
            <w:cnfStyle w:val="001000000000" w:firstRow="0" w:lastRow="0" w:firstColumn="1" w:lastColumn="0" w:oddVBand="0" w:evenVBand="0" w:oddHBand="0" w:evenHBand="0" w:firstRowFirstColumn="0" w:firstRowLastColumn="0" w:lastRowFirstColumn="0" w:lastRowLastColumn="0"/>
            <w:tcW w:w="3466" w:type="dxa"/>
          </w:tcPr>
          <w:p w14:paraId="45D1EE76" w14:textId="77777777" w:rsidR="006B5D9C" w:rsidRDefault="006B5D9C" w:rsidP="00A11599">
            <w:r>
              <w:t>Annual indices rate</w:t>
            </w:r>
          </w:p>
        </w:tc>
        <w:tc>
          <w:tcPr>
            <w:tcW w:w="1213" w:type="dxa"/>
          </w:tcPr>
          <w:p w14:paraId="21B60B39"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1.09</w:t>
            </w:r>
          </w:p>
        </w:tc>
        <w:tc>
          <w:tcPr>
            <w:tcW w:w="1213" w:type="dxa"/>
          </w:tcPr>
          <w:p w14:paraId="5FD941D4"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1.11</w:t>
            </w:r>
          </w:p>
        </w:tc>
        <w:tc>
          <w:tcPr>
            <w:tcW w:w="1213" w:type="dxa"/>
          </w:tcPr>
          <w:p w14:paraId="2CBF3DBB"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1.12</w:t>
            </w:r>
          </w:p>
        </w:tc>
        <w:tc>
          <w:tcPr>
            <w:tcW w:w="1214" w:type="dxa"/>
          </w:tcPr>
          <w:p w14:paraId="3FAFEEFF"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1.08</w:t>
            </w:r>
          </w:p>
        </w:tc>
      </w:tr>
      <w:tr w:rsidR="006B5D9C" w14:paraId="2205A21A" w14:textId="77777777" w:rsidTr="006E276A">
        <w:trPr>
          <w:cantSplit w:val="0"/>
        </w:trPr>
        <w:tc>
          <w:tcPr>
            <w:cnfStyle w:val="001000000000" w:firstRow="0" w:lastRow="0" w:firstColumn="1" w:lastColumn="0" w:oddVBand="0" w:evenVBand="0" w:oddHBand="0" w:evenHBand="0" w:firstRowFirstColumn="0" w:firstRowLastColumn="0" w:lastRowFirstColumn="0" w:lastRowLastColumn="0"/>
            <w:tcW w:w="3466" w:type="dxa"/>
          </w:tcPr>
          <w:p w14:paraId="08A153F3" w14:textId="77777777" w:rsidR="006B5D9C" w:rsidRDefault="006B5D9C" w:rsidP="00A11599">
            <w:r>
              <w:t>Valuation at 30 June Year 0: $1 000</w:t>
            </w:r>
          </w:p>
        </w:tc>
        <w:tc>
          <w:tcPr>
            <w:tcW w:w="1213" w:type="dxa"/>
          </w:tcPr>
          <w:p w14:paraId="301E51B8"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1 090</w:t>
            </w:r>
          </w:p>
        </w:tc>
        <w:tc>
          <w:tcPr>
            <w:tcW w:w="1213" w:type="dxa"/>
          </w:tcPr>
          <w:p w14:paraId="1631BB6A"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1 210</w:t>
            </w:r>
          </w:p>
        </w:tc>
        <w:tc>
          <w:tcPr>
            <w:tcW w:w="1213" w:type="dxa"/>
          </w:tcPr>
          <w:p w14:paraId="0CEF947F"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1 355</w:t>
            </w:r>
          </w:p>
        </w:tc>
        <w:tc>
          <w:tcPr>
            <w:tcW w:w="1214" w:type="dxa"/>
          </w:tcPr>
          <w:p w14:paraId="5E208E72" w14:textId="77777777"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Pending</w:t>
            </w:r>
            <w:r>
              <w:rPr>
                <w:vertAlign w:val="superscript"/>
              </w:rPr>
              <w:t>3</w:t>
            </w:r>
          </w:p>
        </w:tc>
      </w:tr>
      <w:tr w:rsidR="006B5D9C" w14:paraId="1B9BD723" w14:textId="77777777" w:rsidTr="006E276A">
        <w:trPr>
          <w:cantSplit w:val="0"/>
        </w:trPr>
        <w:tc>
          <w:tcPr>
            <w:cnfStyle w:val="001000000000" w:firstRow="0" w:lastRow="0" w:firstColumn="1" w:lastColumn="0" w:oddVBand="0" w:evenVBand="0" w:oddHBand="0" w:evenHBand="0" w:firstRowFirstColumn="0" w:firstRowLastColumn="0" w:lastRowFirstColumn="0" w:lastRowLastColumn="0"/>
            <w:tcW w:w="3466" w:type="dxa"/>
          </w:tcPr>
          <w:p w14:paraId="4D288E7F" w14:textId="77777777" w:rsidR="006B5D9C" w:rsidRDefault="006B5D9C" w:rsidP="00A11599">
            <w:r>
              <w:t>Compounded indices rate since Year 0</w:t>
            </w:r>
          </w:p>
        </w:tc>
        <w:tc>
          <w:tcPr>
            <w:tcW w:w="1213" w:type="dxa"/>
          </w:tcPr>
          <w:p w14:paraId="27EF69D1"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1.09</w:t>
            </w:r>
          </w:p>
        </w:tc>
        <w:tc>
          <w:tcPr>
            <w:tcW w:w="1213" w:type="dxa"/>
          </w:tcPr>
          <w:p w14:paraId="26BB3BF0"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1.21</w:t>
            </w:r>
          </w:p>
        </w:tc>
        <w:tc>
          <w:tcPr>
            <w:tcW w:w="1213" w:type="dxa"/>
          </w:tcPr>
          <w:p w14:paraId="77F724D3"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1.36</w:t>
            </w:r>
          </w:p>
        </w:tc>
        <w:tc>
          <w:tcPr>
            <w:tcW w:w="1214" w:type="dxa"/>
          </w:tcPr>
          <w:p w14:paraId="5F4CAD29" w14:textId="77777777" w:rsidR="006B5D9C" w:rsidRDefault="006B5D9C" w:rsidP="006E276A">
            <w:pPr>
              <w:jc w:val="center"/>
              <w:cnfStyle w:val="000000000000" w:firstRow="0" w:lastRow="0" w:firstColumn="0" w:lastColumn="0" w:oddVBand="0" w:evenVBand="0" w:oddHBand="0" w:evenHBand="0" w:firstRowFirstColumn="0" w:firstRowLastColumn="0" w:lastRowFirstColumn="0" w:lastRowLastColumn="0"/>
            </w:pPr>
            <w:r>
              <w:t>1.46</w:t>
            </w:r>
          </w:p>
        </w:tc>
      </w:tr>
      <w:tr w:rsidR="006B5D9C" w14:paraId="0959D85F" w14:textId="77777777" w:rsidTr="006E276A">
        <w:trPr>
          <w:cantSplit w:val="0"/>
        </w:trPr>
        <w:tc>
          <w:tcPr>
            <w:cnfStyle w:val="001000000000" w:firstRow="0" w:lastRow="0" w:firstColumn="1" w:lastColumn="0" w:oddVBand="0" w:evenVBand="0" w:oddHBand="0" w:evenHBand="0" w:firstRowFirstColumn="0" w:firstRowLastColumn="0" w:lastRowFirstColumn="0" w:lastRowLastColumn="0"/>
            <w:tcW w:w="3466" w:type="dxa"/>
          </w:tcPr>
          <w:p w14:paraId="44991A01" w14:textId="77777777" w:rsidR="006B5D9C" w:rsidRDefault="006B5D9C" w:rsidP="00A11599">
            <w:r>
              <w:t xml:space="preserve">Action required </w:t>
            </w:r>
          </w:p>
        </w:tc>
        <w:tc>
          <w:tcPr>
            <w:tcW w:w="1213" w:type="dxa"/>
          </w:tcPr>
          <w:p w14:paraId="40876C5C" w14:textId="452CE978"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None</w:t>
            </w:r>
            <w:r w:rsidR="006E276A">
              <w:rPr>
                <w:vertAlign w:val="superscript"/>
              </w:rPr>
              <w:t>(a)</w:t>
            </w:r>
          </w:p>
        </w:tc>
        <w:tc>
          <w:tcPr>
            <w:tcW w:w="1213" w:type="dxa"/>
          </w:tcPr>
          <w:p w14:paraId="2654D0A7" w14:textId="1F329DAB"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 xml:space="preserve">Managerial </w:t>
            </w:r>
            <w:r w:rsidR="006E276A">
              <w:t>revaluation</w:t>
            </w:r>
            <w:r w:rsidR="006E276A" w:rsidRPr="006E276A">
              <w:rPr>
                <w:vertAlign w:val="superscript"/>
              </w:rPr>
              <w:t>(b)</w:t>
            </w:r>
          </w:p>
        </w:tc>
        <w:tc>
          <w:tcPr>
            <w:tcW w:w="1213" w:type="dxa"/>
          </w:tcPr>
          <w:p w14:paraId="1ED5583C" w14:textId="2699AD19"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 xml:space="preserve">Managerial </w:t>
            </w:r>
            <w:r w:rsidR="006E276A">
              <w:t>revaluation</w:t>
            </w:r>
            <w:r w:rsidR="006E276A">
              <w:rPr>
                <w:vertAlign w:val="superscript"/>
              </w:rPr>
              <w:t>(c)</w:t>
            </w:r>
          </w:p>
        </w:tc>
        <w:tc>
          <w:tcPr>
            <w:tcW w:w="1214" w:type="dxa"/>
          </w:tcPr>
          <w:p w14:paraId="79A6A6CC" w14:textId="7CF79299" w:rsidR="006B5D9C" w:rsidRPr="00D60A3E" w:rsidRDefault="006B5D9C" w:rsidP="006E276A">
            <w:pPr>
              <w:jc w:val="center"/>
              <w:cnfStyle w:val="000000000000" w:firstRow="0" w:lastRow="0" w:firstColumn="0" w:lastColumn="0" w:oddVBand="0" w:evenVBand="0" w:oddHBand="0" w:evenHBand="0" w:firstRowFirstColumn="0" w:firstRowLastColumn="0" w:lastRowFirstColumn="0" w:lastRowLastColumn="0"/>
              <w:rPr>
                <w:vertAlign w:val="superscript"/>
              </w:rPr>
            </w:pPr>
            <w:r>
              <w:t xml:space="preserve">Formal </w:t>
            </w:r>
            <w:r w:rsidR="006E276A">
              <w:t>revaluation</w:t>
            </w:r>
            <w:r w:rsidR="006E276A">
              <w:rPr>
                <w:vertAlign w:val="superscript"/>
              </w:rPr>
              <w:t>(c)</w:t>
            </w:r>
          </w:p>
        </w:tc>
      </w:tr>
    </w:tbl>
    <w:p w14:paraId="56CE7C84" w14:textId="77777777" w:rsidR="006B5D9C" w:rsidRDefault="006B5D9C" w:rsidP="00803810">
      <w:pPr>
        <w:pStyle w:val="NoteNormalindent"/>
      </w:pPr>
      <w:r>
        <w:t>Notes:</w:t>
      </w:r>
    </w:p>
    <w:p w14:paraId="4A8BC325" w14:textId="5100A183" w:rsidR="006B5D9C" w:rsidRDefault="006B5D9C" w:rsidP="00803810">
      <w:pPr>
        <w:pStyle w:val="NoteNormalindent"/>
      </w:pPr>
      <w:r>
        <w:t xml:space="preserve">1. </w:t>
      </w:r>
      <w:r w:rsidR="003E539C">
        <w:tab/>
      </w:r>
      <w:r>
        <w:t>No action is required as there is only a 9 per cent increase from the last valuation.</w:t>
      </w:r>
    </w:p>
    <w:p w14:paraId="6ECA518F" w14:textId="0FE23296" w:rsidR="006B5D9C" w:rsidRDefault="006B5D9C" w:rsidP="00803810">
      <w:pPr>
        <w:pStyle w:val="NoteNormalindent"/>
      </w:pPr>
      <w:r>
        <w:t xml:space="preserve">2. </w:t>
      </w:r>
      <w:r w:rsidR="003E539C">
        <w:tab/>
      </w:r>
      <w:r>
        <w:t xml:space="preserve">Managerial valuation is required as there is a more than 10 per cent increase since the last scheduled interim or managerial revaluation (whichever is most recent) but less than 40 per cent increase from the last formal revaluation. </w:t>
      </w:r>
    </w:p>
    <w:p w14:paraId="62A7C319" w14:textId="16146007" w:rsidR="006B5D9C" w:rsidRDefault="006B5D9C" w:rsidP="00803810">
      <w:pPr>
        <w:pStyle w:val="NoteNormalindent"/>
      </w:pPr>
      <w:r>
        <w:t xml:space="preserve">3. </w:t>
      </w:r>
      <w:r w:rsidR="003E539C">
        <w:tab/>
      </w:r>
      <w:r>
        <w:t xml:space="preserve">Formal revaluation is required as there is a more than 40 per cent increase since the last formal revaluation. </w:t>
      </w:r>
    </w:p>
    <w:p w14:paraId="58F48281" w14:textId="7FDF0900" w:rsidR="006B5D9C" w:rsidRDefault="006B5D9C" w:rsidP="00803810">
      <w:pPr>
        <w:pStyle w:val="NormalIndent"/>
      </w:pPr>
      <w:r>
        <w:t>If an adjustment to the asset’s fair value is triggered, entities shall ensure they adjust the book value of the asset by the appropriate indexation factor before adjusting for deprec</w:t>
      </w:r>
      <w:r w:rsidR="00923725">
        <w:t>i</w:t>
      </w:r>
      <w:r>
        <w:t>ation. Note that this process should be performed on an asset</w:t>
      </w:r>
      <w:r w:rsidR="00803810">
        <w:noBreakHyphen/>
      </w:r>
      <w:r>
        <w:t>by</w:t>
      </w:r>
      <w:r w:rsidR="00803810">
        <w:noBreakHyphen/>
      </w:r>
      <w:r>
        <w:t>asset basis, as</w:t>
      </w:r>
      <w:r w:rsidR="006E276A">
        <w:t> </w:t>
      </w:r>
      <w:r>
        <w:t xml:space="preserve">the </w:t>
      </w:r>
      <w:r w:rsidR="00923725">
        <w:t>l</w:t>
      </w:r>
      <w:r w:rsidR="00AD1AD6">
        <w:t>evel </w:t>
      </w:r>
      <w:r>
        <w:t xml:space="preserve">of depreciation may vary for different assets. </w:t>
      </w:r>
    </w:p>
    <w:p w14:paraId="373F6256" w14:textId="77777777" w:rsidR="00D363DC" w:rsidRPr="002B5AFD" w:rsidRDefault="00D363DC" w:rsidP="00803810">
      <w:pPr>
        <w:pStyle w:val="Bulletindent"/>
      </w:pPr>
      <w:r w:rsidRPr="002B5AFD">
        <w:t xml:space="preserve">For entities whose annual reporting period ends on or before 30 June, the VGV calendar year indices issued in October shall be used </w:t>
      </w:r>
      <w:r w:rsidR="0005323E" w:rsidRPr="002B5AFD">
        <w:t xml:space="preserve">to perform </w:t>
      </w:r>
      <w:r w:rsidRPr="002B5AFD">
        <w:t>the fair value assessment</w:t>
      </w:r>
      <w:r w:rsidR="0005323E" w:rsidRPr="002B5AFD">
        <w:t xml:space="preserve"> to determine whether any material movements in fair values have occurred</w:t>
      </w:r>
      <w:r w:rsidR="00803810">
        <w:t xml:space="preserve">. </w:t>
      </w:r>
    </w:p>
    <w:p w14:paraId="15AC3E0F" w14:textId="77777777" w:rsidR="00D363DC" w:rsidRPr="002B5AFD" w:rsidRDefault="00D363DC" w:rsidP="00803810">
      <w:pPr>
        <w:pStyle w:val="Bulletindent"/>
      </w:pPr>
      <w:r w:rsidRPr="002B5AFD">
        <w:t xml:space="preserve">For entities whose annual reporting period ends on or before 31 December, the VGV </w:t>
      </w:r>
      <w:r w:rsidR="00736ECA" w:rsidRPr="002B5AFD">
        <w:t xml:space="preserve">financial </w:t>
      </w:r>
      <w:r w:rsidRPr="002B5AFD">
        <w:t xml:space="preserve">year indices issued in April shall be used </w:t>
      </w:r>
      <w:r w:rsidR="0005323E" w:rsidRPr="002B5AFD">
        <w:t xml:space="preserve">to perform </w:t>
      </w:r>
      <w:r w:rsidRPr="002B5AFD">
        <w:t>the fair value assessment</w:t>
      </w:r>
      <w:r w:rsidR="0005323E" w:rsidRPr="002B5AFD">
        <w:t xml:space="preserve"> to determine whether any material movements in fair values have occurred</w:t>
      </w:r>
      <w:r w:rsidR="00803810">
        <w:t xml:space="preserve">. </w:t>
      </w:r>
    </w:p>
    <w:p w14:paraId="0BD57D80" w14:textId="544851B4" w:rsidR="00D363DC" w:rsidRDefault="00D363DC" w:rsidP="00803810">
      <w:pPr>
        <w:pStyle w:val="Bulletindent"/>
      </w:pPr>
      <w:r w:rsidRPr="002B5AFD">
        <w:t xml:space="preserve">If the outcome of </w:t>
      </w:r>
      <w:r w:rsidR="0005323E" w:rsidRPr="002B5AFD">
        <w:t xml:space="preserve">the </w:t>
      </w:r>
      <w:r w:rsidRPr="002B5AFD">
        <w:t xml:space="preserve">fair value assessment indicates that the carrying amount of the asset class still materially represents the fair value (with reference to the materiality provisions in </w:t>
      </w:r>
      <w:r w:rsidR="00CA2AA0">
        <w:t>FRD 103</w:t>
      </w:r>
      <w:r w:rsidRPr="002B5AFD">
        <w:t xml:space="preserve">), then – subject to </w:t>
      </w:r>
      <w:r w:rsidR="006E276A" w:rsidRPr="002B5AFD">
        <w:t xml:space="preserve">Note </w:t>
      </w:r>
      <w:r w:rsidRPr="002B5AFD">
        <w:t xml:space="preserve">(b)(ii) below </w:t>
      </w:r>
      <w:r w:rsidR="00803810">
        <w:noBreakHyphen/>
      </w:r>
      <w:r w:rsidRPr="002B5AFD">
        <w:t xml:space="preserve"> </w:t>
      </w:r>
      <w:r w:rsidRPr="002B5AFD">
        <w:rPr>
          <w:b/>
        </w:rPr>
        <w:t xml:space="preserve">NO </w:t>
      </w:r>
      <w:r w:rsidRPr="002B5AFD">
        <w:t>change to carrying amounts (or revaluation) is required.</w:t>
      </w:r>
    </w:p>
    <w:p w14:paraId="1EFC034C" w14:textId="2EA37835" w:rsidR="00351FDF" w:rsidRPr="00C656A3" w:rsidRDefault="00351FDF" w:rsidP="00803810">
      <w:pPr>
        <w:pStyle w:val="Bulletindent"/>
      </w:pPr>
      <w:r w:rsidRPr="00C656A3">
        <w:t>Please work with VGV to ensure you are applying the most appropriate indices.</w:t>
      </w:r>
    </w:p>
    <w:p w14:paraId="183C45E2" w14:textId="77777777" w:rsidR="00D363DC" w:rsidRPr="00803810" w:rsidRDefault="00D363DC" w:rsidP="00803810">
      <w:pPr>
        <w:pStyle w:val="NormalIndent"/>
        <w:rPr>
          <w:b/>
        </w:rPr>
      </w:pPr>
      <w:r w:rsidRPr="00803810">
        <w:rPr>
          <w:b/>
        </w:rPr>
        <w:t>Notes:</w:t>
      </w:r>
    </w:p>
    <w:p w14:paraId="5B51B349" w14:textId="30EE9CD4" w:rsidR="00D363DC" w:rsidRPr="003E539C" w:rsidRDefault="00D363DC" w:rsidP="003E539C">
      <w:pPr>
        <w:pStyle w:val="Listnumindent"/>
        <w:numPr>
          <w:ilvl w:val="6"/>
          <w:numId w:val="15"/>
        </w:numPr>
      </w:pPr>
      <w:r w:rsidRPr="003E539C">
        <w:t>The indices are for a 12</w:t>
      </w:r>
      <w:r w:rsidR="00803810" w:rsidRPr="003E539C">
        <w:noBreakHyphen/>
      </w:r>
      <w:r w:rsidRPr="003E539C">
        <w:t>month period, and thus include</w:t>
      </w:r>
      <w:r w:rsidR="006343B5">
        <w:t>s</w:t>
      </w:r>
      <w:r w:rsidRPr="003E539C">
        <w:t xml:space="preserve"> a </w:t>
      </w:r>
      <w:r w:rsidR="00AD1AD6" w:rsidRPr="003E539C">
        <w:t xml:space="preserve">level </w:t>
      </w:r>
      <w:r w:rsidRPr="003E539C">
        <w:t>of estimation of values to the end of the relevant index period.</w:t>
      </w:r>
    </w:p>
    <w:p w14:paraId="6857DC98" w14:textId="77777777" w:rsidR="00D363DC" w:rsidRPr="002B5AFD" w:rsidRDefault="00D363DC" w:rsidP="00803810">
      <w:pPr>
        <w:pStyle w:val="Listnumindent"/>
      </w:pPr>
      <w:r w:rsidRPr="002B5AFD">
        <w:t xml:space="preserve">For </w:t>
      </w:r>
      <w:r w:rsidR="00A23596" w:rsidRPr="002B5AFD">
        <w:t xml:space="preserve">‘30 </w:t>
      </w:r>
      <w:r w:rsidRPr="002B5AFD">
        <w:t xml:space="preserve">June reporters’ using October indices, </w:t>
      </w:r>
      <w:r w:rsidR="00BD7074" w:rsidRPr="002B5AFD">
        <w:t xml:space="preserve">who </w:t>
      </w:r>
      <w:r w:rsidRPr="002B5AFD">
        <w:t>have assessed that:</w:t>
      </w:r>
    </w:p>
    <w:p w14:paraId="0DB6B4B3" w14:textId="77777777" w:rsidR="00D363DC" w:rsidRPr="002B5AFD" w:rsidRDefault="00D363DC" w:rsidP="00803810">
      <w:pPr>
        <w:pStyle w:val="Listnumindent2"/>
      </w:pPr>
      <w:r w:rsidRPr="002B5AFD">
        <w:t>a managerial revaluation is required, entities shall apply the April indices for that financial year, when they become available, to actually revalue the class of assets</w:t>
      </w:r>
      <w:r w:rsidR="00803810">
        <w:t xml:space="preserve">. </w:t>
      </w:r>
    </w:p>
    <w:p w14:paraId="353EE5B5" w14:textId="42F0CA5B" w:rsidR="00D363DC" w:rsidRPr="002B5AFD" w:rsidRDefault="00D363DC" w:rsidP="00803810">
      <w:pPr>
        <w:pStyle w:val="Listnumindent2"/>
      </w:pPr>
      <w:r w:rsidRPr="002B5AFD">
        <w:t>no revaluation is required; entities will still need to refer to the April indices for that financial year to ensure that the fair values of the assets are not materially different from their carrying amounts</w:t>
      </w:r>
      <w:r w:rsidR="00803810">
        <w:t xml:space="preserve">. </w:t>
      </w:r>
      <w:r w:rsidRPr="002B5AFD">
        <w:t>If applying the April indices result</w:t>
      </w:r>
      <w:r w:rsidR="00BD7074" w:rsidRPr="002B5AFD">
        <w:t>s</w:t>
      </w:r>
      <w:r w:rsidRPr="002B5AFD">
        <w:t xml:space="preserve"> in a </w:t>
      </w:r>
      <w:r w:rsidR="00DD19A1">
        <w:t>cumulative</w:t>
      </w:r>
      <w:r w:rsidR="00DD19A1" w:rsidRPr="002B5AFD">
        <w:t xml:space="preserve"> </w:t>
      </w:r>
      <w:r w:rsidRPr="002B5AFD">
        <w:t xml:space="preserve">movement in fair value of greater than 10 per cent, the April indices shall be used to revalue the class of assets (i.e. a managerial revaluation only – refer to section </w:t>
      </w:r>
      <w:r w:rsidR="0064697B" w:rsidRPr="002B5AFD">
        <w:t>1.</w:t>
      </w:r>
      <w:r w:rsidR="00DC3723">
        <w:t>4</w:t>
      </w:r>
      <w:r w:rsidR="007F40A5" w:rsidRPr="002B5AFD">
        <w:t xml:space="preserve"> </w:t>
      </w:r>
      <w:r w:rsidR="007F40A5" w:rsidRPr="006E276A">
        <w:rPr>
          <w:i/>
          <w:iCs/>
        </w:rPr>
        <w:t>Managerial Revaluations – Land and Buildings</w:t>
      </w:r>
      <w:r w:rsidRPr="002B5AFD">
        <w:t>).</w:t>
      </w:r>
    </w:p>
    <w:p w14:paraId="48FF30D0" w14:textId="77777777" w:rsidR="00D363DC" w:rsidRPr="002B5AFD" w:rsidRDefault="003C03F5" w:rsidP="00803810">
      <w:pPr>
        <w:pStyle w:val="Listnumindent2"/>
      </w:pPr>
      <w:r w:rsidRPr="002B5AFD">
        <w:t>a</w:t>
      </w:r>
      <w:r w:rsidR="00D363DC" w:rsidRPr="002B5AFD">
        <w:t xml:space="preserve">n analogous procedure shall apply for </w:t>
      </w:r>
      <w:r w:rsidR="00D75603" w:rsidRPr="002B5AFD">
        <w:t xml:space="preserve">’31 </w:t>
      </w:r>
      <w:r w:rsidR="00D363DC" w:rsidRPr="002B5AFD">
        <w:t>December reporters’.</w:t>
      </w:r>
    </w:p>
    <w:p w14:paraId="01007029" w14:textId="77777777" w:rsidR="00D363DC" w:rsidRPr="002B5AFD" w:rsidRDefault="00D363DC" w:rsidP="003E539C">
      <w:pPr>
        <w:pStyle w:val="Listnumindent"/>
        <w:keepNext/>
        <w:ind w:left="1299" w:hanging="505"/>
      </w:pPr>
      <w:r w:rsidRPr="002B5AFD">
        <w:lastRenderedPageBreak/>
        <w:t>The relevant audit team shall be advised of the result of fair value assessments as they become available.</w:t>
      </w:r>
    </w:p>
    <w:p w14:paraId="08DB8B25" w14:textId="77777777" w:rsidR="00D363DC" w:rsidRPr="002B5AFD" w:rsidRDefault="00D363DC" w:rsidP="00803810">
      <w:pPr>
        <w:pStyle w:val="Listnumindent"/>
      </w:pPr>
      <w:r w:rsidRPr="002B5AFD">
        <w:t>Any entity wishing to use fair value indicators for land and buildings other than the VGV indices shall seek the authorisation of the C</w:t>
      </w:r>
      <w:r w:rsidR="00D40642" w:rsidRPr="002B5AFD">
        <w:t xml:space="preserve">hief </w:t>
      </w:r>
      <w:r w:rsidRPr="002B5AFD">
        <w:t>R</w:t>
      </w:r>
      <w:r w:rsidR="00D40642" w:rsidRPr="002B5AFD">
        <w:t xml:space="preserve">eporting </w:t>
      </w:r>
      <w:r w:rsidRPr="002B5AFD">
        <w:t>O</w:t>
      </w:r>
      <w:r w:rsidR="00D40642" w:rsidRPr="002B5AFD">
        <w:t>fficer (CRO)</w:t>
      </w:r>
      <w:r w:rsidRPr="002B5AFD">
        <w:t>, who will consult with DTF and the relevant audit team.</w:t>
      </w:r>
    </w:p>
    <w:p w14:paraId="6975D166" w14:textId="5F6A0865" w:rsidR="00D363DC" w:rsidRPr="002B5AFD" w:rsidRDefault="00D363DC" w:rsidP="004F759D">
      <w:pPr>
        <w:pStyle w:val="Heading2numbered"/>
      </w:pPr>
      <w:r w:rsidRPr="002B5AFD">
        <w:t xml:space="preserve">Interim </w:t>
      </w:r>
      <w:r w:rsidR="00803810" w:rsidRPr="002B5AFD">
        <w:t xml:space="preserve">revaluations </w:t>
      </w:r>
      <w:r w:rsidR="00803810">
        <w:noBreakHyphen/>
      </w:r>
      <w:r w:rsidR="00803810" w:rsidRPr="002B5AFD">
        <w:t xml:space="preserve"> land and buildings</w:t>
      </w:r>
    </w:p>
    <w:p w14:paraId="67EF1BEB" w14:textId="77777777" w:rsidR="00D363DC" w:rsidRPr="002B5AFD" w:rsidRDefault="00D363DC" w:rsidP="00803810">
      <w:pPr>
        <w:pStyle w:val="NormalIndent"/>
      </w:pPr>
      <w:r w:rsidRPr="002B5AFD">
        <w:t xml:space="preserve">If an entity considers that the potential movement in asset fair values since the last interim or scheduled revaluation, as indicated by the </w:t>
      </w:r>
      <w:r w:rsidR="00DD19A1">
        <w:t>cumulative</w:t>
      </w:r>
      <w:r w:rsidR="00DD19A1" w:rsidRPr="002B5AFD">
        <w:t xml:space="preserve"> </w:t>
      </w:r>
      <w:r w:rsidRPr="002B5AFD">
        <w:t xml:space="preserve">indicators, is </w:t>
      </w:r>
      <w:r w:rsidRPr="002B5AFD">
        <w:rPr>
          <w:b/>
        </w:rPr>
        <w:t>exceptionally material</w:t>
      </w:r>
      <w:r w:rsidRPr="002B5AFD">
        <w:t xml:space="preserve"> (greater than or equal to 40 per cent), </w:t>
      </w:r>
      <w:r w:rsidR="00D40642" w:rsidRPr="002B5AFD">
        <w:t xml:space="preserve">the entity </w:t>
      </w:r>
      <w:r w:rsidRPr="002B5AFD">
        <w:t>shall notify the relevant CRO.</w:t>
      </w:r>
    </w:p>
    <w:p w14:paraId="5B0EF111" w14:textId="75C8B59B" w:rsidR="00D363DC" w:rsidRPr="002B5AFD" w:rsidRDefault="00D363DC" w:rsidP="00803810">
      <w:pPr>
        <w:pStyle w:val="Numparaindent"/>
      </w:pPr>
      <w:r w:rsidRPr="002B5AFD">
        <w:t xml:space="preserve">If the CRO does not concur, the relevant audit team shall be consulted and an assessment for material movements (less than 40 per cent but greater than 10 per cent) in fair value, a </w:t>
      </w:r>
      <w:r w:rsidRPr="002B5AFD">
        <w:rPr>
          <w:b/>
        </w:rPr>
        <w:t>managerial revaluation</w:t>
      </w:r>
      <w:r w:rsidRPr="002B5AFD">
        <w:t xml:space="preserve"> shall be conducted, as per section</w:t>
      </w:r>
      <w:r w:rsidR="00F06212">
        <w:t xml:space="preserve"> 1.</w:t>
      </w:r>
      <w:r w:rsidR="004F759D">
        <w:t>4</w:t>
      </w:r>
      <w:r w:rsidRPr="002B5AFD">
        <w:t>.</w:t>
      </w:r>
    </w:p>
    <w:p w14:paraId="67430C30" w14:textId="77777777" w:rsidR="00D363DC" w:rsidRPr="002B5AFD" w:rsidRDefault="00D363DC" w:rsidP="00803810">
      <w:pPr>
        <w:pStyle w:val="Numparaindent"/>
      </w:pPr>
      <w:r w:rsidRPr="002B5AFD">
        <w:t>If the CRO concurs, the entity shall be referred to an Approved Valuer.</w:t>
      </w:r>
    </w:p>
    <w:p w14:paraId="123786AD" w14:textId="77777777" w:rsidR="00D363DC" w:rsidRPr="002B5AFD" w:rsidRDefault="00D363DC" w:rsidP="00803810">
      <w:pPr>
        <w:pStyle w:val="Numparaindent"/>
      </w:pPr>
      <w:r w:rsidRPr="002B5AFD">
        <w:t>The CRO shall also notify DTF that an entity has been referred to an Approved Valuer, to enable DTF to monitor revaluation activity across portfolios.</w:t>
      </w:r>
    </w:p>
    <w:p w14:paraId="77364A46" w14:textId="77777777" w:rsidR="00D363DC" w:rsidRPr="002B5AFD" w:rsidRDefault="00D363DC" w:rsidP="00803810">
      <w:pPr>
        <w:pStyle w:val="Numparaindent"/>
      </w:pPr>
      <w:r w:rsidRPr="002B5AFD">
        <w:t xml:space="preserve">The Approved Valuer shall assess the evidence, consult with audit, and then advise the entity whether the indicators being used are still relevant to determine the fair value or whether additional methodologies, as outlined below, are needed to establish the valuation. </w:t>
      </w:r>
    </w:p>
    <w:p w14:paraId="78CC5ECE" w14:textId="77777777" w:rsidR="00D363DC" w:rsidRPr="002B5AFD" w:rsidRDefault="00D363DC" w:rsidP="00803810">
      <w:pPr>
        <w:pStyle w:val="Listnumindent"/>
        <w:numPr>
          <w:ilvl w:val="6"/>
          <w:numId w:val="11"/>
        </w:numPr>
        <w:tabs>
          <w:tab w:val="clear" w:pos="1296"/>
          <w:tab w:val="num" w:pos="1800"/>
        </w:tabs>
        <w:ind w:left="1800"/>
      </w:pPr>
      <w:r w:rsidRPr="002B5AFD">
        <w:t>An interim revaluation will typically involve the professional application, by the Approved Valuer (or its authorised agents), of any or a combination of the following additional procedures:</w:t>
      </w:r>
    </w:p>
    <w:p w14:paraId="535DFCF2" w14:textId="4E1C0148" w:rsidR="00D363DC" w:rsidRPr="002B5AFD" w:rsidRDefault="003C03F5" w:rsidP="00803810">
      <w:pPr>
        <w:pStyle w:val="Listnumindent2"/>
        <w:ind w:left="2304"/>
      </w:pPr>
      <w:r w:rsidRPr="002B5AFD">
        <w:t>i</w:t>
      </w:r>
      <w:r w:rsidR="00D363DC" w:rsidRPr="002B5AFD">
        <w:t xml:space="preserve">ndices; </w:t>
      </w:r>
    </w:p>
    <w:p w14:paraId="57BDB058" w14:textId="0985842B" w:rsidR="00D363DC" w:rsidRPr="002B5AFD" w:rsidRDefault="003C03F5" w:rsidP="00803810">
      <w:pPr>
        <w:pStyle w:val="Listnumindent2"/>
        <w:ind w:left="2304"/>
      </w:pPr>
      <w:r w:rsidRPr="002B5AFD">
        <w:t>d</w:t>
      </w:r>
      <w:r w:rsidR="00D363DC" w:rsidRPr="002B5AFD">
        <w:t>esktop valuations based on statistically acceptable sampling techniques;</w:t>
      </w:r>
    </w:p>
    <w:p w14:paraId="23231768" w14:textId="77777777" w:rsidR="00D363DC" w:rsidRPr="002B5AFD" w:rsidRDefault="003C03F5" w:rsidP="00803810">
      <w:pPr>
        <w:pStyle w:val="Listnumindent2"/>
        <w:ind w:left="2304"/>
      </w:pPr>
      <w:r w:rsidRPr="002B5AFD">
        <w:t>s</w:t>
      </w:r>
      <w:r w:rsidR="00D363DC" w:rsidRPr="002B5AFD">
        <w:t>ite visits based on statistically acceptable sampling techniques; and/or</w:t>
      </w:r>
    </w:p>
    <w:p w14:paraId="1445B8CA" w14:textId="77777777" w:rsidR="00D363DC" w:rsidRPr="002B5AFD" w:rsidRDefault="003C03F5" w:rsidP="00803810">
      <w:pPr>
        <w:pStyle w:val="Listnumindent2"/>
        <w:ind w:left="2304"/>
      </w:pPr>
      <w:r w:rsidRPr="002B5AFD">
        <w:t>a</w:t>
      </w:r>
      <w:r w:rsidR="00D363DC" w:rsidRPr="002B5AFD">
        <w:t>ny other professional methodologies considered appropriate by VGV.</w:t>
      </w:r>
    </w:p>
    <w:p w14:paraId="51CEE636" w14:textId="77777777" w:rsidR="00D363DC" w:rsidRDefault="00D363DC" w:rsidP="00803810">
      <w:pPr>
        <w:pStyle w:val="Listnumindent"/>
        <w:ind w:left="1800"/>
      </w:pPr>
      <w:r>
        <w:t>The Approved Valuer may provide common advice to several entities within a portfolio, provided that these entities have similar asset holdings.</w:t>
      </w:r>
    </w:p>
    <w:p w14:paraId="096294BD" w14:textId="77777777" w:rsidR="00D363DC" w:rsidRDefault="00D363DC" w:rsidP="00803810">
      <w:pPr>
        <w:pStyle w:val="Numparaindent"/>
        <w:numPr>
          <w:ilvl w:val="8"/>
          <w:numId w:val="13"/>
        </w:numPr>
      </w:pPr>
      <w:r>
        <w:t>Note that the Approved Valuer shall also document and advise the relevant audit team of its opinion, including the methodology and rationale behind the choice of any additional procedures.</w:t>
      </w:r>
    </w:p>
    <w:p w14:paraId="25F0D873" w14:textId="77777777" w:rsidR="00D363DC" w:rsidRDefault="00D363DC" w:rsidP="00803810">
      <w:pPr>
        <w:pStyle w:val="Numparaindent"/>
      </w:pPr>
      <w:r>
        <w:t>In such circumstances, a managerial revaluation of asset values will not be required, unless otherwise advised by the Approved Valuer that it is appropriate.</w:t>
      </w:r>
    </w:p>
    <w:p w14:paraId="23AC79B0" w14:textId="77777777" w:rsidR="00D363DC" w:rsidRDefault="00D363DC" w:rsidP="00803810">
      <w:pPr>
        <w:pStyle w:val="Numparaindent"/>
      </w:pPr>
      <w:r>
        <w:t xml:space="preserve">In the event that the Approved Valuer conducts an interim revaluation on a class of assets to establish the valuation, the CRO shall provide a copy of the results to DTF and the relevant audit team, as soon as practicable. </w:t>
      </w:r>
    </w:p>
    <w:p w14:paraId="2AC51A79" w14:textId="678380CA" w:rsidR="00D363DC" w:rsidRDefault="00D363DC" w:rsidP="004F759D">
      <w:pPr>
        <w:pStyle w:val="Heading2numbered"/>
      </w:pPr>
      <w:r>
        <w:t xml:space="preserve">Managerial </w:t>
      </w:r>
      <w:r w:rsidR="00803810">
        <w:t>revaluations – land and buildings</w:t>
      </w:r>
    </w:p>
    <w:p w14:paraId="66955D03" w14:textId="77777777" w:rsidR="00D363DC" w:rsidRPr="002B5AFD" w:rsidRDefault="00D363DC" w:rsidP="00747F61">
      <w:pPr>
        <w:pStyle w:val="NormalIndent"/>
      </w:pPr>
      <w:r>
        <w:t xml:space="preserve">Managerial revaluations are appropriate when the </w:t>
      </w:r>
      <w:r w:rsidR="00F757C7">
        <w:t xml:space="preserve">cumulative </w:t>
      </w:r>
      <w:r>
        <w:t xml:space="preserve">movement in indicators is </w:t>
      </w:r>
      <w:r w:rsidRPr="00B82172">
        <w:rPr>
          <w:b/>
        </w:rPr>
        <w:t>not</w:t>
      </w:r>
      <w:r>
        <w:t xml:space="preserve"> exceptionally material. If, by assessing the </w:t>
      </w:r>
      <w:r w:rsidR="00DD19A1">
        <w:t xml:space="preserve">cumulative </w:t>
      </w:r>
      <w:r>
        <w:t xml:space="preserve">movement in the relevant indicators since the last scheduled, interim or managerial revaluation (whichever is the more recent), it is determined that the difference between the fair value of an asset class and that class’ carrying amount is potentially material (greater than 10 per cent), a </w:t>
      </w:r>
      <w:r w:rsidRPr="002B5AFD">
        <w:t>managerial revaluation needs to be performed.</w:t>
      </w:r>
    </w:p>
    <w:p w14:paraId="0B1E19C1" w14:textId="64995182" w:rsidR="00D363DC" w:rsidRPr="002B5AFD" w:rsidRDefault="00D363DC" w:rsidP="00803810">
      <w:pPr>
        <w:pStyle w:val="NormalIndent"/>
      </w:pPr>
      <w:r w:rsidRPr="002B5AFD">
        <w:t xml:space="preserve">The process to be followed for a managerial revaluation is </w:t>
      </w:r>
      <w:r w:rsidR="00DD19A1" w:rsidRPr="002B5AFD">
        <w:t>displayed in</w:t>
      </w:r>
      <w:r w:rsidR="00123FF6" w:rsidRPr="002B5AFD">
        <w:t xml:space="preserve"> Figure </w:t>
      </w:r>
      <w:r w:rsidR="00706E91" w:rsidRPr="002B5AFD">
        <w:t>2</w:t>
      </w:r>
      <w:r w:rsidR="00F214C3">
        <w:t>(a)</w:t>
      </w:r>
      <w:r w:rsidR="00123FF6" w:rsidRPr="002B5AFD">
        <w:t xml:space="preserve">. </w:t>
      </w:r>
    </w:p>
    <w:p w14:paraId="1CCEB68A" w14:textId="72FAEC60" w:rsidR="00D363DC" w:rsidRPr="002B5AFD" w:rsidRDefault="00D363DC" w:rsidP="004F759D">
      <w:pPr>
        <w:pStyle w:val="Heading3numbered"/>
      </w:pPr>
      <w:r w:rsidRPr="002B5AFD">
        <w:lastRenderedPageBreak/>
        <w:t xml:space="preserve">Special </w:t>
      </w:r>
      <w:r w:rsidR="002B6082" w:rsidRPr="002B5AFD">
        <w:t>p</w:t>
      </w:r>
      <w:r w:rsidRPr="002B5AFD">
        <w:t xml:space="preserve">rocedure: </w:t>
      </w:r>
      <w:r w:rsidR="002B6082" w:rsidRPr="002B5AFD">
        <w:t>d</w:t>
      </w:r>
      <w:r w:rsidRPr="002B5AFD">
        <w:t xml:space="preserve">ominant </w:t>
      </w:r>
      <w:r w:rsidR="00DD4A4B" w:rsidRPr="002B5AFD">
        <w:t>a</w:t>
      </w:r>
      <w:r w:rsidRPr="002B5AFD">
        <w:t xml:space="preserve">ssets in a </w:t>
      </w:r>
      <w:r w:rsidR="00DD4A4B" w:rsidRPr="002B5AFD">
        <w:t>c</w:t>
      </w:r>
      <w:r w:rsidRPr="002B5AFD">
        <w:t>lass</w:t>
      </w:r>
    </w:p>
    <w:p w14:paraId="413D932A" w14:textId="77777777" w:rsidR="00D363DC" w:rsidRPr="002B5AFD" w:rsidRDefault="00D363DC" w:rsidP="00803810">
      <w:pPr>
        <w:pStyle w:val="NormalIndent"/>
      </w:pPr>
      <w:r w:rsidRPr="002B5AFD">
        <w:t>It is presumed that a class of assets will be uniform in nature and so the relevant indexation factor will be applied to revalue all assets in that class</w:t>
      </w:r>
      <w:r w:rsidR="00803810">
        <w:t xml:space="preserve">. </w:t>
      </w:r>
      <w:r w:rsidRPr="002B5AFD">
        <w:t>However, at the time of fair value assessment, where a class contains a small number of assets that dominate that class’ value, and the management of an entity has information (or circumstances are such) that indicates that the movement in fair value of these ‘dominant’ assets is materially different to that of the indices, that entity shall refer to an Approved Valuer for further advice on any additional procedures that may need to be conducted on those assets.</w:t>
      </w:r>
    </w:p>
    <w:p w14:paraId="72439396" w14:textId="77777777" w:rsidR="00D363DC" w:rsidRPr="002B5AFD" w:rsidRDefault="00D363DC" w:rsidP="00803810">
      <w:pPr>
        <w:pStyle w:val="NormalIndent"/>
      </w:pPr>
      <w:r w:rsidRPr="002B5AFD">
        <w:t>For the purposes of this section, to ‘dominate’ a class means collectively represent more than 75</w:t>
      </w:r>
      <w:r w:rsidR="00747F61">
        <w:t> per cent</w:t>
      </w:r>
      <w:r w:rsidRPr="002B5AFD">
        <w:t xml:space="preserve"> of the as</w:t>
      </w:r>
      <w:r w:rsidR="00AD1AD6">
        <w:t xml:space="preserve">set class value. </w:t>
      </w:r>
    </w:p>
    <w:p w14:paraId="2581DFD3" w14:textId="77777777" w:rsidR="00D363DC" w:rsidRPr="002B5AFD" w:rsidRDefault="00D363DC" w:rsidP="00803810">
      <w:pPr>
        <w:pStyle w:val="NormalIndent"/>
      </w:pPr>
      <w:r w:rsidRPr="002B5AFD">
        <w:t>The rest of that class of assets shall continue to have the relevant indexation factors applied. The relevant audit team shall also be advised of the results of any additional advice or procedures.</w:t>
      </w:r>
    </w:p>
    <w:p w14:paraId="02745EB9" w14:textId="77D44BFA" w:rsidR="00D363DC" w:rsidRPr="002B5AFD" w:rsidRDefault="00D363DC" w:rsidP="004F759D">
      <w:pPr>
        <w:pStyle w:val="Heading2numbered"/>
      </w:pPr>
      <w:r w:rsidRPr="002B5AFD">
        <w:t xml:space="preserve">Interim and </w:t>
      </w:r>
      <w:r w:rsidR="00AD1AD6" w:rsidRPr="002B5AFD">
        <w:t xml:space="preserve">managerial revaluations </w:t>
      </w:r>
      <w:r w:rsidR="00803810">
        <w:noBreakHyphen/>
      </w:r>
      <w:r w:rsidRPr="002B5AFD">
        <w:t xml:space="preserve"> assets other than land and buildings</w:t>
      </w:r>
      <w:r w:rsidR="00454266">
        <w:t xml:space="preserve"> (including right-of-use assets)</w:t>
      </w:r>
    </w:p>
    <w:p w14:paraId="71D8B2CA" w14:textId="10B7BCBC" w:rsidR="00D363DC" w:rsidRPr="002B5AFD" w:rsidRDefault="007E1B1E" w:rsidP="00803810">
      <w:pPr>
        <w:pStyle w:val="NormalIndent"/>
      </w:pPr>
      <w:r>
        <w:t>M</w:t>
      </w:r>
      <w:r w:rsidR="00D363DC" w:rsidRPr="002B5AFD">
        <w:t xml:space="preserve">anagement </w:t>
      </w:r>
      <w:r>
        <w:t xml:space="preserve">also </w:t>
      </w:r>
      <w:r w:rsidR="00D363DC" w:rsidRPr="002B5AFD">
        <w:t>requires reassurance that asset</w:t>
      </w:r>
      <w:r w:rsidR="00E2671E">
        <w:t>s</w:t>
      </w:r>
      <w:r w:rsidR="00454266">
        <w:t>, other than land and buildings,</w:t>
      </w:r>
      <w:r w:rsidR="00D363DC" w:rsidRPr="002B5AFD">
        <w:t xml:space="preserve"> </w:t>
      </w:r>
      <w:r w:rsidR="00454266">
        <w:t xml:space="preserve">are carried at </w:t>
      </w:r>
      <w:r w:rsidR="00D363DC" w:rsidRPr="002B5AFD">
        <w:t xml:space="preserve">amounts </w:t>
      </w:r>
      <w:r w:rsidR="00454266">
        <w:t xml:space="preserve">that </w:t>
      </w:r>
      <w:r w:rsidR="00D363DC" w:rsidRPr="002B5AFD">
        <w:t xml:space="preserve">are not materially different from their fair values, so the process for the revaluation of these classes of assets shall be as </w:t>
      </w:r>
      <w:r w:rsidR="00D363DC" w:rsidRPr="007E1B1E">
        <w:t xml:space="preserve">that detailed above for land and buildings, </w:t>
      </w:r>
      <w:r w:rsidR="00D363DC" w:rsidRPr="00A65DCF">
        <w:t>using indicators other than VGV indices</w:t>
      </w:r>
      <w:r w:rsidR="00D363DC" w:rsidRPr="007E1B1E">
        <w:t xml:space="preserve">. If </w:t>
      </w:r>
      <w:r w:rsidR="00D363DC" w:rsidRPr="002B5AFD">
        <w:t>appropriate market or other fair value indicators are not available, then management may use specialist professionals to undertake a fair value assessment, or make its own assessment of fair value movement</w:t>
      </w:r>
      <w:r w:rsidR="00803810">
        <w:t xml:space="preserve">. </w:t>
      </w:r>
    </w:p>
    <w:p w14:paraId="214FDE34" w14:textId="3B50DA40" w:rsidR="00D363DC" w:rsidRPr="002B5AFD" w:rsidRDefault="00D363DC" w:rsidP="00803810">
      <w:pPr>
        <w:pStyle w:val="NormalIndent"/>
      </w:pPr>
      <w:r w:rsidRPr="002B5AFD">
        <w:t>A class of non</w:t>
      </w:r>
      <w:r w:rsidR="00803810">
        <w:noBreakHyphen/>
      </w:r>
      <w:r w:rsidRPr="002B5AFD">
        <w:t>financial physical assets whose valuation is based on market value (e.g.</w:t>
      </w:r>
      <w:r w:rsidR="006E276A">
        <w:t> </w:t>
      </w:r>
      <w:r w:rsidRPr="002B5AFD">
        <w:t>public housing) may, from time to time, experience material changes in fair value, resulting in a material difference to the last revaluation (interim or scheduled)</w:t>
      </w:r>
      <w:r w:rsidR="00803810">
        <w:t xml:space="preserve">. </w:t>
      </w:r>
      <w:r w:rsidRPr="002B5AFD">
        <w:t>Such changes should not be inferred or used as indicators for possible movements across the portfolio or the State for other classes of non</w:t>
      </w:r>
      <w:r w:rsidR="00803810">
        <w:noBreakHyphen/>
      </w:r>
      <w:r w:rsidRPr="002B5AFD">
        <w:t>financial physical assets, because market</w:t>
      </w:r>
      <w:r w:rsidR="00803810">
        <w:noBreakHyphen/>
      </w:r>
      <w:r w:rsidRPr="002B5AFD">
        <w:t>based indicators are specific to that market and class of assets.</w:t>
      </w:r>
    </w:p>
    <w:p w14:paraId="100C3D3F" w14:textId="486A3194" w:rsidR="00D363DC" w:rsidRPr="002B5AFD" w:rsidRDefault="00D363DC" w:rsidP="00351FDF">
      <w:pPr>
        <w:pStyle w:val="Heading3numbered"/>
        <w:numPr>
          <w:ilvl w:val="4"/>
          <w:numId w:val="33"/>
        </w:numPr>
      </w:pPr>
      <w:r w:rsidRPr="002B5AFD">
        <w:t xml:space="preserve">Fair </w:t>
      </w:r>
      <w:r w:rsidR="00CD17AB" w:rsidRPr="002B5AFD">
        <w:t>v</w:t>
      </w:r>
      <w:r w:rsidRPr="002B5AFD">
        <w:t xml:space="preserve">alue </w:t>
      </w:r>
      <w:r w:rsidR="00CD17AB" w:rsidRPr="002B5AFD">
        <w:t>i</w:t>
      </w:r>
      <w:r w:rsidRPr="002B5AFD">
        <w:t>ndicators –</w:t>
      </w:r>
      <w:r w:rsidR="00F214C3">
        <w:t xml:space="preserve"> </w:t>
      </w:r>
      <w:r w:rsidR="00CA397E">
        <w:t>‘</w:t>
      </w:r>
      <w:r w:rsidR="00CD17AB" w:rsidRPr="002B5AFD">
        <w:t>s</w:t>
      </w:r>
      <w:r w:rsidRPr="002B5AFD">
        <w:t xml:space="preserve">pecialised </w:t>
      </w:r>
      <w:r w:rsidR="00CD17AB" w:rsidRPr="002B5AFD">
        <w:t>a</w:t>
      </w:r>
      <w:r w:rsidRPr="002B5AFD">
        <w:t>ssets</w:t>
      </w:r>
      <w:r w:rsidR="00CA397E">
        <w:t>’</w:t>
      </w:r>
    </w:p>
    <w:p w14:paraId="409650E2" w14:textId="17C9678F" w:rsidR="00D363DC" w:rsidRDefault="00D363DC" w:rsidP="00747F61">
      <w:pPr>
        <w:pStyle w:val="NormalIndent"/>
      </w:pPr>
      <w:r w:rsidRPr="002B5AFD">
        <w:t>An entity must use appropriate indices, market observations and/or its own specialist knowledge to conduct a fair value assessment on whether an asset class’ fair values have changed</w:t>
      </w:r>
      <w:r w:rsidR="00803810">
        <w:t xml:space="preserve">. </w:t>
      </w:r>
      <w:r w:rsidRPr="002B5AFD">
        <w:t>Certain classes of assets (e.g. cultural assets) may require the application of specialised fair value indicators</w:t>
      </w:r>
      <w:r w:rsidR="00803810">
        <w:t xml:space="preserve">. </w:t>
      </w:r>
      <w:r w:rsidRPr="002B5AFD">
        <w:t>An entity is required to consult with the Approved Valuer</w:t>
      </w:r>
      <w:r w:rsidR="00454266">
        <w:t xml:space="preserve"> (other than for right-of-use assets)</w:t>
      </w:r>
      <w:r w:rsidRPr="002B5AFD">
        <w:t xml:space="preserve"> and CRO when selecting appropriate indicators</w:t>
      </w:r>
      <w:r w:rsidR="00803810">
        <w:t xml:space="preserve">. </w:t>
      </w:r>
    </w:p>
    <w:p w14:paraId="0A362973" w14:textId="5697D48F" w:rsidR="00186906" w:rsidRPr="00D477BD" w:rsidRDefault="00186906" w:rsidP="00351FDF">
      <w:pPr>
        <w:pStyle w:val="Heading3numbered"/>
        <w:numPr>
          <w:ilvl w:val="4"/>
          <w:numId w:val="33"/>
        </w:numPr>
      </w:pPr>
      <w:r w:rsidRPr="00D477BD">
        <w:t xml:space="preserve">Subsequent measurement of right-of-use </w:t>
      </w:r>
      <w:r w:rsidR="008A3EE6" w:rsidRPr="00D477BD">
        <w:t>(R</w:t>
      </w:r>
      <w:r w:rsidR="00CC2180">
        <w:t>o</w:t>
      </w:r>
      <w:r w:rsidR="008A3EE6" w:rsidRPr="00D477BD">
        <w:t xml:space="preserve">U) </w:t>
      </w:r>
      <w:r w:rsidRPr="00D477BD">
        <w:t xml:space="preserve">assets </w:t>
      </w:r>
      <w:r w:rsidR="00CC2180">
        <w:t>arising from market leases</w:t>
      </w:r>
    </w:p>
    <w:p w14:paraId="1D0F5422" w14:textId="536F4539" w:rsidR="00D477BD" w:rsidRDefault="00A6768B" w:rsidP="00295349">
      <w:pPr>
        <w:pStyle w:val="NormalIndent"/>
      </w:pPr>
      <w:r>
        <w:t>FRD 103</w:t>
      </w:r>
      <w:r w:rsidR="00CC2180">
        <w:t xml:space="preserve"> requires entities to measure right-of-use (RoU)</w:t>
      </w:r>
      <w:r w:rsidR="00C979F5">
        <w:t xml:space="preserve"> </w:t>
      </w:r>
      <w:r w:rsidR="00CC2180">
        <w:t xml:space="preserve">assets arising from market leases at fair value </w:t>
      </w:r>
      <w:r w:rsidR="00BB5572">
        <w:t xml:space="preserve">using the revaluation model. </w:t>
      </w:r>
      <w:r w:rsidR="00CC2180">
        <w:t>RoU assets arising from below market leases are required to be measured at cost.</w:t>
      </w:r>
    </w:p>
    <w:p w14:paraId="0110D461" w14:textId="77777777" w:rsidR="00CC2180" w:rsidRDefault="00CC2180" w:rsidP="00CC2180">
      <w:pPr>
        <w:pStyle w:val="NormalIndent"/>
      </w:pPr>
      <w:r>
        <w:t>With respect to annual fair value assessments of RoU assets arising from market leases, FRD 103 clarifies that “</w:t>
      </w:r>
      <w:r w:rsidRPr="00176C94">
        <w:rPr>
          <w:i/>
          <w:iCs/>
        </w:rPr>
        <w:t>management are free to source the information to determine the fair value of right</w:t>
      </w:r>
      <w:r>
        <w:rPr>
          <w:i/>
          <w:iCs/>
        </w:rPr>
        <w:t>-</w:t>
      </w:r>
      <w:r w:rsidRPr="00176C94">
        <w:rPr>
          <w:i/>
          <w:iCs/>
        </w:rPr>
        <w:t>of</w:t>
      </w:r>
      <w:r>
        <w:rPr>
          <w:i/>
          <w:iCs/>
        </w:rPr>
        <w:t>-</w:t>
      </w:r>
      <w:r w:rsidRPr="00176C94">
        <w:rPr>
          <w:i/>
          <w:iCs/>
        </w:rPr>
        <w:t>use assets from any source deemed appropriate in the circumstances and are not limited to using indices</w:t>
      </w:r>
      <w:r>
        <w:t xml:space="preserve">”. </w:t>
      </w:r>
    </w:p>
    <w:p w14:paraId="6B64E447" w14:textId="2E68AF10" w:rsidR="00CC2180" w:rsidRDefault="00CC2180" w:rsidP="001474C1">
      <w:pPr>
        <w:pStyle w:val="NormalIndent"/>
      </w:pPr>
      <w:r>
        <w:t xml:space="preserve">The fair value of an RoU asset effectively represents an amount that a market participant would be willing to pay in the current environment to replace the current service potential of that asset over the remaining lease term. </w:t>
      </w:r>
    </w:p>
    <w:p w14:paraId="12A931FD" w14:textId="55441C46" w:rsidR="00EF5D70" w:rsidRDefault="00CC2180" w:rsidP="0041083B">
      <w:pPr>
        <w:pStyle w:val="NormalIndent"/>
      </w:pPr>
      <w:r>
        <w:lastRenderedPageBreak/>
        <w:t>Entities should apply their judgement in determining the most appropriate approach to fair value RoU assets, taking into consideration all the relevant inputs (</w:t>
      </w:r>
      <w:r w:rsidR="0003647E">
        <w:t>such as passing rents, rent indexation rate, lease term,</w:t>
      </w:r>
      <w:r>
        <w:t xml:space="preserve"> the time value of money, as appropriate). </w:t>
      </w:r>
    </w:p>
    <w:p w14:paraId="05F51CEC" w14:textId="77777777" w:rsidR="006B3917" w:rsidRDefault="00CC2180" w:rsidP="006B3917">
      <w:pPr>
        <w:pStyle w:val="NormalIndent"/>
      </w:pPr>
      <w:r>
        <w:t>If management is aware of any factors or fair value indicators that would give rise to a material movement, similar to other non-financial physical assets, a fair value adjustment may be required.</w:t>
      </w:r>
    </w:p>
    <w:p w14:paraId="61A9D460" w14:textId="6D12D152" w:rsidR="00D363DC" w:rsidRPr="002B5AFD" w:rsidRDefault="00D363DC" w:rsidP="00C656A3">
      <w:pPr>
        <w:pStyle w:val="Heading2numbered"/>
        <w:numPr>
          <w:ilvl w:val="3"/>
          <w:numId w:val="33"/>
        </w:numPr>
      </w:pPr>
      <w:r w:rsidRPr="002B5AFD">
        <w:t xml:space="preserve">Scheduled </w:t>
      </w:r>
      <w:r w:rsidR="00747F61" w:rsidRPr="002B5AFD">
        <w:t>revaluations</w:t>
      </w:r>
    </w:p>
    <w:p w14:paraId="4B4564C1" w14:textId="16AC47B9" w:rsidR="00D363DC" w:rsidRPr="00FA1511" w:rsidRDefault="00D363DC" w:rsidP="00803810">
      <w:pPr>
        <w:pStyle w:val="NormalIndent"/>
      </w:pPr>
      <w:r w:rsidRPr="002B5AFD">
        <w:t xml:space="preserve">The </w:t>
      </w:r>
      <w:r w:rsidRPr="00FA1511">
        <w:t xml:space="preserve">revaluations that are scheduled to occur at the time stipulated in </w:t>
      </w:r>
      <w:r w:rsidR="00AD1AD6" w:rsidRPr="00FA1511">
        <w:t xml:space="preserve">Appendix </w:t>
      </w:r>
      <w:r w:rsidRPr="00FA1511">
        <w:t xml:space="preserve">A </w:t>
      </w:r>
      <w:r w:rsidR="00DE488B" w:rsidRPr="00FA1511">
        <w:t>of</w:t>
      </w:r>
      <w:r w:rsidR="00CA2AA0" w:rsidRPr="00FA1511">
        <w:t xml:space="preserve"> FRD 103 </w:t>
      </w:r>
      <w:r w:rsidRPr="00FA1511">
        <w:t>shall reflect the process detailed above for interim revaluations</w:t>
      </w:r>
      <w:r w:rsidR="00803810" w:rsidRPr="00FA1511">
        <w:t>.</w:t>
      </w:r>
    </w:p>
    <w:p w14:paraId="40371FF2" w14:textId="1B2CD8AC" w:rsidR="00D363DC" w:rsidRDefault="00D363DC" w:rsidP="00803810">
      <w:pPr>
        <w:pStyle w:val="NormalIndent"/>
      </w:pPr>
      <w:r w:rsidRPr="00FA1511">
        <w:t xml:space="preserve">The valuation methodologies deemed relevant </w:t>
      </w:r>
      <w:r w:rsidR="00770513" w:rsidRPr="00FA1511">
        <w:t>t</w:t>
      </w:r>
      <w:r w:rsidRPr="00FA1511">
        <w:t xml:space="preserve">o achieve a </w:t>
      </w:r>
      <w:r w:rsidR="00AD1AD6" w:rsidRPr="00FA1511">
        <w:t xml:space="preserve">level </w:t>
      </w:r>
      <w:r w:rsidRPr="00FA1511">
        <w:t>of professional comfort that the revalued asset class is represented at fair value</w:t>
      </w:r>
      <w:r w:rsidR="00770513" w:rsidRPr="00FA1511">
        <w:t>, shall be selected by the Approved Valuer.</w:t>
      </w:r>
    </w:p>
    <w:p w14:paraId="7B69E712" w14:textId="066161C6" w:rsidR="00CA6877" w:rsidRDefault="009473DF" w:rsidP="009473DF">
      <w:pPr>
        <w:pStyle w:val="NormalIndent"/>
      </w:pPr>
      <w:r w:rsidRPr="00782BAD">
        <w:t xml:space="preserve">The table below shows VPS entities, their COFOG </w:t>
      </w:r>
      <w:r w:rsidR="00B73801">
        <w:t xml:space="preserve">categories </w:t>
      </w:r>
      <w:r w:rsidRPr="00782BAD">
        <w:t xml:space="preserve">and </w:t>
      </w:r>
      <w:r w:rsidR="008A25C6">
        <w:t xml:space="preserve">an </w:t>
      </w:r>
      <w:r w:rsidR="007B1EB1">
        <w:t xml:space="preserve">indicative </w:t>
      </w:r>
      <w:r w:rsidRPr="00782BAD">
        <w:t xml:space="preserve">date of </w:t>
      </w:r>
      <w:r w:rsidR="00351FDF">
        <w:t xml:space="preserve">the </w:t>
      </w:r>
      <w:r w:rsidRPr="00782BAD">
        <w:t xml:space="preserve">scheduled revaluation, current as </w:t>
      </w:r>
      <w:r w:rsidRPr="002014A5">
        <w:t xml:space="preserve">at </w:t>
      </w:r>
      <w:r w:rsidR="00497E4A">
        <w:t>June</w:t>
      </w:r>
      <w:r w:rsidR="00245DF6" w:rsidRPr="002014A5">
        <w:t xml:space="preserve"> </w:t>
      </w:r>
      <w:r w:rsidR="00004CBA" w:rsidRPr="002014A5">
        <w:t>20</w:t>
      </w:r>
      <w:r w:rsidR="00245DF6" w:rsidRPr="002014A5">
        <w:t>2</w:t>
      </w:r>
      <w:r w:rsidR="009B2296" w:rsidRPr="002014A5">
        <w:t>5</w:t>
      </w:r>
      <w:r w:rsidRPr="002014A5">
        <w:t xml:space="preserve">. </w:t>
      </w:r>
      <w:r w:rsidR="00CA6877" w:rsidRPr="002014A5">
        <w:t xml:space="preserve">In the event of a machinery of government (MoG) change, where entities </w:t>
      </w:r>
      <w:r w:rsidR="003D2CC7" w:rsidRPr="002014A5">
        <w:t xml:space="preserve">or functions </w:t>
      </w:r>
      <w:r w:rsidR="00CA6877" w:rsidRPr="002014A5">
        <w:t>move between</w:t>
      </w:r>
      <w:r w:rsidR="00CA6877">
        <w:t xml:space="preserve"> portfolio departments, there should be no impact </w:t>
      </w:r>
      <w:r w:rsidR="0082794D">
        <w:t>to</w:t>
      </w:r>
      <w:r w:rsidR="00CA6877">
        <w:t xml:space="preserve"> their </w:t>
      </w:r>
      <w:r w:rsidR="0082794D">
        <w:t xml:space="preserve">formal </w:t>
      </w:r>
      <w:r w:rsidR="00CA6877">
        <w:t xml:space="preserve">revaluation cycle, unless </w:t>
      </w:r>
      <w:r w:rsidR="00D0612D">
        <w:t>the entity’s purpose has changed</w:t>
      </w:r>
      <w:r w:rsidR="00CA6877">
        <w:t>, and as a result, have moved to a different COFOG category</w:t>
      </w:r>
      <w:r w:rsidR="00914DA0">
        <w:t xml:space="preserve"> as per the Australian </w:t>
      </w:r>
      <w:r w:rsidR="00A672DF">
        <w:t>Bureau</w:t>
      </w:r>
      <w:r w:rsidR="00914DA0">
        <w:t xml:space="preserve"> of Statistics (ABS)</w:t>
      </w:r>
      <w:r w:rsidR="00CA6877">
        <w:t xml:space="preserve">. </w:t>
      </w:r>
      <w:r w:rsidR="005F5F59">
        <w:t xml:space="preserve">Note that </w:t>
      </w:r>
      <w:r w:rsidR="00D12C70">
        <w:t>generally it is</w:t>
      </w:r>
      <w:r w:rsidR="00D47B37">
        <w:t xml:space="preserve"> very rare for entities to change their functions.</w:t>
      </w:r>
    </w:p>
    <w:p w14:paraId="33580E5E" w14:textId="09FAFA22" w:rsidR="00082F33" w:rsidRDefault="00B33D8C" w:rsidP="00B33D8C">
      <w:pPr>
        <w:pStyle w:val="NormalIndent"/>
      </w:pPr>
      <w:r>
        <w:t>However, t</w:t>
      </w:r>
      <w:r w:rsidR="00097AD6">
        <w:t xml:space="preserve">he </w:t>
      </w:r>
      <w:r w:rsidR="00082F33">
        <w:t>formal revaluation</w:t>
      </w:r>
      <w:r w:rsidR="00097AD6">
        <w:t xml:space="preserve"> year</w:t>
      </w:r>
      <w:r w:rsidR="00082F33">
        <w:t xml:space="preserve"> of an entity </w:t>
      </w:r>
      <w:r w:rsidR="00097AD6">
        <w:t xml:space="preserve">may </w:t>
      </w:r>
      <w:r>
        <w:t xml:space="preserve">change </w:t>
      </w:r>
      <w:r w:rsidR="00097AD6">
        <w:t>as a result of a MoG change,</w:t>
      </w:r>
      <w:r w:rsidR="00097AD6" w:rsidRPr="00082F33">
        <w:t xml:space="preserve"> </w:t>
      </w:r>
      <w:r w:rsidR="00097AD6">
        <w:t xml:space="preserve">when </w:t>
      </w:r>
      <w:r w:rsidR="00D42E19">
        <w:t>a</w:t>
      </w:r>
      <w:r w:rsidR="00097AD6">
        <w:t xml:space="preserve"> department decides it is more efficient and effective to conduct a formal revaluation </w:t>
      </w:r>
      <w:r w:rsidR="00134E0D">
        <w:t xml:space="preserve">of the newly transferred entity </w:t>
      </w:r>
      <w:r w:rsidR="0035799B">
        <w:t xml:space="preserve">together </w:t>
      </w:r>
      <w:r w:rsidR="00082F33">
        <w:t>with the rest of the portfolio</w:t>
      </w:r>
      <w:r>
        <w:t>.</w:t>
      </w:r>
      <w:r w:rsidR="007B1EB1">
        <w:t xml:space="preserve"> </w:t>
      </w:r>
      <w:r w:rsidR="00351FDF">
        <w:t>Note that this change cannot be tracked centrally.</w:t>
      </w:r>
    </w:p>
    <w:p w14:paraId="1DD16CF8" w14:textId="1A58D6C6" w:rsidR="009473DF" w:rsidRDefault="009473DF" w:rsidP="009473DF">
      <w:pPr>
        <w:pStyle w:val="NormalIndent"/>
      </w:pPr>
      <w:r w:rsidRPr="007B1EB1">
        <w:t>Entities are responsible for monitoring their revaluations and complying with the valuation cycle and should consult directly with the Valuer-General’s office if they have any queries regarding their valuation cycle.</w:t>
      </w:r>
      <w:r w:rsidR="007B1EB1">
        <w:t xml:space="preserve"> </w:t>
      </w:r>
    </w:p>
    <w:p w14:paraId="064E28B5" w14:textId="5D341DA1" w:rsidR="009473DF" w:rsidRPr="009473DF" w:rsidRDefault="00CF0AF5" w:rsidP="009473DF">
      <w:pPr>
        <w:pStyle w:val="NormalIndent"/>
        <w:rPr>
          <w:b/>
        </w:rPr>
      </w:pPr>
      <w:r>
        <w:rPr>
          <w:b/>
        </w:rPr>
        <w:t>Indicative a</w:t>
      </w:r>
      <w:r w:rsidR="009473DF" w:rsidRPr="009473DF">
        <w:rPr>
          <w:b/>
        </w:rPr>
        <w:t>llocation of COFOG categories to entities</w:t>
      </w:r>
    </w:p>
    <w:tbl>
      <w:tblPr>
        <w:tblStyle w:val="DTFtexttableindent"/>
        <w:tblW w:w="0" w:type="auto"/>
        <w:tblLook w:val="0420" w:firstRow="1" w:lastRow="0" w:firstColumn="0" w:lastColumn="0" w:noHBand="0" w:noVBand="1"/>
      </w:tblPr>
      <w:tblGrid>
        <w:gridCol w:w="1636"/>
        <w:gridCol w:w="1721"/>
        <w:gridCol w:w="4962"/>
      </w:tblGrid>
      <w:tr w:rsidR="0030506A" w:rsidRPr="009473DF" w14:paraId="188DBD4E" w14:textId="77777777" w:rsidTr="00C23979">
        <w:trPr>
          <w:cnfStyle w:val="100000000000" w:firstRow="1" w:lastRow="0" w:firstColumn="0" w:lastColumn="0" w:oddVBand="0" w:evenVBand="0" w:oddHBand="0" w:evenHBand="0" w:firstRowFirstColumn="0" w:firstRowLastColumn="0" w:lastRowFirstColumn="0" w:lastRowLastColumn="0"/>
        </w:trPr>
        <w:tc>
          <w:tcPr>
            <w:tcW w:w="1636" w:type="dxa"/>
          </w:tcPr>
          <w:p w14:paraId="7F7C6D95" w14:textId="36A9266F" w:rsidR="009473DF" w:rsidRPr="009473DF" w:rsidRDefault="009473DF" w:rsidP="0030506A">
            <w:pPr>
              <w:pStyle w:val="NormalIndent"/>
              <w:ind w:left="34"/>
            </w:pPr>
            <w:r w:rsidRPr="009473DF">
              <w:t xml:space="preserve">Scheduled revaluation </w:t>
            </w:r>
            <w:r w:rsidR="007D2C6A" w:rsidRPr="009473DF">
              <w:t xml:space="preserve">year </w:t>
            </w:r>
            <w:r w:rsidRPr="009473DF">
              <w:t>(Commencing)</w:t>
            </w:r>
            <w:r w:rsidR="001640F6">
              <w:rPr>
                <w:rStyle w:val="FootnoteReference"/>
              </w:rPr>
              <w:footnoteReference w:id="1"/>
            </w:r>
            <w:r w:rsidRPr="009473DF">
              <w:t xml:space="preserve"> </w:t>
            </w:r>
          </w:p>
        </w:tc>
        <w:tc>
          <w:tcPr>
            <w:tcW w:w="1721" w:type="dxa"/>
          </w:tcPr>
          <w:p w14:paraId="6384F86B" w14:textId="083049FD" w:rsidR="009473DF" w:rsidRPr="009473DF" w:rsidRDefault="009473DF" w:rsidP="0030506A">
            <w:pPr>
              <w:pStyle w:val="NormalIndent"/>
              <w:ind w:left="0"/>
            </w:pPr>
            <w:r w:rsidRPr="009473DF">
              <w:t xml:space="preserve">COFOG </w:t>
            </w:r>
            <w:r w:rsidR="009205CD">
              <w:br/>
            </w:r>
            <w:r w:rsidRPr="009473DF">
              <w:t>category</w:t>
            </w:r>
          </w:p>
        </w:tc>
        <w:tc>
          <w:tcPr>
            <w:tcW w:w="4962" w:type="dxa"/>
          </w:tcPr>
          <w:p w14:paraId="7F3B147B" w14:textId="0558E909" w:rsidR="009473DF" w:rsidRPr="00351FDF" w:rsidRDefault="009473DF" w:rsidP="0030506A">
            <w:pPr>
              <w:pStyle w:val="NormalIndent"/>
              <w:ind w:left="-32"/>
              <w:rPr>
                <w:vertAlign w:val="superscript"/>
              </w:rPr>
            </w:pPr>
            <w:r w:rsidRPr="009473DF">
              <w:t>Applicable VPS Functional Entities</w:t>
            </w:r>
          </w:p>
        </w:tc>
      </w:tr>
      <w:tr w:rsidR="0030506A" w:rsidRPr="009473DF" w14:paraId="64CA3FB8" w14:textId="77777777" w:rsidTr="00C23979">
        <w:tc>
          <w:tcPr>
            <w:tcW w:w="1636" w:type="dxa"/>
          </w:tcPr>
          <w:p w14:paraId="10A40E50" w14:textId="73FE27AC" w:rsidR="009473DF" w:rsidRPr="009473DF" w:rsidRDefault="009473DF" w:rsidP="0030506A">
            <w:pPr>
              <w:pStyle w:val="NormalIndent"/>
              <w:ind w:left="34"/>
            </w:pPr>
            <w:r w:rsidRPr="009473DF">
              <w:t>1 July 20</w:t>
            </w:r>
            <w:r w:rsidR="005541F7">
              <w:t>24</w:t>
            </w:r>
          </w:p>
        </w:tc>
        <w:tc>
          <w:tcPr>
            <w:tcW w:w="1721" w:type="dxa"/>
          </w:tcPr>
          <w:p w14:paraId="00C5D6A7" w14:textId="77777777" w:rsidR="009473DF" w:rsidRPr="009473DF" w:rsidRDefault="009473DF" w:rsidP="0030506A">
            <w:pPr>
              <w:pStyle w:val="NormalIndent"/>
              <w:ind w:left="0"/>
            </w:pPr>
            <w:r w:rsidRPr="009473DF">
              <w:t>Transport</w:t>
            </w:r>
          </w:p>
        </w:tc>
        <w:tc>
          <w:tcPr>
            <w:tcW w:w="4962" w:type="dxa"/>
          </w:tcPr>
          <w:p w14:paraId="40C87200" w14:textId="664ABFBD" w:rsidR="004A0528" w:rsidRPr="004A0528" w:rsidRDefault="009473DF" w:rsidP="004A0528">
            <w:pPr>
              <w:pStyle w:val="Tablebullet"/>
            </w:pPr>
            <w:r w:rsidRPr="009473DF">
              <w:t>D</w:t>
            </w:r>
            <w:r w:rsidR="00C05981">
              <w:t>T</w:t>
            </w:r>
            <w:r w:rsidR="00933DED">
              <w:t>P</w:t>
            </w:r>
            <w:r w:rsidRPr="009473DF">
              <w:t xml:space="preserve"> (</w:t>
            </w:r>
            <w:r w:rsidR="00AF14F1">
              <w:t>incorporating</w:t>
            </w:r>
            <w:r w:rsidR="00C05981">
              <w:t xml:space="preserve"> </w:t>
            </w:r>
            <w:r w:rsidR="00AF14F1">
              <w:t xml:space="preserve">the former </w:t>
            </w:r>
            <w:r w:rsidR="00AF14F1" w:rsidRPr="009473DF">
              <w:t>VicRoads</w:t>
            </w:r>
            <w:r w:rsidR="00AF14F1">
              <w:t xml:space="preserve"> and PTV as well as</w:t>
            </w:r>
            <w:r w:rsidR="00AF14F1" w:rsidRPr="009473DF">
              <w:t xml:space="preserve"> </w:t>
            </w:r>
            <w:r w:rsidRPr="009473DF">
              <w:t>VicTrack, V/Line Corporation</w:t>
            </w:r>
            <w:r w:rsidR="00912426">
              <w:t xml:space="preserve">, </w:t>
            </w:r>
            <w:r w:rsidR="00A45EB1" w:rsidRPr="00642BC4">
              <w:t>Ports Victoria</w:t>
            </w:r>
            <w:r w:rsidR="00912426">
              <w:t>, Melbourne Port Lessor</w:t>
            </w:r>
            <w:r w:rsidR="009807B5">
              <w:t xml:space="preserve"> and</w:t>
            </w:r>
            <w:r w:rsidR="00912426">
              <w:t xml:space="preserve"> Port of Hastings Corporation</w:t>
            </w:r>
            <w:r w:rsidRPr="00642BC4">
              <w:t>)</w:t>
            </w:r>
          </w:p>
        </w:tc>
      </w:tr>
      <w:tr w:rsidR="0030506A" w:rsidRPr="009473DF" w14:paraId="2E08C8C4" w14:textId="77777777" w:rsidTr="00C23979">
        <w:trPr>
          <w:cnfStyle w:val="000000010000" w:firstRow="0" w:lastRow="0" w:firstColumn="0" w:lastColumn="0" w:oddVBand="0" w:evenVBand="0" w:oddHBand="0" w:evenHBand="1" w:firstRowFirstColumn="0" w:firstRowLastColumn="0" w:lastRowFirstColumn="0" w:lastRowLastColumn="0"/>
        </w:trPr>
        <w:tc>
          <w:tcPr>
            <w:tcW w:w="1636" w:type="dxa"/>
          </w:tcPr>
          <w:p w14:paraId="7F8D00C8" w14:textId="5CAAAA2C" w:rsidR="009473DF" w:rsidRPr="00980A2F" w:rsidRDefault="009473DF" w:rsidP="0030506A">
            <w:pPr>
              <w:pStyle w:val="NormalIndent"/>
              <w:ind w:left="34"/>
            </w:pPr>
            <w:r w:rsidRPr="00980A2F">
              <w:t>1 July 202</w:t>
            </w:r>
            <w:r w:rsidR="00751647" w:rsidRPr="00980A2F">
              <w:t>5</w:t>
            </w:r>
          </w:p>
        </w:tc>
        <w:tc>
          <w:tcPr>
            <w:tcW w:w="1721" w:type="dxa"/>
          </w:tcPr>
          <w:p w14:paraId="5F63FBC7" w14:textId="77777777" w:rsidR="009473DF" w:rsidRPr="00980A2F" w:rsidRDefault="009473DF" w:rsidP="0030506A">
            <w:pPr>
              <w:pStyle w:val="NormalIndent"/>
              <w:ind w:left="0"/>
            </w:pPr>
            <w:r w:rsidRPr="00980A2F">
              <w:t>Economic Affairs</w:t>
            </w:r>
          </w:p>
        </w:tc>
        <w:tc>
          <w:tcPr>
            <w:tcW w:w="4962" w:type="dxa"/>
          </w:tcPr>
          <w:p w14:paraId="19BEFCB4" w14:textId="6E1BF973" w:rsidR="009473DF" w:rsidRPr="001C6BEE" w:rsidRDefault="00960474" w:rsidP="001C6BEE">
            <w:pPr>
              <w:pStyle w:val="Tablebullet"/>
            </w:pPr>
            <w:r w:rsidRPr="00980A2F">
              <w:t xml:space="preserve">DECCA </w:t>
            </w:r>
            <w:r w:rsidR="009473DF" w:rsidRPr="00980A2F">
              <w:t>(</w:t>
            </w:r>
            <w:r w:rsidR="00DE1CFD" w:rsidRPr="00980A2F">
              <w:t>PNFCs excluding Water authorities</w:t>
            </w:r>
            <w:r w:rsidR="001C6BEE">
              <w:t xml:space="preserve">,               </w:t>
            </w:r>
            <w:r w:rsidR="00F02359" w:rsidRPr="001C6BEE">
              <w:t>State Electricity Commission of Victoria, VicForests</w:t>
            </w:r>
            <w:r w:rsidR="009473DF" w:rsidRPr="001C6BEE">
              <w:t>)</w:t>
            </w:r>
          </w:p>
          <w:p w14:paraId="6CAC6E1A" w14:textId="7C366C85" w:rsidR="00026D8A" w:rsidRPr="00C24DA1" w:rsidRDefault="00026D8A" w:rsidP="009205CD">
            <w:pPr>
              <w:pStyle w:val="Tablebullet"/>
            </w:pPr>
            <w:r w:rsidRPr="00860F5A">
              <w:t>D</w:t>
            </w:r>
            <w:r w:rsidR="004733DD" w:rsidRPr="00860F5A">
              <w:t>JSIR</w:t>
            </w:r>
            <w:r w:rsidRPr="00860F5A">
              <w:t xml:space="preserve"> (Fisheries)</w:t>
            </w:r>
          </w:p>
        </w:tc>
      </w:tr>
      <w:tr w:rsidR="0021326D" w:rsidRPr="009473DF" w14:paraId="1AA7BA71" w14:textId="77777777" w:rsidTr="00C23979">
        <w:tc>
          <w:tcPr>
            <w:tcW w:w="1636" w:type="dxa"/>
          </w:tcPr>
          <w:p w14:paraId="220AE1A5" w14:textId="212CEA23" w:rsidR="0021326D" w:rsidRPr="00C656A3" w:rsidRDefault="0021326D" w:rsidP="0021326D">
            <w:pPr>
              <w:pStyle w:val="NormalIndent"/>
              <w:ind w:left="34"/>
            </w:pPr>
            <w:r w:rsidRPr="00F81E92">
              <w:t>1 July 202</w:t>
            </w:r>
            <w:r w:rsidR="009A4C57">
              <w:t>5</w:t>
            </w:r>
          </w:p>
        </w:tc>
        <w:tc>
          <w:tcPr>
            <w:tcW w:w="1721" w:type="dxa"/>
          </w:tcPr>
          <w:p w14:paraId="167F33A3" w14:textId="531F1130" w:rsidR="0021326D" w:rsidRPr="00C656A3" w:rsidRDefault="0021326D" w:rsidP="0021326D">
            <w:pPr>
              <w:pStyle w:val="NormalIndent"/>
              <w:ind w:left="0"/>
            </w:pPr>
            <w:r w:rsidRPr="00C656A3">
              <w:t>Public Order and Safety</w:t>
            </w:r>
          </w:p>
        </w:tc>
        <w:tc>
          <w:tcPr>
            <w:tcW w:w="4962" w:type="dxa"/>
          </w:tcPr>
          <w:p w14:paraId="28ECACA3" w14:textId="4D6B8808" w:rsidR="0021326D" w:rsidRPr="00C656A3" w:rsidRDefault="0021326D" w:rsidP="0021326D">
            <w:pPr>
              <w:pStyle w:val="Tablebullet"/>
            </w:pPr>
            <w:r w:rsidRPr="00C656A3">
              <w:t>DJCS</w:t>
            </w:r>
          </w:p>
        </w:tc>
      </w:tr>
      <w:tr w:rsidR="009A4C57" w:rsidRPr="009473DF" w14:paraId="643D5F34" w14:textId="77777777" w:rsidTr="00C23979">
        <w:trPr>
          <w:cnfStyle w:val="000000010000" w:firstRow="0" w:lastRow="0" w:firstColumn="0" w:lastColumn="0" w:oddVBand="0" w:evenVBand="0" w:oddHBand="0" w:evenHBand="1" w:firstRowFirstColumn="0" w:firstRowLastColumn="0" w:lastRowFirstColumn="0" w:lastRowLastColumn="0"/>
        </w:trPr>
        <w:tc>
          <w:tcPr>
            <w:tcW w:w="1636" w:type="dxa"/>
          </w:tcPr>
          <w:p w14:paraId="43B3B9BC" w14:textId="56CA1C29" w:rsidR="009A4C57" w:rsidRPr="00F81E92" w:rsidRDefault="009A4C57" w:rsidP="009A4C57">
            <w:pPr>
              <w:pStyle w:val="NormalIndent"/>
              <w:ind w:left="34"/>
            </w:pPr>
            <w:r w:rsidRPr="00F81E92">
              <w:t>1 July 202</w:t>
            </w:r>
            <w:r>
              <w:t>5</w:t>
            </w:r>
          </w:p>
        </w:tc>
        <w:tc>
          <w:tcPr>
            <w:tcW w:w="1721" w:type="dxa"/>
          </w:tcPr>
          <w:p w14:paraId="60E92B79" w14:textId="22A72797" w:rsidR="009A4C57" w:rsidRPr="009A4C57" w:rsidRDefault="009A4C57" w:rsidP="009A4C57">
            <w:pPr>
              <w:pStyle w:val="NormalIndent"/>
              <w:ind w:left="0"/>
            </w:pPr>
            <w:r w:rsidRPr="00F81E92">
              <w:t>Recreation, Culture and Religion</w:t>
            </w:r>
          </w:p>
        </w:tc>
        <w:tc>
          <w:tcPr>
            <w:tcW w:w="4962" w:type="dxa"/>
          </w:tcPr>
          <w:p w14:paraId="3FDE02EF" w14:textId="77777777" w:rsidR="009A4C57" w:rsidRPr="00F81E92" w:rsidRDefault="009A4C57" w:rsidP="009A4C57">
            <w:pPr>
              <w:pStyle w:val="Tablebullet"/>
            </w:pPr>
            <w:r w:rsidRPr="00F81E92">
              <w:t>DEECA (Zoological Parks and Gardens Board and Phillip Island Nature Parks)</w:t>
            </w:r>
            <w:r w:rsidRPr="00F81E92">
              <w:rPr>
                <w:rStyle w:val="FootnoteReference"/>
              </w:rPr>
              <w:footnoteReference w:id="2"/>
            </w:r>
          </w:p>
          <w:p w14:paraId="6C35BA6A" w14:textId="43236257" w:rsidR="009A4C57" w:rsidRPr="009A4C57" w:rsidRDefault="009A4C57" w:rsidP="009A4C57">
            <w:pPr>
              <w:pStyle w:val="Tablebullet"/>
            </w:pPr>
            <w:r w:rsidRPr="00F81E92">
              <w:t xml:space="preserve">DJSIR portfolio </w:t>
            </w:r>
          </w:p>
        </w:tc>
      </w:tr>
      <w:tr w:rsidR="009A4C57" w:rsidRPr="009473DF" w14:paraId="5BD9D165" w14:textId="77777777" w:rsidTr="00C23979">
        <w:tc>
          <w:tcPr>
            <w:tcW w:w="1636" w:type="dxa"/>
          </w:tcPr>
          <w:p w14:paraId="2FA830A2" w14:textId="314E8707" w:rsidR="009A4C57" w:rsidRPr="00F81E92" w:rsidRDefault="009A4C57" w:rsidP="009A4C57">
            <w:pPr>
              <w:pStyle w:val="NormalIndent"/>
              <w:ind w:left="34"/>
            </w:pPr>
            <w:r w:rsidRPr="00F81E92">
              <w:lastRenderedPageBreak/>
              <w:t>1 July 2026</w:t>
            </w:r>
          </w:p>
        </w:tc>
        <w:tc>
          <w:tcPr>
            <w:tcW w:w="1721" w:type="dxa"/>
          </w:tcPr>
          <w:p w14:paraId="625E7770" w14:textId="77777777" w:rsidR="009A4C57" w:rsidRPr="00F81E92" w:rsidRDefault="009A4C57" w:rsidP="009A4C57">
            <w:pPr>
              <w:pStyle w:val="NormalIndent"/>
              <w:ind w:left="0"/>
            </w:pPr>
            <w:r w:rsidRPr="00F81E92">
              <w:t xml:space="preserve">General Public Services </w:t>
            </w:r>
          </w:p>
        </w:tc>
        <w:tc>
          <w:tcPr>
            <w:tcW w:w="4962" w:type="dxa"/>
          </w:tcPr>
          <w:p w14:paraId="5D18F38E" w14:textId="2C9EF581" w:rsidR="009A4C57" w:rsidRPr="00F81E92" w:rsidRDefault="009A4C57" w:rsidP="009A4C57">
            <w:pPr>
              <w:pStyle w:val="Tablebullet"/>
            </w:pPr>
            <w:r w:rsidRPr="00F81E92">
              <w:t>DTF (insurers, State Trustees Ltd, Victoria Funds Management Corporation and Treasury Corporation of Victoria)</w:t>
            </w:r>
          </w:p>
          <w:p w14:paraId="21446FB2" w14:textId="32DCF324" w:rsidR="009A4C57" w:rsidRPr="00F81E92" w:rsidRDefault="009A4C57" w:rsidP="009A4C57">
            <w:pPr>
              <w:pStyle w:val="Tablebullet"/>
            </w:pPr>
            <w:r w:rsidRPr="00F81E92">
              <w:t xml:space="preserve">DPC </w:t>
            </w:r>
          </w:p>
          <w:p w14:paraId="597DC2B9" w14:textId="6A142CCE" w:rsidR="009A4C57" w:rsidRPr="00F81E92" w:rsidRDefault="009A4C57" w:rsidP="009A4C57">
            <w:pPr>
              <w:pStyle w:val="Tablebullet"/>
            </w:pPr>
            <w:r w:rsidRPr="00F81E92">
              <w:t>DFFH (Women’s policy and Youth Affairs, Shrine of Remembrance Trustees)</w:t>
            </w:r>
          </w:p>
          <w:p w14:paraId="3F07EEEC" w14:textId="2307BDAB" w:rsidR="009A4C57" w:rsidRPr="00F81E92" w:rsidRDefault="009A4C57" w:rsidP="009A4C57">
            <w:pPr>
              <w:pStyle w:val="Tablebullet"/>
            </w:pPr>
            <w:r w:rsidRPr="00F81E92">
              <w:t>DH (Cemeteries)</w:t>
            </w:r>
          </w:p>
          <w:p w14:paraId="48A422DA" w14:textId="4565029B" w:rsidR="009A4C57" w:rsidRPr="00F81E92" w:rsidRDefault="009A4C57" w:rsidP="009A4C57">
            <w:pPr>
              <w:pStyle w:val="Tablebullet"/>
            </w:pPr>
            <w:r w:rsidRPr="00F81E92">
              <w:t>DGS</w:t>
            </w:r>
          </w:p>
        </w:tc>
      </w:tr>
      <w:tr w:rsidR="009A4C57" w:rsidRPr="009473DF" w14:paraId="5399BB5C" w14:textId="77777777" w:rsidTr="00C23979">
        <w:trPr>
          <w:cnfStyle w:val="000000010000" w:firstRow="0" w:lastRow="0" w:firstColumn="0" w:lastColumn="0" w:oddVBand="0" w:evenVBand="0" w:oddHBand="0" w:evenHBand="1" w:firstRowFirstColumn="0" w:firstRowLastColumn="0" w:lastRowFirstColumn="0" w:lastRowLastColumn="0"/>
        </w:trPr>
        <w:tc>
          <w:tcPr>
            <w:tcW w:w="1636" w:type="dxa"/>
          </w:tcPr>
          <w:p w14:paraId="4E4A3B1B" w14:textId="7B0412FF" w:rsidR="009A4C57" w:rsidRPr="009473DF" w:rsidRDefault="009A4C57" w:rsidP="009A4C57">
            <w:pPr>
              <w:pStyle w:val="NormalIndent"/>
              <w:ind w:left="34"/>
            </w:pPr>
            <w:r w:rsidRPr="009473DF">
              <w:t>1 July 20</w:t>
            </w:r>
            <w:r>
              <w:t>28</w:t>
            </w:r>
          </w:p>
        </w:tc>
        <w:tc>
          <w:tcPr>
            <w:tcW w:w="1721" w:type="dxa"/>
          </w:tcPr>
          <w:p w14:paraId="10CA57CC" w14:textId="77777777" w:rsidR="009A4C57" w:rsidRPr="009473DF" w:rsidRDefault="009A4C57" w:rsidP="009A4C57">
            <w:pPr>
              <w:pStyle w:val="NormalIndent"/>
              <w:ind w:left="0"/>
            </w:pPr>
            <w:r w:rsidRPr="009473DF">
              <w:t>Housing and Community Amenities</w:t>
            </w:r>
          </w:p>
        </w:tc>
        <w:tc>
          <w:tcPr>
            <w:tcW w:w="4962" w:type="dxa"/>
          </w:tcPr>
          <w:p w14:paraId="6296F09E" w14:textId="5BCD48BD" w:rsidR="009A4C57" w:rsidRPr="00976731" w:rsidRDefault="009A4C57" w:rsidP="009A4C57">
            <w:pPr>
              <w:pStyle w:val="Tablebullet"/>
            </w:pPr>
            <w:r w:rsidRPr="00976731">
              <w:t xml:space="preserve">DFFH (Housing, </w:t>
            </w:r>
            <w:r w:rsidRPr="00D47B37">
              <w:t>VITS Language Loop</w:t>
            </w:r>
            <w:r w:rsidRPr="00976731">
              <w:t>)</w:t>
            </w:r>
          </w:p>
        </w:tc>
      </w:tr>
      <w:tr w:rsidR="009A4C57" w:rsidRPr="009473DF" w14:paraId="3BA9C455" w14:textId="77777777" w:rsidTr="00C23979">
        <w:tc>
          <w:tcPr>
            <w:tcW w:w="1636" w:type="dxa"/>
          </w:tcPr>
          <w:p w14:paraId="4BB589B8" w14:textId="6D6C57DE" w:rsidR="009A4C57" w:rsidRPr="009473DF" w:rsidRDefault="009A4C57" w:rsidP="009A4C57">
            <w:pPr>
              <w:pStyle w:val="NormalIndent"/>
              <w:ind w:left="34"/>
            </w:pPr>
            <w:r w:rsidRPr="009473DF">
              <w:t>1 July 20</w:t>
            </w:r>
            <w:r>
              <w:t>28</w:t>
            </w:r>
          </w:p>
        </w:tc>
        <w:tc>
          <w:tcPr>
            <w:tcW w:w="1721" w:type="dxa"/>
          </w:tcPr>
          <w:p w14:paraId="0E7134C2" w14:textId="77777777" w:rsidR="009A4C57" w:rsidRPr="009473DF" w:rsidRDefault="009A4C57" w:rsidP="009A4C57">
            <w:pPr>
              <w:pStyle w:val="NormalIndent"/>
              <w:ind w:left="0"/>
            </w:pPr>
            <w:r w:rsidRPr="009473DF">
              <w:t>Health</w:t>
            </w:r>
          </w:p>
        </w:tc>
        <w:tc>
          <w:tcPr>
            <w:tcW w:w="4962" w:type="dxa"/>
          </w:tcPr>
          <w:p w14:paraId="2801B2F2" w14:textId="08E86463" w:rsidR="009A4C57" w:rsidRPr="00BC5A03" w:rsidRDefault="009A4C57" w:rsidP="009A4C57">
            <w:pPr>
              <w:pStyle w:val="Tablebullet"/>
            </w:pPr>
            <w:r w:rsidRPr="00BC5A03">
              <w:t>DFFH (Queen Victoria Women’s Centre Trust)</w:t>
            </w:r>
          </w:p>
          <w:p w14:paraId="643AB7CB" w14:textId="6073C0DA" w:rsidR="009A4C57" w:rsidRPr="00BC5A03" w:rsidRDefault="009A4C57" w:rsidP="009A4C57">
            <w:pPr>
              <w:pStyle w:val="Tablebullet"/>
            </w:pPr>
            <w:r w:rsidRPr="00BC5A03">
              <w:t>DH</w:t>
            </w:r>
            <w:r>
              <w:t xml:space="preserve"> (excluding Cemeteries)</w:t>
            </w:r>
          </w:p>
        </w:tc>
      </w:tr>
      <w:tr w:rsidR="009A4C57" w:rsidRPr="009473DF" w14:paraId="5B93D37A" w14:textId="77777777" w:rsidTr="00C23979">
        <w:trPr>
          <w:cnfStyle w:val="000000010000" w:firstRow="0" w:lastRow="0" w:firstColumn="0" w:lastColumn="0" w:oddVBand="0" w:evenVBand="0" w:oddHBand="0" w:evenHBand="1" w:firstRowFirstColumn="0" w:firstRowLastColumn="0" w:lastRowFirstColumn="0" w:lastRowLastColumn="0"/>
        </w:trPr>
        <w:tc>
          <w:tcPr>
            <w:tcW w:w="1636" w:type="dxa"/>
          </w:tcPr>
          <w:p w14:paraId="7ADDC5B2" w14:textId="7073DE59" w:rsidR="009A4C57" w:rsidRPr="009473DF" w:rsidRDefault="009A4C57" w:rsidP="009A4C57">
            <w:pPr>
              <w:pStyle w:val="NormalIndent"/>
              <w:ind w:left="34"/>
            </w:pPr>
            <w:r w:rsidRPr="009473DF">
              <w:t>1 July 20</w:t>
            </w:r>
            <w:r>
              <w:t>28</w:t>
            </w:r>
          </w:p>
        </w:tc>
        <w:tc>
          <w:tcPr>
            <w:tcW w:w="1721" w:type="dxa"/>
          </w:tcPr>
          <w:p w14:paraId="28F62F2F" w14:textId="77777777" w:rsidR="009A4C57" w:rsidRPr="00BC5A03" w:rsidRDefault="009A4C57" w:rsidP="009A4C57">
            <w:pPr>
              <w:pStyle w:val="NormalIndent"/>
              <w:ind w:left="0"/>
              <w:rPr>
                <w:highlight w:val="yellow"/>
              </w:rPr>
            </w:pPr>
            <w:r w:rsidRPr="00BC5A03">
              <w:t>Social Protection</w:t>
            </w:r>
          </w:p>
        </w:tc>
        <w:tc>
          <w:tcPr>
            <w:tcW w:w="4962" w:type="dxa"/>
          </w:tcPr>
          <w:p w14:paraId="077CD8BF" w14:textId="3C896284" w:rsidR="009A4C57" w:rsidRPr="00BC5A03" w:rsidRDefault="009A4C57" w:rsidP="009A4C57">
            <w:pPr>
              <w:pStyle w:val="Tablebullet"/>
            </w:pPr>
            <w:r w:rsidRPr="00BC5A03">
              <w:t>DFFH</w:t>
            </w:r>
          </w:p>
        </w:tc>
      </w:tr>
    </w:tbl>
    <w:p w14:paraId="7D38B996" w14:textId="77777777" w:rsidR="00D363DC" w:rsidRPr="002B5AFD" w:rsidRDefault="00D363DC" w:rsidP="002F6F91">
      <w:pPr>
        <w:pStyle w:val="Heading2numbered"/>
      </w:pPr>
      <w:r w:rsidRPr="002B5AFD">
        <w:t>Insurance valuations</w:t>
      </w:r>
    </w:p>
    <w:p w14:paraId="0434B2B2" w14:textId="77777777" w:rsidR="00D363DC" w:rsidRDefault="00D363DC" w:rsidP="00803810">
      <w:pPr>
        <w:pStyle w:val="NormalIndent"/>
      </w:pPr>
      <w:r>
        <w:t>At the same time that assets are valued for financial reporting purposes entities may, for efficiency and cost minimisation, obtain valuations for insurance purposes. However, insurance valuations are typically based upon ‘insurance replacement cost’ rather than ‘fair value’</w:t>
      </w:r>
      <w:r w:rsidR="00803810">
        <w:t xml:space="preserve">. </w:t>
      </w:r>
      <w:r>
        <w:t>Accordingly, entities shall differentiate between these two types of valuations in their asset registers.</w:t>
      </w:r>
    </w:p>
    <w:p w14:paraId="74B80C3C" w14:textId="526ED208" w:rsidR="00D363DC" w:rsidRDefault="00D363DC" w:rsidP="002F6F91">
      <w:pPr>
        <w:pStyle w:val="Heading2numbered"/>
      </w:pPr>
      <w:r>
        <w:t>Rental valuations</w:t>
      </w:r>
      <w:r w:rsidR="0023205A">
        <w:t xml:space="preserve"> as lessors</w:t>
      </w:r>
    </w:p>
    <w:p w14:paraId="53BA5521" w14:textId="73223757" w:rsidR="00D75479" w:rsidRDefault="00D363DC" w:rsidP="00803810">
      <w:pPr>
        <w:pStyle w:val="NormalIndent"/>
      </w:pPr>
      <w:r>
        <w:t>Entities at times obtain valuations for the purpose of establishing rental rates for their assets</w:t>
      </w:r>
      <w:r w:rsidR="00803810">
        <w:t xml:space="preserve">. </w:t>
      </w:r>
      <w:r>
        <w:t xml:space="preserve">Such valuations may occur at other times or may occur at the same time that assets are valued for financial reporting purposes. Such valuations need to be distinguished from revaluations conducted for financial reporting proposes, and are not subject to </w:t>
      </w:r>
      <w:r w:rsidR="00460BEF">
        <w:t>FRD 103</w:t>
      </w:r>
      <w:r w:rsidR="00803810">
        <w:t xml:space="preserve">. </w:t>
      </w:r>
      <w:r>
        <w:t xml:space="preserve">Such revaluations shall also not affect the revaluation cycle stipulated in </w:t>
      </w:r>
      <w:r w:rsidR="00FA2F81">
        <w:t>FRD 103</w:t>
      </w:r>
      <w:r>
        <w:t>, nor require the revaluation of other assets in the same class.</w:t>
      </w:r>
    </w:p>
    <w:p w14:paraId="7B0E913F" w14:textId="77777777" w:rsidR="009F0789" w:rsidRDefault="009F0789" w:rsidP="00803810">
      <w:pPr>
        <w:pStyle w:val="NormalIndent"/>
      </w:pPr>
    </w:p>
    <w:p w14:paraId="00544A3D" w14:textId="77777777" w:rsidR="009F0789" w:rsidRDefault="009F0789" w:rsidP="00803810">
      <w:pPr>
        <w:pStyle w:val="NormalIndent"/>
      </w:pPr>
    </w:p>
    <w:p w14:paraId="33FF0043" w14:textId="77777777" w:rsidR="009F0789" w:rsidRDefault="009F0789" w:rsidP="00803810">
      <w:pPr>
        <w:pStyle w:val="NormalIndent"/>
      </w:pPr>
    </w:p>
    <w:p w14:paraId="4C9536F1" w14:textId="77777777" w:rsidR="009F0789" w:rsidRDefault="009F0789" w:rsidP="00803810">
      <w:pPr>
        <w:pStyle w:val="NormalIndent"/>
      </w:pPr>
    </w:p>
    <w:p w14:paraId="3DF9372D" w14:textId="77777777" w:rsidR="009F0789" w:rsidRDefault="009F0789" w:rsidP="00803810">
      <w:pPr>
        <w:pStyle w:val="NormalIndent"/>
      </w:pPr>
    </w:p>
    <w:p w14:paraId="3D0B0985" w14:textId="77777777" w:rsidR="009F0789" w:rsidRDefault="009F0789" w:rsidP="00803810">
      <w:pPr>
        <w:pStyle w:val="NormalIndent"/>
      </w:pPr>
    </w:p>
    <w:p w14:paraId="490A7238" w14:textId="77777777" w:rsidR="009F0789" w:rsidRDefault="009F0789" w:rsidP="00803810">
      <w:pPr>
        <w:pStyle w:val="NormalIndent"/>
      </w:pPr>
    </w:p>
    <w:p w14:paraId="589DD6EB" w14:textId="77777777" w:rsidR="009F0789" w:rsidRDefault="009F0789" w:rsidP="00803810">
      <w:pPr>
        <w:pStyle w:val="NormalIndent"/>
      </w:pPr>
    </w:p>
    <w:p w14:paraId="782FAF94" w14:textId="77777777" w:rsidR="009F0789" w:rsidRDefault="009F0789" w:rsidP="00803810">
      <w:pPr>
        <w:pStyle w:val="NormalIndent"/>
      </w:pPr>
    </w:p>
    <w:p w14:paraId="0008BEF4" w14:textId="77777777" w:rsidR="009F0789" w:rsidRDefault="009F0789" w:rsidP="00803810">
      <w:pPr>
        <w:pStyle w:val="NormalIndent"/>
      </w:pPr>
    </w:p>
    <w:p w14:paraId="4DBC13B9" w14:textId="77777777" w:rsidR="00D363DC" w:rsidRPr="006A6B5D" w:rsidRDefault="00D363DC" w:rsidP="00E00CCE">
      <w:pPr>
        <w:pStyle w:val="Heading2numbered"/>
      </w:pPr>
      <w:r w:rsidRPr="006A6B5D">
        <w:lastRenderedPageBreak/>
        <w:t xml:space="preserve">Impacts on financial reporting and </w:t>
      </w:r>
      <w:r w:rsidR="00747F61" w:rsidRPr="006A6B5D">
        <w:t>budget</w:t>
      </w:r>
    </w:p>
    <w:p w14:paraId="434D7434" w14:textId="77777777" w:rsidR="00D363DC" w:rsidRDefault="00D363DC" w:rsidP="00803810">
      <w:pPr>
        <w:pStyle w:val="NormalIndent"/>
      </w:pPr>
      <w:r>
        <w:t>Revaluations of an entity’s assets can impact on future:</w:t>
      </w:r>
    </w:p>
    <w:p w14:paraId="0D6FBA1F" w14:textId="194B0780" w:rsidR="00D363DC" w:rsidRDefault="00D363DC" w:rsidP="00803810">
      <w:pPr>
        <w:pStyle w:val="Bulletindent"/>
      </w:pPr>
      <w:r>
        <w:t>depreciation expense;</w:t>
      </w:r>
      <w:r w:rsidR="0023205A">
        <w:t xml:space="preserve"> and</w:t>
      </w:r>
    </w:p>
    <w:p w14:paraId="1243F8D4" w14:textId="711BA969" w:rsidR="00D363DC" w:rsidRDefault="00D363DC" w:rsidP="00803810">
      <w:pPr>
        <w:pStyle w:val="Bulletindent"/>
      </w:pPr>
      <w:r>
        <w:t>depreciation equivalent funding (which is based on the quantum of depreciation expense)</w:t>
      </w:r>
      <w:r w:rsidR="0023205A">
        <w:t>.</w:t>
      </w:r>
    </w:p>
    <w:p w14:paraId="212E27B7" w14:textId="655B674F" w:rsidR="00D363DC" w:rsidRDefault="00D363DC" w:rsidP="00AD1AD6">
      <w:pPr>
        <w:pStyle w:val="NormalIndent"/>
      </w:pPr>
      <w:r>
        <w:t>Changes to the above have a potential to impact on the funding of departmental outputs in future years as refle</w:t>
      </w:r>
      <w:r w:rsidR="00D834A3">
        <w:t xml:space="preserve">cted in the forward estimates. </w:t>
      </w:r>
      <w:r>
        <w:t xml:space="preserve">Accordingly, to enable such impacts to be factored into forward estimates, in particular the subsequent Budget year, and ensure that valuations are comparable on a State of Victoria economic entity basis, revaluations should, to the extent possible, be undertaken prior to the commencement of the </w:t>
      </w:r>
      <w:r w:rsidR="00AD1AD6">
        <w:t xml:space="preserve">budget </w:t>
      </w:r>
      <w:r>
        <w:t>process but must be booked to take effect on the Balance Sheet at fina</w:t>
      </w:r>
      <w:r w:rsidR="00D834A3">
        <w:t>ncial year end (e.g.</w:t>
      </w:r>
      <w:r w:rsidR="007D2C6A">
        <w:t> </w:t>
      </w:r>
      <w:r w:rsidR="00D834A3">
        <w:t xml:space="preserve">30 June). </w:t>
      </w:r>
      <w:r>
        <w:t>Any changes to depreciation resulting from the revaluation should be effective from the commencement of the year (e.g. 1 July) following rec</w:t>
      </w:r>
      <w:r w:rsidR="00D834A3">
        <w:t xml:space="preserve">ognition on the Balance Sheet. </w:t>
      </w:r>
      <w:r>
        <w:t>These revaluation impacts shall also be incorporated into the prospective financial statements supporting the Budget. Budget estimates shall be updated, where possible, prior to the finalisation of the Budget for the coming year.</w:t>
      </w:r>
    </w:p>
    <w:p w14:paraId="02B65F6A" w14:textId="77777777" w:rsidR="00D363DC" w:rsidRPr="002B5AFD" w:rsidRDefault="00D363DC" w:rsidP="00803810">
      <w:pPr>
        <w:pStyle w:val="NormalIndent"/>
      </w:pPr>
      <w:r>
        <w:t xml:space="preserve">In instances where valuations are undertaken during the course of the year and involve an external valuer, it is important that clear instructions </w:t>
      </w:r>
      <w:r w:rsidRPr="002B5AFD">
        <w:t>are given to the valuers that their valuations are to be based upon an asset’s anticipated value at the end of the reporting period.</w:t>
      </w:r>
    </w:p>
    <w:p w14:paraId="2977275F" w14:textId="74706D77" w:rsidR="00803810" w:rsidRDefault="00D363DC" w:rsidP="00803810">
      <w:pPr>
        <w:pStyle w:val="NormalIndent"/>
      </w:pPr>
      <w:r w:rsidRPr="002B5AFD">
        <w:t>The major elements of the revaluation process are summarised in</w:t>
      </w:r>
      <w:r w:rsidR="009D1CBF" w:rsidRPr="002B5AFD">
        <w:t xml:space="preserve"> the process diagram</w:t>
      </w:r>
      <w:r w:rsidR="004F759D">
        <w:t>s</w:t>
      </w:r>
      <w:r w:rsidR="00F06212">
        <w:t>.</w:t>
      </w:r>
    </w:p>
    <w:p w14:paraId="5B2E3464" w14:textId="77777777" w:rsidR="00D75479" w:rsidRDefault="00D75479" w:rsidP="00803810">
      <w:pPr>
        <w:pStyle w:val="NormalIndent"/>
      </w:pPr>
      <w:r>
        <w:br w:type="page"/>
      </w:r>
    </w:p>
    <w:p w14:paraId="0A2370BB" w14:textId="77777777" w:rsidR="00A34EE4" w:rsidRPr="003B3847" w:rsidRDefault="00A34EE4" w:rsidP="00A34EE4">
      <w:pPr>
        <w:pStyle w:val="Tablechartdiagramheading"/>
      </w:pPr>
      <w:r w:rsidRPr="003B3847">
        <w:lastRenderedPageBreak/>
        <w:t>Figure 2(a): Valuation process</w:t>
      </w:r>
    </w:p>
    <w:p w14:paraId="64A9A3F9" w14:textId="710F8AD4" w:rsidR="00693BC9" w:rsidRDefault="00A34EE4" w:rsidP="006B32CD">
      <w:r>
        <w:object w:dxaOrig="5403" w:dyaOrig="7800" w14:anchorId="03BD3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58.5pt" o:ole="">
            <v:imagedata r:id="rId9" o:title=""/>
          </v:shape>
          <o:OLEObject Type="Embed" ProgID="PowerPoint.Slide.12" ShapeID="_x0000_i1025" DrawAspect="Content" ObjectID="_1811847965" r:id="rId10"/>
        </w:object>
      </w:r>
    </w:p>
    <w:p w14:paraId="34FCDB5A" w14:textId="010DBAC8" w:rsidR="006B3917" w:rsidRDefault="000C367A" w:rsidP="00C656A3">
      <w:pPr>
        <w:pStyle w:val="Tablechartdiagramheading"/>
      </w:pPr>
      <w:r w:rsidRPr="00EF4341">
        <w:lastRenderedPageBreak/>
        <w:t xml:space="preserve">Figure </w:t>
      </w:r>
      <w:r>
        <w:t>2</w:t>
      </w:r>
      <w:r w:rsidRPr="00EF4341">
        <w:t xml:space="preserve">(b): Process for </w:t>
      </w:r>
      <w:r>
        <w:t>i</w:t>
      </w:r>
      <w:r w:rsidRPr="00EF4341">
        <w:t xml:space="preserve">nterim </w:t>
      </w:r>
      <w:r>
        <w:t>r</w:t>
      </w:r>
      <w:r w:rsidRPr="00EF4341">
        <w:t>evaluations and other relevant procedures</w:t>
      </w:r>
      <w:r w:rsidR="00121BD7">
        <w:object w:dxaOrig="1018" w:dyaOrig="1471" w14:anchorId="44A492A5">
          <v:shape id="_x0000_i1026" type="#_x0000_t75" style="width:444.75pt;height:501pt" o:ole="">
            <v:imagedata r:id="rId11" o:title="" cropbottom="14060f"/>
          </v:shape>
          <o:OLEObject Type="Embed" ProgID="PowerPoint.Slide.12" ShapeID="_x0000_i1026" DrawAspect="Content" ObjectID="_1811847966" r:id="rId12"/>
        </w:object>
      </w:r>
    </w:p>
    <w:p w14:paraId="1EBC187E" w14:textId="0ECF3A40" w:rsidR="00460B48" w:rsidRDefault="0090584D" w:rsidP="00317524">
      <w:pPr>
        <w:pStyle w:val="Heading1numbered"/>
      </w:pPr>
      <w:r>
        <w:lastRenderedPageBreak/>
        <w:t>Fair value measurement guidance</w:t>
      </w:r>
      <w:r w:rsidR="00D50741">
        <w:rPr>
          <w:rStyle w:val="FootnoteReference"/>
        </w:rPr>
        <w:footnoteReference w:id="3"/>
      </w:r>
      <w:r>
        <w:t xml:space="preserve"> </w:t>
      </w:r>
    </w:p>
    <w:p w14:paraId="31046CF2" w14:textId="77777777" w:rsidR="00460B48" w:rsidRDefault="00460B48" w:rsidP="00317524">
      <w:pPr>
        <w:pStyle w:val="Heading2numbered"/>
      </w:pPr>
      <w:r>
        <w:t>Consideration of highest and best use for non</w:t>
      </w:r>
      <w:r w:rsidR="00803810">
        <w:noBreakHyphen/>
      </w:r>
      <w:r>
        <w:t>financial physical assets</w:t>
      </w:r>
    </w:p>
    <w:p w14:paraId="501BF9AC" w14:textId="25581353" w:rsidR="006B3917" w:rsidRDefault="00460B48" w:rsidP="00953E16">
      <w:pPr>
        <w:pStyle w:val="NormalIndent"/>
      </w:pPr>
      <w:r>
        <w:t>The fair value measurement of a non</w:t>
      </w:r>
      <w:r w:rsidR="00803810">
        <w:noBreakHyphen/>
      </w:r>
      <w:r>
        <w:t xml:space="preserve">financial asset takes into account a market participant’s ability to generate economic benefits by using the asset in its highest and best use </w:t>
      </w:r>
      <w:r w:rsidR="00B32C98">
        <w:t xml:space="preserve">(HBU) </w:t>
      </w:r>
      <w:r>
        <w:t xml:space="preserve">or by selling it to another market participant that would use the asset in its </w:t>
      </w:r>
      <w:r w:rsidR="005B1E82">
        <w:t>HBU</w:t>
      </w:r>
      <w:r>
        <w:t>.</w:t>
      </w:r>
    </w:p>
    <w:p w14:paraId="18566BE1" w14:textId="77F2E480" w:rsidR="00460B48" w:rsidRDefault="00460B48" w:rsidP="00803810">
      <w:pPr>
        <w:pStyle w:val="NormalIndent"/>
      </w:pPr>
      <w:r>
        <w:t xml:space="preserve">Judgements about </w:t>
      </w:r>
      <w:r w:rsidR="00B32C98">
        <w:t>HBU</w:t>
      </w:r>
      <w:r>
        <w:t xml:space="preserve"> must </w:t>
      </w:r>
      <w:r w:rsidR="004D0A7D">
        <w:t>consider</w:t>
      </w:r>
      <w:r>
        <w:t xml:space="preserve"> the use of the assets that is physically possible, legally permissible and financially feasible, as follows:</w:t>
      </w:r>
    </w:p>
    <w:p w14:paraId="4675439F" w14:textId="3D1D8B8B" w:rsidR="00460B48" w:rsidRPr="002E536A" w:rsidRDefault="004D0A7D" w:rsidP="00803810">
      <w:pPr>
        <w:pStyle w:val="Numparaindent"/>
        <w:numPr>
          <w:ilvl w:val="8"/>
          <w:numId w:val="14"/>
        </w:numPr>
      </w:pPr>
      <w:r>
        <w:t>A</w:t>
      </w:r>
      <w:r w:rsidR="00460B48" w:rsidRPr="002E536A">
        <w:t xml:space="preserve"> use that is physically possible </w:t>
      </w:r>
      <w:r w:rsidRPr="002E536A">
        <w:t>considering</w:t>
      </w:r>
      <w:r w:rsidR="00460B48" w:rsidRPr="002E536A">
        <w:t xml:space="preserve"> the physical characteristics of the asset that market participants would factor when pricing the asset (e.g. the location or size of a property);</w:t>
      </w:r>
    </w:p>
    <w:p w14:paraId="1BAFFD09" w14:textId="25E6681F" w:rsidR="00460B48" w:rsidRPr="002E536A" w:rsidRDefault="004D0A7D" w:rsidP="00803810">
      <w:pPr>
        <w:pStyle w:val="Numparaindent"/>
      </w:pPr>
      <w:r>
        <w:t>A</w:t>
      </w:r>
      <w:r w:rsidR="00460B48" w:rsidRPr="002E536A">
        <w:t xml:space="preserve"> use that is legally permissible </w:t>
      </w:r>
      <w:r w:rsidRPr="002E536A">
        <w:t>considering</w:t>
      </w:r>
      <w:r w:rsidR="00460B48" w:rsidRPr="002E536A">
        <w:t xml:space="preserve"> any legal restrictions on the use of the asset that market participants would factor when pricing the asset (e.g. the zoning regulations applicable to a property); and</w:t>
      </w:r>
    </w:p>
    <w:p w14:paraId="0A0EBA1B" w14:textId="3124491E" w:rsidR="006552C1" w:rsidRPr="002E536A" w:rsidRDefault="004D0A7D" w:rsidP="00C15D84">
      <w:pPr>
        <w:pStyle w:val="Numparaindent"/>
      </w:pPr>
      <w:r>
        <w:t>A</w:t>
      </w:r>
      <w:r w:rsidR="00460B48" w:rsidRPr="002E536A">
        <w:t xml:space="preserve"> use that is financially feasible taking into account whether a use of the asset that is physically possible and legally permissible generates adequate income or cash flows (taking into account the costs of converting the asset to that use) to produce an investment return that market participants would require from an investment in that asset put to that use. </w:t>
      </w:r>
      <w:r w:rsidR="006F3FA1">
        <w:t xml:space="preserve">For </w:t>
      </w:r>
      <w:r w:rsidR="004A633A">
        <w:t xml:space="preserve">an asset of a </w:t>
      </w:r>
      <w:r w:rsidR="006F3FA1">
        <w:t xml:space="preserve">not-for-profit </w:t>
      </w:r>
      <w:r w:rsidR="00956344">
        <w:t xml:space="preserve">public sector </w:t>
      </w:r>
      <w:r w:rsidR="006F3FA1">
        <w:t>entit</w:t>
      </w:r>
      <w:r w:rsidR="004A633A">
        <w:t>y not primarily held for generating net cash inflows</w:t>
      </w:r>
      <w:r w:rsidR="006F3FA1">
        <w:t xml:space="preserve">, </w:t>
      </w:r>
      <w:r w:rsidR="004A633A">
        <w:t>the</w:t>
      </w:r>
      <w:r w:rsidR="006F3FA1">
        <w:t xml:space="preserve"> asset’s use is financially feasible if market participants would be willing to invest in the asset’s service capacity, considering both the capability of the asset to be used to provide needed goods or services to beneficiaries and the resulting cost of those goods or services.</w:t>
      </w:r>
    </w:p>
    <w:p w14:paraId="6D25EC69" w14:textId="5505F8DA" w:rsidR="0001481B" w:rsidRDefault="00B54636" w:rsidP="0001481B">
      <w:pPr>
        <w:pStyle w:val="NormalIndent"/>
      </w:pPr>
      <w:r>
        <w:t xml:space="preserve">For not-for-profit </w:t>
      </w:r>
      <w:r w:rsidR="004A633A">
        <w:t xml:space="preserve">public sector </w:t>
      </w:r>
      <w:r>
        <w:t xml:space="preserve">entities, where the asset is not held primarily for its ability to generate net cash inflows, </w:t>
      </w:r>
      <w:r w:rsidR="0001481B">
        <w:t>the asset’s HBU differs from its current use only when, at the measurement date, it is:</w:t>
      </w:r>
    </w:p>
    <w:p w14:paraId="525529C6" w14:textId="6E552C69" w:rsidR="00B236D7" w:rsidRDefault="00B236D7" w:rsidP="001474C1">
      <w:pPr>
        <w:pStyle w:val="Numparaindent"/>
        <w:numPr>
          <w:ilvl w:val="8"/>
          <w:numId w:val="32"/>
        </w:numPr>
      </w:pPr>
      <w:r>
        <w:t xml:space="preserve">classified as held for sale or held for distribution to owners in accordance with AASB 5 </w:t>
      </w:r>
      <w:r w:rsidRPr="002E2EF7">
        <w:rPr>
          <w:i/>
          <w:iCs/>
        </w:rPr>
        <w:t>Non-current Assets Held for Sale and Discontinued Operations</w:t>
      </w:r>
      <w:r>
        <w:t>; or</w:t>
      </w:r>
    </w:p>
    <w:p w14:paraId="13D0550E" w14:textId="1BCD7637" w:rsidR="00AB7752" w:rsidRDefault="00AB7752" w:rsidP="00AB7752">
      <w:pPr>
        <w:pStyle w:val="Numparaindent"/>
        <w:numPr>
          <w:ilvl w:val="8"/>
          <w:numId w:val="32"/>
        </w:numPr>
      </w:pPr>
      <w:r>
        <w:t>highly probable that the asset will be used for an alternative purpose to its current use.</w:t>
      </w:r>
    </w:p>
    <w:p w14:paraId="758C14D4" w14:textId="53FD6B74" w:rsidR="00460B48" w:rsidRDefault="008513B0" w:rsidP="00803810">
      <w:pPr>
        <w:pStyle w:val="NormalIndent"/>
      </w:pPr>
      <w:r>
        <w:t xml:space="preserve">For for-profit </w:t>
      </w:r>
      <w:r w:rsidR="000F350D">
        <w:t xml:space="preserve">public sector </w:t>
      </w:r>
      <w:r w:rsidRPr="00466B99">
        <w:t>entities, e</w:t>
      </w:r>
      <w:r w:rsidR="00460B48" w:rsidRPr="00466B99">
        <w:t xml:space="preserve">ntities can assume the current use is its HBU </w:t>
      </w:r>
      <w:r w:rsidR="00460B48" w:rsidRPr="00C656A3">
        <w:t xml:space="preserve">unless </w:t>
      </w:r>
      <w:r w:rsidR="00D10A29" w:rsidRPr="00C656A3">
        <w:t>market</w:t>
      </w:r>
      <w:r w:rsidR="00351FDF" w:rsidRPr="00C656A3">
        <w:t xml:space="preserve"> </w:t>
      </w:r>
      <w:r w:rsidR="00D10A29" w:rsidRPr="00C656A3">
        <w:t>factors or</w:t>
      </w:r>
      <w:r w:rsidR="00460B48" w:rsidRPr="00C656A3">
        <w:t xml:space="preserve"> </w:t>
      </w:r>
      <w:r w:rsidR="00351FDF" w:rsidRPr="00C656A3">
        <w:t xml:space="preserve">other </w:t>
      </w:r>
      <w:r w:rsidR="00460B48" w:rsidRPr="00C656A3">
        <w:t>indicators</w:t>
      </w:r>
      <w:r w:rsidR="00460B48" w:rsidRPr="00466B99">
        <w:t xml:space="preserve"> suggest that a</w:t>
      </w:r>
      <w:r w:rsidR="00460B48">
        <w:t xml:space="preserve"> different use by market participants would maximise the value of the asset. </w:t>
      </w:r>
    </w:p>
    <w:p w14:paraId="3FAD0E3B" w14:textId="50132A6D" w:rsidR="00460B48" w:rsidRDefault="00460B48" w:rsidP="00803810">
      <w:pPr>
        <w:pStyle w:val="NormalIndent"/>
      </w:pPr>
      <w:r>
        <w:t xml:space="preserve">In the event of an HBU indicator being triggered, the entity should consider and document the implications on fair value and consult with VGV where required. </w:t>
      </w:r>
    </w:p>
    <w:p w14:paraId="6D07C9E5" w14:textId="6BE2DDAF" w:rsidR="00460B48" w:rsidRDefault="00460B48" w:rsidP="00803810">
      <w:pPr>
        <w:pStyle w:val="NormalIndent"/>
      </w:pPr>
      <w:r>
        <w:t>The</w:t>
      </w:r>
      <w:r w:rsidR="00F06212">
        <w:t xml:space="preserve"> following indicators sh</w:t>
      </w:r>
      <w:r w:rsidR="008426E0">
        <w:t>all</w:t>
      </w:r>
      <w:r w:rsidR="00F06212">
        <w:t xml:space="preserve"> be considered</w:t>
      </w:r>
      <w:r w:rsidR="004D0A7D">
        <w:t>,</w:t>
      </w:r>
      <w:r w:rsidR="00F06212">
        <w:t xml:space="preserve"> </w:t>
      </w:r>
      <w:r>
        <w:t xml:space="preserve">noting this is not an exhaustive list: </w:t>
      </w:r>
    </w:p>
    <w:p w14:paraId="094130DF" w14:textId="77777777" w:rsidR="00953E16" w:rsidRDefault="00953E16" w:rsidP="00803810">
      <w:pPr>
        <w:pStyle w:val="NormalIndent"/>
      </w:pPr>
    </w:p>
    <w:p w14:paraId="5ED93593" w14:textId="6E6F67F4" w:rsidR="00460B48" w:rsidRPr="00E43340" w:rsidRDefault="00C8653B" w:rsidP="00351FDF">
      <w:pPr>
        <w:pStyle w:val="Heading3numbered"/>
        <w:numPr>
          <w:ilvl w:val="2"/>
          <w:numId w:val="34"/>
        </w:numPr>
      </w:pPr>
      <w:r>
        <w:lastRenderedPageBreak/>
        <w:t>‘</w:t>
      </w:r>
      <w:r w:rsidR="00460B48" w:rsidRPr="00E43340">
        <w:t>External indicators</w:t>
      </w:r>
      <w:r>
        <w:t>’</w:t>
      </w:r>
    </w:p>
    <w:p w14:paraId="4DE92B15" w14:textId="77777777" w:rsidR="00460B48" w:rsidRDefault="00460B48" w:rsidP="00AD1AD6">
      <w:pPr>
        <w:pStyle w:val="Bulletindent"/>
      </w:pPr>
      <w:r>
        <w:t>Changed acts, regulation, local law or such instrument which affects or may affect the use or development of the asset;</w:t>
      </w:r>
    </w:p>
    <w:p w14:paraId="0526A6F0" w14:textId="0A4F6F0B" w:rsidR="00460B48" w:rsidRDefault="00460B48" w:rsidP="00AD1AD6">
      <w:pPr>
        <w:pStyle w:val="Bulletindent"/>
      </w:pPr>
      <w:r>
        <w:t>Changes in planning schemes, including zones, reservations, overlays that would affect or remove existing restrictions imposed on the asset</w:t>
      </w:r>
      <w:r w:rsidR="00FB1EDE">
        <w:t>’</w:t>
      </w:r>
      <w:r>
        <w:t>s use;</w:t>
      </w:r>
    </w:p>
    <w:p w14:paraId="36DF04A7" w14:textId="77777777" w:rsidR="00460B48" w:rsidRDefault="00460B48" w:rsidP="00AD1AD6">
      <w:pPr>
        <w:pStyle w:val="Bulletindent"/>
      </w:pPr>
      <w:r>
        <w:t>Existence of government policies (e.g. Government Gazette)/public announcements with expectations that an asset will be used in certain way to support service delivery;</w:t>
      </w:r>
    </w:p>
    <w:p w14:paraId="24C24EBD" w14:textId="77777777" w:rsidR="00460B48" w:rsidRDefault="00460B48" w:rsidP="00AD1AD6">
      <w:pPr>
        <w:pStyle w:val="Bulletindent"/>
      </w:pPr>
      <w:r>
        <w:t>Government decisions declaring the asset’s redundancy or surplus; or</w:t>
      </w:r>
    </w:p>
    <w:p w14:paraId="4D537ADB" w14:textId="2463AB80" w:rsidR="00460B48" w:rsidRDefault="00460B48" w:rsidP="00AD1AD6">
      <w:pPr>
        <w:pStyle w:val="Bulletindent"/>
      </w:pPr>
      <w:r>
        <w:t>Social</w:t>
      </w:r>
      <w:r w:rsidR="00803810">
        <w:noBreakHyphen/>
      </w:r>
      <w:r>
        <w:t>environmental evidence indicating changes in public expectations of the asset</w:t>
      </w:r>
      <w:r w:rsidR="00FB1EDE">
        <w:t>’</w:t>
      </w:r>
      <w:r>
        <w:t>s use.</w:t>
      </w:r>
    </w:p>
    <w:p w14:paraId="169D075E" w14:textId="3FB4E1CF" w:rsidR="00460B48" w:rsidRDefault="008D36BC" w:rsidP="00C656A3">
      <w:pPr>
        <w:pStyle w:val="Heading3numbered"/>
        <w:numPr>
          <w:ilvl w:val="2"/>
          <w:numId w:val="34"/>
        </w:numPr>
      </w:pPr>
      <w:r>
        <w:t>‘</w:t>
      </w:r>
      <w:r w:rsidR="00460B48">
        <w:t>Internal indicators</w:t>
      </w:r>
      <w:r>
        <w:t>’</w:t>
      </w:r>
    </w:p>
    <w:p w14:paraId="21305287" w14:textId="77777777" w:rsidR="00460B48" w:rsidRDefault="00460B48" w:rsidP="00AD1AD6">
      <w:pPr>
        <w:pStyle w:val="NormalIndent"/>
        <w:keepNext/>
      </w:pPr>
      <w:r>
        <w:t xml:space="preserve">Where an asset’s use is within an entity’s discretion, any plans or intentions that have been formally communicated for a different use of the asset from its past use; </w:t>
      </w:r>
    </w:p>
    <w:p w14:paraId="55DAD36B" w14:textId="77777777" w:rsidR="00460B48" w:rsidRDefault="00460B48" w:rsidP="00AD1AD6">
      <w:pPr>
        <w:pStyle w:val="Bulletindent"/>
      </w:pPr>
      <w:r>
        <w:t>Evidence that suggests the current use of an asset is no longer core to requirements to deliver an entity’s service obligation; or</w:t>
      </w:r>
    </w:p>
    <w:p w14:paraId="46ED898F" w14:textId="77777777" w:rsidR="00460B48" w:rsidRDefault="00460B48" w:rsidP="00AD1AD6">
      <w:pPr>
        <w:pStyle w:val="Bulletindent"/>
      </w:pPr>
      <w:r>
        <w:t>Evidence that suggests that the asset might be sold or demolished as reaching the late stage of an asset’s life cycle.</w:t>
      </w:r>
    </w:p>
    <w:p w14:paraId="21C31D0D" w14:textId="3D8DDCC3" w:rsidR="00460B48" w:rsidRDefault="00460B48" w:rsidP="00747F61">
      <w:pPr>
        <w:pStyle w:val="NormalIndent"/>
      </w:pPr>
      <w:r>
        <w:t xml:space="preserve">In considering these indicators, entities should evaluate whether the restriction is deemed to be a characteristic of an asset (i.e. they will be equally applicable if used by/sold to the market participants) or of the entity holding the asset. The restriction that would transfer with an asset in the assumed sale would generally be deemed as a characteristic of the asset and therefore more likely to be considered by market participants in pricing the asset (e.g. social or environmental consideration of the use of land designated as a national park). Conversely, a restriction that is specific to the entity holding the asset would not transfer with the asset in an assumed sale and therefore should not be considered when measuring fair value. Determining whether a restriction is a characteristic of an asset or the entity holding the asset </w:t>
      </w:r>
      <w:r w:rsidR="00910870">
        <w:t xml:space="preserve">is a matter of </w:t>
      </w:r>
      <w:r>
        <w:t xml:space="preserve">judgement </w:t>
      </w:r>
      <w:r w:rsidR="00910870">
        <w:t xml:space="preserve">that would depend </w:t>
      </w:r>
      <w:r>
        <w:t>on the specific facts and circumstances</w:t>
      </w:r>
      <w:r w:rsidR="00910870">
        <w:t>, including consideration of the contractual terms</w:t>
      </w:r>
      <w:r>
        <w:t>.</w:t>
      </w:r>
    </w:p>
    <w:p w14:paraId="0FAC4305" w14:textId="77777777" w:rsidR="00460B48" w:rsidRPr="00DC298D" w:rsidRDefault="00460B48" w:rsidP="001A4680">
      <w:pPr>
        <w:pStyle w:val="Heading2numbered"/>
      </w:pPr>
      <w:r w:rsidRPr="00DC298D">
        <w:t>Unit of account</w:t>
      </w:r>
    </w:p>
    <w:p w14:paraId="5E93C3D9" w14:textId="2F5E5928" w:rsidR="00460B48" w:rsidRPr="002B5AFD" w:rsidRDefault="00460B48" w:rsidP="001A4680">
      <w:pPr>
        <w:pStyle w:val="NormalIndent"/>
      </w:pPr>
      <w:r>
        <w:t xml:space="preserve">The fair </w:t>
      </w:r>
      <w:r w:rsidRPr="002B5AFD">
        <w:t>value measurement must be applied to the stand</w:t>
      </w:r>
      <w:r w:rsidR="00803810">
        <w:noBreakHyphen/>
      </w:r>
      <w:r w:rsidRPr="002B5AFD">
        <w:t xml:space="preserve">alone asset or a group of related assets, depending on the circumstances. DTF has considered the nature, characteristics and risks of the public sector assets and provided a list of asset classes that have distinct characteristics and fair value </w:t>
      </w:r>
      <w:r w:rsidR="00756CAF">
        <w:t>hierarchy</w:t>
      </w:r>
      <w:r w:rsidR="006B5D9C">
        <w:t xml:space="preserve">, please refer to the </w:t>
      </w:r>
      <w:r w:rsidR="00D75479">
        <w:t xml:space="preserve">current </w:t>
      </w:r>
      <w:r w:rsidR="006B5D9C" w:rsidRPr="00CA2AA0">
        <w:rPr>
          <w:i/>
        </w:rPr>
        <w:t>Model</w:t>
      </w:r>
      <w:r w:rsidR="00C47F01" w:rsidRPr="00CA2AA0">
        <w:rPr>
          <w:i/>
        </w:rPr>
        <w:t xml:space="preserve"> Report for Victorian </w:t>
      </w:r>
      <w:r w:rsidR="00325EB7">
        <w:rPr>
          <w:i/>
        </w:rPr>
        <w:t xml:space="preserve">Government </w:t>
      </w:r>
      <w:r w:rsidR="00C47F01" w:rsidRPr="00CA2AA0">
        <w:rPr>
          <w:i/>
        </w:rPr>
        <w:t>Departments</w:t>
      </w:r>
      <w:r w:rsidR="00C43ACA">
        <w:t xml:space="preserve"> </w:t>
      </w:r>
      <w:r w:rsidR="00E97BAD">
        <w:t xml:space="preserve">and/or </w:t>
      </w:r>
      <w:r w:rsidR="00E97BAD" w:rsidRPr="001474C1">
        <w:rPr>
          <w:i/>
          <w:iCs/>
        </w:rPr>
        <w:t>Tier 2 Model Financial Report for Victorian public sector entities</w:t>
      </w:r>
      <w:r w:rsidR="00E97BAD">
        <w:t xml:space="preserve"> (</w:t>
      </w:r>
      <w:r w:rsidR="00E53984">
        <w:t>Model Reports</w:t>
      </w:r>
      <w:r w:rsidR="00E97BAD">
        <w:t xml:space="preserve">) </w:t>
      </w:r>
      <w:r w:rsidR="0005266B">
        <w:t>for further guidance</w:t>
      </w:r>
      <w:r w:rsidR="00C43ACA">
        <w:t>.</w:t>
      </w:r>
    </w:p>
    <w:p w14:paraId="65CD3C0A" w14:textId="77777777" w:rsidR="00460B48" w:rsidRPr="002B5AFD" w:rsidRDefault="00460B48" w:rsidP="00DC298D">
      <w:pPr>
        <w:pStyle w:val="Heading2numbered"/>
      </w:pPr>
      <w:r w:rsidRPr="002B5AFD">
        <w:t>Fair value hierarchy</w:t>
      </w:r>
    </w:p>
    <w:p w14:paraId="0D852E2B" w14:textId="64399B44" w:rsidR="00460B48" w:rsidRPr="002B5AFD" w:rsidRDefault="0005266B" w:rsidP="001A4680">
      <w:pPr>
        <w:pStyle w:val="NormalIndent"/>
      </w:pPr>
      <w:r>
        <w:t>AASB 13</w:t>
      </w:r>
      <w:r w:rsidR="00460B48" w:rsidRPr="002B5AFD">
        <w:t xml:space="preserve"> includes a fair value hierarchy that prioritises the inputs in a fair value measurement</w:t>
      </w:r>
      <w:r w:rsidR="00803810">
        <w:t xml:space="preserve">. </w:t>
      </w:r>
      <w:r w:rsidR="00460B48" w:rsidRPr="002B5AFD">
        <w:t xml:space="preserve">To increase consistency and comparability in fair value measurements and related disclosures, a fair value hierarchy has been established that categorises the </w:t>
      </w:r>
      <w:r>
        <w:t>inputs</w:t>
      </w:r>
      <w:r w:rsidR="00460B48" w:rsidRPr="002B5AFD">
        <w:t xml:space="preserve"> into three levels:</w:t>
      </w:r>
    </w:p>
    <w:p w14:paraId="4948D5A0" w14:textId="77777777" w:rsidR="00460B48" w:rsidRPr="002B5AFD" w:rsidRDefault="00AD1AD6" w:rsidP="001A4680">
      <w:pPr>
        <w:pStyle w:val="Bulletindent"/>
      </w:pPr>
      <w:r>
        <w:t>Level </w:t>
      </w:r>
      <w:r w:rsidR="00460B48" w:rsidRPr="00B61794">
        <w:t>1 inputs</w:t>
      </w:r>
      <w:r w:rsidR="00460B48" w:rsidRPr="002B5AFD">
        <w:t>: are quoted market prices (unadjusted) in active markets for identical assets or liabilities that the entity can access at the measurement date.</w:t>
      </w:r>
    </w:p>
    <w:p w14:paraId="0A384933" w14:textId="77777777" w:rsidR="00460B48" w:rsidRPr="002B5AFD" w:rsidRDefault="00AD1AD6" w:rsidP="001A4680">
      <w:pPr>
        <w:pStyle w:val="Bulletindent"/>
      </w:pPr>
      <w:r>
        <w:t>Level </w:t>
      </w:r>
      <w:r w:rsidR="00460B48" w:rsidRPr="00B61794">
        <w:t>2 inputs</w:t>
      </w:r>
      <w:r w:rsidR="00460B48" w:rsidRPr="002B5AFD">
        <w:t xml:space="preserve">: are inputs other than quoted prices included within </w:t>
      </w:r>
      <w:r>
        <w:t>Level </w:t>
      </w:r>
      <w:r w:rsidR="00460B48" w:rsidRPr="002B5AFD">
        <w:t>1 that are observable for the asset or liability, either directly or indirectly.</w:t>
      </w:r>
    </w:p>
    <w:p w14:paraId="2C5CD67C" w14:textId="77777777" w:rsidR="00460B48" w:rsidRPr="002B5AFD" w:rsidRDefault="00AD1AD6" w:rsidP="001A4680">
      <w:pPr>
        <w:pStyle w:val="Bulletindent"/>
      </w:pPr>
      <w:r>
        <w:t>Level </w:t>
      </w:r>
      <w:r w:rsidR="00460B48" w:rsidRPr="00B61794">
        <w:t>3 inputs</w:t>
      </w:r>
      <w:r w:rsidR="00460B48" w:rsidRPr="002B5AFD">
        <w:t>: are unobservable inputs for the asset or liability.</w:t>
      </w:r>
    </w:p>
    <w:p w14:paraId="009D2C4A" w14:textId="77777777" w:rsidR="00460B48" w:rsidRPr="002B5AFD" w:rsidRDefault="00460B48" w:rsidP="001A4680">
      <w:pPr>
        <w:pStyle w:val="NormalIndent"/>
      </w:pPr>
      <w:r w:rsidRPr="002B5AFD">
        <w:lastRenderedPageBreak/>
        <w:t>In most cases, fair value measurements of non</w:t>
      </w:r>
      <w:r w:rsidR="00803810">
        <w:noBreakHyphen/>
      </w:r>
      <w:r w:rsidRPr="002B5AFD">
        <w:t xml:space="preserve">financial assets would be categorised as </w:t>
      </w:r>
      <w:r w:rsidR="00AD1AD6">
        <w:t>Level </w:t>
      </w:r>
      <w:r w:rsidRPr="002B5AFD">
        <w:t>2 or 3 on the basis that it is rare for identical assets to be actively traded.</w:t>
      </w:r>
    </w:p>
    <w:p w14:paraId="28B8D32C" w14:textId="0C759516" w:rsidR="00460B48" w:rsidRPr="002B5AFD" w:rsidRDefault="00460B48" w:rsidP="001A4680">
      <w:pPr>
        <w:pStyle w:val="NormalIndent"/>
      </w:pPr>
      <w:r w:rsidRPr="002B5AFD">
        <w:t>When measuring fair value, an entity is required to maximise the use of relevant observable inputs</w:t>
      </w:r>
      <w:r w:rsidR="00B77398">
        <w:t>.</w:t>
      </w:r>
    </w:p>
    <w:p w14:paraId="558A12FB" w14:textId="7F62A3B5" w:rsidR="00460B48" w:rsidRPr="002B5AFD" w:rsidRDefault="00460B48" w:rsidP="001A4680">
      <w:pPr>
        <w:pStyle w:val="NormalIndent"/>
      </w:pPr>
      <w:r w:rsidRPr="002B5AFD">
        <w:t>Please refer to</w:t>
      </w:r>
      <w:r w:rsidR="00C43ACA">
        <w:t xml:space="preserve"> the</w:t>
      </w:r>
      <w:r w:rsidR="00276B65">
        <w:t xml:space="preserve"> current</w:t>
      </w:r>
      <w:r w:rsidR="00C43ACA">
        <w:t xml:space="preserve"> </w:t>
      </w:r>
      <w:r w:rsidR="00E53984">
        <w:t>Model Reports</w:t>
      </w:r>
      <w:r w:rsidR="00402287">
        <w:t xml:space="preserve"> </w:t>
      </w:r>
      <w:r w:rsidR="0005266B">
        <w:t>for further guidance</w:t>
      </w:r>
      <w:r w:rsidRPr="002B5AFD">
        <w:t>.</w:t>
      </w:r>
    </w:p>
    <w:p w14:paraId="0047CA2F" w14:textId="26A36287" w:rsidR="00460B48" w:rsidRDefault="00AD1AD6" w:rsidP="00197C68">
      <w:pPr>
        <w:pStyle w:val="Heading2numbered"/>
      </w:pPr>
      <w:r>
        <w:t>Level </w:t>
      </w:r>
      <w:r w:rsidR="00460B48" w:rsidRPr="002B5AFD">
        <w:t xml:space="preserve">2 and </w:t>
      </w:r>
      <w:r>
        <w:t>Level </w:t>
      </w:r>
      <w:r w:rsidR="00460B48" w:rsidRPr="002B5AFD">
        <w:t xml:space="preserve">3 inputs </w:t>
      </w:r>
    </w:p>
    <w:p w14:paraId="5D242E2F" w14:textId="65079927" w:rsidR="00460B48" w:rsidRDefault="00460B48" w:rsidP="00AD1AD6">
      <w:pPr>
        <w:pStyle w:val="NormalIndent"/>
      </w:pPr>
      <w:r>
        <w:t xml:space="preserve">AASB 13 </w:t>
      </w:r>
      <w:r w:rsidR="00EA16A2">
        <w:rPr>
          <w:i/>
        </w:rPr>
        <w:t xml:space="preserve">Fair Value Measurement </w:t>
      </w:r>
      <w:r>
        <w:t xml:space="preserve">acknowledges that, unlike a </w:t>
      </w:r>
      <w:r w:rsidR="00AD1AD6">
        <w:t>Level </w:t>
      </w:r>
      <w:r>
        <w:t xml:space="preserve">1 input, adjustments to </w:t>
      </w:r>
      <w:r w:rsidR="00AD1AD6">
        <w:t>Level </w:t>
      </w:r>
      <w:r>
        <w:t>2 inputs may be more common, but will vary depending on the factors specific to the asset or liability.</w:t>
      </w:r>
    </w:p>
    <w:p w14:paraId="500CBB5C" w14:textId="77777777" w:rsidR="00460B48" w:rsidRDefault="00460B48" w:rsidP="001A4680">
      <w:pPr>
        <w:pStyle w:val="NormalIndent"/>
      </w:pPr>
      <w:r>
        <w:t xml:space="preserve">There are a number of reasons why an entity may need to make adjustments to </w:t>
      </w:r>
      <w:r w:rsidR="00AD1AD6">
        <w:t>Level </w:t>
      </w:r>
      <w:r>
        <w:t xml:space="preserve">2 inputs. Adjustments to observable data for inactive markets might be required for timing differences between the transaction date and the measurement date, or differences between the asset being measured and a similar asset that was the subject of the transaction. In addition, factors such as the condition or location of an asset should also be considered when determining if adjustments to </w:t>
      </w:r>
      <w:r w:rsidR="00AD1AD6">
        <w:t>Level </w:t>
      </w:r>
      <w:r>
        <w:t>2 inputs are warranted.</w:t>
      </w:r>
    </w:p>
    <w:p w14:paraId="137C8B12" w14:textId="77777777" w:rsidR="00460B48" w:rsidRDefault="00460B48" w:rsidP="001A4680">
      <w:pPr>
        <w:pStyle w:val="NormalIndent"/>
      </w:pPr>
      <w:r>
        <w:t xml:space="preserve">If an adjustment to a </w:t>
      </w:r>
      <w:r w:rsidR="00AD1AD6">
        <w:t>Level </w:t>
      </w:r>
      <w:r>
        <w:t xml:space="preserve">2 input is significant to the entire fair value measurement, it may affect the fair value measurement's categorisation within the fair value hierarchy for disclosure purposes. If the adjustment uses significant unobservable inputs, it would need to be categorised within </w:t>
      </w:r>
      <w:r w:rsidR="00AD1AD6">
        <w:t>Level </w:t>
      </w:r>
      <w:r>
        <w:t>3 of the hierarchy.</w:t>
      </w:r>
    </w:p>
    <w:p w14:paraId="2BEFF26E" w14:textId="6F8B4B46" w:rsidR="00460B48" w:rsidRDefault="00460B48" w:rsidP="001A4680">
      <w:pPr>
        <w:pStyle w:val="NormalIndent"/>
      </w:pPr>
      <w:r>
        <w:t xml:space="preserve">For example, ‘specialised land’ or ‘land under specialised buildings’ would be categorised within </w:t>
      </w:r>
      <w:r w:rsidR="00AD1AD6">
        <w:t>Level </w:t>
      </w:r>
      <w:r>
        <w:t xml:space="preserve">3 of the fair value hierarchy. This is a direct result of the significant adjustment to </w:t>
      </w:r>
      <w:r w:rsidR="00AD1AD6">
        <w:t>Level </w:t>
      </w:r>
      <w:r>
        <w:t>2 inputs (observable indirectly through corroboration with market data) for Community Service Obligation (CSO) which is derived based on significant unobservable inputs. This can be contrasted with the categorisation of non</w:t>
      </w:r>
      <w:r w:rsidR="00803810">
        <w:noBreakHyphen/>
      </w:r>
      <w:r>
        <w:t xml:space="preserve">specialised land under investment properties, where no significant adjustments are made to </w:t>
      </w:r>
      <w:r w:rsidR="00AD1AD6">
        <w:t>Level </w:t>
      </w:r>
      <w:r>
        <w:t>2 inputs</w:t>
      </w:r>
      <w:r w:rsidR="009B60EE">
        <w:t>.</w:t>
      </w:r>
    </w:p>
    <w:p w14:paraId="7E7B5B71" w14:textId="77777777" w:rsidR="00460B48" w:rsidRPr="00BD5697" w:rsidRDefault="00460B48" w:rsidP="00DC298D">
      <w:pPr>
        <w:pStyle w:val="Heading2numbered"/>
      </w:pPr>
      <w:r w:rsidRPr="00BD5697">
        <w:t>Selection of valuation techniques</w:t>
      </w:r>
    </w:p>
    <w:p w14:paraId="5D6FE8F9" w14:textId="77777777" w:rsidR="00460B48" w:rsidRDefault="00460B48" w:rsidP="001A4680">
      <w:pPr>
        <w:pStyle w:val="NormalIndent"/>
      </w:pPr>
      <w:r>
        <w:t>An entity shall use valuation techniques that are appropriate in the circumstances and for which sufficient data are available to measure fair value, maximising the use of relevant observable inputs and minimising the use of unobservable inputs.</w:t>
      </w:r>
    </w:p>
    <w:p w14:paraId="29497A17" w14:textId="77777777" w:rsidR="00460B48" w:rsidRDefault="00460B48" w:rsidP="001A4680">
      <w:pPr>
        <w:pStyle w:val="NormalIndent"/>
      </w:pPr>
      <w:r>
        <w:t xml:space="preserve">The objective of using a valuation technique is to estimate the price at which an orderly transaction to sell the asset or to transfer the liability would take place between market participants at the measurement date under current market conditions. </w:t>
      </w:r>
    </w:p>
    <w:p w14:paraId="02DD91D6" w14:textId="77777777" w:rsidR="00460B48" w:rsidRDefault="00460B48" w:rsidP="001A4680">
      <w:pPr>
        <w:pStyle w:val="NormalIndent"/>
      </w:pPr>
      <w:r>
        <w:t>Three widely used valuation techniques are the market approach, the cost approach and the income approach</w:t>
      </w:r>
      <w:r w:rsidR="0005001F">
        <w:t>, detailed below</w:t>
      </w:r>
      <w:r>
        <w:t>.</w:t>
      </w:r>
    </w:p>
    <w:p w14:paraId="09306B2E" w14:textId="77777777" w:rsidR="00D97CA7" w:rsidRPr="009B60EE" w:rsidRDefault="00D97CA7" w:rsidP="009B60EE">
      <w:r w:rsidRPr="009B60EE">
        <w:br w:type="page"/>
      </w:r>
    </w:p>
    <w:p w14:paraId="218C6C2D" w14:textId="77777777" w:rsidR="00460B48" w:rsidRDefault="00460B48" w:rsidP="001A4680">
      <w:pPr>
        <w:pStyle w:val="Heading3numbered"/>
      </w:pPr>
      <w:r>
        <w:lastRenderedPageBreak/>
        <w:t>Market approach</w:t>
      </w:r>
    </w:p>
    <w:p w14:paraId="231EC81E" w14:textId="77777777" w:rsidR="00460B48" w:rsidRDefault="00460B48" w:rsidP="001A4680">
      <w:pPr>
        <w:pStyle w:val="NormalIndent"/>
      </w:pPr>
      <w:r>
        <w:t xml:space="preserve">The market approach uses prices and other relevant information generated by market transactions involving identical or comparable (i.e. similar) assets, liabilities or a group of assets and liabilities, such as a business. </w:t>
      </w:r>
    </w:p>
    <w:p w14:paraId="6EEFDFF4" w14:textId="66D8E765" w:rsidR="00460B48" w:rsidRDefault="00460B48" w:rsidP="001A4680">
      <w:pPr>
        <w:pStyle w:val="NormalIndent"/>
      </w:pPr>
      <w:r>
        <w:t>For example, valuation techniques consistent with the market approach often use market multiples derived from a set of comparables. Multiples might be in ranges with a different multiple for each comparable. The selection of the appropriate multiple within the range requires judgement, considering qualitative and quantitative factors specific to the measurement.</w:t>
      </w:r>
    </w:p>
    <w:p w14:paraId="036F8CEB" w14:textId="77777777" w:rsidR="00460B48" w:rsidRDefault="00460B48" w:rsidP="001A4680">
      <w:pPr>
        <w:pStyle w:val="Heading3numbered"/>
      </w:pPr>
      <w:r>
        <w:t>Cost approach</w:t>
      </w:r>
    </w:p>
    <w:p w14:paraId="697DB337" w14:textId="77777777" w:rsidR="00460B48" w:rsidRPr="00411E8B" w:rsidRDefault="00460B48" w:rsidP="001A4680">
      <w:pPr>
        <w:pStyle w:val="NormalIndent"/>
      </w:pPr>
      <w:r w:rsidRPr="00411E8B">
        <w:t>The cost approach reflects the amount that would be required currently to replace the service capacity of an asset (often referred to as current replacement cost).</w:t>
      </w:r>
    </w:p>
    <w:p w14:paraId="16512664" w14:textId="77777777" w:rsidR="00460B48" w:rsidRDefault="00460B48" w:rsidP="00D82F3E">
      <w:pPr>
        <w:pStyle w:val="NormalIndent"/>
        <w:ind w:right="-188"/>
      </w:pPr>
      <w:r>
        <w:t>From the perspective of a market participant seller, the price that would be received for the asset is based on the cost to a market participant buyer to acquire or construct a substitute asset of comparable utility, adjusted for obsolescence. That is because a market participant buyer would not pay more for an asset than the amount for which it could replace the service capacity of that asset. Obsolescence encompasses physical deterioration, functional (technological) obsolescence and economic (external) obsolescence and is broader than depreciation for financial reporting purposes (an allocation of historical cost) or tax purposes (using specified service lives)</w:t>
      </w:r>
      <w:r w:rsidR="003F05C4">
        <w:t>.</w:t>
      </w:r>
    </w:p>
    <w:p w14:paraId="6277FBA5" w14:textId="5C8DAF7A" w:rsidR="00921306" w:rsidRDefault="00AB5418" w:rsidP="00921306">
      <w:pPr>
        <w:pStyle w:val="NormalIndent"/>
        <w:ind w:right="-188"/>
      </w:pPr>
      <w:r>
        <w:t xml:space="preserve">An entity applies judgement in determining which costs would necessarily be incurred in the hypothetical acquisition or construction of a </w:t>
      </w:r>
      <w:r w:rsidR="006124ED">
        <w:t>substitute</w:t>
      </w:r>
      <w:r>
        <w:t xml:space="preserve"> asset with the same service capacity and condition as the subject asset at the measurement date. </w:t>
      </w:r>
      <w:r w:rsidR="003A1465">
        <w:t>A</w:t>
      </w:r>
      <w:r w:rsidRPr="00295349">
        <w:t xml:space="preserve">n entity need not undertake exhaustive efforts to obtain information </w:t>
      </w:r>
      <w:r w:rsidR="000F2099">
        <w:t>about</w:t>
      </w:r>
      <w:r w:rsidRPr="00295349">
        <w:t xml:space="preserve"> the</w:t>
      </w:r>
      <w:r w:rsidR="000F2099">
        <w:t>se</w:t>
      </w:r>
      <w:r w:rsidRPr="00295349">
        <w:t xml:space="preserve"> costs</w:t>
      </w:r>
      <w:r w:rsidR="003A1465">
        <w:t xml:space="preserve">. However, an entity </w:t>
      </w:r>
      <w:r w:rsidR="00DA7B4D">
        <w:t>should</w:t>
      </w:r>
      <w:r w:rsidR="003A1465">
        <w:t xml:space="preserve"> include all such cost</w:t>
      </w:r>
      <w:r w:rsidR="00ED6B81">
        <w:t>s</w:t>
      </w:r>
      <w:r w:rsidR="003A1465">
        <w:t xml:space="preserve"> </w:t>
      </w:r>
      <w:r w:rsidRPr="00F20404">
        <w:t>for which data is reasonably available.</w:t>
      </w:r>
      <w:r w:rsidR="00921306" w:rsidRPr="00921306">
        <w:t xml:space="preserve"> </w:t>
      </w:r>
    </w:p>
    <w:p w14:paraId="7A70A196" w14:textId="578E87F5" w:rsidR="00DA7B4D" w:rsidRDefault="00DA7B4D" w:rsidP="00DA7B4D">
      <w:pPr>
        <w:pStyle w:val="NormalIndent"/>
        <w:ind w:right="-188"/>
      </w:pPr>
      <w:r>
        <w:t xml:space="preserve">Specifically, for not-for-profit </w:t>
      </w:r>
      <w:r w:rsidR="00BC67CD">
        <w:t xml:space="preserve">public sector </w:t>
      </w:r>
      <w:r>
        <w:t xml:space="preserve">entities, where the asset is not held primarily for its ability to generate net cash inflows, an entity should consider including the following costs (among other costs) when estimating the replacement cost: </w:t>
      </w:r>
    </w:p>
    <w:p w14:paraId="4DF3DF31" w14:textId="51304A26" w:rsidR="00DA7B4D" w:rsidRDefault="00DA7B4D" w:rsidP="00DA7B4D">
      <w:pPr>
        <w:pStyle w:val="Bulletindent"/>
      </w:pPr>
      <w:r>
        <w:t>costs required to restore another entity’s assets</w:t>
      </w:r>
      <w:r w:rsidR="00C01AF7">
        <w:t xml:space="preserve"> </w:t>
      </w:r>
      <w:r w:rsidR="0092199F">
        <w:t xml:space="preserve">which are </w:t>
      </w:r>
      <w:r w:rsidR="00C01AF7">
        <w:t>not part of the consolidated group to which the entity belongs</w:t>
      </w:r>
      <w:r>
        <w:t>;</w:t>
      </w:r>
    </w:p>
    <w:p w14:paraId="69A37F9A" w14:textId="77777777" w:rsidR="004D385B" w:rsidRDefault="00DA7B4D" w:rsidP="00DA7B4D">
      <w:pPr>
        <w:pStyle w:val="Bulletindent"/>
      </w:pPr>
      <w:r>
        <w:t xml:space="preserve">other disruption costs (e.g. costs of redirecting traffic); </w:t>
      </w:r>
      <w:r w:rsidR="004D385B">
        <w:t>and</w:t>
      </w:r>
    </w:p>
    <w:p w14:paraId="1FC643A1" w14:textId="7E62AF35" w:rsidR="00DA7B4D" w:rsidRDefault="00DA7B4D" w:rsidP="00DA7B4D">
      <w:pPr>
        <w:pStyle w:val="Bulletindent"/>
      </w:pPr>
      <w:r>
        <w:t xml:space="preserve">site preparation costs </w:t>
      </w:r>
      <w:r w:rsidR="004D385B">
        <w:t xml:space="preserve">if the asset is fixed to a parcel of land </w:t>
      </w:r>
      <w:r>
        <w:t xml:space="preserve">(e.g. costs required to prepare the land, costs required to remove and dispose of any unwanted existing structures on the land, unless reflected (explicitly or implicitly) in the fair value measurement of the land). </w:t>
      </w:r>
    </w:p>
    <w:p w14:paraId="59BC90B6" w14:textId="77777777" w:rsidR="00460B48" w:rsidRDefault="00460B48" w:rsidP="001A4680">
      <w:pPr>
        <w:pStyle w:val="Heading3numbered"/>
      </w:pPr>
      <w:r>
        <w:t>Income approach</w:t>
      </w:r>
    </w:p>
    <w:p w14:paraId="32088A2F" w14:textId="77777777" w:rsidR="00460B48" w:rsidRDefault="00460B48" w:rsidP="001A4680">
      <w:pPr>
        <w:pStyle w:val="NormalIndent"/>
      </w:pPr>
      <w:r>
        <w:t>The income approach converts future amounts (e</w:t>
      </w:r>
      <w:r w:rsidR="00EE15AB">
        <w:t>.</w:t>
      </w:r>
      <w:r>
        <w:t>g</w:t>
      </w:r>
      <w:r w:rsidR="00EE15AB">
        <w:t>.</w:t>
      </w:r>
      <w:r>
        <w:t xml:space="preserve"> cash flows or income and expenses) to a single current (i</w:t>
      </w:r>
      <w:r w:rsidR="00EE15AB">
        <w:t>.</w:t>
      </w:r>
      <w:r>
        <w:t>e</w:t>
      </w:r>
      <w:r w:rsidR="00EE15AB">
        <w:t>.</w:t>
      </w:r>
      <w:r>
        <w:t xml:space="preserve"> discounted) amount. When the income approach is used, the fair value measurement reflects current market expectations about those future amounts</w:t>
      </w:r>
      <w:r w:rsidR="00803810">
        <w:t xml:space="preserve">. </w:t>
      </w:r>
    </w:p>
    <w:p w14:paraId="0CA9EE6A" w14:textId="0B4BD20D" w:rsidR="009D581C" w:rsidRDefault="009D581C" w:rsidP="00D97CA7">
      <w:pPr>
        <w:pStyle w:val="Tablechartdiagramheading"/>
        <w:keepNext/>
      </w:pPr>
      <w:r w:rsidRPr="00460B48">
        <w:lastRenderedPageBreak/>
        <w:t xml:space="preserve">Figure </w:t>
      </w:r>
      <w:r w:rsidR="00CA2AA0">
        <w:t>3</w:t>
      </w:r>
      <w:r w:rsidRPr="00460B48">
        <w:t xml:space="preserve">: Valuation </w:t>
      </w:r>
      <w:r w:rsidR="00AD1AD6" w:rsidRPr="00460B48">
        <w:t>process</w:t>
      </w:r>
      <w:r w:rsidR="00A34576">
        <w:rPr>
          <w:rStyle w:val="FootnoteReference"/>
        </w:rPr>
        <w:footnoteReference w:id="4"/>
      </w:r>
      <w:r w:rsidR="00AD1AD6" w:rsidRPr="00460B48">
        <w:t xml:space="preserve"> </w:t>
      </w:r>
    </w:p>
    <w:p w14:paraId="44817111" w14:textId="1D1F8A62" w:rsidR="00D82F3E" w:rsidRDefault="00A34576" w:rsidP="00D97CA7">
      <w:pPr>
        <w:pStyle w:val="Tablechartdiagramheading"/>
        <w:keepNext/>
      </w:pPr>
      <w:r>
        <w:object w:dxaOrig="4894" w:dyaOrig="7066" w14:anchorId="67CEB3AB">
          <v:shape id="_x0000_i1027" type="#_x0000_t75" style="width:412.5pt;height:584.25pt" o:ole="">
            <v:imagedata r:id="rId13" o:title="" croptop="1192f" cropbottom="399f"/>
          </v:shape>
          <o:OLEObject Type="Embed" ProgID="PowerPoint.Slide.12" ShapeID="_x0000_i1027" DrawAspect="Content" ObjectID="_1811847967" r:id="rId14"/>
        </w:object>
      </w:r>
    </w:p>
    <w:p w14:paraId="19B47BE5" w14:textId="77777777" w:rsidR="00A34576" w:rsidRPr="00A34576" w:rsidRDefault="00A34576" w:rsidP="00351FDF">
      <w:pPr>
        <w:pStyle w:val="NormalIndent"/>
      </w:pPr>
    </w:p>
    <w:p w14:paraId="2ABEBFD1" w14:textId="77777777" w:rsidR="00B35F1D" w:rsidRDefault="00B35F1D" w:rsidP="00D97CA7">
      <w:pPr>
        <w:pStyle w:val="Heading1numbered"/>
      </w:pPr>
      <w:r>
        <w:lastRenderedPageBreak/>
        <w:t xml:space="preserve">General </w:t>
      </w:r>
      <w:r w:rsidR="001A4680">
        <w:t>guidance</w:t>
      </w:r>
    </w:p>
    <w:p w14:paraId="72D19103" w14:textId="77777777" w:rsidR="00B35F1D" w:rsidRDefault="00B35F1D" w:rsidP="00D97CA7">
      <w:pPr>
        <w:pStyle w:val="Heading2numbered"/>
      </w:pPr>
      <w:r>
        <w:t>Disclosure</w:t>
      </w:r>
    </w:p>
    <w:p w14:paraId="6CB502FE" w14:textId="5D529FBB" w:rsidR="00B35F1D" w:rsidRPr="001474C1" w:rsidRDefault="00B35F1D" w:rsidP="001A4680">
      <w:pPr>
        <w:pStyle w:val="NormalIndent"/>
        <w:rPr>
          <w:highlight w:val="yellow"/>
        </w:rPr>
      </w:pPr>
      <w:r>
        <w:t>Example note disclosures</w:t>
      </w:r>
      <w:r w:rsidR="00406274">
        <w:t xml:space="preserve"> </w:t>
      </w:r>
      <w:r>
        <w:t>for use in an entities’ annual financial report</w:t>
      </w:r>
      <w:r w:rsidR="00406274">
        <w:t xml:space="preserve"> </w:t>
      </w:r>
      <w:r>
        <w:t xml:space="preserve">can be found in the relevant year’s </w:t>
      </w:r>
      <w:r w:rsidRPr="00B46F53">
        <w:rPr>
          <w:i/>
          <w:iCs/>
        </w:rPr>
        <w:t>Model Report for Victorian Government Departments</w:t>
      </w:r>
      <w:r w:rsidRPr="00B46F53">
        <w:t xml:space="preserve"> </w:t>
      </w:r>
      <w:r w:rsidR="009A7C57">
        <w:t xml:space="preserve">and/or </w:t>
      </w:r>
      <w:r w:rsidR="009A7C57" w:rsidRPr="001474C1">
        <w:rPr>
          <w:i/>
          <w:iCs/>
        </w:rPr>
        <w:t>Tier 2 Model Financial Report for Victorian public sector entities</w:t>
      </w:r>
      <w:r w:rsidR="009A7C57">
        <w:t xml:space="preserve"> </w:t>
      </w:r>
      <w:r w:rsidRPr="00B46F53">
        <w:t>(Model Report</w:t>
      </w:r>
      <w:r w:rsidR="009A7C57">
        <w:t>s</w:t>
      </w:r>
      <w:r w:rsidRPr="00B46F53">
        <w:t>), as issued by DTF.</w:t>
      </w:r>
    </w:p>
    <w:p w14:paraId="7740C17B" w14:textId="7208C475" w:rsidR="00B35F1D" w:rsidRDefault="00B35F1D" w:rsidP="001A4680">
      <w:pPr>
        <w:pStyle w:val="NormalIndent"/>
      </w:pPr>
      <w:r w:rsidRPr="00AB11FA">
        <w:t xml:space="preserve">Model accounting policies disclosure, by way of </w:t>
      </w:r>
      <w:r w:rsidR="00691080" w:rsidRPr="00AB11FA">
        <w:t>Notes</w:t>
      </w:r>
      <w:r w:rsidRPr="00AB11FA">
        <w:t xml:space="preserve"> in the annual financial report can also be found in the relevant year’s Model Report, as issued by DTF.</w:t>
      </w:r>
    </w:p>
    <w:p w14:paraId="0A4B8B97" w14:textId="77777777" w:rsidR="00B35F1D" w:rsidRDefault="00B35F1D" w:rsidP="00E43340">
      <w:pPr>
        <w:pStyle w:val="Heading2numbered"/>
      </w:pPr>
      <w:r>
        <w:t xml:space="preserve">Treatment of </w:t>
      </w:r>
      <w:r w:rsidR="00371BC1">
        <w:t>a</w:t>
      </w:r>
      <w:r>
        <w:t xml:space="preserve">ccumulated </w:t>
      </w:r>
      <w:r w:rsidR="00371BC1">
        <w:t>d</w:t>
      </w:r>
      <w:r>
        <w:t xml:space="preserve">epreciation on </w:t>
      </w:r>
      <w:r w:rsidR="00371BC1">
        <w:t>r</w:t>
      </w:r>
      <w:r>
        <w:t>evaluation</w:t>
      </w:r>
    </w:p>
    <w:p w14:paraId="0F36D5BB" w14:textId="77777777" w:rsidR="00B35F1D" w:rsidRDefault="00B35F1D" w:rsidP="001A4680">
      <w:pPr>
        <w:pStyle w:val="NormalIndent"/>
      </w:pPr>
      <w:r>
        <w:t xml:space="preserve">AASB 116 </w:t>
      </w:r>
      <w:r w:rsidRPr="00096B10">
        <w:rPr>
          <w:i/>
        </w:rPr>
        <w:t>Property, Plant and Equipment</w:t>
      </w:r>
      <w:r>
        <w:t xml:space="preserve"> permits an entity to account </w:t>
      </w:r>
      <w:r w:rsidR="0036279E">
        <w:t>for accumulated</w:t>
      </w:r>
      <w:r>
        <w:t xml:space="preserve"> depreciation at the date of the revaluation either by: </w:t>
      </w:r>
    </w:p>
    <w:p w14:paraId="45B2316A" w14:textId="77777777" w:rsidR="00B35F1D" w:rsidRDefault="00B35F1D" w:rsidP="001A4680">
      <w:pPr>
        <w:pStyle w:val="Bulletindent"/>
      </w:pPr>
      <w:r>
        <w:t>increasing proportionately the accumulated depreciation balance with the increase in the gross carrying amount of the asset, so that the net carrying amount of the asset after revaluation equals its revalued amount (gross approach); or</w:t>
      </w:r>
    </w:p>
    <w:p w14:paraId="601E781D" w14:textId="77777777" w:rsidR="00B35F1D" w:rsidRDefault="00B35F1D" w:rsidP="001A4680">
      <w:pPr>
        <w:pStyle w:val="Bulletindent"/>
      </w:pPr>
      <w:r>
        <w:t>eliminating the accumulated depreciation balance against the gross carrying amount of the asset and increasing the net carrying amount to the revalued amount of the asset (net approach).</w:t>
      </w:r>
    </w:p>
    <w:p w14:paraId="0BF2CAC1" w14:textId="23BC3ED5" w:rsidR="00B35F1D" w:rsidRDefault="00B35F1D" w:rsidP="001A4680">
      <w:pPr>
        <w:pStyle w:val="NormalIndent"/>
      </w:pPr>
      <w:r>
        <w:t xml:space="preserve">To ensure consistency on a State of Victoria reporting basis, </w:t>
      </w:r>
      <w:r w:rsidR="00CA2AA0">
        <w:t xml:space="preserve">FRD 103 </w:t>
      </w:r>
      <w:r>
        <w:t>requires a non</w:t>
      </w:r>
      <w:r w:rsidR="00803810">
        <w:noBreakHyphen/>
      </w:r>
      <w:r>
        <w:t>current physical asset to be measured using the revaluation model, and account for the accumulated depreciation at the date of the revaluation by applying the net approach.</w:t>
      </w:r>
    </w:p>
    <w:p w14:paraId="7C58F5E6" w14:textId="77777777" w:rsidR="00B35F1D" w:rsidRDefault="00B35F1D" w:rsidP="00E43340">
      <w:pPr>
        <w:pStyle w:val="Heading2numbered"/>
      </w:pPr>
      <w:r>
        <w:t xml:space="preserve">Prospective </w:t>
      </w:r>
      <w:r w:rsidR="00371BC1">
        <w:t>a</w:t>
      </w:r>
      <w:r>
        <w:t xml:space="preserve">pplication of </w:t>
      </w:r>
      <w:r w:rsidR="00371BC1">
        <w:t>c</w:t>
      </w:r>
      <w:r>
        <w:t xml:space="preserve">hanges to </w:t>
      </w:r>
      <w:r w:rsidR="00371BC1">
        <w:t>d</w:t>
      </w:r>
      <w:r>
        <w:t>epreciation</w:t>
      </w:r>
    </w:p>
    <w:p w14:paraId="7BDE63B3" w14:textId="77777777" w:rsidR="00B35F1D" w:rsidRDefault="00B35F1D" w:rsidP="001A4680">
      <w:pPr>
        <w:pStyle w:val="NormalIndent"/>
      </w:pPr>
      <w:r>
        <w:t xml:space="preserve">Any change in depreciation charges that occur as a result of revaluations is a change in accounting estimates and is therefore applied prospectively, as per the requirements in AASB 108 </w:t>
      </w:r>
      <w:r w:rsidRPr="00E43340">
        <w:rPr>
          <w:i/>
        </w:rPr>
        <w:t>Accounting Policies, Changes in Accounting Estimates and Errors</w:t>
      </w:r>
      <w:r>
        <w:t>.</w:t>
      </w:r>
    </w:p>
    <w:p w14:paraId="1DA3C0A4" w14:textId="77777777" w:rsidR="00B35F1D" w:rsidRDefault="00B35F1D" w:rsidP="00E43340">
      <w:pPr>
        <w:pStyle w:val="Heading2numbered"/>
      </w:pPr>
      <w:r>
        <w:t>Revaluation reserve of derecognised assets</w:t>
      </w:r>
    </w:p>
    <w:p w14:paraId="2E221BBC" w14:textId="361FCAB0" w:rsidR="00B35F1D" w:rsidRDefault="00B35F1D" w:rsidP="001A4680">
      <w:pPr>
        <w:pStyle w:val="NormalIndent"/>
      </w:pPr>
      <w:r>
        <w:t>An entity may elect to transfer the revaluation surplus</w:t>
      </w:r>
      <w:r w:rsidR="0036279E">
        <w:t>/ (</w:t>
      </w:r>
      <w:r>
        <w:t>deficit) in respect of a non</w:t>
      </w:r>
      <w:r w:rsidR="00803810">
        <w:noBreakHyphen/>
      </w:r>
      <w:r>
        <w:t xml:space="preserve">financial physical asset to the accumulated funds when the asset is derecognised (except for transfers via contributions by owners – see section </w:t>
      </w:r>
      <w:r w:rsidR="008A1440">
        <w:t>3.</w:t>
      </w:r>
      <w:r w:rsidR="00FF1015">
        <w:t>4.</w:t>
      </w:r>
      <w:r w:rsidR="00A33CE3">
        <w:t>1</w:t>
      </w:r>
      <w:r>
        <w:t>).</w:t>
      </w:r>
    </w:p>
    <w:p w14:paraId="6D8ED210" w14:textId="7FC9ABBC" w:rsidR="00B35F1D" w:rsidRDefault="00B35F1D" w:rsidP="001A4680">
      <w:pPr>
        <w:pStyle w:val="NormalIndent"/>
      </w:pPr>
      <w:r>
        <w:t xml:space="preserve">Subject to </w:t>
      </w:r>
      <w:r w:rsidR="008A1440">
        <w:t>section 3.</w:t>
      </w:r>
      <w:r w:rsidR="00FF1015">
        <w:t>4.</w:t>
      </w:r>
      <w:r w:rsidR="00A33CE3">
        <w:t>1</w:t>
      </w:r>
      <w:r>
        <w:t>, not</w:t>
      </w:r>
      <w:r w:rsidR="00803810">
        <w:noBreakHyphen/>
      </w:r>
      <w:r>
        <w:t>for</w:t>
      </w:r>
      <w:r w:rsidR="00803810">
        <w:noBreakHyphen/>
      </w:r>
      <w:r>
        <w:t>profit entities are generally not recommended to transfer the revaluation surplus</w:t>
      </w:r>
      <w:r w:rsidR="0036279E">
        <w:t>/ (</w:t>
      </w:r>
      <w:r>
        <w:t>deficit) relating to derecognised assets to accumulated funds.</w:t>
      </w:r>
    </w:p>
    <w:p w14:paraId="1B1D96B1" w14:textId="07C3265B" w:rsidR="00B35F1D" w:rsidRDefault="00B35F1D" w:rsidP="001A4680">
      <w:pPr>
        <w:pStyle w:val="NormalIndent"/>
      </w:pPr>
      <w:r>
        <w:t>For</w:t>
      </w:r>
      <w:r w:rsidR="00803810">
        <w:noBreakHyphen/>
      </w:r>
      <w:r>
        <w:t xml:space="preserve">profit entities are encouraged to transfer the revaluation </w:t>
      </w:r>
      <w:r w:rsidR="008A1440">
        <w:t>s</w:t>
      </w:r>
      <w:r>
        <w:t>urplus</w:t>
      </w:r>
      <w:r w:rsidR="0036279E">
        <w:t>/ (</w:t>
      </w:r>
      <w:r>
        <w:t>deficit) in respect of an item of non</w:t>
      </w:r>
      <w:r w:rsidR="00803810">
        <w:noBreakHyphen/>
      </w:r>
      <w:r>
        <w:t>current physical asset to accumulated funds when the asset is derecognised.</w:t>
      </w:r>
    </w:p>
    <w:p w14:paraId="079A0FDF" w14:textId="77777777" w:rsidR="00197C68" w:rsidRDefault="00197C68" w:rsidP="001A4680">
      <w:pPr>
        <w:pStyle w:val="NormalIndent"/>
      </w:pPr>
    </w:p>
    <w:p w14:paraId="37D36AE7" w14:textId="77777777" w:rsidR="00197C68" w:rsidRDefault="00197C68" w:rsidP="001A4680">
      <w:pPr>
        <w:pStyle w:val="NormalIndent"/>
      </w:pPr>
    </w:p>
    <w:p w14:paraId="1700C3B7" w14:textId="77777777" w:rsidR="00197C68" w:rsidRDefault="00197C68" w:rsidP="001A4680">
      <w:pPr>
        <w:pStyle w:val="NormalIndent"/>
      </w:pPr>
    </w:p>
    <w:p w14:paraId="592AC6E9" w14:textId="6686E061" w:rsidR="00B35F1D" w:rsidRDefault="00B35F1D" w:rsidP="00E43340">
      <w:pPr>
        <w:pStyle w:val="Heading3numbered"/>
      </w:pPr>
      <w:r>
        <w:lastRenderedPageBreak/>
        <w:t xml:space="preserve">Contributions by </w:t>
      </w:r>
      <w:r w:rsidR="001A4680">
        <w:t>owners</w:t>
      </w:r>
    </w:p>
    <w:p w14:paraId="591DC4D7" w14:textId="77777777" w:rsidR="00B35F1D" w:rsidRDefault="00B35F1D" w:rsidP="00D97CA7">
      <w:pPr>
        <w:pStyle w:val="NormalIndent"/>
        <w:keepNext/>
      </w:pPr>
      <w:r>
        <w:t>Where transfers of assets arise as a result of a government decision that involves the transfer of one or more assets, possibly together with related liabilities, that effectively occurs at, or before the time of the transfer either:</w:t>
      </w:r>
    </w:p>
    <w:p w14:paraId="66155108" w14:textId="77777777" w:rsidR="00B35F1D" w:rsidRDefault="00B35F1D" w:rsidP="001A4680">
      <w:pPr>
        <w:pStyle w:val="Bulletindent"/>
      </w:pPr>
      <w:r>
        <w:t xml:space="preserve">from restructures of administrative arrangements; and/or </w:t>
      </w:r>
    </w:p>
    <w:p w14:paraId="6828E44A" w14:textId="64A334A4" w:rsidR="001D546E" w:rsidRDefault="00B35F1D" w:rsidP="009B33FA">
      <w:pPr>
        <w:pStyle w:val="Bulletindent"/>
      </w:pPr>
      <w:r>
        <w:t>from all other arrangements which are deemed by an administrative instrument to be contributions by owners,</w:t>
      </w:r>
    </w:p>
    <w:p w14:paraId="54B29C5E" w14:textId="77777777" w:rsidR="009B33FA" w:rsidRDefault="009B33FA" w:rsidP="001474C1">
      <w:pPr>
        <w:pStyle w:val="Bulletindent"/>
        <w:numPr>
          <w:ilvl w:val="0"/>
          <w:numId w:val="0"/>
        </w:numPr>
        <w:ind w:left="1152"/>
      </w:pPr>
    </w:p>
    <w:p w14:paraId="5AD29372" w14:textId="42DE6080" w:rsidR="00B35F1D" w:rsidRDefault="00B35F1D" w:rsidP="001474C1">
      <w:pPr>
        <w:pStyle w:val="Bulletindent"/>
        <w:numPr>
          <w:ilvl w:val="0"/>
          <w:numId w:val="0"/>
        </w:numPr>
        <w:ind w:left="792"/>
      </w:pPr>
      <w:r>
        <w:t>an entity shall transfer any related reserves directly to its accumulated funds.</w:t>
      </w:r>
    </w:p>
    <w:p w14:paraId="5B6F59B3" w14:textId="77777777" w:rsidR="00B35F1D" w:rsidRDefault="00B35F1D" w:rsidP="00E43340">
      <w:pPr>
        <w:pStyle w:val="Heading2numbered"/>
      </w:pPr>
      <w:r>
        <w:t xml:space="preserve">Consultations with </w:t>
      </w:r>
      <w:r w:rsidR="001A4680">
        <w:t>audit</w:t>
      </w:r>
    </w:p>
    <w:p w14:paraId="59D10756" w14:textId="707497D2" w:rsidR="00B35F1D" w:rsidRDefault="00B35F1D" w:rsidP="001A4680">
      <w:pPr>
        <w:pStyle w:val="NormalIndent"/>
      </w:pPr>
      <w:r>
        <w:t xml:space="preserve">In the interests of facilitating the annual audit process, it is expected </w:t>
      </w:r>
      <w:r w:rsidR="00584D61" w:rsidRPr="00295349">
        <w:rPr>
          <w:iCs/>
        </w:rPr>
        <w:t>that</w:t>
      </w:r>
      <w:r>
        <w:t xml:space="preserve"> entities,</w:t>
      </w:r>
      <w:r w:rsidR="009E0BD5">
        <w:t xml:space="preserve"> </w:t>
      </w:r>
      <w:r>
        <w:t xml:space="preserve">the relevant CRO and the Approved Valuer consult with the relevant audit team, at the earliest practicable opportunity, in circumstances such as: </w:t>
      </w:r>
    </w:p>
    <w:p w14:paraId="431349E1" w14:textId="77777777" w:rsidR="00B35F1D" w:rsidRDefault="00B35F1D" w:rsidP="001A4680">
      <w:pPr>
        <w:pStyle w:val="Bulletindent"/>
      </w:pPr>
      <w:r>
        <w:t xml:space="preserve">selecting appropriate fair value indices; </w:t>
      </w:r>
    </w:p>
    <w:p w14:paraId="56061C32" w14:textId="77777777" w:rsidR="00B35F1D" w:rsidRDefault="00B35F1D" w:rsidP="001A4680">
      <w:pPr>
        <w:pStyle w:val="Bulletindent"/>
      </w:pPr>
      <w:r>
        <w:t xml:space="preserve">deciding whether an exceptionally material change in fair value has occurred; </w:t>
      </w:r>
    </w:p>
    <w:p w14:paraId="437493BD" w14:textId="77777777" w:rsidR="00B35F1D" w:rsidRDefault="00B35F1D" w:rsidP="001A4680">
      <w:pPr>
        <w:pStyle w:val="Bulletindent"/>
      </w:pPr>
      <w:r>
        <w:t xml:space="preserve">determining the appropriate valuation processes to be used when an exceptionally material change has occurred; or </w:t>
      </w:r>
    </w:p>
    <w:p w14:paraId="6A5490E0" w14:textId="77777777" w:rsidR="00B35F1D" w:rsidRDefault="00B35F1D" w:rsidP="001A4680">
      <w:pPr>
        <w:pStyle w:val="Bulletindent"/>
      </w:pPr>
      <w:r>
        <w:t>evaluating a request to use alternative valuers or indices.</w:t>
      </w:r>
    </w:p>
    <w:p w14:paraId="4946CBB3" w14:textId="77777777" w:rsidR="00460B48" w:rsidRPr="004F5870" w:rsidRDefault="00460B48" w:rsidP="00460B48">
      <w:pPr>
        <w:rPr>
          <w:sz w:val="18"/>
          <w:szCs w:val="18"/>
        </w:rPr>
      </w:pPr>
    </w:p>
    <w:p w14:paraId="3C016234" w14:textId="77777777" w:rsidR="00460B48" w:rsidRPr="004F5870" w:rsidRDefault="00460B48" w:rsidP="00460B48">
      <w:pPr>
        <w:rPr>
          <w:sz w:val="18"/>
          <w:szCs w:val="18"/>
        </w:rPr>
      </w:pPr>
    </w:p>
    <w:sectPr w:rsidR="00460B48" w:rsidRPr="004F5870" w:rsidSect="003E539C">
      <w:headerReference w:type="even" r:id="rId15"/>
      <w:headerReference w:type="default" r:id="rId16"/>
      <w:footerReference w:type="even" r:id="rId17"/>
      <w:footerReference w:type="default" r:id="rId18"/>
      <w:headerReference w:type="first" r:id="rId19"/>
      <w:footerReference w:type="first" r:id="rId20"/>
      <w:pgSz w:w="11906" w:h="16838" w:code="9"/>
      <w:pgMar w:top="2160" w:right="1440" w:bottom="782" w:left="144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20C6" w14:textId="77777777" w:rsidR="0083045A" w:rsidRDefault="0083045A" w:rsidP="002D711A">
      <w:pPr>
        <w:spacing w:after="0" w:line="240" w:lineRule="auto"/>
      </w:pPr>
      <w:r>
        <w:separator/>
      </w:r>
    </w:p>
  </w:endnote>
  <w:endnote w:type="continuationSeparator" w:id="0">
    <w:p w14:paraId="13D09246" w14:textId="77777777" w:rsidR="0083045A" w:rsidRDefault="0083045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37AA" w14:textId="77777777" w:rsidR="001D61BC" w:rsidRDefault="001D6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1B2A" w14:textId="77777777" w:rsidR="00737C44" w:rsidRDefault="00291328" w:rsidP="004669E3">
    <w:pPr>
      <w:pStyle w:val="Spacer"/>
    </w:pPr>
    <w:r>
      <w:rPr>
        <w:noProof/>
      </w:rPr>
      <mc:AlternateContent>
        <mc:Choice Requires="wps">
          <w:drawing>
            <wp:anchor distT="0" distB="0" distL="114300" distR="114300" simplePos="0" relativeHeight="251660288" behindDoc="0" locked="0" layoutInCell="0" allowOverlap="1" wp14:anchorId="628BCC02" wp14:editId="281E4E42">
              <wp:simplePos x="0" y="0"/>
              <wp:positionH relativeFrom="page">
                <wp:posOffset>0</wp:posOffset>
              </wp:positionH>
              <wp:positionV relativeFrom="page">
                <wp:posOffset>10234930</wp:posOffset>
              </wp:positionV>
              <wp:extent cx="7560310" cy="266700"/>
              <wp:effectExtent l="0" t="0" r="0" b="0"/>
              <wp:wrapNone/>
              <wp:docPr id="1" name="MSIPCMe6e74757aecc4649c1a42cc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164D2" w14:textId="77777777" w:rsidR="00291328" w:rsidRPr="00291328" w:rsidRDefault="00291328" w:rsidP="00291328">
                          <w:pPr>
                            <w:spacing w:before="0" w:after="0"/>
                            <w:rPr>
                              <w:rFonts w:ascii="Calibri" w:hAnsi="Calibri" w:cs="Calibri"/>
                              <w:color w:val="000000"/>
                              <w:sz w:val="22"/>
                            </w:rPr>
                          </w:pPr>
                          <w:r w:rsidRPr="002913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8BCC02" id="_x0000_t202" coordsize="21600,21600" o:spt="202" path="m,l,21600r21600,l21600,xe">
              <v:stroke joinstyle="miter"/>
              <v:path gradientshapeok="t" o:connecttype="rect"/>
            </v:shapetype>
            <v:shape id="MSIPCMe6e74757aecc4649c1a42cc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E2164D2" w14:textId="77777777" w:rsidR="00291328" w:rsidRPr="00291328" w:rsidRDefault="00291328" w:rsidP="00291328">
                    <w:pPr>
                      <w:spacing w:before="0" w:after="0"/>
                      <w:rPr>
                        <w:rFonts w:ascii="Calibri" w:hAnsi="Calibri" w:cs="Calibri"/>
                        <w:color w:val="000000"/>
                        <w:sz w:val="22"/>
                      </w:rPr>
                    </w:pPr>
                    <w:r w:rsidRPr="00291328">
                      <w:rPr>
                        <w:rFonts w:ascii="Calibri" w:hAnsi="Calibri" w:cs="Calibri"/>
                        <w:color w:val="000000"/>
                        <w:sz w:val="22"/>
                      </w:rPr>
                      <w:t>OFFICIAL</w:t>
                    </w:r>
                  </w:p>
                </w:txbxContent>
              </v:textbox>
              <w10:wrap anchorx="page" anchory="page"/>
            </v:shape>
          </w:pict>
        </mc:Fallback>
      </mc:AlternateContent>
    </w:r>
  </w:p>
  <w:p w14:paraId="4F09F6A5" w14:textId="7C290A7F" w:rsidR="00737C44" w:rsidRPr="00C022F9" w:rsidRDefault="00737C44"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97E4A">
      <w:rPr>
        <w:b/>
        <w:color w:val="0063A6" w:themeColor="accent1"/>
      </w:rPr>
      <w:t>Guidance on the application of FRD 103 Non-financial physical assets</w:t>
    </w:r>
    <w:r w:rsidRPr="00C022F9">
      <w:rPr>
        <w:b/>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D97CA7">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425D" w14:textId="77777777" w:rsidR="001D61BC" w:rsidRDefault="001D6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14A1" w14:textId="77777777" w:rsidR="0083045A" w:rsidRDefault="0083045A" w:rsidP="002D711A">
      <w:pPr>
        <w:spacing w:after="0" w:line="240" w:lineRule="auto"/>
      </w:pPr>
      <w:r>
        <w:separator/>
      </w:r>
    </w:p>
  </w:footnote>
  <w:footnote w:type="continuationSeparator" w:id="0">
    <w:p w14:paraId="70FA0E42" w14:textId="77777777" w:rsidR="0083045A" w:rsidRDefault="0083045A" w:rsidP="002D711A">
      <w:pPr>
        <w:spacing w:after="0" w:line="240" w:lineRule="auto"/>
      </w:pPr>
      <w:r>
        <w:continuationSeparator/>
      </w:r>
    </w:p>
  </w:footnote>
  <w:footnote w:id="1">
    <w:p w14:paraId="12343017" w14:textId="0C09830B" w:rsidR="001640F6" w:rsidRPr="007B1EB1" w:rsidRDefault="001640F6">
      <w:pPr>
        <w:pStyle w:val="FootnoteText"/>
        <w:rPr>
          <w:sz w:val="16"/>
          <w:szCs w:val="18"/>
        </w:rPr>
      </w:pPr>
      <w:r w:rsidRPr="008F367E">
        <w:rPr>
          <w:rStyle w:val="FootnoteReference"/>
        </w:rPr>
        <w:footnoteRef/>
      </w:r>
      <w:r w:rsidRPr="008F367E">
        <w:t xml:space="preserve"> </w:t>
      </w:r>
      <w:r w:rsidR="00267D31" w:rsidRPr="008F367E">
        <w:t xml:space="preserve">Assumes the reporting entity has a 30 June year-end. For entities with </w:t>
      </w:r>
      <w:r w:rsidR="001C785B" w:rsidRPr="008F367E">
        <w:t>31 December year-end, scheduled revaluation year would commence from 1 January.</w:t>
      </w:r>
    </w:p>
  </w:footnote>
  <w:footnote w:id="2">
    <w:p w14:paraId="3F808370" w14:textId="77777777" w:rsidR="009A4C57" w:rsidRDefault="009A4C57" w:rsidP="00FA36E9">
      <w:pPr>
        <w:pStyle w:val="FootnoteText"/>
      </w:pPr>
      <w:r>
        <w:rPr>
          <w:rStyle w:val="FootnoteReference"/>
        </w:rPr>
        <w:footnoteRef/>
      </w:r>
      <w:r>
        <w:t xml:space="preserve"> Excludes Alpine Resorts Victoria.</w:t>
      </w:r>
    </w:p>
  </w:footnote>
  <w:footnote w:id="3">
    <w:p w14:paraId="3EFA69EA" w14:textId="20EBE140" w:rsidR="00D50741" w:rsidRDefault="00D50741">
      <w:pPr>
        <w:pStyle w:val="FootnoteText"/>
      </w:pPr>
      <w:r>
        <w:rPr>
          <w:rStyle w:val="FootnoteReference"/>
        </w:rPr>
        <w:footnoteRef/>
      </w:r>
      <w:r>
        <w:t xml:space="preserve"> </w:t>
      </w:r>
      <w:r w:rsidRPr="00D50741">
        <w:t>Note that this guidance also incorporates the relevant guidance in AASB 13’s Appendix F which explains and illustrates the application of the principles on developing unobservable inputs and the application of the cost approach. FRD 103.4.5A requires Victorian public sector entities to apply Appendix F of AASB 13 in their next scheduled formal asset revaluation or interim revaluation process (whichever is earlier). Entities should ensure that the application of this guidance is consistent with their timing of the application of Appendix F in accordance with FRD 103.4.5A.</w:t>
      </w:r>
    </w:p>
  </w:footnote>
  <w:footnote w:id="4">
    <w:p w14:paraId="76C5E6AE" w14:textId="3E20E649" w:rsidR="00A34576" w:rsidRPr="00A34576" w:rsidRDefault="00A34576">
      <w:pPr>
        <w:pStyle w:val="FootnoteText"/>
      </w:pPr>
      <w:r>
        <w:rPr>
          <w:rStyle w:val="FootnoteReference"/>
        </w:rPr>
        <w:footnoteRef/>
      </w:r>
      <w:r>
        <w:t xml:space="preserve"> As per section 2.1 </w:t>
      </w:r>
      <w:r>
        <w:rPr>
          <w:i/>
          <w:iCs/>
        </w:rPr>
        <w:t>Consideration of highest and best use for non-financial physical assets,</w:t>
      </w:r>
      <w:r w:rsidR="00DB2ADE">
        <w:rPr>
          <w:i/>
          <w:iCs/>
        </w:rPr>
        <w:t xml:space="preserve"> </w:t>
      </w:r>
      <w:r w:rsidR="00DB2ADE">
        <w:t>for not-for-profit public sector entities,</w:t>
      </w:r>
      <w:r>
        <w:t xml:space="preserve"> the “alternative use scenarios” </w:t>
      </w:r>
      <w:r w:rsidR="00E436FF">
        <w:t xml:space="preserve">would only be applicable </w:t>
      </w:r>
      <w:r w:rsidR="00DB2ADE">
        <w:t xml:space="preserve">if </w:t>
      </w:r>
      <w:r w:rsidR="00664D90">
        <w:t xml:space="preserve">the </w:t>
      </w:r>
      <w:r w:rsidR="005624DF">
        <w:t xml:space="preserve">conditions for when </w:t>
      </w:r>
      <w:r w:rsidR="00E436FF">
        <w:t>the</w:t>
      </w:r>
      <w:r>
        <w:t xml:space="preserve"> </w:t>
      </w:r>
      <w:r w:rsidR="00E436FF">
        <w:t xml:space="preserve">asset’s </w:t>
      </w:r>
      <w:r>
        <w:t>HBU differs from its current use</w:t>
      </w:r>
      <w:r w:rsidR="005624DF">
        <w:t xml:space="preserve">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B117" w14:textId="77777777" w:rsidR="001D61BC" w:rsidRDefault="001D6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E944" w14:textId="0E848D09" w:rsidR="00737C44" w:rsidRPr="0041689E" w:rsidRDefault="009F0789">
    <w:pPr>
      <w:pStyle w:val="Header"/>
    </w:pPr>
    <w:r>
      <w:rPr>
        <w:noProof/>
      </w:rPr>
      <w:drawing>
        <wp:anchor distT="0" distB="0" distL="114300" distR="114300" simplePos="0" relativeHeight="251656192" behindDoc="0" locked="0" layoutInCell="1" allowOverlap="1" wp14:anchorId="386DEEC9" wp14:editId="512A67FC">
          <wp:simplePos x="0" y="0"/>
          <wp:positionH relativeFrom="column">
            <wp:posOffset>-909637</wp:posOffset>
          </wp:positionH>
          <wp:positionV relativeFrom="page">
            <wp:posOffset>-3493</wp:posOffset>
          </wp:positionV>
          <wp:extent cx="7589520" cy="740410"/>
          <wp:effectExtent l="0" t="0" r="0" b="2540"/>
          <wp:wrapNone/>
          <wp:docPr id="143571748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sidR="00737C44">
      <w:rPr>
        <w:noProof/>
      </w:rPr>
      <w:drawing>
        <wp:anchor distT="0" distB="0" distL="114300" distR="114300" simplePos="0" relativeHeight="251658240" behindDoc="0" locked="0" layoutInCell="1" allowOverlap="1" wp14:anchorId="74D02EFB" wp14:editId="5978E194">
          <wp:simplePos x="0" y="0"/>
          <wp:positionH relativeFrom="column">
            <wp:posOffset>-319405</wp:posOffset>
          </wp:positionH>
          <wp:positionV relativeFrom="page">
            <wp:posOffset>299085</wp:posOffset>
          </wp:positionV>
          <wp:extent cx="1380490" cy="411480"/>
          <wp:effectExtent l="0" t="0" r="0" b="7620"/>
          <wp:wrapNone/>
          <wp:docPr id="1007213303" name="Picture 10072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29E5" w14:textId="77777777" w:rsidR="001D61BC" w:rsidRDefault="001D6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1EA"/>
    <w:multiLevelType w:val="hybridMultilevel"/>
    <w:tmpl w:val="AE5ED0CA"/>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 w15:restartNumberingAfterBreak="0">
    <w:nsid w:val="0CFE2962"/>
    <w:multiLevelType w:val="hybridMultilevel"/>
    <w:tmpl w:val="BAA849E0"/>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14F77DAD"/>
    <w:multiLevelType w:val="hybridMultilevel"/>
    <w:tmpl w:val="58C03D6E"/>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3" w15:restartNumberingAfterBreak="0">
    <w:nsid w:val="1DDC2A91"/>
    <w:multiLevelType w:val="hybridMultilevel"/>
    <w:tmpl w:val="70E8CCAA"/>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5" w15:restartNumberingAfterBreak="0">
    <w:nsid w:val="20743AFD"/>
    <w:multiLevelType w:val="hybridMultilevel"/>
    <w:tmpl w:val="80CEFCF6"/>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EE21CB"/>
    <w:multiLevelType w:val="hybridMultilevel"/>
    <w:tmpl w:val="5114E2A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2D927F5C"/>
    <w:multiLevelType w:val="multilevel"/>
    <w:tmpl w:val="FDBA714E"/>
    <w:lvl w:ilvl="0">
      <w:start w:val="2"/>
      <w:numFmt w:val="lowerLetter"/>
      <w:lvlText w:val="(%1)"/>
      <w:lvlJc w:val="left"/>
      <w:pPr>
        <w:tabs>
          <w:tab w:val="num" w:pos="360"/>
        </w:tabs>
        <w:ind w:left="360" w:hanging="360"/>
      </w:pPr>
      <w:rPr>
        <w:rFonts w:hint="default"/>
      </w:rPr>
    </w:lvl>
    <w:lvl w:ilvl="1">
      <w:start w:val="1"/>
      <w:numFmt w:val="lowerRoman"/>
      <w:lvlText w:val="(%2)"/>
      <w:lvlJc w:val="left"/>
      <w:pPr>
        <w:tabs>
          <w:tab w:val="num" w:pos="1213"/>
        </w:tabs>
        <w:ind w:left="1069" w:hanging="360"/>
      </w:pPr>
      <w:rPr>
        <w:rFonts w:hint="default"/>
      </w:rPr>
    </w:lvl>
    <w:lvl w:ilvl="2">
      <w:start w:val="1"/>
      <w:numFmt w:val="decimal"/>
      <w:lvlText w:val="%3."/>
      <w:lvlJc w:val="left"/>
      <w:pPr>
        <w:tabs>
          <w:tab w:val="num" w:pos="650"/>
        </w:tabs>
        <w:ind w:left="650" w:hanging="792"/>
      </w:pPr>
      <w:rPr>
        <w:rFonts w:hint="default"/>
      </w:rPr>
    </w:lvl>
    <w:lvl w:ilvl="3">
      <w:start w:val="1"/>
      <w:numFmt w:val="decimal"/>
      <w:lvlText w:val="%3.%4"/>
      <w:lvlJc w:val="left"/>
      <w:pPr>
        <w:tabs>
          <w:tab w:val="num" w:pos="650"/>
        </w:tabs>
        <w:ind w:left="650" w:hanging="792"/>
      </w:pPr>
      <w:rPr>
        <w:rFonts w:hint="default"/>
      </w:rPr>
    </w:lvl>
    <w:lvl w:ilvl="4">
      <w:start w:val="1"/>
      <w:numFmt w:val="decimal"/>
      <w:lvlRestart w:val="1"/>
      <w:lvlText w:val="%3.%4.%5"/>
      <w:lvlJc w:val="left"/>
      <w:pPr>
        <w:tabs>
          <w:tab w:val="num" w:pos="650"/>
        </w:tabs>
        <w:ind w:left="650" w:hanging="792"/>
      </w:pPr>
      <w:rPr>
        <w:rFonts w:hint="default"/>
      </w:rPr>
    </w:lvl>
    <w:lvl w:ilvl="5">
      <w:start w:val="1"/>
      <w:numFmt w:val="decimal"/>
      <w:lvlText w:val="%3.%4.%5.%6"/>
      <w:lvlJc w:val="left"/>
      <w:pPr>
        <w:tabs>
          <w:tab w:val="num" w:pos="650"/>
        </w:tabs>
        <w:ind w:left="650" w:hanging="792"/>
      </w:pPr>
      <w:rPr>
        <w:rFonts w:hint="default"/>
      </w:rPr>
    </w:lvl>
    <w:lvl w:ilvl="6">
      <w:start w:val="1"/>
      <w:numFmt w:val="lowerLetter"/>
      <w:lvlText w:val="(%7)"/>
      <w:lvlJc w:val="left"/>
      <w:pPr>
        <w:tabs>
          <w:tab w:val="num" w:pos="1154"/>
        </w:tabs>
        <w:ind w:left="1154" w:hanging="504"/>
      </w:pPr>
      <w:rPr>
        <w:rFonts w:hint="default"/>
      </w:rPr>
    </w:lvl>
    <w:lvl w:ilvl="7">
      <w:start w:val="1"/>
      <w:numFmt w:val="lowerRoman"/>
      <w:lvlText w:val="(%8)"/>
      <w:lvlJc w:val="left"/>
      <w:pPr>
        <w:tabs>
          <w:tab w:val="num" w:pos="1658"/>
        </w:tabs>
        <w:ind w:left="1658" w:hanging="504"/>
      </w:pPr>
      <w:rPr>
        <w:rFonts w:hint="default"/>
      </w:rPr>
    </w:lvl>
    <w:lvl w:ilvl="8">
      <w:start w:val="1"/>
      <w:numFmt w:val="decimal"/>
      <w:lvlText w:val="%9."/>
      <w:lvlJc w:val="left"/>
      <w:pPr>
        <w:tabs>
          <w:tab w:val="num" w:pos="1154"/>
        </w:tabs>
        <w:ind w:left="1154" w:hanging="504"/>
      </w:pPr>
      <w:rPr>
        <w:rFonts w:hint="default"/>
      </w:rPr>
    </w:lvl>
  </w:abstractNum>
  <w:abstractNum w:abstractNumId="9" w15:restartNumberingAfterBreak="0">
    <w:nsid w:val="2F96531D"/>
    <w:multiLevelType w:val="hybridMultilevel"/>
    <w:tmpl w:val="9DE84558"/>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0" w15:restartNumberingAfterBreak="0">
    <w:nsid w:val="323F50A8"/>
    <w:multiLevelType w:val="multilevel"/>
    <w:tmpl w:val="7646EB14"/>
    <w:lvl w:ilvl="0">
      <w:start w:val="1"/>
      <w:numFmt w:val="lowerLetter"/>
      <w:lvlText w:val="(%1)"/>
      <w:lvlJc w:val="left"/>
      <w:pPr>
        <w:tabs>
          <w:tab w:val="num" w:pos="360"/>
        </w:tabs>
        <w:ind w:left="360" w:hanging="360"/>
      </w:pPr>
      <w:rPr>
        <w:rFonts w:hint="default"/>
      </w:rPr>
    </w:lvl>
    <w:lvl w:ilvl="1">
      <w:start w:val="2"/>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bullet"/>
      <w:lvlText w:val=""/>
      <w:lvlJc w:val="left"/>
      <w:pPr>
        <w:ind w:left="1152" w:hanging="360"/>
      </w:pPr>
      <w:rPr>
        <w:rFonts w:ascii="Symbol" w:hAnsi="Symbol" w:hint="default"/>
      </w:rPr>
    </w:lvl>
  </w:abstractNum>
  <w:abstractNum w:abstractNumId="11" w15:restartNumberingAfterBreak="0">
    <w:nsid w:val="33E221A7"/>
    <w:multiLevelType w:val="hybridMultilevel"/>
    <w:tmpl w:val="56DA77E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2" w15:restartNumberingAfterBreak="0">
    <w:nsid w:val="35C635E5"/>
    <w:multiLevelType w:val="hybridMultilevel"/>
    <w:tmpl w:val="B3C40FCC"/>
    <w:lvl w:ilvl="0" w:tplc="4BBA9612">
      <w:start w:val="1"/>
      <w:numFmt w:val="bullet"/>
      <w:lvlText w:val=""/>
      <w:lvlJc w:val="left"/>
      <w:pPr>
        <w:ind w:left="1860" w:hanging="360"/>
      </w:pPr>
      <w:rPr>
        <w:rFonts w:ascii="Symbol" w:hAnsi="Symbol"/>
      </w:rPr>
    </w:lvl>
    <w:lvl w:ilvl="1" w:tplc="B450FB8E">
      <w:start w:val="1"/>
      <w:numFmt w:val="bullet"/>
      <w:lvlText w:val=""/>
      <w:lvlJc w:val="left"/>
      <w:pPr>
        <w:ind w:left="1860" w:hanging="360"/>
      </w:pPr>
      <w:rPr>
        <w:rFonts w:ascii="Symbol" w:hAnsi="Symbol"/>
      </w:rPr>
    </w:lvl>
    <w:lvl w:ilvl="2" w:tplc="3D38027C">
      <w:start w:val="1"/>
      <w:numFmt w:val="bullet"/>
      <w:lvlText w:val=""/>
      <w:lvlJc w:val="left"/>
      <w:pPr>
        <w:ind w:left="1860" w:hanging="360"/>
      </w:pPr>
      <w:rPr>
        <w:rFonts w:ascii="Symbol" w:hAnsi="Symbol"/>
      </w:rPr>
    </w:lvl>
    <w:lvl w:ilvl="3" w:tplc="A45E21CA">
      <w:start w:val="1"/>
      <w:numFmt w:val="bullet"/>
      <w:lvlText w:val=""/>
      <w:lvlJc w:val="left"/>
      <w:pPr>
        <w:ind w:left="1860" w:hanging="360"/>
      </w:pPr>
      <w:rPr>
        <w:rFonts w:ascii="Symbol" w:hAnsi="Symbol"/>
      </w:rPr>
    </w:lvl>
    <w:lvl w:ilvl="4" w:tplc="AD201BD6">
      <w:start w:val="1"/>
      <w:numFmt w:val="bullet"/>
      <w:lvlText w:val=""/>
      <w:lvlJc w:val="left"/>
      <w:pPr>
        <w:ind w:left="1860" w:hanging="360"/>
      </w:pPr>
      <w:rPr>
        <w:rFonts w:ascii="Symbol" w:hAnsi="Symbol"/>
      </w:rPr>
    </w:lvl>
    <w:lvl w:ilvl="5" w:tplc="48125868">
      <w:start w:val="1"/>
      <w:numFmt w:val="bullet"/>
      <w:lvlText w:val=""/>
      <w:lvlJc w:val="left"/>
      <w:pPr>
        <w:ind w:left="1860" w:hanging="360"/>
      </w:pPr>
      <w:rPr>
        <w:rFonts w:ascii="Symbol" w:hAnsi="Symbol"/>
      </w:rPr>
    </w:lvl>
    <w:lvl w:ilvl="6" w:tplc="EA625178">
      <w:start w:val="1"/>
      <w:numFmt w:val="bullet"/>
      <w:lvlText w:val=""/>
      <w:lvlJc w:val="left"/>
      <w:pPr>
        <w:ind w:left="1860" w:hanging="360"/>
      </w:pPr>
      <w:rPr>
        <w:rFonts w:ascii="Symbol" w:hAnsi="Symbol"/>
      </w:rPr>
    </w:lvl>
    <w:lvl w:ilvl="7" w:tplc="00CA8F2A">
      <w:start w:val="1"/>
      <w:numFmt w:val="bullet"/>
      <w:lvlText w:val=""/>
      <w:lvlJc w:val="left"/>
      <w:pPr>
        <w:ind w:left="1860" w:hanging="360"/>
      </w:pPr>
      <w:rPr>
        <w:rFonts w:ascii="Symbol" w:hAnsi="Symbol"/>
      </w:rPr>
    </w:lvl>
    <w:lvl w:ilvl="8" w:tplc="C6AAF28E">
      <w:start w:val="1"/>
      <w:numFmt w:val="bullet"/>
      <w:lvlText w:val=""/>
      <w:lvlJc w:val="left"/>
      <w:pPr>
        <w:ind w:left="1860" w:hanging="360"/>
      </w:pPr>
      <w:rPr>
        <w:rFonts w:ascii="Symbol" w:hAnsi="Symbol"/>
      </w:rPr>
    </w:lvl>
  </w:abstractNum>
  <w:abstractNum w:abstractNumId="13"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48A27F4"/>
    <w:multiLevelType w:val="hybridMultilevel"/>
    <w:tmpl w:val="D0308040"/>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5" w15:restartNumberingAfterBreak="0">
    <w:nsid w:val="4A1F59B3"/>
    <w:multiLevelType w:val="multilevel"/>
    <w:tmpl w:val="C34262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E24FBF"/>
    <w:multiLevelType w:val="multilevel"/>
    <w:tmpl w:val="098C9B26"/>
    <w:lvl w:ilvl="0">
      <w:start w:val="2"/>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7"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D44514"/>
    <w:multiLevelType w:val="multilevel"/>
    <w:tmpl w:val="19063D5C"/>
    <w:lvl w:ilvl="0">
      <w:start w:val="1"/>
      <w:numFmt w:val="lowerLetter"/>
      <w:pStyle w:val="Listnum"/>
      <w:lvlText w:val="(%1)"/>
      <w:lvlJc w:val="left"/>
      <w:pPr>
        <w:tabs>
          <w:tab w:val="num" w:pos="360"/>
        </w:tabs>
        <w:ind w:left="360" w:hanging="360"/>
      </w:pPr>
      <w:rPr>
        <w:rFonts w:hint="default"/>
      </w:rPr>
    </w:lvl>
    <w:lvl w:ilvl="1">
      <w:start w:val="2"/>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416129402">
    <w:abstractNumId w:val="13"/>
  </w:num>
  <w:num w:numId="2" w16cid:durableId="531577541">
    <w:abstractNumId w:val="6"/>
  </w:num>
  <w:num w:numId="3" w16cid:durableId="1939100290">
    <w:abstractNumId w:val="4"/>
  </w:num>
  <w:num w:numId="4" w16cid:durableId="421030481">
    <w:abstractNumId w:val="16"/>
    <w:lvlOverride w:ilvl="0">
      <w:startOverride w:val="2"/>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635059">
    <w:abstractNumId w:val="16"/>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42832">
    <w:abstractNumId w:val="16"/>
  </w:num>
  <w:num w:numId="7" w16cid:durableId="1363283646">
    <w:abstractNumId w:val="16"/>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2706266">
    <w:abstractNumId w:val="8"/>
  </w:num>
  <w:num w:numId="9" w16cid:durableId="1607226432">
    <w:abstractNumId w:val="8"/>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142900">
    <w:abstractNumId w:val="17"/>
  </w:num>
  <w:num w:numId="11" w16cid:durableId="531309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2307738">
    <w:abstractNumId w:val="18"/>
  </w:num>
  <w:num w:numId="13" w16cid:durableId="105712718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5"/>
    </w:lvlOverride>
  </w:num>
  <w:num w:numId="14" w16cid:durableId="859123113">
    <w:abstractNumId w:val="18"/>
    <w:lvlOverride w:ilvl="0">
      <w:startOverride w:val="1"/>
    </w:lvlOverride>
    <w:lvlOverride w:ilvl="1">
      <w:startOverride w:val="3"/>
    </w:lvlOverride>
    <w:lvlOverride w:ilvl="2">
      <w:startOverride w:val="2"/>
    </w:lvlOverride>
    <w:lvlOverride w:ilvl="3">
      <w:startOverride w:val="1"/>
    </w:lvlOverride>
    <w:lvlOverride w:ilvl="4">
      <w:startOverride w:val="3"/>
    </w:lvlOverride>
    <w:lvlOverride w:ilvl="5">
      <w:startOverride w:val="1"/>
    </w:lvlOverride>
    <w:lvlOverride w:ilvl="6">
      <w:startOverride w:val="2"/>
    </w:lvlOverride>
    <w:lvlOverride w:ilvl="7">
      <w:startOverride w:val="1"/>
    </w:lvlOverride>
    <w:lvlOverride w:ilvl="8">
      <w:startOverride w:val="1"/>
    </w:lvlOverride>
  </w:num>
  <w:num w:numId="15" w16cid:durableId="211431601">
    <w:abstractNumId w:val="18"/>
    <w:lvlOverride w:ilvl="0">
      <w:startOverride w:val="1"/>
    </w:lvlOverride>
    <w:lvlOverride w:ilvl="1">
      <w:startOverride w:val="2"/>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4"/>
    </w:lvlOverride>
  </w:num>
  <w:num w:numId="16" w16cid:durableId="1101611640">
    <w:abstractNumId w:val="7"/>
  </w:num>
  <w:num w:numId="17" w16cid:durableId="1535461156">
    <w:abstractNumId w:val="0"/>
  </w:num>
  <w:num w:numId="18" w16cid:durableId="1253666126">
    <w:abstractNumId w:val="2"/>
  </w:num>
  <w:num w:numId="19" w16cid:durableId="1692341664">
    <w:abstractNumId w:val="14"/>
  </w:num>
  <w:num w:numId="20" w16cid:durableId="246379551">
    <w:abstractNumId w:val="1"/>
  </w:num>
  <w:num w:numId="21" w16cid:durableId="1598245576">
    <w:abstractNumId w:val="5"/>
  </w:num>
  <w:num w:numId="22" w16cid:durableId="1047141750">
    <w:abstractNumId w:val="13"/>
  </w:num>
  <w:num w:numId="23" w16cid:durableId="1275094243">
    <w:abstractNumId w:val="13"/>
  </w:num>
  <w:num w:numId="24" w16cid:durableId="1933583426">
    <w:abstractNumId w:val="12"/>
  </w:num>
  <w:num w:numId="25" w16cid:durableId="130249760">
    <w:abstractNumId w:val="11"/>
  </w:num>
  <w:num w:numId="26" w16cid:durableId="725103121">
    <w:abstractNumId w:val="13"/>
  </w:num>
  <w:num w:numId="27" w16cid:durableId="1477912212">
    <w:abstractNumId w:val="18"/>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949962">
    <w:abstractNumId w:val="3"/>
  </w:num>
  <w:num w:numId="29" w16cid:durableId="367996159">
    <w:abstractNumId w:val="13"/>
  </w:num>
  <w:num w:numId="30" w16cid:durableId="1607419889">
    <w:abstractNumId w:val="9"/>
  </w:num>
  <w:num w:numId="31" w16cid:durableId="1252281467">
    <w:abstractNumId w:val="18"/>
  </w:num>
  <w:num w:numId="32" w16cid:durableId="43337376">
    <w:abstractNumId w:val="10"/>
  </w:num>
  <w:num w:numId="33" w16cid:durableId="226959623">
    <w:abstractNumId w:val="18"/>
    <w:lvlOverride w:ilvl="0"/>
    <w:lvlOverride w:ilvl="1"/>
    <w:lvlOverride w:ilvl="2"/>
    <w:lvlOverride w:ilvl="3"/>
    <w:lvlOverride w:ilvl="4"/>
    <w:lvlOverride w:ilvl="5"/>
    <w:lvlOverride w:ilvl="6"/>
    <w:lvlOverride w:ilvl="7"/>
    <w:lvlOverride w:ilvl="8"/>
  </w:num>
  <w:num w:numId="34" w16cid:durableId="2134980485">
    <w:abstractNumId w:val="15"/>
  </w:num>
  <w:num w:numId="35" w16cid:durableId="845364053">
    <w:abstractNumId w:val="18"/>
  </w:num>
  <w:num w:numId="36" w16cid:durableId="1662658644">
    <w:abstractNumId w:val="18"/>
  </w:num>
  <w:num w:numId="37" w16cid:durableId="159458786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CDD"/>
    <w:rsid w:val="000003BB"/>
    <w:rsid w:val="0000140D"/>
    <w:rsid w:val="00002CB3"/>
    <w:rsid w:val="00004CBA"/>
    <w:rsid w:val="00006841"/>
    <w:rsid w:val="00006915"/>
    <w:rsid w:val="00006FAC"/>
    <w:rsid w:val="00012F6F"/>
    <w:rsid w:val="00013CFB"/>
    <w:rsid w:val="0001401D"/>
    <w:rsid w:val="00014213"/>
    <w:rsid w:val="0001481B"/>
    <w:rsid w:val="00014B55"/>
    <w:rsid w:val="00014CD6"/>
    <w:rsid w:val="00015892"/>
    <w:rsid w:val="000164B1"/>
    <w:rsid w:val="00016CB4"/>
    <w:rsid w:val="00017622"/>
    <w:rsid w:val="0002019D"/>
    <w:rsid w:val="000208BA"/>
    <w:rsid w:val="00020B84"/>
    <w:rsid w:val="00020E3E"/>
    <w:rsid w:val="00020E8A"/>
    <w:rsid w:val="00021F4C"/>
    <w:rsid w:val="00023BF3"/>
    <w:rsid w:val="00024CA9"/>
    <w:rsid w:val="00026811"/>
    <w:rsid w:val="00026D0B"/>
    <w:rsid w:val="00026D8A"/>
    <w:rsid w:val="00027445"/>
    <w:rsid w:val="00027D74"/>
    <w:rsid w:val="00027DA1"/>
    <w:rsid w:val="000324A4"/>
    <w:rsid w:val="0003276A"/>
    <w:rsid w:val="00033493"/>
    <w:rsid w:val="000344B6"/>
    <w:rsid w:val="0003647E"/>
    <w:rsid w:val="0003736B"/>
    <w:rsid w:val="00042536"/>
    <w:rsid w:val="000428E7"/>
    <w:rsid w:val="00043296"/>
    <w:rsid w:val="0004356D"/>
    <w:rsid w:val="00045296"/>
    <w:rsid w:val="00045402"/>
    <w:rsid w:val="00046E8A"/>
    <w:rsid w:val="00047E82"/>
    <w:rsid w:val="0005001F"/>
    <w:rsid w:val="00050578"/>
    <w:rsid w:val="00050F59"/>
    <w:rsid w:val="000511B3"/>
    <w:rsid w:val="00052454"/>
    <w:rsid w:val="0005266B"/>
    <w:rsid w:val="0005323E"/>
    <w:rsid w:val="00053777"/>
    <w:rsid w:val="0005425C"/>
    <w:rsid w:val="00055534"/>
    <w:rsid w:val="00055FBA"/>
    <w:rsid w:val="0006101A"/>
    <w:rsid w:val="0006321E"/>
    <w:rsid w:val="0006362D"/>
    <w:rsid w:val="00063A88"/>
    <w:rsid w:val="00065A92"/>
    <w:rsid w:val="00066754"/>
    <w:rsid w:val="0006714F"/>
    <w:rsid w:val="00072122"/>
    <w:rsid w:val="000721CE"/>
    <w:rsid w:val="00075D18"/>
    <w:rsid w:val="00075E6C"/>
    <w:rsid w:val="0007670D"/>
    <w:rsid w:val="000775E5"/>
    <w:rsid w:val="00080DA4"/>
    <w:rsid w:val="00082F33"/>
    <w:rsid w:val="0008348F"/>
    <w:rsid w:val="00085DC4"/>
    <w:rsid w:val="00086479"/>
    <w:rsid w:val="000874A3"/>
    <w:rsid w:val="00087A54"/>
    <w:rsid w:val="00091736"/>
    <w:rsid w:val="00091856"/>
    <w:rsid w:val="00091C39"/>
    <w:rsid w:val="00092722"/>
    <w:rsid w:val="00093584"/>
    <w:rsid w:val="000953B7"/>
    <w:rsid w:val="00095CB9"/>
    <w:rsid w:val="00095E18"/>
    <w:rsid w:val="00095E80"/>
    <w:rsid w:val="00096198"/>
    <w:rsid w:val="00096B10"/>
    <w:rsid w:val="00096EF1"/>
    <w:rsid w:val="00097AD6"/>
    <w:rsid w:val="00097FE1"/>
    <w:rsid w:val="000A0B08"/>
    <w:rsid w:val="000A10FA"/>
    <w:rsid w:val="000A39F6"/>
    <w:rsid w:val="000A3A8F"/>
    <w:rsid w:val="000A432F"/>
    <w:rsid w:val="000A5E4E"/>
    <w:rsid w:val="000A6230"/>
    <w:rsid w:val="000A6D7B"/>
    <w:rsid w:val="000A723C"/>
    <w:rsid w:val="000B140C"/>
    <w:rsid w:val="000B29AD"/>
    <w:rsid w:val="000B29F9"/>
    <w:rsid w:val="000B2A38"/>
    <w:rsid w:val="000B4493"/>
    <w:rsid w:val="000B5873"/>
    <w:rsid w:val="000B5874"/>
    <w:rsid w:val="000B61AA"/>
    <w:rsid w:val="000B624A"/>
    <w:rsid w:val="000B6552"/>
    <w:rsid w:val="000C0340"/>
    <w:rsid w:val="000C04D7"/>
    <w:rsid w:val="000C2D02"/>
    <w:rsid w:val="000C367A"/>
    <w:rsid w:val="000C3F43"/>
    <w:rsid w:val="000C515A"/>
    <w:rsid w:val="000C54FA"/>
    <w:rsid w:val="000C6372"/>
    <w:rsid w:val="000C6FF8"/>
    <w:rsid w:val="000D01CC"/>
    <w:rsid w:val="000D066B"/>
    <w:rsid w:val="000D1122"/>
    <w:rsid w:val="000D3220"/>
    <w:rsid w:val="000D593F"/>
    <w:rsid w:val="000D67BB"/>
    <w:rsid w:val="000D7700"/>
    <w:rsid w:val="000D7C26"/>
    <w:rsid w:val="000E08EE"/>
    <w:rsid w:val="000E2844"/>
    <w:rsid w:val="000E2CA7"/>
    <w:rsid w:val="000E392D"/>
    <w:rsid w:val="000E39DA"/>
    <w:rsid w:val="000E543E"/>
    <w:rsid w:val="000E5C26"/>
    <w:rsid w:val="000F03BD"/>
    <w:rsid w:val="000F1209"/>
    <w:rsid w:val="000F2099"/>
    <w:rsid w:val="000F350D"/>
    <w:rsid w:val="000F4288"/>
    <w:rsid w:val="000F45B0"/>
    <w:rsid w:val="000F472C"/>
    <w:rsid w:val="000F6446"/>
    <w:rsid w:val="000F6FD5"/>
    <w:rsid w:val="000F7165"/>
    <w:rsid w:val="000F72BD"/>
    <w:rsid w:val="000F7BF4"/>
    <w:rsid w:val="00101C21"/>
    <w:rsid w:val="00102379"/>
    <w:rsid w:val="00102413"/>
    <w:rsid w:val="00104038"/>
    <w:rsid w:val="001048BC"/>
    <w:rsid w:val="00104CB8"/>
    <w:rsid w:val="001051F1"/>
    <w:rsid w:val="00105FA1"/>
    <w:rsid w:val="001065D6"/>
    <w:rsid w:val="00106EB0"/>
    <w:rsid w:val="00107C3C"/>
    <w:rsid w:val="00112FD8"/>
    <w:rsid w:val="001131C6"/>
    <w:rsid w:val="001149BD"/>
    <w:rsid w:val="001152C0"/>
    <w:rsid w:val="001163B9"/>
    <w:rsid w:val="0011718A"/>
    <w:rsid w:val="00121252"/>
    <w:rsid w:val="00121BD7"/>
    <w:rsid w:val="00121D9B"/>
    <w:rsid w:val="00121DB0"/>
    <w:rsid w:val="0012264F"/>
    <w:rsid w:val="00123FF6"/>
    <w:rsid w:val="00124609"/>
    <w:rsid w:val="001254CE"/>
    <w:rsid w:val="00126313"/>
    <w:rsid w:val="00126AF9"/>
    <w:rsid w:val="0013101C"/>
    <w:rsid w:val="001310F1"/>
    <w:rsid w:val="001319E8"/>
    <w:rsid w:val="001326CA"/>
    <w:rsid w:val="00134CEA"/>
    <w:rsid w:val="00134E0D"/>
    <w:rsid w:val="00140CB4"/>
    <w:rsid w:val="00141CB9"/>
    <w:rsid w:val="001422CC"/>
    <w:rsid w:val="00142B66"/>
    <w:rsid w:val="00145B69"/>
    <w:rsid w:val="00145EEA"/>
    <w:rsid w:val="001468DB"/>
    <w:rsid w:val="001474C1"/>
    <w:rsid w:val="0014779F"/>
    <w:rsid w:val="0015169A"/>
    <w:rsid w:val="00151E5C"/>
    <w:rsid w:val="00152185"/>
    <w:rsid w:val="00152587"/>
    <w:rsid w:val="00157196"/>
    <w:rsid w:val="001617B6"/>
    <w:rsid w:val="00161A99"/>
    <w:rsid w:val="00162228"/>
    <w:rsid w:val="001640F6"/>
    <w:rsid w:val="0016587C"/>
    <w:rsid w:val="00165E66"/>
    <w:rsid w:val="00166470"/>
    <w:rsid w:val="00166811"/>
    <w:rsid w:val="00170DA3"/>
    <w:rsid w:val="00171327"/>
    <w:rsid w:val="00173482"/>
    <w:rsid w:val="00174AF0"/>
    <w:rsid w:val="0017798B"/>
    <w:rsid w:val="00181222"/>
    <w:rsid w:val="001819ED"/>
    <w:rsid w:val="00181D0B"/>
    <w:rsid w:val="0018352C"/>
    <w:rsid w:val="001852EA"/>
    <w:rsid w:val="00185406"/>
    <w:rsid w:val="00185A11"/>
    <w:rsid w:val="00186906"/>
    <w:rsid w:val="00190ECC"/>
    <w:rsid w:val="00191FF7"/>
    <w:rsid w:val="00192B07"/>
    <w:rsid w:val="00195335"/>
    <w:rsid w:val="00196BAE"/>
    <w:rsid w:val="001971E8"/>
    <w:rsid w:val="001973D5"/>
    <w:rsid w:val="00197C68"/>
    <w:rsid w:val="001A0266"/>
    <w:rsid w:val="001A0645"/>
    <w:rsid w:val="001A1537"/>
    <w:rsid w:val="001A22FC"/>
    <w:rsid w:val="001A3027"/>
    <w:rsid w:val="001A3DD1"/>
    <w:rsid w:val="001A4680"/>
    <w:rsid w:val="001A50BB"/>
    <w:rsid w:val="001A6329"/>
    <w:rsid w:val="001A75FC"/>
    <w:rsid w:val="001A779E"/>
    <w:rsid w:val="001B188A"/>
    <w:rsid w:val="001B2CD5"/>
    <w:rsid w:val="001C0515"/>
    <w:rsid w:val="001C0F84"/>
    <w:rsid w:val="001C103C"/>
    <w:rsid w:val="001C66C2"/>
    <w:rsid w:val="001C6BEE"/>
    <w:rsid w:val="001C72ED"/>
    <w:rsid w:val="001C785B"/>
    <w:rsid w:val="001C7BAE"/>
    <w:rsid w:val="001D173B"/>
    <w:rsid w:val="001D3C1B"/>
    <w:rsid w:val="001D4474"/>
    <w:rsid w:val="001D4CF9"/>
    <w:rsid w:val="001D53E8"/>
    <w:rsid w:val="001D546E"/>
    <w:rsid w:val="001D5C33"/>
    <w:rsid w:val="001D61BC"/>
    <w:rsid w:val="001D717E"/>
    <w:rsid w:val="001E31FA"/>
    <w:rsid w:val="001E3435"/>
    <w:rsid w:val="001E34E9"/>
    <w:rsid w:val="001E4E5D"/>
    <w:rsid w:val="001E64F6"/>
    <w:rsid w:val="001E6532"/>
    <w:rsid w:val="001F0F50"/>
    <w:rsid w:val="001F1056"/>
    <w:rsid w:val="001F126C"/>
    <w:rsid w:val="001F2509"/>
    <w:rsid w:val="001F34BD"/>
    <w:rsid w:val="001F3B64"/>
    <w:rsid w:val="001F4817"/>
    <w:rsid w:val="001F4C4D"/>
    <w:rsid w:val="001F5927"/>
    <w:rsid w:val="001F5E84"/>
    <w:rsid w:val="001F72D2"/>
    <w:rsid w:val="001F7A2E"/>
    <w:rsid w:val="00200DC8"/>
    <w:rsid w:val="00200DF2"/>
    <w:rsid w:val="002013B7"/>
    <w:rsid w:val="002014A5"/>
    <w:rsid w:val="00201EE9"/>
    <w:rsid w:val="002034DF"/>
    <w:rsid w:val="002040BB"/>
    <w:rsid w:val="00206F48"/>
    <w:rsid w:val="0021125E"/>
    <w:rsid w:val="00211CD2"/>
    <w:rsid w:val="0021265C"/>
    <w:rsid w:val="0021326D"/>
    <w:rsid w:val="00216BA2"/>
    <w:rsid w:val="00220063"/>
    <w:rsid w:val="002206B1"/>
    <w:rsid w:val="002212BF"/>
    <w:rsid w:val="00222BEB"/>
    <w:rsid w:val="00222D08"/>
    <w:rsid w:val="00223740"/>
    <w:rsid w:val="00225253"/>
    <w:rsid w:val="00225E60"/>
    <w:rsid w:val="00231136"/>
    <w:rsid w:val="0023118C"/>
    <w:rsid w:val="0023121E"/>
    <w:rsid w:val="00231D08"/>
    <w:rsid w:val="0023202C"/>
    <w:rsid w:val="0023205A"/>
    <w:rsid w:val="002334A9"/>
    <w:rsid w:val="00236203"/>
    <w:rsid w:val="002363AD"/>
    <w:rsid w:val="00241E19"/>
    <w:rsid w:val="002428C5"/>
    <w:rsid w:val="00243FAF"/>
    <w:rsid w:val="00244593"/>
    <w:rsid w:val="00244FAF"/>
    <w:rsid w:val="00245043"/>
    <w:rsid w:val="00245DF6"/>
    <w:rsid w:val="002526CE"/>
    <w:rsid w:val="00255799"/>
    <w:rsid w:val="00255EE5"/>
    <w:rsid w:val="002571D3"/>
    <w:rsid w:val="00257760"/>
    <w:rsid w:val="00257DE7"/>
    <w:rsid w:val="00257EE0"/>
    <w:rsid w:val="00260E5B"/>
    <w:rsid w:val="00261485"/>
    <w:rsid w:val="00261A30"/>
    <w:rsid w:val="002656C9"/>
    <w:rsid w:val="00265979"/>
    <w:rsid w:val="002665A2"/>
    <w:rsid w:val="00267D31"/>
    <w:rsid w:val="002703C5"/>
    <w:rsid w:val="0027303B"/>
    <w:rsid w:val="002733DE"/>
    <w:rsid w:val="00273FEF"/>
    <w:rsid w:val="002748B9"/>
    <w:rsid w:val="00276B65"/>
    <w:rsid w:val="00280D68"/>
    <w:rsid w:val="00284A5D"/>
    <w:rsid w:val="00284ED6"/>
    <w:rsid w:val="0028539F"/>
    <w:rsid w:val="00287716"/>
    <w:rsid w:val="00291328"/>
    <w:rsid w:val="00291828"/>
    <w:rsid w:val="00291A5A"/>
    <w:rsid w:val="00292D36"/>
    <w:rsid w:val="00292EDB"/>
    <w:rsid w:val="002947E9"/>
    <w:rsid w:val="00295314"/>
    <w:rsid w:val="00295335"/>
    <w:rsid w:val="00295349"/>
    <w:rsid w:val="00296103"/>
    <w:rsid w:val="00297281"/>
    <w:rsid w:val="002975CF"/>
    <w:rsid w:val="002A10CB"/>
    <w:rsid w:val="002A131C"/>
    <w:rsid w:val="002A29FB"/>
    <w:rsid w:val="002A4252"/>
    <w:rsid w:val="002A5EB5"/>
    <w:rsid w:val="002A6347"/>
    <w:rsid w:val="002A6F30"/>
    <w:rsid w:val="002B00A8"/>
    <w:rsid w:val="002B1D89"/>
    <w:rsid w:val="002B2092"/>
    <w:rsid w:val="002B3354"/>
    <w:rsid w:val="002B5AFD"/>
    <w:rsid w:val="002B6082"/>
    <w:rsid w:val="002C10E8"/>
    <w:rsid w:val="002C1CB3"/>
    <w:rsid w:val="002C300C"/>
    <w:rsid w:val="002C4B8F"/>
    <w:rsid w:val="002C54E0"/>
    <w:rsid w:val="002C648C"/>
    <w:rsid w:val="002D1113"/>
    <w:rsid w:val="002D4DE0"/>
    <w:rsid w:val="002D606B"/>
    <w:rsid w:val="002D62D7"/>
    <w:rsid w:val="002D711A"/>
    <w:rsid w:val="002D7336"/>
    <w:rsid w:val="002D7347"/>
    <w:rsid w:val="002D771F"/>
    <w:rsid w:val="002E0400"/>
    <w:rsid w:val="002E0697"/>
    <w:rsid w:val="002E105E"/>
    <w:rsid w:val="002E21A3"/>
    <w:rsid w:val="002E2EF7"/>
    <w:rsid w:val="002E3396"/>
    <w:rsid w:val="002E3596"/>
    <w:rsid w:val="002E3949"/>
    <w:rsid w:val="002E42A4"/>
    <w:rsid w:val="002E5202"/>
    <w:rsid w:val="002E536A"/>
    <w:rsid w:val="002E59D0"/>
    <w:rsid w:val="002E6A83"/>
    <w:rsid w:val="002E6B98"/>
    <w:rsid w:val="002F06C6"/>
    <w:rsid w:val="002F43A3"/>
    <w:rsid w:val="002F4D63"/>
    <w:rsid w:val="002F4D78"/>
    <w:rsid w:val="002F62B8"/>
    <w:rsid w:val="002F6F91"/>
    <w:rsid w:val="00301289"/>
    <w:rsid w:val="003030BD"/>
    <w:rsid w:val="003035D5"/>
    <w:rsid w:val="0030419F"/>
    <w:rsid w:val="00304E2F"/>
    <w:rsid w:val="0030506A"/>
    <w:rsid w:val="0030669D"/>
    <w:rsid w:val="00310196"/>
    <w:rsid w:val="00310C5E"/>
    <w:rsid w:val="00310E69"/>
    <w:rsid w:val="0031149C"/>
    <w:rsid w:val="00317524"/>
    <w:rsid w:val="003211DE"/>
    <w:rsid w:val="00321CA2"/>
    <w:rsid w:val="00322044"/>
    <w:rsid w:val="00324CB9"/>
    <w:rsid w:val="0032509F"/>
    <w:rsid w:val="00325EAD"/>
    <w:rsid w:val="00325EB7"/>
    <w:rsid w:val="00331DD2"/>
    <w:rsid w:val="003328D8"/>
    <w:rsid w:val="003332CB"/>
    <w:rsid w:val="00333B83"/>
    <w:rsid w:val="0033487B"/>
    <w:rsid w:val="00337096"/>
    <w:rsid w:val="0034038F"/>
    <w:rsid w:val="00340415"/>
    <w:rsid w:val="00342374"/>
    <w:rsid w:val="00343927"/>
    <w:rsid w:val="0034394A"/>
    <w:rsid w:val="003440EB"/>
    <w:rsid w:val="00345006"/>
    <w:rsid w:val="00345B6C"/>
    <w:rsid w:val="00346576"/>
    <w:rsid w:val="00351FDF"/>
    <w:rsid w:val="0035202E"/>
    <w:rsid w:val="00352D6B"/>
    <w:rsid w:val="00353978"/>
    <w:rsid w:val="003559E5"/>
    <w:rsid w:val="00355D28"/>
    <w:rsid w:val="0035799B"/>
    <w:rsid w:val="00357F99"/>
    <w:rsid w:val="003613B2"/>
    <w:rsid w:val="00361F66"/>
    <w:rsid w:val="003625FB"/>
    <w:rsid w:val="0036279E"/>
    <w:rsid w:val="0036512B"/>
    <w:rsid w:val="003710CD"/>
    <w:rsid w:val="00371749"/>
    <w:rsid w:val="00371BC1"/>
    <w:rsid w:val="00372502"/>
    <w:rsid w:val="00372FC9"/>
    <w:rsid w:val="00374ABC"/>
    <w:rsid w:val="003774D0"/>
    <w:rsid w:val="00377847"/>
    <w:rsid w:val="00377F49"/>
    <w:rsid w:val="00380444"/>
    <w:rsid w:val="003829B6"/>
    <w:rsid w:val="00382A69"/>
    <w:rsid w:val="00384083"/>
    <w:rsid w:val="0038457E"/>
    <w:rsid w:val="00384773"/>
    <w:rsid w:val="003855E4"/>
    <w:rsid w:val="00386BD2"/>
    <w:rsid w:val="0038771C"/>
    <w:rsid w:val="00390DDB"/>
    <w:rsid w:val="0039194B"/>
    <w:rsid w:val="003924B0"/>
    <w:rsid w:val="00392A8F"/>
    <w:rsid w:val="00392C2D"/>
    <w:rsid w:val="003933AA"/>
    <w:rsid w:val="003938B1"/>
    <w:rsid w:val="0039405B"/>
    <w:rsid w:val="003940CF"/>
    <w:rsid w:val="0039713C"/>
    <w:rsid w:val="0039756F"/>
    <w:rsid w:val="00397BC4"/>
    <w:rsid w:val="003A1465"/>
    <w:rsid w:val="003A1C92"/>
    <w:rsid w:val="003A2484"/>
    <w:rsid w:val="003A2BBF"/>
    <w:rsid w:val="003A541A"/>
    <w:rsid w:val="003A6344"/>
    <w:rsid w:val="003A6923"/>
    <w:rsid w:val="003B0467"/>
    <w:rsid w:val="003B13FC"/>
    <w:rsid w:val="003B1D2A"/>
    <w:rsid w:val="003B31D2"/>
    <w:rsid w:val="003B3847"/>
    <w:rsid w:val="003B4E8C"/>
    <w:rsid w:val="003B658D"/>
    <w:rsid w:val="003B74D0"/>
    <w:rsid w:val="003C03F5"/>
    <w:rsid w:val="003C0F6E"/>
    <w:rsid w:val="003C11B3"/>
    <w:rsid w:val="003C1386"/>
    <w:rsid w:val="003C1861"/>
    <w:rsid w:val="003C2AB9"/>
    <w:rsid w:val="003C2C67"/>
    <w:rsid w:val="003C2EA2"/>
    <w:rsid w:val="003C3D68"/>
    <w:rsid w:val="003C4BF0"/>
    <w:rsid w:val="003C4E8D"/>
    <w:rsid w:val="003C52C3"/>
    <w:rsid w:val="003C5802"/>
    <w:rsid w:val="003C5BA4"/>
    <w:rsid w:val="003C5C31"/>
    <w:rsid w:val="003D1495"/>
    <w:rsid w:val="003D2CC7"/>
    <w:rsid w:val="003D39CC"/>
    <w:rsid w:val="003D4A5D"/>
    <w:rsid w:val="003D5EF7"/>
    <w:rsid w:val="003D7F26"/>
    <w:rsid w:val="003E1016"/>
    <w:rsid w:val="003E2A27"/>
    <w:rsid w:val="003E3E26"/>
    <w:rsid w:val="003E539C"/>
    <w:rsid w:val="003F007E"/>
    <w:rsid w:val="003F0256"/>
    <w:rsid w:val="003F05C4"/>
    <w:rsid w:val="003F0B87"/>
    <w:rsid w:val="003F1295"/>
    <w:rsid w:val="003F1BD4"/>
    <w:rsid w:val="003F2261"/>
    <w:rsid w:val="003F2377"/>
    <w:rsid w:val="003F2B78"/>
    <w:rsid w:val="003F2C35"/>
    <w:rsid w:val="003F2D05"/>
    <w:rsid w:val="003F37DE"/>
    <w:rsid w:val="003F43E4"/>
    <w:rsid w:val="003F466C"/>
    <w:rsid w:val="003F48EC"/>
    <w:rsid w:val="003F4E3C"/>
    <w:rsid w:val="003F566C"/>
    <w:rsid w:val="003F5C58"/>
    <w:rsid w:val="003F60EE"/>
    <w:rsid w:val="003F6427"/>
    <w:rsid w:val="003F76FC"/>
    <w:rsid w:val="003F7ABC"/>
    <w:rsid w:val="004002EB"/>
    <w:rsid w:val="0040071E"/>
    <w:rsid w:val="004009F6"/>
    <w:rsid w:val="00400B1A"/>
    <w:rsid w:val="00402287"/>
    <w:rsid w:val="00405443"/>
    <w:rsid w:val="00405C57"/>
    <w:rsid w:val="00406274"/>
    <w:rsid w:val="0040647A"/>
    <w:rsid w:val="0041083B"/>
    <w:rsid w:val="00411E8B"/>
    <w:rsid w:val="00414332"/>
    <w:rsid w:val="0041495D"/>
    <w:rsid w:val="00414B2E"/>
    <w:rsid w:val="004153A4"/>
    <w:rsid w:val="00416198"/>
    <w:rsid w:val="00416375"/>
    <w:rsid w:val="0041689E"/>
    <w:rsid w:val="00422C8D"/>
    <w:rsid w:val="004236C8"/>
    <w:rsid w:val="00424FDB"/>
    <w:rsid w:val="0042753A"/>
    <w:rsid w:val="00427681"/>
    <w:rsid w:val="004304A1"/>
    <w:rsid w:val="00431921"/>
    <w:rsid w:val="0043214A"/>
    <w:rsid w:val="00433DB7"/>
    <w:rsid w:val="00434610"/>
    <w:rsid w:val="004375AA"/>
    <w:rsid w:val="00440679"/>
    <w:rsid w:val="0044111B"/>
    <w:rsid w:val="00441F73"/>
    <w:rsid w:val="004424F1"/>
    <w:rsid w:val="00442D40"/>
    <w:rsid w:val="00443ECB"/>
    <w:rsid w:val="0044448E"/>
    <w:rsid w:val="004502AA"/>
    <w:rsid w:val="004513AC"/>
    <w:rsid w:val="00451B07"/>
    <w:rsid w:val="00453750"/>
    <w:rsid w:val="00454266"/>
    <w:rsid w:val="00455B7F"/>
    <w:rsid w:val="00456941"/>
    <w:rsid w:val="00460B48"/>
    <w:rsid w:val="00460BEF"/>
    <w:rsid w:val="00460DB5"/>
    <w:rsid w:val="00461EA6"/>
    <w:rsid w:val="0046202A"/>
    <w:rsid w:val="004622E1"/>
    <w:rsid w:val="00462496"/>
    <w:rsid w:val="00462827"/>
    <w:rsid w:val="00463C6B"/>
    <w:rsid w:val="00464195"/>
    <w:rsid w:val="004658E8"/>
    <w:rsid w:val="004663F4"/>
    <w:rsid w:val="004665BA"/>
    <w:rsid w:val="004669E3"/>
    <w:rsid w:val="00466B99"/>
    <w:rsid w:val="00466C13"/>
    <w:rsid w:val="004702EA"/>
    <w:rsid w:val="00470C1C"/>
    <w:rsid w:val="004733DD"/>
    <w:rsid w:val="00482B57"/>
    <w:rsid w:val="00482D02"/>
    <w:rsid w:val="00484596"/>
    <w:rsid w:val="00487A81"/>
    <w:rsid w:val="00491E68"/>
    <w:rsid w:val="00492083"/>
    <w:rsid w:val="004927B5"/>
    <w:rsid w:val="00493DF0"/>
    <w:rsid w:val="00495386"/>
    <w:rsid w:val="0049741F"/>
    <w:rsid w:val="00497502"/>
    <w:rsid w:val="00497E4A"/>
    <w:rsid w:val="004A0528"/>
    <w:rsid w:val="004A173E"/>
    <w:rsid w:val="004A52C8"/>
    <w:rsid w:val="004A633A"/>
    <w:rsid w:val="004A7519"/>
    <w:rsid w:val="004B2DE3"/>
    <w:rsid w:val="004B41CA"/>
    <w:rsid w:val="004B4EB4"/>
    <w:rsid w:val="004B5285"/>
    <w:rsid w:val="004B60AF"/>
    <w:rsid w:val="004B63CF"/>
    <w:rsid w:val="004C0B7C"/>
    <w:rsid w:val="004C1599"/>
    <w:rsid w:val="004C33FB"/>
    <w:rsid w:val="004C56D1"/>
    <w:rsid w:val="004C7931"/>
    <w:rsid w:val="004D0A7D"/>
    <w:rsid w:val="004D1E05"/>
    <w:rsid w:val="004D2303"/>
    <w:rsid w:val="004D2E4C"/>
    <w:rsid w:val="004D3518"/>
    <w:rsid w:val="004D385B"/>
    <w:rsid w:val="004D5A12"/>
    <w:rsid w:val="004D62D6"/>
    <w:rsid w:val="004D76DF"/>
    <w:rsid w:val="004D7FED"/>
    <w:rsid w:val="004E077C"/>
    <w:rsid w:val="004E35FE"/>
    <w:rsid w:val="004E5782"/>
    <w:rsid w:val="004E6926"/>
    <w:rsid w:val="004E7FED"/>
    <w:rsid w:val="004F0B79"/>
    <w:rsid w:val="004F129C"/>
    <w:rsid w:val="004F3D65"/>
    <w:rsid w:val="004F40AB"/>
    <w:rsid w:val="004F5870"/>
    <w:rsid w:val="004F665E"/>
    <w:rsid w:val="004F759D"/>
    <w:rsid w:val="004F7FC7"/>
    <w:rsid w:val="00500009"/>
    <w:rsid w:val="00501A9A"/>
    <w:rsid w:val="00501B33"/>
    <w:rsid w:val="00503662"/>
    <w:rsid w:val="005068CF"/>
    <w:rsid w:val="005128B3"/>
    <w:rsid w:val="00513728"/>
    <w:rsid w:val="00513FD6"/>
    <w:rsid w:val="00514DC3"/>
    <w:rsid w:val="00514FC4"/>
    <w:rsid w:val="00515772"/>
    <w:rsid w:val="00515BC1"/>
    <w:rsid w:val="0051606B"/>
    <w:rsid w:val="005223AD"/>
    <w:rsid w:val="005230A7"/>
    <w:rsid w:val="00526A42"/>
    <w:rsid w:val="00526F47"/>
    <w:rsid w:val="0052770E"/>
    <w:rsid w:val="005328A8"/>
    <w:rsid w:val="00532B99"/>
    <w:rsid w:val="0053416C"/>
    <w:rsid w:val="00536627"/>
    <w:rsid w:val="00541C2F"/>
    <w:rsid w:val="00542135"/>
    <w:rsid w:val="00543305"/>
    <w:rsid w:val="00545C38"/>
    <w:rsid w:val="00547444"/>
    <w:rsid w:val="0054771C"/>
    <w:rsid w:val="0055279E"/>
    <w:rsid w:val="0055346B"/>
    <w:rsid w:val="005541F7"/>
    <w:rsid w:val="005545D2"/>
    <w:rsid w:val="005547C8"/>
    <w:rsid w:val="00555010"/>
    <w:rsid w:val="005567A9"/>
    <w:rsid w:val="005624DF"/>
    <w:rsid w:val="00562984"/>
    <w:rsid w:val="00563527"/>
    <w:rsid w:val="005646D3"/>
    <w:rsid w:val="0056560E"/>
    <w:rsid w:val="005657CB"/>
    <w:rsid w:val="00566849"/>
    <w:rsid w:val="00567C58"/>
    <w:rsid w:val="0057076A"/>
    <w:rsid w:val="00570F74"/>
    <w:rsid w:val="0057107E"/>
    <w:rsid w:val="005717B8"/>
    <w:rsid w:val="005725E0"/>
    <w:rsid w:val="005771CD"/>
    <w:rsid w:val="00580C34"/>
    <w:rsid w:val="0058124E"/>
    <w:rsid w:val="0058303E"/>
    <w:rsid w:val="00583167"/>
    <w:rsid w:val="00584301"/>
    <w:rsid w:val="005848CB"/>
    <w:rsid w:val="00584D61"/>
    <w:rsid w:val="005875A3"/>
    <w:rsid w:val="00592C36"/>
    <w:rsid w:val="00593F28"/>
    <w:rsid w:val="00594338"/>
    <w:rsid w:val="005948BF"/>
    <w:rsid w:val="0059591D"/>
    <w:rsid w:val="0059685C"/>
    <w:rsid w:val="00596887"/>
    <w:rsid w:val="00596964"/>
    <w:rsid w:val="00596BAC"/>
    <w:rsid w:val="00596E24"/>
    <w:rsid w:val="00597ACC"/>
    <w:rsid w:val="005A0322"/>
    <w:rsid w:val="005A0B65"/>
    <w:rsid w:val="005A1584"/>
    <w:rsid w:val="005A15B9"/>
    <w:rsid w:val="005A1B74"/>
    <w:rsid w:val="005A3416"/>
    <w:rsid w:val="005A44E3"/>
    <w:rsid w:val="005A45B3"/>
    <w:rsid w:val="005B0192"/>
    <w:rsid w:val="005B1E82"/>
    <w:rsid w:val="005B27FE"/>
    <w:rsid w:val="005B36E0"/>
    <w:rsid w:val="005B5099"/>
    <w:rsid w:val="005B5929"/>
    <w:rsid w:val="005B6D0C"/>
    <w:rsid w:val="005C0A04"/>
    <w:rsid w:val="005C3E6D"/>
    <w:rsid w:val="005C3F40"/>
    <w:rsid w:val="005C4FED"/>
    <w:rsid w:val="005C50DF"/>
    <w:rsid w:val="005C596D"/>
    <w:rsid w:val="005C652D"/>
    <w:rsid w:val="005C6EA2"/>
    <w:rsid w:val="005D1370"/>
    <w:rsid w:val="005D1D9C"/>
    <w:rsid w:val="005D2CF5"/>
    <w:rsid w:val="005D5DCF"/>
    <w:rsid w:val="005D6EAF"/>
    <w:rsid w:val="005E0F1E"/>
    <w:rsid w:val="005E32EA"/>
    <w:rsid w:val="005F1807"/>
    <w:rsid w:val="005F21EE"/>
    <w:rsid w:val="005F2A20"/>
    <w:rsid w:val="005F2AC2"/>
    <w:rsid w:val="005F5F59"/>
    <w:rsid w:val="005F61DF"/>
    <w:rsid w:val="005F6EDA"/>
    <w:rsid w:val="00601C02"/>
    <w:rsid w:val="006023F9"/>
    <w:rsid w:val="00604A1E"/>
    <w:rsid w:val="00604FF6"/>
    <w:rsid w:val="0060533A"/>
    <w:rsid w:val="0060670D"/>
    <w:rsid w:val="006076F1"/>
    <w:rsid w:val="006104F4"/>
    <w:rsid w:val="00610559"/>
    <w:rsid w:val="00610794"/>
    <w:rsid w:val="006120B3"/>
    <w:rsid w:val="006124ED"/>
    <w:rsid w:val="00616C74"/>
    <w:rsid w:val="00616FA4"/>
    <w:rsid w:val="00617509"/>
    <w:rsid w:val="00620200"/>
    <w:rsid w:val="006214E8"/>
    <w:rsid w:val="00621AB3"/>
    <w:rsid w:val="0062290C"/>
    <w:rsid w:val="00624926"/>
    <w:rsid w:val="006258B0"/>
    <w:rsid w:val="006264DA"/>
    <w:rsid w:val="0062703A"/>
    <w:rsid w:val="006307D2"/>
    <w:rsid w:val="006318DB"/>
    <w:rsid w:val="00633034"/>
    <w:rsid w:val="0063327B"/>
    <w:rsid w:val="006332F6"/>
    <w:rsid w:val="006339B0"/>
    <w:rsid w:val="006343B5"/>
    <w:rsid w:val="00634E2E"/>
    <w:rsid w:val="006361E7"/>
    <w:rsid w:val="0063724F"/>
    <w:rsid w:val="00642933"/>
    <w:rsid w:val="00642BC4"/>
    <w:rsid w:val="006431D8"/>
    <w:rsid w:val="00644837"/>
    <w:rsid w:val="00644C96"/>
    <w:rsid w:val="00645920"/>
    <w:rsid w:val="00645A3B"/>
    <w:rsid w:val="0064697B"/>
    <w:rsid w:val="006502B0"/>
    <w:rsid w:val="00650CA7"/>
    <w:rsid w:val="00650F63"/>
    <w:rsid w:val="006514B4"/>
    <w:rsid w:val="00652625"/>
    <w:rsid w:val="006529AD"/>
    <w:rsid w:val="00652B81"/>
    <w:rsid w:val="00652FB0"/>
    <w:rsid w:val="006534B2"/>
    <w:rsid w:val="006552C1"/>
    <w:rsid w:val="00655D25"/>
    <w:rsid w:val="0065615D"/>
    <w:rsid w:val="00657011"/>
    <w:rsid w:val="0066085C"/>
    <w:rsid w:val="006609B5"/>
    <w:rsid w:val="00662E00"/>
    <w:rsid w:val="00663063"/>
    <w:rsid w:val="00664D90"/>
    <w:rsid w:val="006650B5"/>
    <w:rsid w:val="006651B1"/>
    <w:rsid w:val="00665778"/>
    <w:rsid w:val="0066740F"/>
    <w:rsid w:val="0067003E"/>
    <w:rsid w:val="00670D97"/>
    <w:rsid w:val="00672E30"/>
    <w:rsid w:val="00672FA2"/>
    <w:rsid w:val="006738C4"/>
    <w:rsid w:val="006748D6"/>
    <w:rsid w:val="00682620"/>
    <w:rsid w:val="00682E25"/>
    <w:rsid w:val="00686181"/>
    <w:rsid w:val="00686F84"/>
    <w:rsid w:val="006871C6"/>
    <w:rsid w:val="00691080"/>
    <w:rsid w:val="00693BC9"/>
    <w:rsid w:val="00693CDB"/>
    <w:rsid w:val="00693F5B"/>
    <w:rsid w:val="006963BF"/>
    <w:rsid w:val="00696646"/>
    <w:rsid w:val="006966C9"/>
    <w:rsid w:val="006A1B97"/>
    <w:rsid w:val="006A5458"/>
    <w:rsid w:val="006A5A1F"/>
    <w:rsid w:val="006A5B34"/>
    <w:rsid w:val="006A5F5B"/>
    <w:rsid w:val="006A638B"/>
    <w:rsid w:val="006A6B5D"/>
    <w:rsid w:val="006A7B9D"/>
    <w:rsid w:val="006A7CE7"/>
    <w:rsid w:val="006B00FF"/>
    <w:rsid w:val="006B1A71"/>
    <w:rsid w:val="006B32CD"/>
    <w:rsid w:val="006B3917"/>
    <w:rsid w:val="006B5D9C"/>
    <w:rsid w:val="006C0326"/>
    <w:rsid w:val="006C0EEF"/>
    <w:rsid w:val="006C1388"/>
    <w:rsid w:val="006C546D"/>
    <w:rsid w:val="006C77A9"/>
    <w:rsid w:val="006D08AE"/>
    <w:rsid w:val="006D17C9"/>
    <w:rsid w:val="006D22AB"/>
    <w:rsid w:val="006D2FDB"/>
    <w:rsid w:val="006D3925"/>
    <w:rsid w:val="006D40DF"/>
    <w:rsid w:val="006D4C4A"/>
    <w:rsid w:val="006D5CDD"/>
    <w:rsid w:val="006D5D2E"/>
    <w:rsid w:val="006D686A"/>
    <w:rsid w:val="006D7D02"/>
    <w:rsid w:val="006E15DB"/>
    <w:rsid w:val="006E1F2C"/>
    <w:rsid w:val="006E26CA"/>
    <w:rsid w:val="006E276A"/>
    <w:rsid w:val="006E5BB5"/>
    <w:rsid w:val="006E7B02"/>
    <w:rsid w:val="006F10B1"/>
    <w:rsid w:val="006F2DB1"/>
    <w:rsid w:val="006F3FA1"/>
    <w:rsid w:val="006F4B57"/>
    <w:rsid w:val="006F579E"/>
    <w:rsid w:val="006F605B"/>
    <w:rsid w:val="006F6693"/>
    <w:rsid w:val="00700D89"/>
    <w:rsid w:val="00700D99"/>
    <w:rsid w:val="0070221D"/>
    <w:rsid w:val="00702708"/>
    <w:rsid w:val="00706740"/>
    <w:rsid w:val="00706E91"/>
    <w:rsid w:val="00707423"/>
    <w:rsid w:val="00707A41"/>
    <w:rsid w:val="00707FE8"/>
    <w:rsid w:val="00712028"/>
    <w:rsid w:val="007145AA"/>
    <w:rsid w:val="00715DB5"/>
    <w:rsid w:val="00716725"/>
    <w:rsid w:val="00716C7A"/>
    <w:rsid w:val="0071700E"/>
    <w:rsid w:val="007210A7"/>
    <w:rsid w:val="007210E0"/>
    <w:rsid w:val="00721AE5"/>
    <w:rsid w:val="00721B4B"/>
    <w:rsid w:val="0072219F"/>
    <w:rsid w:val="00724962"/>
    <w:rsid w:val="00724A0F"/>
    <w:rsid w:val="00724B57"/>
    <w:rsid w:val="00724CE7"/>
    <w:rsid w:val="00725EA0"/>
    <w:rsid w:val="00726790"/>
    <w:rsid w:val="007270E4"/>
    <w:rsid w:val="00727A6A"/>
    <w:rsid w:val="00727F3E"/>
    <w:rsid w:val="0073072C"/>
    <w:rsid w:val="00731371"/>
    <w:rsid w:val="007320B4"/>
    <w:rsid w:val="00732162"/>
    <w:rsid w:val="00735839"/>
    <w:rsid w:val="00735D3E"/>
    <w:rsid w:val="00736732"/>
    <w:rsid w:val="00736ECA"/>
    <w:rsid w:val="00737503"/>
    <w:rsid w:val="00737C44"/>
    <w:rsid w:val="007409F9"/>
    <w:rsid w:val="007410A9"/>
    <w:rsid w:val="007413CE"/>
    <w:rsid w:val="007416D2"/>
    <w:rsid w:val="00744634"/>
    <w:rsid w:val="007453DD"/>
    <w:rsid w:val="00745B31"/>
    <w:rsid w:val="00747B41"/>
    <w:rsid w:val="00747F61"/>
    <w:rsid w:val="00750CBE"/>
    <w:rsid w:val="00751387"/>
    <w:rsid w:val="00751647"/>
    <w:rsid w:val="00751DCE"/>
    <w:rsid w:val="0075228E"/>
    <w:rsid w:val="00755DBB"/>
    <w:rsid w:val="00756312"/>
    <w:rsid w:val="00756CAF"/>
    <w:rsid w:val="00757E45"/>
    <w:rsid w:val="0076244A"/>
    <w:rsid w:val="0076287C"/>
    <w:rsid w:val="00763298"/>
    <w:rsid w:val="00763B68"/>
    <w:rsid w:val="00765F70"/>
    <w:rsid w:val="00766B5A"/>
    <w:rsid w:val="007679F9"/>
    <w:rsid w:val="00770513"/>
    <w:rsid w:val="00772FF5"/>
    <w:rsid w:val="007740CD"/>
    <w:rsid w:val="00775ED4"/>
    <w:rsid w:val="0078037D"/>
    <w:rsid w:val="00780C0B"/>
    <w:rsid w:val="00781F71"/>
    <w:rsid w:val="00782AAE"/>
    <w:rsid w:val="00782BAD"/>
    <w:rsid w:val="007832A5"/>
    <w:rsid w:val="007834F2"/>
    <w:rsid w:val="00784166"/>
    <w:rsid w:val="00786EDC"/>
    <w:rsid w:val="00791020"/>
    <w:rsid w:val="00792517"/>
    <w:rsid w:val="00793BA3"/>
    <w:rsid w:val="00796A51"/>
    <w:rsid w:val="007A064B"/>
    <w:rsid w:val="007A1353"/>
    <w:rsid w:val="007A1412"/>
    <w:rsid w:val="007A146A"/>
    <w:rsid w:val="007A1CA0"/>
    <w:rsid w:val="007A39EC"/>
    <w:rsid w:val="007A5F82"/>
    <w:rsid w:val="007A6460"/>
    <w:rsid w:val="007A6645"/>
    <w:rsid w:val="007A79E5"/>
    <w:rsid w:val="007B0AA5"/>
    <w:rsid w:val="007B0D28"/>
    <w:rsid w:val="007B16DD"/>
    <w:rsid w:val="007B1EB1"/>
    <w:rsid w:val="007B23B0"/>
    <w:rsid w:val="007B34EE"/>
    <w:rsid w:val="007B56F2"/>
    <w:rsid w:val="007B700D"/>
    <w:rsid w:val="007B75A4"/>
    <w:rsid w:val="007C1608"/>
    <w:rsid w:val="007C385A"/>
    <w:rsid w:val="007C391F"/>
    <w:rsid w:val="007C5EAF"/>
    <w:rsid w:val="007C7301"/>
    <w:rsid w:val="007D143B"/>
    <w:rsid w:val="007D217D"/>
    <w:rsid w:val="007D2450"/>
    <w:rsid w:val="007D2C6A"/>
    <w:rsid w:val="007D5EA1"/>
    <w:rsid w:val="007D7FD2"/>
    <w:rsid w:val="007E0E66"/>
    <w:rsid w:val="007E1B1E"/>
    <w:rsid w:val="007E3CA7"/>
    <w:rsid w:val="007E4952"/>
    <w:rsid w:val="007E5D13"/>
    <w:rsid w:val="007E72DD"/>
    <w:rsid w:val="007E7346"/>
    <w:rsid w:val="007F031B"/>
    <w:rsid w:val="007F19E5"/>
    <w:rsid w:val="007F1A4C"/>
    <w:rsid w:val="007F1F9A"/>
    <w:rsid w:val="007F3695"/>
    <w:rsid w:val="007F40A5"/>
    <w:rsid w:val="007F4656"/>
    <w:rsid w:val="007F4F32"/>
    <w:rsid w:val="007F6565"/>
    <w:rsid w:val="00800F7A"/>
    <w:rsid w:val="008022C3"/>
    <w:rsid w:val="00803810"/>
    <w:rsid w:val="008041E6"/>
    <w:rsid w:val="00805A5F"/>
    <w:rsid w:val="008065D2"/>
    <w:rsid w:val="00810BD5"/>
    <w:rsid w:val="00812F53"/>
    <w:rsid w:val="00812F6A"/>
    <w:rsid w:val="00816467"/>
    <w:rsid w:val="0082194C"/>
    <w:rsid w:val="00821F4B"/>
    <w:rsid w:val="008220C4"/>
    <w:rsid w:val="008222FF"/>
    <w:rsid w:val="00822385"/>
    <w:rsid w:val="008241FF"/>
    <w:rsid w:val="0082432D"/>
    <w:rsid w:val="00824BA0"/>
    <w:rsid w:val="00826610"/>
    <w:rsid w:val="0082794D"/>
    <w:rsid w:val="00827B08"/>
    <w:rsid w:val="0083045A"/>
    <w:rsid w:val="00830AD6"/>
    <w:rsid w:val="00832AAB"/>
    <w:rsid w:val="00832C81"/>
    <w:rsid w:val="008332B9"/>
    <w:rsid w:val="008333F5"/>
    <w:rsid w:val="008368AF"/>
    <w:rsid w:val="00836BB1"/>
    <w:rsid w:val="008404A4"/>
    <w:rsid w:val="008411E9"/>
    <w:rsid w:val="0084180D"/>
    <w:rsid w:val="0084200F"/>
    <w:rsid w:val="008426E0"/>
    <w:rsid w:val="008427E4"/>
    <w:rsid w:val="00842FB0"/>
    <w:rsid w:val="00843664"/>
    <w:rsid w:val="00843B2C"/>
    <w:rsid w:val="008449DB"/>
    <w:rsid w:val="0084522F"/>
    <w:rsid w:val="008465C2"/>
    <w:rsid w:val="00847171"/>
    <w:rsid w:val="008471C4"/>
    <w:rsid w:val="00850B5F"/>
    <w:rsid w:val="0085113E"/>
    <w:rsid w:val="008513B0"/>
    <w:rsid w:val="00851593"/>
    <w:rsid w:val="00852003"/>
    <w:rsid w:val="0085211C"/>
    <w:rsid w:val="00852440"/>
    <w:rsid w:val="00852EFB"/>
    <w:rsid w:val="0085313D"/>
    <w:rsid w:val="0085646E"/>
    <w:rsid w:val="00857304"/>
    <w:rsid w:val="00857D85"/>
    <w:rsid w:val="00860877"/>
    <w:rsid w:val="00860F5A"/>
    <w:rsid w:val="00861C3B"/>
    <w:rsid w:val="00862757"/>
    <w:rsid w:val="008633F9"/>
    <w:rsid w:val="00867571"/>
    <w:rsid w:val="0086789C"/>
    <w:rsid w:val="008703B5"/>
    <w:rsid w:val="008710C7"/>
    <w:rsid w:val="00872D6D"/>
    <w:rsid w:val="00883DC1"/>
    <w:rsid w:val="008850F3"/>
    <w:rsid w:val="008851FE"/>
    <w:rsid w:val="0088721D"/>
    <w:rsid w:val="00887B72"/>
    <w:rsid w:val="00894F47"/>
    <w:rsid w:val="00895842"/>
    <w:rsid w:val="008A0260"/>
    <w:rsid w:val="008A0F99"/>
    <w:rsid w:val="008A1440"/>
    <w:rsid w:val="008A25C6"/>
    <w:rsid w:val="008A3EE6"/>
    <w:rsid w:val="008A4900"/>
    <w:rsid w:val="008A68EA"/>
    <w:rsid w:val="008A7126"/>
    <w:rsid w:val="008B41EF"/>
    <w:rsid w:val="008B5217"/>
    <w:rsid w:val="008B6DE0"/>
    <w:rsid w:val="008C00EB"/>
    <w:rsid w:val="008C3D22"/>
    <w:rsid w:val="008C4570"/>
    <w:rsid w:val="008C45C2"/>
    <w:rsid w:val="008C4CFC"/>
    <w:rsid w:val="008C6A27"/>
    <w:rsid w:val="008C6E41"/>
    <w:rsid w:val="008C7A16"/>
    <w:rsid w:val="008D0281"/>
    <w:rsid w:val="008D0D2B"/>
    <w:rsid w:val="008D1A18"/>
    <w:rsid w:val="008D2350"/>
    <w:rsid w:val="008D36BC"/>
    <w:rsid w:val="008D41CF"/>
    <w:rsid w:val="008D5B0F"/>
    <w:rsid w:val="008E039A"/>
    <w:rsid w:val="008E0583"/>
    <w:rsid w:val="008E0A16"/>
    <w:rsid w:val="008E1108"/>
    <w:rsid w:val="008E118B"/>
    <w:rsid w:val="008E22F2"/>
    <w:rsid w:val="008E3615"/>
    <w:rsid w:val="008E3C4E"/>
    <w:rsid w:val="008E4D73"/>
    <w:rsid w:val="008E50CC"/>
    <w:rsid w:val="008E6E97"/>
    <w:rsid w:val="008F27F4"/>
    <w:rsid w:val="008F31D9"/>
    <w:rsid w:val="008F367E"/>
    <w:rsid w:val="008F49F5"/>
    <w:rsid w:val="008F4B95"/>
    <w:rsid w:val="008F4BBF"/>
    <w:rsid w:val="008F5462"/>
    <w:rsid w:val="008F615B"/>
    <w:rsid w:val="008F6B17"/>
    <w:rsid w:val="008F6D45"/>
    <w:rsid w:val="009011F0"/>
    <w:rsid w:val="00903173"/>
    <w:rsid w:val="009047A9"/>
    <w:rsid w:val="0090584D"/>
    <w:rsid w:val="00907779"/>
    <w:rsid w:val="00910870"/>
    <w:rsid w:val="00912426"/>
    <w:rsid w:val="00914DA0"/>
    <w:rsid w:val="00915396"/>
    <w:rsid w:val="00915526"/>
    <w:rsid w:val="009165DE"/>
    <w:rsid w:val="00916CBC"/>
    <w:rsid w:val="0091708D"/>
    <w:rsid w:val="0091726D"/>
    <w:rsid w:val="00917BE2"/>
    <w:rsid w:val="00917D61"/>
    <w:rsid w:val="009205CD"/>
    <w:rsid w:val="00920778"/>
    <w:rsid w:val="00920936"/>
    <w:rsid w:val="00920B97"/>
    <w:rsid w:val="00921306"/>
    <w:rsid w:val="0092199F"/>
    <w:rsid w:val="00923725"/>
    <w:rsid w:val="00924E7D"/>
    <w:rsid w:val="00924F5D"/>
    <w:rsid w:val="009257A2"/>
    <w:rsid w:val="00926D35"/>
    <w:rsid w:val="00927F36"/>
    <w:rsid w:val="0093072F"/>
    <w:rsid w:val="0093268D"/>
    <w:rsid w:val="00933DED"/>
    <w:rsid w:val="00933EF2"/>
    <w:rsid w:val="0094163F"/>
    <w:rsid w:val="009419EC"/>
    <w:rsid w:val="00945876"/>
    <w:rsid w:val="009464D4"/>
    <w:rsid w:val="009465ED"/>
    <w:rsid w:val="00946A43"/>
    <w:rsid w:val="009473DF"/>
    <w:rsid w:val="009503A4"/>
    <w:rsid w:val="00952595"/>
    <w:rsid w:val="0095273F"/>
    <w:rsid w:val="00952A8B"/>
    <w:rsid w:val="00953D4B"/>
    <w:rsid w:val="00953E16"/>
    <w:rsid w:val="00956344"/>
    <w:rsid w:val="00956514"/>
    <w:rsid w:val="009577F5"/>
    <w:rsid w:val="00960474"/>
    <w:rsid w:val="0096076A"/>
    <w:rsid w:val="0096088C"/>
    <w:rsid w:val="00960DF7"/>
    <w:rsid w:val="00962357"/>
    <w:rsid w:val="0096235B"/>
    <w:rsid w:val="009624AD"/>
    <w:rsid w:val="009630E2"/>
    <w:rsid w:val="00963991"/>
    <w:rsid w:val="0096479F"/>
    <w:rsid w:val="00964B7F"/>
    <w:rsid w:val="00966BE6"/>
    <w:rsid w:val="00967297"/>
    <w:rsid w:val="00973C0E"/>
    <w:rsid w:val="009744C0"/>
    <w:rsid w:val="00975CDC"/>
    <w:rsid w:val="00976731"/>
    <w:rsid w:val="009807B5"/>
    <w:rsid w:val="00980A2F"/>
    <w:rsid w:val="00980B09"/>
    <w:rsid w:val="00982F14"/>
    <w:rsid w:val="009834C0"/>
    <w:rsid w:val="00984C95"/>
    <w:rsid w:val="00985E10"/>
    <w:rsid w:val="0098645B"/>
    <w:rsid w:val="00986AAC"/>
    <w:rsid w:val="00987728"/>
    <w:rsid w:val="0099005C"/>
    <w:rsid w:val="009905E3"/>
    <w:rsid w:val="00991ED3"/>
    <w:rsid w:val="00992B6D"/>
    <w:rsid w:val="00993C89"/>
    <w:rsid w:val="0099497C"/>
    <w:rsid w:val="00994B1F"/>
    <w:rsid w:val="0099775F"/>
    <w:rsid w:val="00997A36"/>
    <w:rsid w:val="009A0A10"/>
    <w:rsid w:val="009A1DA2"/>
    <w:rsid w:val="009A23A8"/>
    <w:rsid w:val="009A3704"/>
    <w:rsid w:val="009A4739"/>
    <w:rsid w:val="009A4C57"/>
    <w:rsid w:val="009A4D4B"/>
    <w:rsid w:val="009A674F"/>
    <w:rsid w:val="009A6907"/>
    <w:rsid w:val="009A7136"/>
    <w:rsid w:val="009A7748"/>
    <w:rsid w:val="009A7C57"/>
    <w:rsid w:val="009B1734"/>
    <w:rsid w:val="009B199C"/>
    <w:rsid w:val="009B2296"/>
    <w:rsid w:val="009B33FA"/>
    <w:rsid w:val="009B4E08"/>
    <w:rsid w:val="009B54C8"/>
    <w:rsid w:val="009B60EE"/>
    <w:rsid w:val="009B61F1"/>
    <w:rsid w:val="009B62E0"/>
    <w:rsid w:val="009B752D"/>
    <w:rsid w:val="009B7B64"/>
    <w:rsid w:val="009C019B"/>
    <w:rsid w:val="009C3D88"/>
    <w:rsid w:val="009C3E50"/>
    <w:rsid w:val="009C606E"/>
    <w:rsid w:val="009C6582"/>
    <w:rsid w:val="009C7DB4"/>
    <w:rsid w:val="009D0735"/>
    <w:rsid w:val="009D1500"/>
    <w:rsid w:val="009D1CBF"/>
    <w:rsid w:val="009D1F20"/>
    <w:rsid w:val="009D26BD"/>
    <w:rsid w:val="009D2804"/>
    <w:rsid w:val="009D452E"/>
    <w:rsid w:val="009D57FD"/>
    <w:rsid w:val="009D581C"/>
    <w:rsid w:val="009E0BD5"/>
    <w:rsid w:val="009E374B"/>
    <w:rsid w:val="009E3858"/>
    <w:rsid w:val="009E3ED8"/>
    <w:rsid w:val="009E52C6"/>
    <w:rsid w:val="009E550B"/>
    <w:rsid w:val="009E5913"/>
    <w:rsid w:val="009E6126"/>
    <w:rsid w:val="009E70DD"/>
    <w:rsid w:val="009F0720"/>
    <w:rsid w:val="009F0789"/>
    <w:rsid w:val="009F1281"/>
    <w:rsid w:val="009F2D4E"/>
    <w:rsid w:val="009F2ED9"/>
    <w:rsid w:val="009F3231"/>
    <w:rsid w:val="009F3A0A"/>
    <w:rsid w:val="009F3F21"/>
    <w:rsid w:val="009F5C58"/>
    <w:rsid w:val="009F64C2"/>
    <w:rsid w:val="009F6FE0"/>
    <w:rsid w:val="00A00E6D"/>
    <w:rsid w:val="00A00ED6"/>
    <w:rsid w:val="00A023A0"/>
    <w:rsid w:val="00A024B8"/>
    <w:rsid w:val="00A03230"/>
    <w:rsid w:val="00A032C8"/>
    <w:rsid w:val="00A032F0"/>
    <w:rsid w:val="00A04D9F"/>
    <w:rsid w:val="00A05242"/>
    <w:rsid w:val="00A0538D"/>
    <w:rsid w:val="00A05ECD"/>
    <w:rsid w:val="00A06E96"/>
    <w:rsid w:val="00A10AF3"/>
    <w:rsid w:val="00A11C75"/>
    <w:rsid w:val="00A11FF6"/>
    <w:rsid w:val="00A12240"/>
    <w:rsid w:val="00A12481"/>
    <w:rsid w:val="00A13B18"/>
    <w:rsid w:val="00A1448B"/>
    <w:rsid w:val="00A1562B"/>
    <w:rsid w:val="00A170F4"/>
    <w:rsid w:val="00A20800"/>
    <w:rsid w:val="00A2135C"/>
    <w:rsid w:val="00A23596"/>
    <w:rsid w:val="00A240C8"/>
    <w:rsid w:val="00A2494B"/>
    <w:rsid w:val="00A24B22"/>
    <w:rsid w:val="00A2559E"/>
    <w:rsid w:val="00A25FD9"/>
    <w:rsid w:val="00A270E9"/>
    <w:rsid w:val="00A2723E"/>
    <w:rsid w:val="00A31031"/>
    <w:rsid w:val="00A325C7"/>
    <w:rsid w:val="00A32922"/>
    <w:rsid w:val="00A331EE"/>
    <w:rsid w:val="00A33CE3"/>
    <w:rsid w:val="00A343C2"/>
    <w:rsid w:val="00A34576"/>
    <w:rsid w:val="00A34A52"/>
    <w:rsid w:val="00A34EE4"/>
    <w:rsid w:val="00A36724"/>
    <w:rsid w:val="00A3737A"/>
    <w:rsid w:val="00A407F1"/>
    <w:rsid w:val="00A40826"/>
    <w:rsid w:val="00A415F8"/>
    <w:rsid w:val="00A41B07"/>
    <w:rsid w:val="00A450AF"/>
    <w:rsid w:val="00A456CD"/>
    <w:rsid w:val="00A45EB1"/>
    <w:rsid w:val="00A46BA8"/>
    <w:rsid w:val="00A47634"/>
    <w:rsid w:val="00A517CB"/>
    <w:rsid w:val="00A5182D"/>
    <w:rsid w:val="00A51A6D"/>
    <w:rsid w:val="00A51F74"/>
    <w:rsid w:val="00A52000"/>
    <w:rsid w:val="00A537B0"/>
    <w:rsid w:val="00A53ABE"/>
    <w:rsid w:val="00A54B75"/>
    <w:rsid w:val="00A612FE"/>
    <w:rsid w:val="00A62A35"/>
    <w:rsid w:val="00A6405F"/>
    <w:rsid w:val="00A641D2"/>
    <w:rsid w:val="00A65DCF"/>
    <w:rsid w:val="00A672DF"/>
    <w:rsid w:val="00A6768B"/>
    <w:rsid w:val="00A71832"/>
    <w:rsid w:val="00A723E9"/>
    <w:rsid w:val="00A724C3"/>
    <w:rsid w:val="00A73A97"/>
    <w:rsid w:val="00A73D5E"/>
    <w:rsid w:val="00A75E1E"/>
    <w:rsid w:val="00A776B0"/>
    <w:rsid w:val="00A80BA8"/>
    <w:rsid w:val="00A83662"/>
    <w:rsid w:val="00A83E62"/>
    <w:rsid w:val="00A85F47"/>
    <w:rsid w:val="00A91C7F"/>
    <w:rsid w:val="00A9230B"/>
    <w:rsid w:val="00A95138"/>
    <w:rsid w:val="00A95214"/>
    <w:rsid w:val="00A95283"/>
    <w:rsid w:val="00A96420"/>
    <w:rsid w:val="00A96C66"/>
    <w:rsid w:val="00A9715C"/>
    <w:rsid w:val="00A9721C"/>
    <w:rsid w:val="00A97A4D"/>
    <w:rsid w:val="00AA02E0"/>
    <w:rsid w:val="00AA20AE"/>
    <w:rsid w:val="00AA26B8"/>
    <w:rsid w:val="00AA2909"/>
    <w:rsid w:val="00AA360F"/>
    <w:rsid w:val="00AA38A8"/>
    <w:rsid w:val="00AA6FB5"/>
    <w:rsid w:val="00AB023A"/>
    <w:rsid w:val="00AB11FA"/>
    <w:rsid w:val="00AB1E58"/>
    <w:rsid w:val="00AB1F40"/>
    <w:rsid w:val="00AB237A"/>
    <w:rsid w:val="00AB3643"/>
    <w:rsid w:val="00AB3FE2"/>
    <w:rsid w:val="00AB44D3"/>
    <w:rsid w:val="00AB5418"/>
    <w:rsid w:val="00AB7752"/>
    <w:rsid w:val="00AC0654"/>
    <w:rsid w:val="00AC3B01"/>
    <w:rsid w:val="00AC4763"/>
    <w:rsid w:val="00AC505D"/>
    <w:rsid w:val="00AC51EB"/>
    <w:rsid w:val="00AC77CC"/>
    <w:rsid w:val="00AC7E77"/>
    <w:rsid w:val="00AD0D9F"/>
    <w:rsid w:val="00AD0EAF"/>
    <w:rsid w:val="00AD1AD6"/>
    <w:rsid w:val="00AD3322"/>
    <w:rsid w:val="00AD7E4E"/>
    <w:rsid w:val="00AE1937"/>
    <w:rsid w:val="00AE5ACA"/>
    <w:rsid w:val="00AE7715"/>
    <w:rsid w:val="00AF14F1"/>
    <w:rsid w:val="00AF1763"/>
    <w:rsid w:val="00AF34DE"/>
    <w:rsid w:val="00AF42E0"/>
    <w:rsid w:val="00AF4BE4"/>
    <w:rsid w:val="00AF4D58"/>
    <w:rsid w:val="00AF6497"/>
    <w:rsid w:val="00AF6666"/>
    <w:rsid w:val="00AF6AFE"/>
    <w:rsid w:val="00B01C8D"/>
    <w:rsid w:val="00B07E28"/>
    <w:rsid w:val="00B10154"/>
    <w:rsid w:val="00B102F2"/>
    <w:rsid w:val="00B10AF3"/>
    <w:rsid w:val="00B116EB"/>
    <w:rsid w:val="00B12BB5"/>
    <w:rsid w:val="00B13F34"/>
    <w:rsid w:val="00B1559F"/>
    <w:rsid w:val="00B17050"/>
    <w:rsid w:val="00B215CA"/>
    <w:rsid w:val="00B236D7"/>
    <w:rsid w:val="00B32C98"/>
    <w:rsid w:val="00B33D8C"/>
    <w:rsid w:val="00B35F1D"/>
    <w:rsid w:val="00B401A6"/>
    <w:rsid w:val="00B41FB1"/>
    <w:rsid w:val="00B41FC4"/>
    <w:rsid w:val="00B42159"/>
    <w:rsid w:val="00B43040"/>
    <w:rsid w:val="00B4425F"/>
    <w:rsid w:val="00B4571E"/>
    <w:rsid w:val="00B46F53"/>
    <w:rsid w:val="00B4797D"/>
    <w:rsid w:val="00B508DD"/>
    <w:rsid w:val="00B52D6A"/>
    <w:rsid w:val="00B5403E"/>
    <w:rsid w:val="00B54636"/>
    <w:rsid w:val="00B60AE7"/>
    <w:rsid w:val="00B6137D"/>
    <w:rsid w:val="00B61627"/>
    <w:rsid w:val="00B61794"/>
    <w:rsid w:val="00B622F8"/>
    <w:rsid w:val="00B62C34"/>
    <w:rsid w:val="00B6397B"/>
    <w:rsid w:val="00B63D3A"/>
    <w:rsid w:val="00B649E9"/>
    <w:rsid w:val="00B66BED"/>
    <w:rsid w:val="00B67C5A"/>
    <w:rsid w:val="00B71995"/>
    <w:rsid w:val="00B73410"/>
    <w:rsid w:val="00B73801"/>
    <w:rsid w:val="00B75258"/>
    <w:rsid w:val="00B77398"/>
    <w:rsid w:val="00B776C3"/>
    <w:rsid w:val="00B81B44"/>
    <w:rsid w:val="00B81EFB"/>
    <w:rsid w:val="00B82172"/>
    <w:rsid w:val="00B82C0D"/>
    <w:rsid w:val="00B844CB"/>
    <w:rsid w:val="00B85A1D"/>
    <w:rsid w:val="00B8650B"/>
    <w:rsid w:val="00B9053B"/>
    <w:rsid w:val="00B920EA"/>
    <w:rsid w:val="00B9284A"/>
    <w:rsid w:val="00B93171"/>
    <w:rsid w:val="00B9480C"/>
    <w:rsid w:val="00B94A21"/>
    <w:rsid w:val="00B95CA9"/>
    <w:rsid w:val="00B96494"/>
    <w:rsid w:val="00B969F8"/>
    <w:rsid w:val="00B973F6"/>
    <w:rsid w:val="00BA0A7B"/>
    <w:rsid w:val="00BA1354"/>
    <w:rsid w:val="00BA2608"/>
    <w:rsid w:val="00BA5AA1"/>
    <w:rsid w:val="00BB3C2C"/>
    <w:rsid w:val="00BB5572"/>
    <w:rsid w:val="00BC1476"/>
    <w:rsid w:val="00BC1B7B"/>
    <w:rsid w:val="00BC2F8D"/>
    <w:rsid w:val="00BC32AB"/>
    <w:rsid w:val="00BC3422"/>
    <w:rsid w:val="00BC4080"/>
    <w:rsid w:val="00BC58EC"/>
    <w:rsid w:val="00BC5A03"/>
    <w:rsid w:val="00BC676E"/>
    <w:rsid w:val="00BC67CD"/>
    <w:rsid w:val="00BC6C0C"/>
    <w:rsid w:val="00BD0267"/>
    <w:rsid w:val="00BD39F1"/>
    <w:rsid w:val="00BD537C"/>
    <w:rsid w:val="00BD5697"/>
    <w:rsid w:val="00BD6582"/>
    <w:rsid w:val="00BD7074"/>
    <w:rsid w:val="00BE012E"/>
    <w:rsid w:val="00BE0550"/>
    <w:rsid w:val="00BE206A"/>
    <w:rsid w:val="00BE23D0"/>
    <w:rsid w:val="00BE4A3B"/>
    <w:rsid w:val="00BE5E77"/>
    <w:rsid w:val="00BE64EB"/>
    <w:rsid w:val="00BE6DBE"/>
    <w:rsid w:val="00BF1512"/>
    <w:rsid w:val="00BF2774"/>
    <w:rsid w:val="00BF7747"/>
    <w:rsid w:val="00C0105C"/>
    <w:rsid w:val="00C014B2"/>
    <w:rsid w:val="00C015B9"/>
    <w:rsid w:val="00C01AF7"/>
    <w:rsid w:val="00C01FC7"/>
    <w:rsid w:val="00C022F9"/>
    <w:rsid w:val="00C02524"/>
    <w:rsid w:val="00C02811"/>
    <w:rsid w:val="00C032EA"/>
    <w:rsid w:val="00C04AF5"/>
    <w:rsid w:val="00C04F33"/>
    <w:rsid w:val="00C05981"/>
    <w:rsid w:val="00C063B4"/>
    <w:rsid w:val="00C06EB5"/>
    <w:rsid w:val="00C06F70"/>
    <w:rsid w:val="00C074F2"/>
    <w:rsid w:val="00C076E1"/>
    <w:rsid w:val="00C07CD7"/>
    <w:rsid w:val="00C101E7"/>
    <w:rsid w:val="00C1145F"/>
    <w:rsid w:val="00C115A7"/>
    <w:rsid w:val="00C1190C"/>
    <w:rsid w:val="00C12474"/>
    <w:rsid w:val="00C12F6C"/>
    <w:rsid w:val="00C13AB9"/>
    <w:rsid w:val="00C13E2F"/>
    <w:rsid w:val="00C152F3"/>
    <w:rsid w:val="00C15D84"/>
    <w:rsid w:val="00C16545"/>
    <w:rsid w:val="00C1679C"/>
    <w:rsid w:val="00C16D2F"/>
    <w:rsid w:val="00C170EF"/>
    <w:rsid w:val="00C203D7"/>
    <w:rsid w:val="00C21376"/>
    <w:rsid w:val="00C21858"/>
    <w:rsid w:val="00C219AA"/>
    <w:rsid w:val="00C235C1"/>
    <w:rsid w:val="00C23979"/>
    <w:rsid w:val="00C24DA1"/>
    <w:rsid w:val="00C2506F"/>
    <w:rsid w:val="00C25404"/>
    <w:rsid w:val="00C26D24"/>
    <w:rsid w:val="00C2732F"/>
    <w:rsid w:val="00C274F8"/>
    <w:rsid w:val="00C30B00"/>
    <w:rsid w:val="00C30B85"/>
    <w:rsid w:val="00C32EF3"/>
    <w:rsid w:val="00C334F0"/>
    <w:rsid w:val="00C33DE4"/>
    <w:rsid w:val="00C37ACF"/>
    <w:rsid w:val="00C40D6E"/>
    <w:rsid w:val="00C41EC7"/>
    <w:rsid w:val="00C43ACA"/>
    <w:rsid w:val="00C44EE2"/>
    <w:rsid w:val="00C45D10"/>
    <w:rsid w:val="00C4650F"/>
    <w:rsid w:val="00C47F01"/>
    <w:rsid w:val="00C50A78"/>
    <w:rsid w:val="00C524FC"/>
    <w:rsid w:val="00C52FC6"/>
    <w:rsid w:val="00C53995"/>
    <w:rsid w:val="00C57AB5"/>
    <w:rsid w:val="00C6089B"/>
    <w:rsid w:val="00C61177"/>
    <w:rsid w:val="00C637E1"/>
    <w:rsid w:val="00C63DFC"/>
    <w:rsid w:val="00C656A3"/>
    <w:rsid w:val="00C6585F"/>
    <w:rsid w:val="00C6718B"/>
    <w:rsid w:val="00C67AE0"/>
    <w:rsid w:val="00C70B4C"/>
    <w:rsid w:val="00C70D50"/>
    <w:rsid w:val="00C7205A"/>
    <w:rsid w:val="00C7255F"/>
    <w:rsid w:val="00C73570"/>
    <w:rsid w:val="00C7439C"/>
    <w:rsid w:val="00C76422"/>
    <w:rsid w:val="00C77ABB"/>
    <w:rsid w:val="00C8243E"/>
    <w:rsid w:val="00C82607"/>
    <w:rsid w:val="00C82C2E"/>
    <w:rsid w:val="00C83905"/>
    <w:rsid w:val="00C84491"/>
    <w:rsid w:val="00C844FB"/>
    <w:rsid w:val="00C860D7"/>
    <w:rsid w:val="00C8653B"/>
    <w:rsid w:val="00C87437"/>
    <w:rsid w:val="00C907D7"/>
    <w:rsid w:val="00C91206"/>
    <w:rsid w:val="00C91DE7"/>
    <w:rsid w:val="00C92338"/>
    <w:rsid w:val="00C92657"/>
    <w:rsid w:val="00C927F8"/>
    <w:rsid w:val="00C92AE2"/>
    <w:rsid w:val="00C9345C"/>
    <w:rsid w:val="00C93505"/>
    <w:rsid w:val="00C95D34"/>
    <w:rsid w:val="00C979F5"/>
    <w:rsid w:val="00CA0FF6"/>
    <w:rsid w:val="00CA12F9"/>
    <w:rsid w:val="00CA2AA0"/>
    <w:rsid w:val="00CA397E"/>
    <w:rsid w:val="00CA3DEC"/>
    <w:rsid w:val="00CA6877"/>
    <w:rsid w:val="00CA7415"/>
    <w:rsid w:val="00CA79DB"/>
    <w:rsid w:val="00CA7C3A"/>
    <w:rsid w:val="00CB06D4"/>
    <w:rsid w:val="00CB1171"/>
    <w:rsid w:val="00CB4C77"/>
    <w:rsid w:val="00CB6247"/>
    <w:rsid w:val="00CB66AB"/>
    <w:rsid w:val="00CB7017"/>
    <w:rsid w:val="00CC053C"/>
    <w:rsid w:val="00CC0773"/>
    <w:rsid w:val="00CC1878"/>
    <w:rsid w:val="00CC2180"/>
    <w:rsid w:val="00CC2751"/>
    <w:rsid w:val="00CC2DB2"/>
    <w:rsid w:val="00CC50CB"/>
    <w:rsid w:val="00CC54EB"/>
    <w:rsid w:val="00CC67E9"/>
    <w:rsid w:val="00CC6871"/>
    <w:rsid w:val="00CC7EBE"/>
    <w:rsid w:val="00CD0307"/>
    <w:rsid w:val="00CD17AB"/>
    <w:rsid w:val="00CD3D1B"/>
    <w:rsid w:val="00CD695A"/>
    <w:rsid w:val="00CE0C50"/>
    <w:rsid w:val="00CE198D"/>
    <w:rsid w:val="00CE22BE"/>
    <w:rsid w:val="00CE2AB7"/>
    <w:rsid w:val="00CE3560"/>
    <w:rsid w:val="00CE38EA"/>
    <w:rsid w:val="00CE61BC"/>
    <w:rsid w:val="00CE62B3"/>
    <w:rsid w:val="00CE6CD5"/>
    <w:rsid w:val="00CE7A2A"/>
    <w:rsid w:val="00CE7D50"/>
    <w:rsid w:val="00CF0AF5"/>
    <w:rsid w:val="00CF0B22"/>
    <w:rsid w:val="00CF18A2"/>
    <w:rsid w:val="00CF7DCA"/>
    <w:rsid w:val="00D00DAE"/>
    <w:rsid w:val="00D0131C"/>
    <w:rsid w:val="00D017CF"/>
    <w:rsid w:val="00D01C18"/>
    <w:rsid w:val="00D022E4"/>
    <w:rsid w:val="00D05460"/>
    <w:rsid w:val="00D0612D"/>
    <w:rsid w:val="00D0698C"/>
    <w:rsid w:val="00D10A29"/>
    <w:rsid w:val="00D12658"/>
    <w:rsid w:val="00D12C70"/>
    <w:rsid w:val="00D1383B"/>
    <w:rsid w:val="00D13D95"/>
    <w:rsid w:val="00D13ECF"/>
    <w:rsid w:val="00D15F19"/>
    <w:rsid w:val="00D17835"/>
    <w:rsid w:val="00D17A52"/>
    <w:rsid w:val="00D17E11"/>
    <w:rsid w:val="00D20595"/>
    <w:rsid w:val="00D211E9"/>
    <w:rsid w:val="00D21F9B"/>
    <w:rsid w:val="00D22B33"/>
    <w:rsid w:val="00D2312F"/>
    <w:rsid w:val="00D23783"/>
    <w:rsid w:val="00D24424"/>
    <w:rsid w:val="00D256F8"/>
    <w:rsid w:val="00D269C1"/>
    <w:rsid w:val="00D31059"/>
    <w:rsid w:val="00D32633"/>
    <w:rsid w:val="00D363DC"/>
    <w:rsid w:val="00D36697"/>
    <w:rsid w:val="00D36F14"/>
    <w:rsid w:val="00D37983"/>
    <w:rsid w:val="00D404D1"/>
    <w:rsid w:val="00D40642"/>
    <w:rsid w:val="00D40C6F"/>
    <w:rsid w:val="00D41E37"/>
    <w:rsid w:val="00D42311"/>
    <w:rsid w:val="00D4250B"/>
    <w:rsid w:val="00D42AEE"/>
    <w:rsid w:val="00D42BF7"/>
    <w:rsid w:val="00D42E19"/>
    <w:rsid w:val="00D42ED5"/>
    <w:rsid w:val="00D44953"/>
    <w:rsid w:val="00D45CCF"/>
    <w:rsid w:val="00D462E1"/>
    <w:rsid w:val="00D46408"/>
    <w:rsid w:val="00D46600"/>
    <w:rsid w:val="00D46FFA"/>
    <w:rsid w:val="00D474BB"/>
    <w:rsid w:val="00D477BD"/>
    <w:rsid w:val="00D47B37"/>
    <w:rsid w:val="00D50741"/>
    <w:rsid w:val="00D510DE"/>
    <w:rsid w:val="00D536B1"/>
    <w:rsid w:val="00D53959"/>
    <w:rsid w:val="00D542F3"/>
    <w:rsid w:val="00D543E5"/>
    <w:rsid w:val="00D5644B"/>
    <w:rsid w:val="00D56C1C"/>
    <w:rsid w:val="00D56E25"/>
    <w:rsid w:val="00D575D8"/>
    <w:rsid w:val="00D60A3E"/>
    <w:rsid w:val="00D60B14"/>
    <w:rsid w:val="00D63CB4"/>
    <w:rsid w:val="00D66A05"/>
    <w:rsid w:val="00D67047"/>
    <w:rsid w:val="00D7073D"/>
    <w:rsid w:val="00D71896"/>
    <w:rsid w:val="00D718D7"/>
    <w:rsid w:val="00D73212"/>
    <w:rsid w:val="00D74635"/>
    <w:rsid w:val="00D7463F"/>
    <w:rsid w:val="00D74D5A"/>
    <w:rsid w:val="00D75479"/>
    <w:rsid w:val="00D75603"/>
    <w:rsid w:val="00D763C7"/>
    <w:rsid w:val="00D77502"/>
    <w:rsid w:val="00D77C0D"/>
    <w:rsid w:val="00D814B7"/>
    <w:rsid w:val="00D81DA2"/>
    <w:rsid w:val="00D8299A"/>
    <w:rsid w:val="00D82F3E"/>
    <w:rsid w:val="00D83254"/>
    <w:rsid w:val="00D83449"/>
    <w:rsid w:val="00D834A3"/>
    <w:rsid w:val="00D8453E"/>
    <w:rsid w:val="00D851F7"/>
    <w:rsid w:val="00D86100"/>
    <w:rsid w:val="00D87EBB"/>
    <w:rsid w:val="00D90688"/>
    <w:rsid w:val="00D91E1A"/>
    <w:rsid w:val="00D93987"/>
    <w:rsid w:val="00D95988"/>
    <w:rsid w:val="00D9599F"/>
    <w:rsid w:val="00D95C71"/>
    <w:rsid w:val="00D970C3"/>
    <w:rsid w:val="00D97CA7"/>
    <w:rsid w:val="00DA35D3"/>
    <w:rsid w:val="00DA3AAD"/>
    <w:rsid w:val="00DA71D2"/>
    <w:rsid w:val="00DA7B4D"/>
    <w:rsid w:val="00DB1EA9"/>
    <w:rsid w:val="00DB2900"/>
    <w:rsid w:val="00DB2ADE"/>
    <w:rsid w:val="00DB312B"/>
    <w:rsid w:val="00DB44A9"/>
    <w:rsid w:val="00DB489E"/>
    <w:rsid w:val="00DB57C3"/>
    <w:rsid w:val="00DC0689"/>
    <w:rsid w:val="00DC137E"/>
    <w:rsid w:val="00DC20EE"/>
    <w:rsid w:val="00DC298D"/>
    <w:rsid w:val="00DC3723"/>
    <w:rsid w:val="00DC5654"/>
    <w:rsid w:val="00DC658F"/>
    <w:rsid w:val="00DC6DA8"/>
    <w:rsid w:val="00DD0C40"/>
    <w:rsid w:val="00DD19A1"/>
    <w:rsid w:val="00DD3CB6"/>
    <w:rsid w:val="00DD4A4B"/>
    <w:rsid w:val="00DE0704"/>
    <w:rsid w:val="00DE1066"/>
    <w:rsid w:val="00DE1CFD"/>
    <w:rsid w:val="00DE33C5"/>
    <w:rsid w:val="00DE488B"/>
    <w:rsid w:val="00DE60CC"/>
    <w:rsid w:val="00DE6CB7"/>
    <w:rsid w:val="00DE7CB3"/>
    <w:rsid w:val="00DF08EA"/>
    <w:rsid w:val="00DF0A06"/>
    <w:rsid w:val="00DF0A17"/>
    <w:rsid w:val="00DF1938"/>
    <w:rsid w:val="00DF3103"/>
    <w:rsid w:val="00DF5EDC"/>
    <w:rsid w:val="00DF658D"/>
    <w:rsid w:val="00DF696A"/>
    <w:rsid w:val="00E00CCE"/>
    <w:rsid w:val="00E02467"/>
    <w:rsid w:val="00E03C11"/>
    <w:rsid w:val="00E04407"/>
    <w:rsid w:val="00E04C43"/>
    <w:rsid w:val="00E05F8A"/>
    <w:rsid w:val="00E0692B"/>
    <w:rsid w:val="00E116D5"/>
    <w:rsid w:val="00E11918"/>
    <w:rsid w:val="00E150C3"/>
    <w:rsid w:val="00E150F1"/>
    <w:rsid w:val="00E169F3"/>
    <w:rsid w:val="00E17446"/>
    <w:rsid w:val="00E174CD"/>
    <w:rsid w:val="00E21772"/>
    <w:rsid w:val="00E21CE0"/>
    <w:rsid w:val="00E229C9"/>
    <w:rsid w:val="00E23C2C"/>
    <w:rsid w:val="00E2663F"/>
    <w:rsid w:val="00E2671E"/>
    <w:rsid w:val="00E26B32"/>
    <w:rsid w:val="00E31444"/>
    <w:rsid w:val="00E345A2"/>
    <w:rsid w:val="00E361EB"/>
    <w:rsid w:val="00E36AEE"/>
    <w:rsid w:val="00E40031"/>
    <w:rsid w:val="00E400F1"/>
    <w:rsid w:val="00E407B6"/>
    <w:rsid w:val="00E41DF1"/>
    <w:rsid w:val="00E41EF1"/>
    <w:rsid w:val="00E42942"/>
    <w:rsid w:val="00E42DC6"/>
    <w:rsid w:val="00E43340"/>
    <w:rsid w:val="00E43382"/>
    <w:rsid w:val="00E436FF"/>
    <w:rsid w:val="00E43A9E"/>
    <w:rsid w:val="00E43BCF"/>
    <w:rsid w:val="00E45E7E"/>
    <w:rsid w:val="00E468A6"/>
    <w:rsid w:val="00E47AC5"/>
    <w:rsid w:val="00E50CFB"/>
    <w:rsid w:val="00E511B1"/>
    <w:rsid w:val="00E531F2"/>
    <w:rsid w:val="00E53984"/>
    <w:rsid w:val="00E57E16"/>
    <w:rsid w:val="00E60BEE"/>
    <w:rsid w:val="00E621A2"/>
    <w:rsid w:val="00E6516A"/>
    <w:rsid w:val="00E704EE"/>
    <w:rsid w:val="00E71BDF"/>
    <w:rsid w:val="00E740A1"/>
    <w:rsid w:val="00E8035B"/>
    <w:rsid w:val="00E82860"/>
    <w:rsid w:val="00E83CA7"/>
    <w:rsid w:val="00E846B6"/>
    <w:rsid w:val="00E84BE0"/>
    <w:rsid w:val="00E865B6"/>
    <w:rsid w:val="00E869F8"/>
    <w:rsid w:val="00E873F9"/>
    <w:rsid w:val="00E9141B"/>
    <w:rsid w:val="00E91F36"/>
    <w:rsid w:val="00E92230"/>
    <w:rsid w:val="00E93124"/>
    <w:rsid w:val="00E95C82"/>
    <w:rsid w:val="00E9666B"/>
    <w:rsid w:val="00E97BAD"/>
    <w:rsid w:val="00E97C80"/>
    <w:rsid w:val="00EA0EE7"/>
    <w:rsid w:val="00EA16A2"/>
    <w:rsid w:val="00EA1CA4"/>
    <w:rsid w:val="00EA1FBA"/>
    <w:rsid w:val="00EA2DB1"/>
    <w:rsid w:val="00EA35DA"/>
    <w:rsid w:val="00EA38D2"/>
    <w:rsid w:val="00EA5A06"/>
    <w:rsid w:val="00EA5D2B"/>
    <w:rsid w:val="00EA6C20"/>
    <w:rsid w:val="00EB0463"/>
    <w:rsid w:val="00EB0589"/>
    <w:rsid w:val="00EB17A6"/>
    <w:rsid w:val="00EB1A66"/>
    <w:rsid w:val="00EB3D16"/>
    <w:rsid w:val="00EB4F58"/>
    <w:rsid w:val="00EB6D65"/>
    <w:rsid w:val="00EC0AC1"/>
    <w:rsid w:val="00EC171D"/>
    <w:rsid w:val="00EC1C6B"/>
    <w:rsid w:val="00EC386E"/>
    <w:rsid w:val="00EC3B37"/>
    <w:rsid w:val="00EC4985"/>
    <w:rsid w:val="00EC6DDA"/>
    <w:rsid w:val="00ED029E"/>
    <w:rsid w:val="00ED18F9"/>
    <w:rsid w:val="00ED1CB6"/>
    <w:rsid w:val="00ED42A9"/>
    <w:rsid w:val="00ED487E"/>
    <w:rsid w:val="00ED598A"/>
    <w:rsid w:val="00ED6B81"/>
    <w:rsid w:val="00EE15AB"/>
    <w:rsid w:val="00EE233D"/>
    <w:rsid w:val="00EE29E3"/>
    <w:rsid w:val="00EE4233"/>
    <w:rsid w:val="00EE5719"/>
    <w:rsid w:val="00EE5F79"/>
    <w:rsid w:val="00EE6ED8"/>
    <w:rsid w:val="00EE7A0D"/>
    <w:rsid w:val="00EF098D"/>
    <w:rsid w:val="00EF0B08"/>
    <w:rsid w:val="00EF0BC0"/>
    <w:rsid w:val="00EF0D21"/>
    <w:rsid w:val="00EF4341"/>
    <w:rsid w:val="00EF4915"/>
    <w:rsid w:val="00EF4F35"/>
    <w:rsid w:val="00EF59A0"/>
    <w:rsid w:val="00EF5AD4"/>
    <w:rsid w:val="00EF5C27"/>
    <w:rsid w:val="00EF5D70"/>
    <w:rsid w:val="00EF5F57"/>
    <w:rsid w:val="00EF61AC"/>
    <w:rsid w:val="00EF70F4"/>
    <w:rsid w:val="00F02359"/>
    <w:rsid w:val="00F0270B"/>
    <w:rsid w:val="00F032FD"/>
    <w:rsid w:val="00F04623"/>
    <w:rsid w:val="00F04E98"/>
    <w:rsid w:val="00F05378"/>
    <w:rsid w:val="00F05FF3"/>
    <w:rsid w:val="00F06212"/>
    <w:rsid w:val="00F07BC6"/>
    <w:rsid w:val="00F07E09"/>
    <w:rsid w:val="00F07E92"/>
    <w:rsid w:val="00F11CAA"/>
    <w:rsid w:val="00F1569E"/>
    <w:rsid w:val="00F15E23"/>
    <w:rsid w:val="00F162D8"/>
    <w:rsid w:val="00F16767"/>
    <w:rsid w:val="00F17CE1"/>
    <w:rsid w:val="00F20404"/>
    <w:rsid w:val="00F20D13"/>
    <w:rsid w:val="00F2115C"/>
    <w:rsid w:val="00F214C3"/>
    <w:rsid w:val="00F22074"/>
    <w:rsid w:val="00F22ABA"/>
    <w:rsid w:val="00F265F9"/>
    <w:rsid w:val="00F268BA"/>
    <w:rsid w:val="00F279EC"/>
    <w:rsid w:val="00F3009E"/>
    <w:rsid w:val="00F310A0"/>
    <w:rsid w:val="00F354AB"/>
    <w:rsid w:val="00F36B12"/>
    <w:rsid w:val="00F408B9"/>
    <w:rsid w:val="00F417C3"/>
    <w:rsid w:val="00F455E5"/>
    <w:rsid w:val="00F46894"/>
    <w:rsid w:val="00F469FF"/>
    <w:rsid w:val="00F479BB"/>
    <w:rsid w:val="00F50E84"/>
    <w:rsid w:val="00F51202"/>
    <w:rsid w:val="00F515EC"/>
    <w:rsid w:val="00F5439D"/>
    <w:rsid w:val="00F54C76"/>
    <w:rsid w:val="00F54EE2"/>
    <w:rsid w:val="00F55299"/>
    <w:rsid w:val="00F5587E"/>
    <w:rsid w:val="00F56004"/>
    <w:rsid w:val="00F60F9F"/>
    <w:rsid w:val="00F613AD"/>
    <w:rsid w:val="00F616A8"/>
    <w:rsid w:val="00F61F6F"/>
    <w:rsid w:val="00F6204E"/>
    <w:rsid w:val="00F628D7"/>
    <w:rsid w:val="00F63227"/>
    <w:rsid w:val="00F64F08"/>
    <w:rsid w:val="00F65514"/>
    <w:rsid w:val="00F6557B"/>
    <w:rsid w:val="00F71331"/>
    <w:rsid w:val="00F73369"/>
    <w:rsid w:val="00F734F5"/>
    <w:rsid w:val="00F757C7"/>
    <w:rsid w:val="00F7618F"/>
    <w:rsid w:val="00F772EE"/>
    <w:rsid w:val="00F77AE1"/>
    <w:rsid w:val="00F81A76"/>
    <w:rsid w:val="00F81E92"/>
    <w:rsid w:val="00F8213A"/>
    <w:rsid w:val="00F82F3C"/>
    <w:rsid w:val="00F8505C"/>
    <w:rsid w:val="00F862B5"/>
    <w:rsid w:val="00F86609"/>
    <w:rsid w:val="00F87F34"/>
    <w:rsid w:val="00F91F07"/>
    <w:rsid w:val="00F931E5"/>
    <w:rsid w:val="00F956C5"/>
    <w:rsid w:val="00F966B1"/>
    <w:rsid w:val="00F97D48"/>
    <w:rsid w:val="00F97D99"/>
    <w:rsid w:val="00FA0311"/>
    <w:rsid w:val="00FA0E25"/>
    <w:rsid w:val="00FA1511"/>
    <w:rsid w:val="00FA1777"/>
    <w:rsid w:val="00FA2F81"/>
    <w:rsid w:val="00FA36E9"/>
    <w:rsid w:val="00FA4727"/>
    <w:rsid w:val="00FA4966"/>
    <w:rsid w:val="00FA5D6B"/>
    <w:rsid w:val="00FA7F84"/>
    <w:rsid w:val="00FB087E"/>
    <w:rsid w:val="00FB1EDE"/>
    <w:rsid w:val="00FB2D0E"/>
    <w:rsid w:val="00FB401C"/>
    <w:rsid w:val="00FB415F"/>
    <w:rsid w:val="00FB6A6C"/>
    <w:rsid w:val="00FB7285"/>
    <w:rsid w:val="00FC03E8"/>
    <w:rsid w:val="00FC0CC8"/>
    <w:rsid w:val="00FC12E6"/>
    <w:rsid w:val="00FC3587"/>
    <w:rsid w:val="00FC42E5"/>
    <w:rsid w:val="00FD0025"/>
    <w:rsid w:val="00FD1847"/>
    <w:rsid w:val="00FD47FC"/>
    <w:rsid w:val="00FD640F"/>
    <w:rsid w:val="00FD6532"/>
    <w:rsid w:val="00FD6B4C"/>
    <w:rsid w:val="00FD6BE9"/>
    <w:rsid w:val="00FD6FC7"/>
    <w:rsid w:val="00FE0B13"/>
    <w:rsid w:val="00FE1049"/>
    <w:rsid w:val="00FE24F4"/>
    <w:rsid w:val="00FE4E98"/>
    <w:rsid w:val="00FF09F4"/>
    <w:rsid w:val="00FF1015"/>
    <w:rsid w:val="00FF1F5A"/>
    <w:rsid w:val="00FF2DC5"/>
    <w:rsid w:val="00FF4E99"/>
    <w:rsid w:val="00FF4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F035493"/>
  <w15:docId w15:val="{7229BE44-0E3A-4AFA-8604-41CBAAD4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6A"/>
    <w:rPr>
      <w:spacing w:val="2"/>
    </w:rPr>
  </w:style>
  <w:style w:type="paragraph" w:styleId="Heading1">
    <w:name w:val="heading 1"/>
    <w:next w:val="Normal"/>
    <w:link w:val="Heading1Char"/>
    <w:qFormat/>
    <w:rsid w:val="00803810"/>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803810"/>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803810"/>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803810"/>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03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0381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80381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80381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803810"/>
    <w:pPr>
      <w:tabs>
        <w:tab w:val="right" w:leader="dot" w:pos="9000"/>
      </w:tabs>
      <w:ind w:right="432"/>
    </w:pPr>
    <w:rPr>
      <w:sz w:val="24"/>
      <w:szCs w:val="24"/>
    </w:rPr>
  </w:style>
  <w:style w:type="paragraph" w:styleId="TOC2">
    <w:name w:val="toc 2"/>
    <w:next w:val="Normal"/>
    <w:uiPriority w:val="39"/>
    <w:rsid w:val="00803810"/>
    <w:pPr>
      <w:tabs>
        <w:tab w:val="right" w:leader="dot" w:pos="9000"/>
      </w:tabs>
      <w:ind w:left="446" w:right="432"/>
      <w:contextualSpacing/>
    </w:pPr>
    <w:rPr>
      <w:noProof/>
      <w:spacing w:val="2"/>
    </w:rPr>
  </w:style>
  <w:style w:type="paragraph" w:styleId="TOC3">
    <w:name w:val="toc 3"/>
    <w:basedOn w:val="Normal"/>
    <w:next w:val="Normal"/>
    <w:uiPriority w:val="39"/>
    <w:rsid w:val="00803810"/>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803810"/>
    <w:pPr>
      <w:spacing w:after="60" w:line="240" w:lineRule="auto"/>
    </w:pPr>
    <w:rPr>
      <w:sz w:val="16"/>
    </w:rPr>
  </w:style>
  <w:style w:type="paragraph" w:styleId="Index2">
    <w:name w:val="index 2"/>
    <w:basedOn w:val="Normal"/>
    <w:next w:val="Normal"/>
    <w:uiPriority w:val="99"/>
    <w:semiHidden/>
    <w:rsid w:val="00803810"/>
    <w:pPr>
      <w:spacing w:after="0" w:line="240" w:lineRule="auto"/>
      <w:ind w:left="216"/>
    </w:pPr>
    <w:rPr>
      <w:sz w:val="16"/>
      <w:szCs w:val="16"/>
    </w:rPr>
  </w:style>
  <w:style w:type="character" w:styleId="Hyperlink">
    <w:name w:val="Hyperlink"/>
    <w:basedOn w:val="DefaultParagraphFont"/>
    <w:uiPriority w:val="99"/>
    <w:rsid w:val="00803810"/>
    <w:rPr>
      <w:color w:val="53565A" w:themeColor="hyperlink"/>
      <w:u w:val="none"/>
    </w:rPr>
  </w:style>
  <w:style w:type="character" w:customStyle="1" w:styleId="Heading1Char">
    <w:name w:val="Heading 1 Char"/>
    <w:basedOn w:val="DefaultParagraphFont"/>
    <w:link w:val="Heading1"/>
    <w:rsid w:val="00803810"/>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803810"/>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803810"/>
    <w:pPr>
      <w:numPr>
        <w:numId w:val="1"/>
      </w:numPr>
      <w:spacing w:before="100" w:line="240" w:lineRule="auto"/>
      <w:contextualSpacing/>
    </w:pPr>
    <w:rPr>
      <w:rFonts w:eastAsia="Times New Roman" w:cs="Calibri"/>
      <w:spacing w:val="2"/>
    </w:rPr>
  </w:style>
  <w:style w:type="paragraph" w:customStyle="1" w:styleId="Bullet2">
    <w:name w:val="Bullet 2"/>
    <w:basedOn w:val="Bullet1"/>
    <w:uiPriority w:val="1"/>
    <w:qFormat/>
    <w:rsid w:val="00803810"/>
    <w:pPr>
      <w:numPr>
        <w:ilvl w:val="1"/>
      </w:numPr>
    </w:pPr>
  </w:style>
  <w:style w:type="paragraph" w:customStyle="1" w:styleId="Bulletindent">
    <w:name w:val="Bullet indent"/>
    <w:basedOn w:val="Bullet2"/>
    <w:uiPriority w:val="9"/>
    <w:qFormat/>
    <w:rsid w:val="00803810"/>
    <w:pPr>
      <w:numPr>
        <w:ilvl w:val="2"/>
      </w:numPr>
    </w:pPr>
  </w:style>
  <w:style w:type="paragraph" w:customStyle="1" w:styleId="Heading1numbered">
    <w:name w:val="Heading 1 numbered"/>
    <w:basedOn w:val="Heading1"/>
    <w:next w:val="NormalIndent"/>
    <w:uiPriority w:val="8"/>
    <w:qFormat/>
    <w:rsid w:val="00803810"/>
    <w:pPr>
      <w:numPr>
        <w:ilvl w:val="2"/>
        <w:numId w:val="12"/>
      </w:numPr>
    </w:pPr>
  </w:style>
  <w:style w:type="paragraph" w:customStyle="1" w:styleId="Heading2numbered">
    <w:name w:val="Heading 2 numbered"/>
    <w:basedOn w:val="Heading2"/>
    <w:next w:val="NormalIndent"/>
    <w:uiPriority w:val="8"/>
    <w:qFormat/>
    <w:rsid w:val="00803810"/>
    <w:pPr>
      <w:numPr>
        <w:ilvl w:val="3"/>
        <w:numId w:val="12"/>
      </w:numPr>
    </w:pPr>
  </w:style>
  <w:style w:type="paragraph" w:customStyle="1" w:styleId="Heading3numbered">
    <w:name w:val="Heading 3 numbered"/>
    <w:basedOn w:val="Heading3"/>
    <w:next w:val="NormalIndent"/>
    <w:uiPriority w:val="8"/>
    <w:qFormat/>
    <w:rsid w:val="00803810"/>
    <w:pPr>
      <w:numPr>
        <w:ilvl w:val="4"/>
        <w:numId w:val="12"/>
      </w:numPr>
    </w:pPr>
  </w:style>
  <w:style w:type="character" w:customStyle="1" w:styleId="Heading3Char">
    <w:name w:val="Heading 3 Char"/>
    <w:basedOn w:val="DefaultParagraphFont"/>
    <w:link w:val="Heading3"/>
    <w:rsid w:val="00803810"/>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803810"/>
    <w:pPr>
      <w:numPr>
        <w:ilvl w:val="5"/>
        <w:numId w:val="12"/>
      </w:numPr>
    </w:pPr>
  </w:style>
  <w:style w:type="character" w:customStyle="1" w:styleId="Heading4Char">
    <w:name w:val="Heading 4 Char"/>
    <w:basedOn w:val="DefaultParagraphFont"/>
    <w:link w:val="Heading4"/>
    <w:rsid w:val="00803810"/>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4D0A7D"/>
    <w:pPr>
      <w:keepLines/>
      <w:spacing w:line="252" w:lineRule="auto"/>
      <w:ind w:left="794"/>
    </w:pPr>
  </w:style>
  <w:style w:type="paragraph" w:customStyle="1" w:styleId="NoteNormal">
    <w:name w:val="Note Normal"/>
    <w:basedOn w:val="Normal"/>
    <w:rsid w:val="0080381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803810"/>
    <w:pPr>
      <w:spacing w:before="0" w:after="0" w:line="120" w:lineRule="atLeast"/>
    </w:pPr>
    <w:rPr>
      <w:rFonts w:eastAsia="Times New Roman" w:cs="Calibri"/>
      <w:spacing w:val="0"/>
      <w:sz w:val="10"/>
      <w:szCs w:val="22"/>
    </w:rPr>
  </w:style>
  <w:style w:type="paragraph" w:styleId="Subtitle">
    <w:name w:val="Subtitle"/>
    <w:link w:val="SubtitleChar"/>
    <w:uiPriority w:val="98"/>
    <w:rsid w:val="0080381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80381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803810"/>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803810"/>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803810"/>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80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10"/>
    <w:rPr>
      <w:rFonts w:ascii="Tahoma" w:hAnsi="Tahoma" w:cs="Tahoma"/>
      <w:spacing w:val="2"/>
      <w:sz w:val="16"/>
      <w:szCs w:val="16"/>
    </w:rPr>
  </w:style>
  <w:style w:type="paragraph" w:customStyle="1" w:styleId="Bulletindent2">
    <w:name w:val="Bullet indent 2"/>
    <w:basedOn w:val="Normal"/>
    <w:uiPriority w:val="9"/>
    <w:qFormat/>
    <w:rsid w:val="00803810"/>
    <w:pPr>
      <w:numPr>
        <w:ilvl w:val="3"/>
        <w:numId w:val="1"/>
      </w:numPr>
      <w:spacing w:before="100"/>
      <w:contextualSpacing/>
    </w:pPr>
  </w:style>
  <w:style w:type="paragraph" w:styleId="IndexHeading">
    <w:name w:val="index heading"/>
    <w:basedOn w:val="Normal"/>
    <w:next w:val="Index1"/>
    <w:uiPriority w:val="99"/>
    <w:semiHidden/>
    <w:rsid w:val="00803810"/>
    <w:rPr>
      <w:rFonts w:asciiTheme="majorHAnsi" w:eastAsiaTheme="majorEastAsia" w:hAnsiTheme="majorHAnsi" w:cstheme="majorBidi"/>
      <w:b/>
      <w:bCs/>
    </w:rPr>
  </w:style>
  <w:style w:type="paragraph" w:styleId="Header">
    <w:name w:val="header"/>
    <w:basedOn w:val="Normal"/>
    <w:link w:val="HeaderChar"/>
    <w:uiPriority w:val="99"/>
    <w:semiHidden/>
    <w:rsid w:val="008038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3810"/>
    <w:rPr>
      <w:spacing w:val="2"/>
    </w:rPr>
  </w:style>
  <w:style w:type="paragraph" w:styleId="Footer">
    <w:name w:val="footer"/>
    <w:basedOn w:val="Normal"/>
    <w:link w:val="FooterChar"/>
    <w:uiPriority w:val="24"/>
    <w:rsid w:val="00803810"/>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803810"/>
    <w:rPr>
      <w:noProof/>
      <w:spacing w:val="2"/>
      <w:sz w:val="18"/>
      <w:szCs w:val="18"/>
    </w:rPr>
  </w:style>
  <w:style w:type="character" w:styleId="PageNumber">
    <w:name w:val="page number"/>
    <w:uiPriority w:val="49"/>
    <w:semiHidden/>
    <w:rsid w:val="00803810"/>
    <w:rPr>
      <w:b w:val="0"/>
      <w:color w:val="000000" w:themeColor="text1"/>
    </w:rPr>
  </w:style>
  <w:style w:type="paragraph" w:styleId="TOCHeading">
    <w:name w:val="TOC Heading"/>
    <w:basedOn w:val="Heading1"/>
    <w:next w:val="Normal"/>
    <w:uiPriority w:val="39"/>
    <w:rsid w:val="00803810"/>
    <w:pPr>
      <w:spacing w:before="480" w:after="720"/>
      <w:outlineLvl w:val="9"/>
    </w:pPr>
    <w:rPr>
      <w:spacing w:val="2"/>
    </w:rPr>
  </w:style>
  <w:style w:type="paragraph" w:customStyle="1" w:styleId="NormalTight">
    <w:name w:val="Normal Tight"/>
    <w:uiPriority w:val="99"/>
    <w:semiHidden/>
    <w:rsid w:val="0080381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80381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80381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803810"/>
    <w:pPr>
      <w:spacing w:before="5800"/>
      <w:ind w:right="1382"/>
    </w:pPr>
  </w:style>
  <w:style w:type="paragraph" w:styleId="TOC4">
    <w:name w:val="toc 4"/>
    <w:basedOn w:val="TOC1"/>
    <w:next w:val="Normal"/>
    <w:uiPriority w:val="39"/>
    <w:rsid w:val="00803810"/>
    <w:pPr>
      <w:ind w:left="450" w:hanging="450"/>
    </w:pPr>
    <w:rPr>
      <w:noProof/>
      <w:lang w:eastAsia="en-US"/>
    </w:rPr>
  </w:style>
  <w:style w:type="paragraph" w:styleId="TOC5">
    <w:name w:val="toc 5"/>
    <w:basedOn w:val="TOC2"/>
    <w:next w:val="Normal"/>
    <w:uiPriority w:val="39"/>
    <w:rsid w:val="00803810"/>
    <w:pPr>
      <w:ind w:left="1080" w:hanging="634"/>
    </w:pPr>
    <w:rPr>
      <w:lang w:eastAsia="en-US"/>
    </w:rPr>
  </w:style>
  <w:style w:type="paragraph" w:styleId="TOC6">
    <w:name w:val="toc 6"/>
    <w:basedOn w:val="TOC3"/>
    <w:next w:val="Normal"/>
    <w:uiPriority w:val="39"/>
    <w:rsid w:val="00803810"/>
    <w:pPr>
      <w:ind w:left="1800" w:hanging="720"/>
    </w:pPr>
    <w:rPr>
      <w:lang w:eastAsia="en-US"/>
    </w:rPr>
  </w:style>
  <w:style w:type="table" w:customStyle="1" w:styleId="DTFtexttable">
    <w:name w:val="DTF text table"/>
    <w:basedOn w:val="TableGrid"/>
    <w:uiPriority w:val="99"/>
    <w:rsid w:val="0080381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80381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803810"/>
    <w:pPr>
      <w:spacing w:before="60" w:after="60" w:line="264" w:lineRule="auto"/>
    </w:pPr>
    <w:rPr>
      <w:sz w:val="17"/>
    </w:rPr>
  </w:style>
  <w:style w:type="paragraph" w:customStyle="1" w:styleId="Tabletextright">
    <w:name w:val="Table text right"/>
    <w:basedOn w:val="Tabletext"/>
    <w:uiPriority w:val="5"/>
    <w:qFormat/>
    <w:rsid w:val="00803810"/>
    <w:pPr>
      <w:jc w:val="right"/>
    </w:pPr>
  </w:style>
  <w:style w:type="paragraph" w:customStyle="1" w:styleId="Listnumindent2">
    <w:name w:val="List num indent 2"/>
    <w:basedOn w:val="Normal"/>
    <w:uiPriority w:val="9"/>
    <w:qFormat/>
    <w:rsid w:val="00803810"/>
    <w:pPr>
      <w:numPr>
        <w:ilvl w:val="7"/>
        <w:numId w:val="12"/>
      </w:numPr>
      <w:spacing w:before="100"/>
      <w:contextualSpacing/>
    </w:pPr>
  </w:style>
  <w:style w:type="paragraph" w:customStyle="1" w:styleId="Listnumindent">
    <w:name w:val="List num indent"/>
    <w:basedOn w:val="Normal"/>
    <w:uiPriority w:val="9"/>
    <w:qFormat/>
    <w:rsid w:val="00803810"/>
    <w:pPr>
      <w:numPr>
        <w:ilvl w:val="6"/>
        <w:numId w:val="12"/>
      </w:numPr>
      <w:spacing w:before="100"/>
    </w:pPr>
  </w:style>
  <w:style w:type="paragraph" w:customStyle="1" w:styleId="Listnum">
    <w:name w:val="List num"/>
    <w:basedOn w:val="Normal"/>
    <w:uiPriority w:val="1"/>
    <w:qFormat/>
    <w:rsid w:val="00803810"/>
    <w:pPr>
      <w:numPr>
        <w:numId w:val="12"/>
      </w:numPr>
    </w:pPr>
  </w:style>
  <w:style w:type="paragraph" w:customStyle="1" w:styleId="Listnum2">
    <w:name w:val="List num 2"/>
    <w:basedOn w:val="Normal"/>
    <w:uiPriority w:val="1"/>
    <w:qFormat/>
    <w:rsid w:val="00803810"/>
    <w:pPr>
      <w:numPr>
        <w:ilvl w:val="1"/>
        <w:numId w:val="12"/>
      </w:numPr>
    </w:pPr>
  </w:style>
  <w:style w:type="paragraph" w:customStyle="1" w:styleId="Tabletextcentred">
    <w:name w:val="Table text centred"/>
    <w:basedOn w:val="Tabletext"/>
    <w:uiPriority w:val="5"/>
    <w:qFormat/>
    <w:rsid w:val="00803810"/>
    <w:pPr>
      <w:jc w:val="center"/>
    </w:pPr>
  </w:style>
  <w:style w:type="paragraph" w:customStyle="1" w:styleId="Tableheader">
    <w:name w:val="Table header"/>
    <w:basedOn w:val="Tabletext"/>
    <w:uiPriority w:val="5"/>
    <w:qFormat/>
    <w:rsid w:val="00803810"/>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803810"/>
    <w:pPr>
      <w:numPr>
        <w:numId w:val="2"/>
      </w:numPr>
    </w:pPr>
  </w:style>
  <w:style w:type="paragraph" w:customStyle="1" w:styleId="Tabledash">
    <w:name w:val="Table dash"/>
    <w:basedOn w:val="Tablebullet"/>
    <w:uiPriority w:val="6"/>
    <w:rsid w:val="00803810"/>
    <w:pPr>
      <w:numPr>
        <w:ilvl w:val="1"/>
      </w:numPr>
    </w:pPr>
  </w:style>
  <w:style w:type="paragraph" w:customStyle="1" w:styleId="Tabletextindent">
    <w:name w:val="Table text indent"/>
    <w:basedOn w:val="Tabletext"/>
    <w:uiPriority w:val="5"/>
    <w:qFormat/>
    <w:rsid w:val="00803810"/>
    <w:pPr>
      <w:ind w:left="288"/>
    </w:pPr>
  </w:style>
  <w:style w:type="paragraph" w:customStyle="1" w:styleId="Numpara">
    <w:name w:val="Num para"/>
    <w:basedOn w:val="ListParagraph"/>
    <w:uiPriority w:val="2"/>
    <w:qFormat/>
    <w:rsid w:val="00803810"/>
    <w:pPr>
      <w:numPr>
        <w:numId w:val="10"/>
      </w:numPr>
      <w:tabs>
        <w:tab w:val="left" w:pos="540"/>
      </w:tabs>
    </w:pPr>
  </w:style>
  <w:style w:type="paragraph" w:styleId="ListParagraph">
    <w:name w:val="List Paragraph"/>
    <w:basedOn w:val="Normal"/>
    <w:uiPriority w:val="34"/>
    <w:semiHidden/>
    <w:qFormat/>
    <w:rsid w:val="00803810"/>
    <w:pPr>
      <w:ind w:left="720"/>
      <w:contextualSpacing/>
    </w:pPr>
  </w:style>
  <w:style w:type="paragraph" w:customStyle="1" w:styleId="Tablechartdiagramheading">
    <w:name w:val="Table/chart/diagram heading"/>
    <w:uiPriority w:val="4"/>
    <w:qFormat/>
    <w:rsid w:val="00803810"/>
    <w:pPr>
      <w:tabs>
        <w:tab w:val="left" w:pos="1080"/>
      </w:tabs>
    </w:pPr>
    <w:rPr>
      <w:b/>
      <w:bCs/>
      <w:color w:val="0063A6" w:themeColor="accent1"/>
      <w:spacing w:val="2"/>
      <w:sz w:val="18"/>
      <w:szCs w:val="18"/>
    </w:rPr>
  </w:style>
  <w:style w:type="paragraph" w:styleId="FootnoteText">
    <w:name w:val="footnote text"/>
    <w:basedOn w:val="Normal"/>
    <w:link w:val="FootnoteTextChar"/>
    <w:uiPriority w:val="99"/>
    <w:semiHidden/>
    <w:rsid w:val="00803810"/>
    <w:pPr>
      <w:spacing w:before="0" w:after="0" w:line="240" w:lineRule="auto"/>
    </w:pPr>
    <w:rPr>
      <w:sz w:val="17"/>
    </w:rPr>
  </w:style>
  <w:style w:type="character" w:customStyle="1" w:styleId="FootnoteTextChar">
    <w:name w:val="Footnote Text Char"/>
    <w:basedOn w:val="DefaultParagraphFont"/>
    <w:link w:val="FootnoteText"/>
    <w:uiPriority w:val="99"/>
    <w:semiHidden/>
    <w:rsid w:val="00803810"/>
    <w:rPr>
      <w:spacing w:val="2"/>
      <w:sz w:val="17"/>
    </w:rPr>
  </w:style>
  <w:style w:type="character" w:styleId="FootnoteReference">
    <w:name w:val="footnote reference"/>
    <w:basedOn w:val="DefaultParagraphFont"/>
    <w:uiPriority w:val="99"/>
    <w:semiHidden/>
    <w:rsid w:val="00803810"/>
    <w:rPr>
      <w:vertAlign w:val="superscript"/>
    </w:rPr>
  </w:style>
  <w:style w:type="table" w:customStyle="1" w:styleId="DTFfinancialtableindent">
    <w:name w:val="DTF financial table indent"/>
    <w:basedOn w:val="DTFfinancialtable"/>
    <w:uiPriority w:val="99"/>
    <w:rsid w:val="00803810"/>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6E276A"/>
    <w:pPr>
      <w:spacing w:before="60" w:after="6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803810"/>
    <w:pPr>
      <w:numPr>
        <w:ilvl w:val="8"/>
        <w:numId w:val="12"/>
      </w:numPr>
      <w:tabs>
        <w:tab w:val="clear" w:pos="540"/>
      </w:tabs>
    </w:pPr>
  </w:style>
  <w:style w:type="paragraph" w:customStyle="1" w:styleId="Tablenum1">
    <w:name w:val="Table num 1"/>
    <w:basedOn w:val="Normal"/>
    <w:uiPriority w:val="6"/>
    <w:rsid w:val="00803810"/>
    <w:pPr>
      <w:numPr>
        <w:ilvl w:val="2"/>
        <w:numId w:val="2"/>
      </w:numPr>
    </w:pPr>
    <w:rPr>
      <w:sz w:val="17"/>
    </w:rPr>
  </w:style>
  <w:style w:type="paragraph" w:customStyle="1" w:styleId="Tablenum2">
    <w:name w:val="Table num 2"/>
    <w:basedOn w:val="Normal"/>
    <w:uiPriority w:val="6"/>
    <w:rsid w:val="00803810"/>
    <w:pPr>
      <w:numPr>
        <w:ilvl w:val="3"/>
        <w:numId w:val="2"/>
      </w:numPr>
    </w:pPr>
    <w:rPr>
      <w:sz w:val="17"/>
    </w:rPr>
  </w:style>
  <w:style w:type="paragraph" w:customStyle="1" w:styleId="NoteNormalindent">
    <w:name w:val="Note Normal indent"/>
    <w:basedOn w:val="NoteNormal"/>
    <w:uiPriority w:val="8"/>
    <w:rsid w:val="003E539C"/>
    <w:pPr>
      <w:tabs>
        <w:tab w:val="left" w:pos="1077"/>
      </w:tabs>
      <w:ind w:left="1078" w:hanging="284"/>
      <w:contextualSpacing/>
    </w:pPr>
    <w:rPr>
      <w:i/>
    </w:rPr>
  </w:style>
  <w:style w:type="paragraph" w:styleId="Caption">
    <w:name w:val="caption"/>
    <w:basedOn w:val="Normal"/>
    <w:next w:val="Normal"/>
    <w:uiPriority w:val="35"/>
    <w:rsid w:val="00803810"/>
    <w:pPr>
      <w:spacing w:before="0" w:after="200" w:line="240" w:lineRule="auto"/>
    </w:pPr>
    <w:rPr>
      <w:b/>
      <w:bCs/>
      <w:color w:val="383834" w:themeColor="background2" w:themeShade="40"/>
      <w:sz w:val="18"/>
      <w:szCs w:val="18"/>
    </w:rPr>
  </w:style>
  <w:style w:type="paragraph" w:styleId="ListNumber">
    <w:name w:val="List Number"/>
    <w:basedOn w:val="Normal"/>
    <w:uiPriority w:val="7"/>
    <w:semiHidden/>
    <w:qFormat/>
    <w:rsid w:val="006D5CDD"/>
    <w:pPr>
      <w:numPr>
        <w:numId w:val="3"/>
      </w:numPr>
      <w:spacing w:before="100" w:line="260" w:lineRule="atLeast"/>
      <w:contextualSpacing/>
    </w:pPr>
    <w:rPr>
      <w:rFonts w:ascii="Calibri" w:eastAsia="Times New Roman" w:hAnsi="Calibri" w:cs="Calibri"/>
      <w:spacing w:val="0"/>
      <w:sz w:val="22"/>
      <w:szCs w:val="22"/>
    </w:rPr>
  </w:style>
  <w:style w:type="paragraph" w:styleId="ListNumber2">
    <w:name w:val="List Number 2"/>
    <w:basedOn w:val="Normal"/>
    <w:uiPriority w:val="7"/>
    <w:semiHidden/>
    <w:rsid w:val="006D5CDD"/>
    <w:pPr>
      <w:numPr>
        <w:ilvl w:val="1"/>
        <w:numId w:val="3"/>
      </w:numPr>
      <w:spacing w:before="100" w:line="260" w:lineRule="atLeast"/>
      <w:contextualSpacing/>
    </w:pPr>
    <w:rPr>
      <w:rFonts w:ascii="Calibri" w:eastAsia="Times New Roman" w:hAnsi="Calibri" w:cs="Calibri"/>
      <w:spacing w:val="0"/>
      <w:sz w:val="22"/>
      <w:szCs w:val="22"/>
    </w:rPr>
  </w:style>
  <w:style w:type="paragraph" w:styleId="ListNumber3">
    <w:name w:val="List Number 3"/>
    <w:basedOn w:val="Normal"/>
    <w:uiPriority w:val="7"/>
    <w:semiHidden/>
    <w:rsid w:val="006D5CDD"/>
    <w:pPr>
      <w:numPr>
        <w:ilvl w:val="2"/>
        <w:numId w:val="3"/>
      </w:numPr>
      <w:spacing w:before="100" w:line="260" w:lineRule="atLeast"/>
      <w:contextualSpacing/>
    </w:pPr>
    <w:rPr>
      <w:rFonts w:ascii="Calibri" w:eastAsia="Times New Roman" w:hAnsi="Calibri" w:cs="Calibri"/>
      <w:spacing w:val="0"/>
      <w:sz w:val="22"/>
      <w:szCs w:val="22"/>
    </w:rPr>
  </w:style>
  <w:style w:type="paragraph" w:styleId="NormalWeb">
    <w:name w:val="Normal (Web)"/>
    <w:basedOn w:val="Normal"/>
    <w:uiPriority w:val="99"/>
    <w:semiHidden/>
    <w:unhideWhenUsed/>
    <w:rsid w:val="00B116EB"/>
    <w:pPr>
      <w:spacing w:before="100" w:beforeAutospacing="1" w:afterAutospacing="1" w:line="240" w:lineRule="auto"/>
    </w:pPr>
    <w:rPr>
      <w:rFonts w:ascii="Times New Roman" w:hAnsi="Times New Roman" w:cs="Times New Roman"/>
      <w:spacing w:val="0"/>
      <w:sz w:val="24"/>
      <w:szCs w:val="24"/>
    </w:rPr>
  </w:style>
  <w:style w:type="paragraph" w:styleId="Revision">
    <w:name w:val="Revision"/>
    <w:hidden/>
    <w:uiPriority w:val="99"/>
    <w:semiHidden/>
    <w:rsid w:val="00E43340"/>
    <w:pPr>
      <w:spacing w:after="0" w:line="240" w:lineRule="auto"/>
    </w:pPr>
    <w:rPr>
      <w:spacing w:val="2"/>
    </w:rPr>
  </w:style>
  <w:style w:type="character" w:styleId="CommentReference">
    <w:name w:val="annotation reference"/>
    <w:basedOn w:val="DefaultParagraphFont"/>
    <w:uiPriority w:val="99"/>
    <w:semiHidden/>
    <w:unhideWhenUsed/>
    <w:rsid w:val="00A95138"/>
    <w:rPr>
      <w:sz w:val="16"/>
      <w:szCs w:val="16"/>
    </w:rPr>
  </w:style>
  <w:style w:type="paragraph" w:styleId="CommentText">
    <w:name w:val="annotation text"/>
    <w:basedOn w:val="Normal"/>
    <w:link w:val="CommentTextChar"/>
    <w:uiPriority w:val="99"/>
    <w:unhideWhenUsed/>
    <w:rsid w:val="00A95138"/>
    <w:pPr>
      <w:spacing w:line="240" w:lineRule="auto"/>
    </w:pPr>
  </w:style>
  <w:style w:type="character" w:customStyle="1" w:styleId="CommentTextChar">
    <w:name w:val="Comment Text Char"/>
    <w:basedOn w:val="DefaultParagraphFont"/>
    <w:link w:val="CommentText"/>
    <w:uiPriority w:val="99"/>
    <w:rsid w:val="00A95138"/>
    <w:rPr>
      <w:spacing w:val="2"/>
    </w:rPr>
  </w:style>
  <w:style w:type="paragraph" w:styleId="CommentSubject">
    <w:name w:val="annotation subject"/>
    <w:basedOn w:val="CommentText"/>
    <w:next w:val="CommentText"/>
    <w:link w:val="CommentSubjectChar"/>
    <w:uiPriority w:val="99"/>
    <w:semiHidden/>
    <w:unhideWhenUsed/>
    <w:rsid w:val="00A95138"/>
    <w:rPr>
      <w:b/>
      <w:bCs/>
    </w:rPr>
  </w:style>
  <w:style w:type="character" w:customStyle="1" w:styleId="CommentSubjectChar">
    <w:name w:val="Comment Subject Char"/>
    <w:basedOn w:val="CommentTextChar"/>
    <w:link w:val="CommentSubject"/>
    <w:uiPriority w:val="99"/>
    <w:semiHidden/>
    <w:rsid w:val="00A95138"/>
    <w:rPr>
      <w:b/>
      <w:bCs/>
      <w:spacing w:val="2"/>
    </w:rPr>
  </w:style>
  <w:style w:type="character" w:styleId="UnresolvedMention">
    <w:name w:val="Unresolved Mention"/>
    <w:basedOn w:val="DefaultParagraphFont"/>
    <w:uiPriority w:val="99"/>
    <w:semiHidden/>
    <w:unhideWhenUsed/>
    <w:rsid w:val="004D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414">
      <w:bodyDiv w:val="1"/>
      <w:marLeft w:val="0"/>
      <w:marRight w:val="0"/>
      <w:marTop w:val="0"/>
      <w:marBottom w:val="0"/>
      <w:divBdr>
        <w:top w:val="none" w:sz="0" w:space="0" w:color="auto"/>
        <w:left w:val="none" w:sz="0" w:space="0" w:color="auto"/>
        <w:bottom w:val="none" w:sz="0" w:space="0" w:color="auto"/>
        <w:right w:val="none" w:sz="0" w:space="0" w:color="auto"/>
      </w:divBdr>
    </w:div>
    <w:div w:id="200620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PowerPoint_Slide1.sl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PowerPoint_Slide.sldx"/><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PowerPoint_Slide2.sldx"/><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F1BE-38B6-4BB1-B083-B3D70FDA8F79}">
  <ds:schemaRefs>
    <ds:schemaRef ds:uri="http://www.w3.org/2001/XMLSchema"/>
  </ds:schemaRefs>
</ds:datastoreItem>
</file>

<file path=customXml/itemProps2.xml><?xml version="1.0" encoding="utf-8"?>
<ds:datastoreItem xmlns:ds="http://schemas.openxmlformats.org/officeDocument/2006/customXml" ds:itemID="{F4D31D83-C5DF-412F-8572-EA124B45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16</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lastModifiedBy>Constance Yuan (DTF)</cp:lastModifiedBy>
  <cp:revision>101</cp:revision>
  <cp:lastPrinted>2019-11-28T01:40:00Z</cp:lastPrinted>
  <dcterms:created xsi:type="dcterms:W3CDTF">2025-05-19T00:16:00Z</dcterms:created>
  <dcterms:modified xsi:type="dcterms:W3CDTF">2025-06-19T04:18:00Z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d9908d3c-8a9d-43da-9bc6-8fff98660126</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2021-06-29T04:18:16Z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
  </property>
  <property fmtid="{D5CDD505-2E9C-101B-9397-08002B2CF9AE}" pid="11" name="MSIP_Label_7158ebbd-6c5e-441f-bfc9-4eb8c11e3978_ContentBits">
    <vt:lpwstr>2</vt:lpwstr>
  </property>
</Properties>
</file>