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872A" w14:textId="6945DAF6" w:rsidR="009B1925" w:rsidRPr="003427DB" w:rsidRDefault="009B1925" w:rsidP="003427DB">
      <w:pPr>
        <w:pStyle w:val="Heading1"/>
        <w:rPr>
          <w:rFonts w:ascii="Arial" w:eastAsia="SimHei" w:hAnsi="Arial" w:cs="Arial"/>
          <w:b w:val="0"/>
          <w:bCs w:val="0"/>
          <w:color w:val="2F5496" w:themeColor="accent1" w:themeShade="BF"/>
          <w:sz w:val="52"/>
          <w:szCs w:val="52"/>
        </w:rPr>
      </w:pPr>
      <w:bookmarkStart w:id="0" w:name="_Toc515533555"/>
      <w:bookmarkStart w:id="1" w:name="_Toc5615939"/>
      <w:bookmarkStart w:id="2" w:name="_Toc9937285"/>
      <w:r w:rsidRPr="003427DB">
        <w:rPr>
          <w:rFonts w:ascii="Arial" w:eastAsia="SimHei" w:hAnsi="Arial" w:cs="Arial"/>
          <w:color w:val="2F5496" w:themeColor="accent1" w:themeShade="BF"/>
          <w:sz w:val="52"/>
          <w:szCs w:val="52"/>
        </w:rPr>
        <w:t>Guidance to Financial Reporting Direction 120</w:t>
      </w:r>
    </w:p>
    <w:p w14:paraId="0D5D943E" w14:textId="61ED1148" w:rsidR="001938D9" w:rsidRPr="001938D9" w:rsidRDefault="001938D9" w:rsidP="001938D9">
      <w:pPr>
        <w:keepNext/>
        <w:keepLines/>
        <w:pBdr>
          <w:bottom w:val="single" w:sz="12" w:space="1" w:color="auto"/>
        </w:pBdr>
        <w:spacing w:before="360" w:after="0" w:line="240" w:lineRule="auto"/>
        <w:outlineLvl w:val="0"/>
        <w:rPr>
          <w:rFonts w:ascii="Arial" w:eastAsia="SimHei" w:hAnsi="Arial" w:cs="Times New Roman"/>
          <w:b/>
          <w:bCs/>
          <w:caps/>
          <w:spacing w:val="-2"/>
          <w:sz w:val="28"/>
          <w:szCs w:val="28"/>
        </w:rPr>
      </w:pPr>
      <w:r w:rsidRPr="001938D9">
        <w:rPr>
          <w:rFonts w:ascii="Arial" w:eastAsia="SimHei" w:hAnsi="Arial" w:cs="Times New Roman"/>
          <w:b/>
          <w:bCs/>
          <w:caps/>
          <w:spacing w:val="-2"/>
          <w:sz w:val="28"/>
          <w:szCs w:val="28"/>
        </w:rPr>
        <w:t>AASB reporting requirements for for-profit and not-for-profit entities in the Victorian Public sector</w:t>
      </w:r>
      <w:bookmarkEnd w:id="0"/>
      <w:bookmarkEnd w:id="1"/>
      <w:bookmarkEnd w:id="2"/>
    </w:p>
    <w:tbl>
      <w:tblPr>
        <w:tblStyle w:val="CVtable21"/>
        <w:tblpPr w:leftFromText="180" w:rightFromText="180" w:vertAnchor="text" w:horzAnchor="margin" w:tblpXSpec="right" w:tblpY="474"/>
        <w:tblOverlap w:val="never"/>
        <w:tblW w:w="3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2560"/>
      </w:tblGrid>
      <w:tr w:rsidR="003427DB" w:rsidRPr="001938D9" w14:paraId="19AD3335" w14:textId="77777777" w:rsidTr="003427DB">
        <w:tc>
          <w:tcPr>
            <w:tcW w:w="518" w:type="dxa"/>
          </w:tcPr>
          <w:p w14:paraId="16A67BC0" w14:textId="77777777" w:rsidR="003427DB" w:rsidRPr="001938D9" w:rsidRDefault="003427DB" w:rsidP="003427DB">
            <w:pPr>
              <w:spacing w:before="40" w:after="40"/>
              <w:jc w:val="right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Wingdings 2" w:hAnsi="Wingdings 2"/>
                <w:color w:val="000000"/>
                <w:spacing w:val="2"/>
              </w:rPr>
              <w:t></w:t>
            </w:r>
          </w:p>
        </w:tc>
        <w:tc>
          <w:tcPr>
            <w:tcW w:w="2560" w:type="dxa"/>
          </w:tcPr>
          <w:p w14:paraId="0BE635DE" w14:textId="77777777" w:rsidR="003427DB" w:rsidRPr="001938D9" w:rsidRDefault="003427DB" w:rsidP="003427DB">
            <w:pPr>
              <w:spacing w:before="40" w:after="40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spacing w:val="2"/>
                <w:sz w:val="16"/>
              </w:rPr>
              <w:t>Standard is applicable</w:t>
            </w:r>
          </w:p>
        </w:tc>
      </w:tr>
      <w:tr w:rsidR="003427DB" w:rsidRPr="001938D9" w14:paraId="3C039935" w14:textId="77777777" w:rsidTr="003427DB">
        <w:tc>
          <w:tcPr>
            <w:tcW w:w="518" w:type="dxa"/>
          </w:tcPr>
          <w:p w14:paraId="24923C84" w14:textId="77777777" w:rsidR="003427DB" w:rsidRPr="001938D9" w:rsidRDefault="003427DB" w:rsidP="003427DB">
            <w:pPr>
              <w:spacing w:before="40" w:after="40"/>
              <w:jc w:val="right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color w:val="000000"/>
                <w:spacing w:val="2"/>
                <w:sz w:val="16"/>
              </w:rPr>
              <w:sym w:font="Wingdings 2" w:char="F04F"/>
            </w:r>
          </w:p>
        </w:tc>
        <w:tc>
          <w:tcPr>
            <w:tcW w:w="2560" w:type="dxa"/>
          </w:tcPr>
          <w:p w14:paraId="192859A4" w14:textId="77777777" w:rsidR="003427DB" w:rsidRPr="001938D9" w:rsidRDefault="003427DB" w:rsidP="003427DB">
            <w:pPr>
              <w:spacing w:before="40" w:after="40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spacing w:val="2"/>
                <w:sz w:val="16"/>
              </w:rPr>
              <w:t>Standard is not applicable</w:t>
            </w:r>
          </w:p>
        </w:tc>
      </w:tr>
      <w:tr w:rsidR="003427DB" w:rsidRPr="001938D9" w14:paraId="1E60503F" w14:textId="77777777" w:rsidTr="003427DB">
        <w:tc>
          <w:tcPr>
            <w:tcW w:w="518" w:type="dxa"/>
          </w:tcPr>
          <w:p w14:paraId="71195BAB" w14:textId="77777777" w:rsidR="003427DB" w:rsidRPr="001938D9" w:rsidRDefault="003427DB" w:rsidP="003427DB">
            <w:pPr>
              <w:spacing w:before="40" w:after="40"/>
              <w:jc w:val="right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spacing w:val="2"/>
                <w:sz w:val="16"/>
              </w:rPr>
              <w:t>NR</w:t>
            </w:r>
          </w:p>
        </w:tc>
        <w:tc>
          <w:tcPr>
            <w:tcW w:w="2560" w:type="dxa"/>
          </w:tcPr>
          <w:p w14:paraId="74DEB205" w14:textId="77777777" w:rsidR="003427DB" w:rsidRPr="001938D9" w:rsidRDefault="003427DB" w:rsidP="003427DB">
            <w:pPr>
              <w:spacing w:before="40" w:after="40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spacing w:val="2"/>
                <w:sz w:val="16"/>
              </w:rPr>
              <w:t>Standard is applicable but is not relevant to the entity</w:t>
            </w:r>
          </w:p>
        </w:tc>
      </w:tr>
    </w:tbl>
    <w:p w14:paraId="5A0CB569" w14:textId="77777777" w:rsidR="001938D9" w:rsidRPr="001938D9" w:rsidRDefault="001938D9" w:rsidP="001938D9">
      <w:pPr>
        <w:keepLines/>
        <w:spacing w:before="120" w:after="0" w:line="240" w:lineRule="auto"/>
        <w:rPr>
          <w:rFonts w:ascii="Arial" w:eastAsia="Arial" w:hAnsi="Arial" w:cs="Times New Roman"/>
          <w:spacing w:val="2"/>
          <w:sz w:val="18"/>
          <w:szCs w:val="18"/>
        </w:rPr>
      </w:pPr>
      <w:r w:rsidRPr="001938D9">
        <w:rPr>
          <w:rFonts w:ascii="Arial" w:eastAsia="Arial" w:hAnsi="Arial" w:cs="Times New Roman"/>
          <w:spacing w:val="2"/>
          <w:sz w:val="18"/>
          <w:szCs w:val="18"/>
        </w:rPr>
        <w:t xml:space="preserve">The following table provides guidance on reporting requirements under Australian Accounting Standards applicable for for-profit entities (FP) and not-for-profit entities (NFP). </w:t>
      </w:r>
    </w:p>
    <w:tbl>
      <w:tblPr>
        <w:tblStyle w:val="Modeltable1"/>
        <w:tblW w:w="4999" w:type="pct"/>
        <w:tblBorders>
          <w:insideH w:val="single" w:sz="4" w:space="0" w:color="53565A"/>
        </w:tblBorders>
        <w:tblLook w:val="0620" w:firstRow="1" w:lastRow="0" w:firstColumn="0" w:lastColumn="0" w:noHBand="1" w:noVBand="1"/>
      </w:tblPr>
      <w:tblGrid>
        <w:gridCol w:w="605"/>
        <w:gridCol w:w="3476"/>
        <w:gridCol w:w="2182"/>
        <w:gridCol w:w="2761"/>
      </w:tblGrid>
      <w:tr w:rsidR="001938D9" w:rsidRPr="001938D9" w14:paraId="48A0C065" w14:textId="77777777" w:rsidTr="0089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335" w:type="pct"/>
            <w:noWrap/>
            <w:hideMark/>
          </w:tcPr>
          <w:p w14:paraId="619EC401" w14:textId="77777777" w:rsidR="001938D9" w:rsidRPr="001938D9" w:rsidRDefault="001938D9" w:rsidP="001938D9">
            <w:pPr>
              <w:spacing w:before="60" w:after="40"/>
              <w:jc w:val="center"/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</w:pPr>
            <w:r w:rsidRPr="001938D9"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  <w:t xml:space="preserve">AASB </w:t>
            </w:r>
          </w:p>
        </w:tc>
        <w:tc>
          <w:tcPr>
            <w:tcW w:w="1926" w:type="pct"/>
            <w:hideMark/>
          </w:tcPr>
          <w:p w14:paraId="22D25792" w14:textId="77777777" w:rsidR="001938D9" w:rsidRPr="001938D9" w:rsidRDefault="001938D9" w:rsidP="001938D9">
            <w:pPr>
              <w:spacing w:before="60" w:after="40"/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</w:pPr>
            <w:r w:rsidRPr="001938D9"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  <w:t>Description</w:t>
            </w:r>
          </w:p>
        </w:tc>
        <w:tc>
          <w:tcPr>
            <w:tcW w:w="1209" w:type="pct"/>
            <w:noWrap/>
            <w:hideMark/>
          </w:tcPr>
          <w:p w14:paraId="7A764384" w14:textId="77777777" w:rsidR="001938D9" w:rsidRPr="001938D9" w:rsidRDefault="001938D9" w:rsidP="001938D9">
            <w:pPr>
              <w:spacing w:before="60" w:after="40"/>
              <w:jc w:val="center"/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</w:pPr>
            <w:r w:rsidRPr="001938D9"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  <w:t>For-profit</w:t>
            </w:r>
          </w:p>
        </w:tc>
        <w:tc>
          <w:tcPr>
            <w:tcW w:w="1530" w:type="pct"/>
            <w:noWrap/>
            <w:hideMark/>
          </w:tcPr>
          <w:p w14:paraId="26092A19" w14:textId="77777777" w:rsidR="001938D9" w:rsidRPr="001938D9" w:rsidRDefault="001938D9" w:rsidP="001938D9">
            <w:pPr>
              <w:spacing w:before="60" w:after="40"/>
              <w:jc w:val="center"/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</w:pPr>
            <w:r w:rsidRPr="001938D9"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  <w:t>Not-for-profit</w:t>
            </w:r>
          </w:p>
        </w:tc>
      </w:tr>
      <w:tr w:rsidR="001938D9" w:rsidRPr="001938D9" w14:paraId="560B6C9C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5A01CF30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</w:t>
            </w:r>
          </w:p>
        </w:tc>
        <w:tc>
          <w:tcPr>
            <w:tcW w:w="1926" w:type="pct"/>
            <w:vAlign w:val="center"/>
            <w:hideMark/>
          </w:tcPr>
          <w:p w14:paraId="12763EE1" w14:textId="5C2C73CE" w:rsidR="001938D9" w:rsidRPr="001938D9" w:rsidRDefault="001938D9" w:rsidP="001A4A5A">
            <w:pPr>
              <w:spacing w:before="0"/>
              <w:rPr>
                <w:rFonts w:eastAsia="Tahoma" w:cs="Arial"/>
                <w:noProof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ahoma" w:cs="Arial"/>
                <w:noProof/>
                <w:spacing w:val="2"/>
                <w:lang w:eastAsia="en-AU"/>
              </w:rPr>
              <w:t>First-time Adoption of Australian Accounting Standards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5D56FA6E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CD22CBE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518A0575" w14:textId="77777777" w:rsidTr="00897E66">
        <w:trPr>
          <w:trHeight w:val="364"/>
        </w:trPr>
        <w:tc>
          <w:tcPr>
            <w:tcW w:w="335" w:type="pct"/>
            <w:noWrap/>
            <w:vAlign w:val="center"/>
            <w:hideMark/>
          </w:tcPr>
          <w:p w14:paraId="0F52729E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2</w:t>
            </w:r>
          </w:p>
        </w:tc>
        <w:tc>
          <w:tcPr>
            <w:tcW w:w="1926" w:type="pct"/>
            <w:vAlign w:val="center"/>
            <w:hideMark/>
          </w:tcPr>
          <w:p w14:paraId="6903D7FC" w14:textId="36B0FD6C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Share-based Payment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5381CE6A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35D8999E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7BFB71EA" w14:textId="77777777" w:rsidTr="00897E66">
        <w:trPr>
          <w:trHeight w:val="335"/>
        </w:trPr>
        <w:tc>
          <w:tcPr>
            <w:tcW w:w="335" w:type="pct"/>
            <w:noWrap/>
            <w:vAlign w:val="center"/>
            <w:hideMark/>
          </w:tcPr>
          <w:p w14:paraId="37004926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3</w:t>
            </w:r>
          </w:p>
        </w:tc>
        <w:tc>
          <w:tcPr>
            <w:tcW w:w="1926" w:type="pct"/>
            <w:vAlign w:val="center"/>
            <w:hideMark/>
          </w:tcPr>
          <w:p w14:paraId="21030302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Business Combinations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B973327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42922753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AE7CF16" w14:textId="77777777" w:rsidTr="003347BC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784E2B3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4</w:t>
            </w:r>
          </w:p>
        </w:tc>
        <w:tc>
          <w:tcPr>
            <w:tcW w:w="1926" w:type="pct"/>
            <w:vAlign w:val="center"/>
            <w:hideMark/>
          </w:tcPr>
          <w:p w14:paraId="69DDF8DC" w14:textId="0C548AC1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Insurance Contracts</w:t>
            </w:r>
            <w:r w:rsidR="00071EBE">
              <w:rPr>
                <w:rStyle w:val="EndnoteReference"/>
                <w:rFonts w:eastAsia="Times New Roman" w:cs="Arial"/>
                <w:color w:val="000000"/>
                <w:spacing w:val="2"/>
                <w:lang w:eastAsia="en-AU"/>
              </w:rPr>
              <w:endnoteReference w:id="1"/>
            </w:r>
          </w:p>
        </w:tc>
        <w:tc>
          <w:tcPr>
            <w:tcW w:w="1209" w:type="pct"/>
            <w:tcBorders>
              <w:bottom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3A0FC32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1F7CFB2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0BD6B27D" w14:textId="77777777" w:rsidTr="003347BC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1A00364B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5</w:t>
            </w:r>
          </w:p>
        </w:tc>
        <w:tc>
          <w:tcPr>
            <w:tcW w:w="1926" w:type="pct"/>
            <w:vAlign w:val="center"/>
            <w:hideMark/>
          </w:tcPr>
          <w:p w14:paraId="152F90AC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Non-current Assets Held for Sale and Discontinued Operations</w:t>
            </w:r>
          </w:p>
        </w:tc>
        <w:tc>
          <w:tcPr>
            <w:tcW w:w="1209" w:type="pct"/>
            <w:tcBorders>
              <w:top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CCDDD8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0B7F249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01FF5AA" w14:textId="77777777" w:rsidTr="00897E66">
        <w:trPr>
          <w:trHeight w:val="469"/>
        </w:trPr>
        <w:tc>
          <w:tcPr>
            <w:tcW w:w="335" w:type="pct"/>
            <w:noWrap/>
            <w:vAlign w:val="center"/>
            <w:hideMark/>
          </w:tcPr>
          <w:p w14:paraId="468A2254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6</w:t>
            </w:r>
          </w:p>
        </w:tc>
        <w:tc>
          <w:tcPr>
            <w:tcW w:w="1926" w:type="pct"/>
            <w:vAlign w:val="center"/>
            <w:hideMark/>
          </w:tcPr>
          <w:p w14:paraId="3C53BDD8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Exploration for and Evaluation of Mineral Resources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73A6CC53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0F98995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1C4F6D3C" w14:textId="77777777" w:rsidTr="00897E66">
        <w:trPr>
          <w:trHeight w:val="332"/>
        </w:trPr>
        <w:tc>
          <w:tcPr>
            <w:tcW w:w="335" w:type="pct"/>
            <w:noWrap/>
            <w:vAlign w:val="center"/>
            <w:hideMark/>
          </w:tcPr>
          <w:p w14:paraId="4520611C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7</w:t>
            </w:r>
          </w:p>
        </w:tc>
        <w:tc>
          <w:tcPr>
            <w:tcW w:w="1926" w:type="pct"/>
            <w:vAlign w:val="center"/>
            <w:hideMark/>
          </w:tcPr>
          <w:p w14:paraId="063A4DA9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Financial Instruments: Disclosures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5C201BF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7EC9BC72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39198D84" w14:textId="77777777" w:rsidTr="00897E66">
        <w:trPr>
          <w:trHeight w:val="354"/>
        </w:trPr>
        <w:tc>
          <w:tcPr>
            <w:tcW w:w="335" w:type="pct"/>
            <w:noWrap/>
            <w:vAlign w:val="center"/>
            <w:hideMark/>
          </w:tcPr>
          <w:p w14:paraId="2E1E482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8</w:t>
            </w:r>
          </w:p>
        </w:tc>
        <w:tc>
          <w:tcPr>
            <w:tcW w:w="1926" w:type="pct"/>
            <w:vAlign w:val="center"/>
            <w:hideMark/>
          </w:tcPr>
          <w:p w14:paraId="5AC3B4B9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Operating Segments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20F8F6E6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0A24994B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3427DB" w:rsidRPr="001938D9" w14:paraId="3E79CB8B" w14:textId="77777777" w:rsidTr="001A4A5A">
        <w:trPr>
          <w:trHeight w:val="231"/>
        </w:trPr>
        <w:tc>
          <w:tcPr>
            <w:tcW w:w="335" w:type="pct"/>
            <w:noWrap/>
            <w:vAlign w:val="center"/>
          </w:tcPr>
          <w:p w14:paraId="2456CE6E" w14:textId="3063922D" w:rsidR="009D2B09" w:rsidRPr="001938D9" w:rsidRDefault="009D2B09" w:rsidP="009D2B0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9</w:t>
            </w:r>
          </w:p>
        </w:tc>
        <w:tc>
          <w:tcPr>
            <w:tcW w:w="1926" w:type="pct"/>
            <w:vAlign w:val="center"/>
          </w:tcPr>
          <w:p w14:paraId="313A24C2" w14:textId="446FCE83" w:rsidR="009D2B09" w:rsidRPr="001938D9" w:rsidRDefault="009D2B0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Financial Instruments</w:t>
            </w:r>
          </w:p>
        </w:tc>
        <w:tc>
          <w:tcPr>
            <w:tcW w:w="1209" w:type="pct"/>
            <w:shd w:val="clear" w:color="auto" w:fill="A6A6A6" w:themeFill="background1" w:themeFillShade="A6"/>
            <w:noWrap/>
            <w:vAlign w:val="center"/>
          </w:tcPr>
          <w:p w14:paraId="1EA0F54E" w14:textId="10525255" w:rsidR="009D2B09" w:rsidRPr="001938D9" w:rsidRDefault="009D2B0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1FEF681C" w14:textId="412D3915" w:rsidR="009D2B09" w:rsidRPr="001938D9" w:rsidRDefault="009D2B0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13BDE75B" w14:textId="77777777" w:rsidTr="001A4A5A">
        <w:trPr>
          <w:trHeight w:val="237"/>
        </w:trPr>
        <w:tc>
          <w:tcPr>
            <w:tcW w:w="335" w:type="pct"/>
            <w:noWrap/>
            <w:vAlign w:val="center"/>
            <w:hideMark/>
          </w:tcPr>
          <w:p w14:paraId="61827760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</w:t>
            </w:r>
          </w:p>
        </w:tc>
        <w:tc>
          <w:tcPr>
            <w:tcW w:w="1926" w:type="pct"/>
            <w:vAlign w:val="center"/>
            <w:hideMark/>
          </w:tcPr>
          <w:p w14:paraId="652A7C95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Consolidated Financial Statements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9FA50BF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2F8897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B0BB147" w14:textId="77777777" w:rsidTr="00897E66">
        <w:trPr>
          <w:trHeight w:val="373"/>
        </w:trPr>
        <w:tc>
          <w:tcPr>
            <w:tcW w:w="335" w:type="pct"/>
            <w:noWrap/>
            <w:vAlign w:val="center"/>
            <w:hideMark/>
          </w:tcPr>
          <w:p w14:paraId="77615B16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</w:t>
            </w:r>
          </w:p>
        </w:tc>
        <w:tc>
          <w:tcPr>
            <w:tcW w:w="1926" w:type="pct"/>
            <w:vAlign w:val="center"/>
            <w:hideMark/>
          </w:tcPr>
          <w:p w14:paraId="6CF04158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Joint Arrangements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5807AB9A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394F1CAB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3C8AB89F" w14:textId="77777777" w:rsidTr="00897E66">
        <w:trPr>
          <w:trHeight w:val="266"/>
        </w:trPr>
        <w:tc>
          <w:tcPr>
            <w:tcW w:w="335" w:type="pct"/>
            <w:noWrap/>
            <w:vAlign w:val="center"/>
            <w:hideMark/>
          </w:tcPr>
          <w:p w14:paraId="7A9CAC8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</w:t>
            </w:r>
          </w:p>
        </w:tc>
        <w:tc>
          <w:tcPr>
            <w:tcW w:w="1926" w:type="pct"/>
            <w:vAlign w:val="center"/>
            <w:hideMark/>
          </w:tcPr>
          <w:p w14:paraId="6792EE83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Disclosure of Interests in Other Entities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AD4F807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73BCF41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164C5EAA" w14:textId="77777777" w:rsidTr="00897E66">
        <w:trPr>
          <w:trHeight w:val="283"/>
        </w:trPr>
        <w:tc>
          <w:tcPr>
            <w:tcW w:w="335" w:type="pct"/>
            <w:noWrap/>
            <w:vAlign w:val="center"/>
            <w:hideMark/>
          </w:tcPr>
          <w:p w14:paraId="30D9749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</w:t>
            </w:r>
          </w:p>
        </w:tc>
        <w:tc>
          <w:tcPr>
            <w:tcW w:w="1926" w:type="pct"/>
            <w:vAlign w:val="center"/>
            <w:hideMark/>
          </w:tcPr>
          <w:p w14:paraId="215AB3FA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Fair Value Measurement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FB73F9C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4100995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1EDFB0F5" w14:textId="77777777" w:rsidTr="00897E66">
        <w:trPr>
          <w:trHeight w:val="274"/>
        </w:trPr>
        <w:tc>
          <w:tcPr>
            <w:tcW w:w="335" w:type="pct"/>
            <w:noWrap/>
            <w:vAlign w:val="center"/>
            <w:hideMark/>
          </w:tcPr>
          <w:p w14:paraId="0AD868D1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14</w:t>
            </w:r>
          </w:p>
        </w:tc>
        <w:tc>
          <w:tcPr>
            <w:tcW w:w="1926" w:type="pct"/>
            <w:vAlign w:val="center"/>
            <w:hideMark/>
          </w:tcPr>
          <w:p w14:paraId="2B39D139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Regulatory Deferral Accounts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641C537E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DBBF62C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1F04A1E5" w14:textId="77777777" w:rsidTr="001A4A5A">
        <w:trPr>
          <w:trHeight w:val="317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94589C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15</w:t>
            </w:r>
          </w:p>
        </w:tc>
        <w:tc>
          <w:tcPr>
            <w:tcW w:w="1926" w:type="pct"/>
            <w:shd w:val="clear" w:color="auto" w:fill="auto"/>
            <w:vAlign w:val="center"/>
            <w:hideMark/>
          </w:tcPr>
          <w:p w14:paraId="04181598" w14:textId="793E8EB2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9B1925">
              <w:rPr>
                <w:rFonts w:eastAsia="Times New Roman" w:cs="Arial"/>
                <w:color w:val="000000"/>
                <w:spacing w:val="2"/>
                <w:lang w:eastAsia="en-AU"/>
              </w:rPr>
              <w:t>Revenue from Contracts with Customers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2B010F2F" w14:textId="2BC31679" w:rsidR="001938D9" w:rsidRPr="001938D9" w:rsidRDefault="00897E66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3427DB">
              <w:rPr>
                <w:rFonts w:eastAsia="Times New Roman" w:cs="Arial"/>
                <w:spacing w:val="2"/>
                <w:lang w:eastAsia="en-AU"/>
              </w:rPr>
              <w:t xml:space="preserve"> </w:t>
            </w: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62B042EE" w14:textId="7641ED81" w:rsidR="001938D9" w:rsidRPr="001938D9" w:rsidRDefault="00897E66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>
              <w:rPr>
                <w:rFonts w:eastAsia="Times New Roman" w:cs="Arial"/>
                <w:color w:val="000000"/>
                <w:spacing w:val="2"/>
                <w:lang w:eastAsia="en-AU"/>
              </w:rPr>
              <w:t xml:space="preserve"> </w:t>
            </w: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897E66" w:rsidRPr="001938D9" w14:paraId="366002D6" w14:textId="77777777" w:rsidTr="001A4A5A">
        <w:trPr>
          <w:trHeight w:val="265"/>
        </w:trPr>
        <w:tc>
          <w:tcPr>
            <w:tcW w:w="335" w:type="pct"/>
            <w:noWrap/>
            <w:vAlign w:val="center"/>
            <w:hideMark/>
          </w:tcPr>
          <w:p w14:paraId="0FC38438" w14:textId="77777777" w:rsidR="00897E66" w:rsidRPr="001938D9" w:rsidRDefault="00897E66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16</w:t>
            </w:r>
          </w:p>
        </w:tc>
        <w:tc>
          <w:tcPr>
            <w:tcW w:w="1926" w:type="pct"/>
            <w:vAlign w:val="center"/>
            <w:hideMark/>
          </w:tcPr>
          <w:p w14:paraId="5AB40A65" w14:textId="5A416DFD" w:rsidR="00897E66" w:rsidRPr="009B1925" w:rsidRDefault="00897E66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9B1925">
              <w:rPr>
                <w:rFonts w:eastAsia="Times New Roman" w:cs="Arial"/>
                <w:color w:val="000000"/>
                <w:spacing w:val="2"/>
                <w:lang w:eastAsia="en-AU"/>
              </w:rPr>
              <w:t>Leases</w:t>
            </w:r>
          </w:p>
        </w:tc>
        <w:tc>
          <w:tcPr>
            <w:tcW w:w="1209" w:type="pct"/>
            <w:shd w:val="clear" w:color="auto" w:fill="A6A6A6" w:themeFill="background1" w:themeFillShade="A6"/>
            <w:vAlign w:val="center"/>
            <w:hideMark/>
          </w:tcPr>
          <w:p w14:paraId="0D6F0F14" w14:textId="1B257421" w:rsidR="00897E66" w:rsidRPr="003427DB" w:rsidRDefault="00897E66" w:rsidP="001A4A5A">
            <w:pPr>
              <w:spacing w:before="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47FFAB6B" w14:textId="59D86BF5" w:rsidR="00897E66" w:rsidRPr="003427DB" w:rsidRDefault="00897E66" w:rsidP="001A4A5A">
            <w:pPr>
              <w:spacing w:before="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1938D9" w:rsidRPr="001938D9" w14:paraId="373635AD" w14:textId="77777777" w:rsidTr="00897E66">
        <w:trPr>
          <w:trHeight w:val="375"/>
        </w:trPr>
        <w:tc>
          <w:tcPr>
            <w:tcW w:w="335" w:type="pct"/>
            <w:noWrap/>
            <w:vAlign w:val="center"/>
          </w:tcPr>
          <w:p w14:paraId="1C5992DA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17</w:t>
            </w:r>
          </w:p>
        </w:tc>
        <w:tc>
          <w:tcPr>
            <w:tcW w:w="1926" w:type="pct"/>
            <w:vAlign w:val="center"/>
          </w:tcPr>
          <w:p w14:paraId="33637722" w14:textId="59FAFE2F" w:rsidR="001938D9" w:rsidRPr="003427DB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Insurance Contracts</w:t>
            </w:r>
            <w:r w:rsidR="00071EBE">
              <w:rPr>
                <w:rStyle w:val="EndnoteReference"/>
              </w:rPr>
              <w:t>1</w:t>
            </w:r>
          </w:p>
        </w:tc>
        <w:tc>
          <w:tcPr>
            <w:tcW w:w="1209" w:type="pct"/>
            <w:shd w:val="clear" w:color="auto" w:fill="A6A6A6"/>
            <w:noWrap/>
            <w:vAlign w:val="center"/>
          </w:tcPr>
          <w:p w14:paraId="09DE2733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Applicable from reporting</w:t>
            </w:r>
          </w:p>
          <w:p w14:paraId="2A928CD2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periods beginning on or after</w:t>
            </w:r>
          </w:p>
          <w:p w14:paraId="53311E18" w14:textId="27EFDCE6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 J</w:t>
            </w:r>
            <w:r w:rsidR="001778BA">
              <w:rPr>
                <w:rFonts w:eastAsia="Times New Roman" w:cs="Arial"/>
                <w:color w:val="000000"/>
                <w:spacing w:val="2"/>
                <w:lang w:eastAsia="en-AU"/>
              </w:rPr>
              <w:t>uly 2026</w:t>
            </w:r>
          </w:p>
        </w:tc>
        <w:tc>
          <w:tcPr>
            <w:tcW w:w="1530" w:type="pct"/>
            <w:shd w:val="clear" w:color="auto" w:fill="D9D9D9"/>
            <w:noWrap/>
            <w:vAlign w:val="center"/>
          </w:tcPr>
          <w:p w14:paraId="0DE60BB0" w14:textId="77777777" w:rsidR="001778BA" w:rsidRPr="001938D9" w:rsidRDefault="001778BA" w:rsidP="001778B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Applicable from reporting</w:t>
            </w:r>
          </w:p>
          <w:p w14:paraId="4D5B2419" w14:textId="77777777" w:rsidR="001778BA" w:rsidRPr="001938D9" w:rsidRDefault="001778BA" w:rsidP="001778B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periods beginning on or after</w:t>
            </w:r>
          </w:p>
          <w:p w14:paraId="3194DEDB" w14:textId="3C849FA9" w:rsidR="001938D9" w:rsidRPr="001938D9" w:rsidRDefault="001778BA" w:rsidP="001778B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 J</w:t>
            </w:r>
            <w:r>
              <w:rPr>
                <w:rFonts w:eastAsia="Times New Roman" w:cs="Arial"/>
                <w:color w:val="000000"/>
                <w:spacing w:val="2"/>
                <w:lang w:eastAsia="en-AU"/>
              </w:rPr>
              <w:t>uly 2026</w:t>
            </w:r>
          </w:p>
        </w:tc>
      </w:tr>
      <w:tr w:rsidR="001938D9" w:rsidRPr="001938D9" w14:paraId="73F38520" w14:textId="77777777" w:rsidTr="00897E66">
        <w:trPr>
          <w:trHeight w:val="375"/>
        </w:trPr>
        <w:tc>
          <w:tcPr>
            <w:tcW w:w="335" w:type="pct"/>
            <w:noWrap/>
            <w:vAlign w:val="center"/>
            <w:hideMark/>
          </w:tcPr>
          <w:p w14:paraId="35B5F794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101</w:t>
            </w:r>
          </w:p>
        </w:tc>
        <w:tc>
          <w:tcPr>
            <w:tcW w:w="1926" w:type="pct"/>
            <w:vAlign w:val="center"/>
            <w:hideMark/>
          </w:tcPr>
          <w:p w14:paraId="20E7B86B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Presentation of Financial Statements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49A9791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9B58671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FEE1E61" w14:textId="77777777" w:rsidTr="00071EBE">
        <w:trPr>
          <w:trHeight w:val="235"/>
        </w:trPr>
        <w:tc>
          <w:tcPr>
            <w:tcW w:w="335" w:type="pct"/>
            <w:noWrap/>
            <w:vAlign w:val="center"/>
            <w:hideMark/>
          </w:tcPr>
          <w:p w14:paraId="604701E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102</w:t>
            </w:r>
          </w:p>
        </w:tc>
        <w:tc>
          <w:tcPr>
            <w:tcW w:w="1926" w:type="pct"/>
            <w:vAlign w:val="center"/>
            <w:hideMark/>
          </w:tcPr>
          <w:p w14:paraId="1F21D11E" w14:textId="614F19E1" w:rsidR="00B82A39" w:rsidRPr="001938D9" w:rsidRDefault="001938D9" w:rsidP="00B82A3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Inventories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6F603494" w14:textId="08838710" w:rsidR="001938D9" w:rsidRPr="001938D9" w:rsidRDefault="001778BA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8CDF2F2" w14:textId="2E908FB2" w:rsidR="001938D9" w:rsidRPr="001938D9" w:rsidRDefault="001778BA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1938D9" w:rsidRPr="001938D9" w14:paraId="793BCC6C" w14:textId="77777777" w:rsidTr="001A4A5A">
        <w:trPr>
          <w:trHeight w:val="263"/>
        </w:trPr>
        <w:tc>
          <w:tcPr>
            <w:tcW w:w="335" w:type="pct"/>
            <w:noWrap/>
            <w:vAlign w:val="center"/>
            <w:hideMark/>
          </w:tcPr>
          <w:p w14:paraId="1D1061BB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107</w:t>
            </w:r>
          </w:p>
        </w:tc>
        <w:tc>
          <w:tcPr>
            <w:tcW w:w="1926" w:type="pct"/>
            <w:vAlign w:val="center"/>
            <w:hideMark/>
          </w:tcPr>
          <w:p w14:paraId="18820B64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Statement of Cash Flows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4FFBC79B" w14:textId="7C461E1F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9255BB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0A17FC22" w14:textId="77777777" w:rsidTr="001A4A5A">
        <w:trPr>
          <w:trHeight w:val="410"/>
        </w:trPr>
        <w:tc>
          <w:tcPr>
            <w:tcW w:w="335" w:type="pct"/>
            <w:noWrap/>
            <w:vAlign w:val="center"/>
            <w:hideMark/>
          </w:tcPr>
          <w:p w14:paraId="061E48BE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108</w:t>
            </w:r>
          </w:p>
        </w:tc>
        <w:tc>
          <w:tcPr>
            <w:tcW w:w="1926" w:type="pct"/>
            <w:vAlign w:val="center"/>
            <w:hideMark/>
          </w:tcPr>
          <w:p w14:paraId="52D95E17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Accounting Policies, Changes in Accounting Estimates and Errors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7FB739D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48F5762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3F5E11F4" w14:textId="77777777" w:rsidTr="001A4A5A">
        <w:trPr>
          <w:trHeight w:val="274"/>
        </w:trPr>
        <w:tc>
          <w:tcPr>
            <w:tcW w:w="335" w:type="pct"/>
            <w:noWrap/>
            <w:vAlign w:val="center"/>
            <w:hideMark/>
          </w:tcPr>
          <w:p w14:paraId="55305A4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110</w:t>
            </w:r>
          </w:p>
        </w:tc>
        <w:tc>
          <w:tcPr>
            <w:tcW w:w="1926" w:type="pct"/>
            <w:vAlign w:val="center"/>
            <w:hideMark/>
          </w:tcPr>
          <w:p w14:paraId="3B050D6C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Events after the Reporting Period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4BE0ACB8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54EE970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9D1391D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705405F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112</w:t>
            </w:r>
          </w:p>
        </w:tc>
        <w:tc>
          <w:tcPr>
            <w:tcW w:w="1926" w:type="pct"/>
            <w:vAlign w:val="center"/>
            <w:hideMark/>
          </w:tcPr>
          <w:p w14:paraId="6276BC9C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Income Taxes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02E96B3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 deferred tax asset can arise on non-taxable government grant related to an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16580555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 deferred tax asset does not arise on a non-taxable government grant related to an asset.</w:t>
            </w:r>
          </w:p>
        </w:tc>
      </w:tr>
      <w:tr w:rsidR="001938D9" w:rsidRPr="001938D9" w14:paraId="22CCCF78" w14:textId="77777777" w:rsidTr="00897E66">
        <w:trPr>
          <w:trHeight w:val="309"/>
        </w:trPr>
        <w:tc>
          <w:tcPr>
            <w:tcW w:w="335" w:type="pct"/>
            <w:noWrap/>
            <w:vAlign w:val="center"/>
            <w:hideMark/>
          </w:tcPr>
          <w:p w14:paraId="7A88EE5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lastRenderedPageBreak/>
              <w:t>116</w:t>
            </w:r>
          </w:p>
        </w:tc>
        <w:tc>
          <w:tcPr>
            <w:tcW w:w="1926" w:type="pct"/>
            <w:vAlign w:val="center"/>
            <w:hideMark/>
          </w:tcPr>
          <w:p w14:paraId="722BBB91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Property, Plant and Equipment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12C7AC94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Revaluation increments and decrements are offset by individual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113469D5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Revaluation increments and decrements are offset by class of assets.</w:t>
            </w:r>
          </w:p>
        </w:tc>
      </w:tr>
      <w:tr w:rsidR="001938D9" w:rsidRPr="001938D9" w14:paraId="15D9F088" w14:textId="77777777" w:rsidTr="001A4A5A">
        <w:trPr>
          <w:trHeight w:val="948"/>
        </w:trPr>
        <w:tc>
          <w:tcPr>
            <w:tcW w:w="335" w:type="pct"/>
            <w:noWrap/>
            <w:vAlign w:val="center"/>
            <w:hideMark/>
          </w:tcPr>
          <w:p w14:paraId="657CDC1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119</w:t>
            </w:r>
          </w:p>
        </w:tc>
        <w:tc>
          <w:tcPr>
            <w:tcW w:w="1926" w:type="pct"/>
            <w:vAlign w:val="center"/>
            <w:hideMark/>
          </w:tcPr>
          <w:p w14:paraId="0215810F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Employee Benefits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E04DE9D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Employee benefit obligations shall be determined using market yields on high quality corporate bonds.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BDCEF6C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Employee benefit obligations shall be determined using market yields on government bonds.</w:t>
            </w:r>
          </w:p>
        </w:tc>
      </w:tr>
      <w:tr w:rsidR="001938D9" w:rsidRPr="001938D9" w14:paraId="32A4DFED" w14:textId="77777777" w:rsidTr="00897E66">
        <w:trPr>
          <w:trHeight w:val="307"/>
        </w:trPr>
        <w:tc>
          <w:tcPr>
            <w:tcW w:w="335" w:type="pct"/>
            <w:noWrap/>
            <w:vAlign w:val="center"/>
            <w:hideMark/>
          </w:tcPr>
          <w:p w14:paraId="64ED5344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120</w:t>
            </w:r>
          </w:p>
        </w:tc>
        <w:tc>
          <w:tcPr>
            <w:tcW w:w="1926" w:type="pct"/>
            <w:vAlign w:val="center"/>
            <w:hideMark/>
          </w:tcPr>
          <w:p w14:paraId="7FA04AF0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Accounting for Government Grants and Disclosure of Government Assistance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4367E75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04224B06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04902D40" w14:textId="77777777" w:rsidTr="001A4A5A">
        <w:trPr>
          <w:trHeight w:val="474"/>
        </w:trPr>
        <w:tc>
          <w:tcPr>
            <w:tcW w:w="335" w:type="pct"/>
            <w:noWrap/>
            <w:vAlign w:val="center"/>
            <w:hideMark/>
          </w:tcPr>
          <w:p w14:paraId="7A2F4A2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121</w:t>
            </w:r>
          </w:p>
        </w:tc>
        <w:tc>
          <w:tcPr>
            <w:tcW w:w="1926" w:type="pct"/>
            <w:vAlign w:val="center"/>
            <w:hideMark/>
          </w:tcPr>
          <w:p w14:paraId="033CD02E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The Effects of Changes in Foreign Exchange Rates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4F0B1AB3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780C2263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1ADDEF77" w14:textId="77777777" w:rsidTr="001A4A5A">
        <w:trPr>
          <w:trHeight w:val="163"/>
        </w:trPr>
        <w:tc>
          <w:tcPr>
            <w:tcW w:w="335" w:type="pct"/>
            <w:noWrap/>
            <w:vAlign w:val="center"/>
            <w:hideMark/>
          </w:tcPr>
          <w:p w14:paraId="2A249857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123</w:t>
            </w:r>
          </w:p>
        </w:tc>
        <w:tc>
          <w:tcPr>
            <w:tcW w:w="1926" w:type="pct"/>
            <w:vAlign w:val="center"/>
            <w:hideMark/>
          </w:tcPr>
          <w:p w14:paraId="58F4FBE6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Borrowing Costs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49708C88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7DCC1F69" w14:textId="2CBA0B01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  <w:r w:rsidRPr="001938D9"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  <w:footnoteReference w:id="1"/>
            </w:r>
          </w:p>
        </w:tc>
      </w:tr>
      <w:tr w:rsidR="001938D9" w:rsidRPr="001938D9" w14:paraId="7DD62599" w14:textId="77777777" w:rsidTr="00897E66">
        <w:trPr>
          <w:trHeight w:val="238"/>
        </w:trPr>
        <w:tc>
          <w:tcPr>
            <w:tcW w:w="335" w:type="pct"/>
            <w:noWrap/>
            <w:vAlign w:val="center"/>
            <w:hideMark/>
          </w:tcPr>
          <w:p w14:paraId="4F38667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124</w:t>
            </w:r>
          </w:p>
        </w:tc>
        <w:tc>
          <w:tcPr>
            <w:tcW w:w="1926" w:type="pct"/>
            <w:vAlign w:val="center"/>
            <w:hideMark/>
          </w:tcPr>
          <w:p w14:paraId="41C0EDCE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Related Party Disclosures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16FBF3F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57088B55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0AD938EC" w14:textId="77777777" w:rsidTr="00897E66">
        <w:trPr>
          <w:trHeight w:val="86"/>
        </w:trPr>
        <w:tc>
          <w:tcPr>
            <w:tcW w:w="335" w:type="pct"/>
            <w:noWrap/>
            <w:vAlign w:val="center"/>
            <w:hideMark/>
          </w:tcPr>
          <w:p w14:paraId="1B6D6A1A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127</w:t>
            </w:r>
          </w:p>
        </w:tc>
        <w:tc>
          <w:tcPr>
            <w:tcW w:w="1926" w:type="pct"/>
            <w:vAlign w:val="center"/>
            <w:hideMark/>
          </w:tcPr>
          <w:p w14:paraId="4F8C2350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Separate Financial Statements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4E3392EC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B983FED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48F5C34" w14:textId="77777777" w:rsidTr="00897E66">
        <w:trPr>
          <w:trHeight w:val="388"/>
        </w:trPr>
        <w:tc>
          <w:tcPr>
            <w:tcW w:w="335" w:type="pct"/>
            <w:noWrap/>
            <w:vAlign w:val="center"/>
            <w:hideMark/>
          </w:tcPr>
          <w:p w14:paraId="4A6976B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128</w:t>
            </w:r>
          </w:p>
        </w:tc>
        <w:tc>
          <w:tcPr>
            <w:tcW w:w="1926" w:type="pct"/>
            <w:vAlign w:val="center"/>
            <w:hideMark/>
          </w:tcPr>
          <w:p w14:paraId="4AFB7703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Investments in Associates and Joint Ventures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C117A98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3598DE27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46C899E" w14:textId="77777777" w:rsidTr="00897E66">
        <w:trPr>
          <w:trHeight w:val="111"/>
        </w:trPr>
        <w:tc>
          <w:tcPr>
            <w:tcW w:w="335" w:type="pct"/>
            <w:noWrap/>
            <w:vAlign w:val="center"/>
            <w:hideMark/>
          </w:tcPr>
          <w:p w14:paraId="4AD10F2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129</w:t>
            </w:r>
          </w:p>
        </w:tc>
        <w:tc>
          <w:tcPr>
            <w:tcW w:w="1926" w:type="pct"/>
            <w:vAlign w:val="center"/>
            <w:hideMark/>
          </w:tcPr>
          <w:p w14:paraId="513F4A52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Financial Reporting in Hyperinflationary Economies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4130F00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A3312FE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4E66A1DF" w14:textId="77777777" w:rsidTr="00897E66">
        <w:trPr>
          <w:trHeight w:val="147"/>
        </w:trPr>
        <w:tc>
          <w:tcPr>
            <w:tcW w:w="335" w:type="pct"/>
            <w:noWrap/>
            <w:vAlign w:val="center"/>
            <w:hideMark/>
          </w:tcPr>
          <w:p w14:paraId="12E8491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132</w:t>
            </w:r>
          </w:p>
        </w:tc>
        <w:tc>
          <w:tcPr>
            <w:tcW w:w="1926" w:type="pct"/>
            <w:vAlign w:val="center"/>
            <w:hideMark/>
          </w:tcPr>
          <w:p w14:paraId="7448D743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Financial Instruments: Presentation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977125D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58083859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7933FAA5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525CC54C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133</w:t>
            </w:r>
          </w:p>
        </w:tc>
        <w:tc>
          <w:tcPr>
            <w:tcW w:w="1926" w:type="pct"/>
            <w:vAlign w:val="center"/>
            <w:hideMark/>
          </w:tcPr>
          <w:p w14:paraId="4C09D3EB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Earnings per Share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3013BA02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7FD3BE2E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35CC51A3" w14:textId="77777777" w:rsidTr="00897E66">
        <w:trPr>
          <w:trHeight w:val="297"/>
        </w:trPr>
        <w:tc>
          <w:tcPr>
            <w:tcW w:w="335" w:type="pct"/>
            <w:noWrap/>
            <w:vAlign w:val="center"/>
            <w:hideMark/>
          </w:tcPr>
          <w:p w14:paraId="5A23899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134</w:t>
            </w:r>
          </w:p>
        </w:tc>
        <w:tc>
          <w:tcPr>
            <w:tcW w:w="1926" w:type="pct"/>
            <w:vAlign w:val="center"/>
            <w:hideMark/>
          </w:tcPr>
          <w:p w14:paraId="20627D96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Interim Financial Reporting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D78B682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1AFEA352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36DF252D" w14:textId="77777777" w:rsidTr="00897E66">
        <w:trPr>
          <w:trHeight w:val="401"/>
        </w:trPr>
        <w:tc>
          <w:tcPr>
            <w:tcW w:w="335" w:type="pct"/>
            <w:vMerge w:val="restart"/>
            <w:noWrap/>
            <w:vAlign w:val="center"/>
            <w:hideMark/>
          </w:tcPr>
          <w:p w14:paraId="7A64B3A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136</w:t>
            </w:r>
          </w:p>
        </w:tc>
        <w:tc>
          <w:tcPr>
            <w:tcW w:w="1926" w:type="pct"/>
            <w:vMerge w:val="restart"/>
            <w:vAlign w:val="center"/>
            <w:hideMark/>
          </w:tcPr>
          <w:p w14:paraId="044DEF69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Impairment of Assets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3CE6307D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Value in use is determined by the present value of future cash flows associated with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5DEFEBA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Value in use shall be determined by current replacement cost.</w:t>
            </w:r>
          </w:p>
        </w:tc>
      </w:tr>
      <w:tr w:rsidR="001938D9" w:rsidRPr="001938D9" w14:paraId="39113E0F" w14:textId="77777777" w:rsidTr="00897E66">
        <w:trPr>
          <w:trHeight w:val="335"/>
        </w:trPr>
        <w:tc>
          <w:tcPr>
            <w:tcW w:w="335" w:type="pct"/>
            <w:vMerge/>
            <w:noWrap/>
            <w:vAlign w:val="center"/>
            <w:hideMark/>
          </w:tcPr>
          <w:p w14:paraId="29A1EFA3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</w:p>
        </w:tc>
        <w:tc>
          <w:tcPr>
            <w:tcW w:w="1926" w:type="pct"/>
            <w:vMerge/>
            <w:vAlign w:val="center"/>
            <w:hideMark/>
          </w:tcPr>
          <w:p w14:paraId="44731436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DDB26D9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Impairment loss on a revalued asset can be applied against revaluation reserve for the same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2B6E1465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Impairment loss on a revalued asset can be applied against revaluation reserve by class of assets.</w:t>
            </w:r>
          </w:p>
        </w:tc>
      </w:tr>
      <w:tr w:rsidR="001938D9" w:rsidRPr="001938D9" w14:paraId="6CFCD2DE" w14:textId="77777777" w:rsidTr="00897E66">
        <w:trPr>
          <w:trHeight w:val="376"/>
        </w:trPr>
        <w:tc>
          <w:tcPr>
            <w:tcW w:w="335" w:type="pct"/>
            <w:noWrap/>
            <w:vAlign w:val="center"/>
            <w:hideMark/>
          </w:tcPr>
          <w:p w14:paraId="6586975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137</w:t>
            </w:r>
          </w:p>
        </w:tc>
        <w:tc>
          <w:tcPr>
            <w:tcW w:w="1926" w:type="pct"/>
            <w:vAlign w:val="center"/>
            <w:hideMark/>
          </w:tcPr>
          <w:p w14:paraId="7768F943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Provisions, Contingent Liabilities and Contingent Assets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112F6791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2A4F2A0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1E7A71C6" w14:textId="77777777" w:rsidTr="00897E66">
        <w:trPr>
          <w:trHeight w:val="863"/>
        </w:trPr>
        <w:tc>
          <w:tcPr>
            <w:tcW w:w="335" w:type="pct"/>
            <w:noWrap/>
            <w:vAlign w:val="center"/>
            <w:hideMark/>
          </w:tcPr>
          <w:p w14:paraId="3A327A5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138</w:t>
            </w:r>
          </w:p>
        </w:tc>
        <w:tc>
          <w:tcPr>
            <w:tcW w:w="1926" w:type="pct"/>
            <w:vAlign w:val="center"/>
            <w:hideMark/>
          </w:tcPr>
          <w:p w14:paraId="3D8B7661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Intangible Assets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2A4931DE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Revaluation increments and decrements are offset by individual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50AE831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Revaluation increments and decrements are offset by class of assets.</w:t>
            </w:r>
          </w:p>
        </w:tc>
      </w:tr>
      <w:tr w:rsidR="001938D9" w:rsidRPr="001938D9" w14:paraId="259990A9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5A6B87D4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140</w:t>
            </w:r>
          </w:p>
        </w:tc>
        <w:tc>
          <w:tcPr>
            <w:tcW w:w="1926" w:type="pct"/>
            <w:vAlign w:val="center"/>
            <w:hideMark/>
          </w:tcPr>
          <w:p w14:paraId="6A46B41E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Investment Property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3578D68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77CA43D7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064A10B3" w14:textId="77777777" w:rsidTr="00897E66">
        <w:trPr>
          <w:trHeight w:val="404"/>
        </w:trPr>
        <w:tc>
          <w:tcPr>
            <w:tcW w:w="335" w:type="pct"/>
            <w:noWrap/>
            <w:vAlign w:val="center"/>
            <w:hideMark/>
          </w:tcPr>
          <w:p w14:paraId="0F4F591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141</w:t>
            </w:r>
          </w:p>
        </w:tc>
        <w:tc>
          <w:tcPr>
            <w:tcW w:w="1926" w:type="pct"/>
            <w:vAlign w:val="center"/>
            <w:hideMark/>
          </w:tcPr>
          <w:p w14:paraId="721AB6CD" w14:textId="77447309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Agriculture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5E3CDB0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0F568C1E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 xml:space="preserve"> </w:t>
            </w:r>
          </w:p>
        </w:tc>
      </w:tr>
      <w:tr w:rsidR="001938D9" w:rsidRPr="001938D9" w14:paraId="7C1BDDFA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626F6689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1004</w:t>
            </w:r>
          </w:p>
        </w:tc>
        <w:tc>
          <w:tcPr>
            <w:tcW w:w="1926" w:type="pct"/>
            <w:vAlign w:val="center"/>
            <w:hideMark/>
          </w:tcPr>
          <w:p w14:paraId="66BD88DB" w14:textId="3C4ECCF2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Contributions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103839C4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580CBF83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4E0177B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541FB46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1023</w:t>
            </w:r>
          </w:p>
        </w:tc>
        <w:tc>
          <w:tcPr>
            <w:tcW w:w="1926" w:type="pct"/>
            <w:vAlign w:val="center"/>
            <w:hideMark/>
          </w:tcPr>
          <w:p w14:paraId="5F58EBE5" w14:textId="0CF62453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General Insurance Contracts</w:t>
            </w:r>
            <w:r w:rsidR="00071EBE" w:rsidRPr="00071EBE"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  <w:t>1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715EA287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68E1C4A" w14:textId="0C7EE00E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8B61CD3" w14:textId="77777777" w:rsidTr="001A4A5A">
        <w:trPr>
          <w:trHeight w:val="368"/>
        </w:trPr>
        <w:tc>
          <w:tcPr>
            <w:tcW w:w="335" w:type="pct"/>
            <w:noWrap/>
            <w:vAlign w:val="center"/>
            <w:hideMark/>
          </w:tcPr>
          <w:p w14:paraId="43F17FE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1038</w:t>
            </w:r>
          </w:p>
        </w:tc>
        <w:tc>
          <w:tcPr>
            <w:tcW w:w="1926" w:type="pct"/>
            <w:vAlign w:val="center"/>
            <w:hideMark/>
          </w:tcPr>
          <w:p w14:paraId="22C5BAC9" w14:textId="59DC300F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Life Insurance Contracts</w:t>
            </w:r>
            <w:r w:rsidR="00071EBE" w:rsidRPr="00071EBE"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  <w:t>1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169B6506" w14:textId="247AB538" w:rsidR="001938D9" w:rsidRPr="001938D9" w:rsidRDefault="000361DE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27F4CE7" w14:textId="1286F43F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4CA065AC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0D7C9B81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1039</w:t>
            </w:r>
          </w:p>
        </w:tc>
        <w:tc>
          <w:tcPr>
            <w:tcW w:w="1926" w:type="pct"/>
            <w:vAlign w:val="center"/>
            <w:hideMark/>
          </w:tcPr>
          <w:p w14:paraId="006656F8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Concise Financial Reports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712316EC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A3349BA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4139CB30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4069500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1048</w:t>
            </w:r>
          </w:p>
        </w:tc>
        <w:tc>
          <w:tcPr>
            <w:tcW w:w="1926" w:type="pct"/>
            <w:vAlign w:val="center"/>
            <w:hideMark/>
          </w:tcPr>
          <w:p w14:paraId="2330D106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Interpretation of Standards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2CFA5E7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131C56C7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00CBE1F" w14:textId="77777777" w:rsidTr="00897E66">
        <w:trPr>
          <w:trHeight w:val="600"/>
        </w:trPr>
        <w:tc>
          <w:tcPr>
            <w:tcW w:w="335" w:type="pct"/>
            <w:noWrap/>
            <w:vAlign w:val="center"/>
            <w:hideMark/>
          </w:tcPr>
          <w:p w14:paraId="6134C16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1049</w:t>
            </w:r>
          </w:p>
        </w:tc>
        <w:tc>
          <w:tcPr>
            <w:tcW w:w="1926" w:type="pct"/>
            <w:vAlign w:val="center"/>
            <w:hideMark/>
          </w:tcPr>
          <w:p w14:paraId="3FEDA6BA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Whole of Government and General Government Sector Financial Reporting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1B21FA86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0194AF11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39AD024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43E685C7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1050</w:t>
            </w:r>
          </w:p>
        </w:tc>
        <w:tc>
          <w:tcPr>
            <w:tcW w:w="1926" w:type="pct"/>
            <w:vAlign w:val="center"/>
            <w:hideMark/>
          </w:tcPr>
          <w:p w14:paraId="7DA6F26A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Administered Items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8AEC585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33DC4048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57A70A05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052FC195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1051</w:t>
            </w:r>
          </w:p>
        </w:tc>
        <w:tc>
          <w:tcPr>
            <w:tcW w:w="1926" w:type="pct"/>
            <w:vAlign w:val="center"/>
            <w:hideMark/>
          </w:tcPr>
          <w:p w14:paraId="14223611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Land Under Roads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F80E1D8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E651A1A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2A33EB0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3E3852F5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1052</w:t>
            </w:r>
          </w:p>
        </w:tc>
        <w:tc>
          <w:tcPr>
            <w:tcW w:w="1926" w:type="pct"/>
            <w:vAlign w:val="center"/>
            <w:hideMark/>
          </w:tcPr>
          <w:p w14:paraId="11D3657C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Disaggregated Disclosures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5E90FC6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90F14F2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FE94A5B" w14:textId="77777777" w:rsidTr="00897E66">
        <w:trPr>
          <w:trHeight w:val="70"/>
        </w:trPr>
        <w:tc>
          <w:tcPr>
            <w:tcW w:w="335" w:type="pct"/>
            <w:noWrap/>
            <w:vAlign w:val="center"/>
          </w:tcPr>
          <w:p w14:paraId="6BA8B74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1053</w:t>
            </w:r>
          </w:p>
        </w:tc>
        <w:tc>
          <w:tcPr>
            <w:tcW w:w="1926" w:type="pct"/>
            <w:vAlign w:val="center"/>
          </w:tcPr>
          <w:p w14:paraId="428D3594" w14:textId="726C6686" w:rsidR="001938D9" w:rsidRPr="008B361D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Application of Tiers of Australian Accounting Standards</w:t>
            </w:r>
            <w:r w:rsidR="00651759"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  <w:t>2</w:t>
            </w:r>
          </w:p>
        </w:tc>
        <w:tc>
          <w:tcPr>
            <w:tcW w:w="1209" w:type="pct"/>
            <w:shd w:val="clear" w:color="auto" w:fill="A6A6A6"/>
            <w:noWrap/>
            <w:vAlign w:val="center"/>
          </w:tcPr>
          <w:p w14:paraId="3E4D4D8D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</w:tcPr>
          <w:p w14:paraId="36A4EB72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50D22C73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63D66C0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1054</w:t>
            </w:r>
          </w:p>
        </w:tc>
        <w:tc>
          <w:tcPr>
            <w:tcW w:w="1926" w:type="pct"/>
            <w:vAlign w:val="center"/>
            <w:hideMark/>
          </w:tcPr>
          <w:p w14:paraId="33FA78BF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Australian Additional Disclosures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AF70012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0CA6D5B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07FCDC5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2A00234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1055</w:t>
            </w:r>
          </w:p>
        </w:tc>
        <w:tc>
          <w:tcPr>
            <w:tcW w:w="1926" w:type="pct"/>
            <w:vAlign w:val="center"/>
            <w:hideMark/>
          </w:tcPr>
          <w:p w14:paraId="62570D8C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Budgetary Reporting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40AFA620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D84F38A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F873F05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2205FA33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1056</w:t>
            </w:r>
          </w:p>
        </w:tc>
        <w:tc>
          <w:tcPr>
            <w:tcW w:w="1926" w:type="pct"/>
            <w:vAlign w:val="center"/>
            <w:hideMark/>
          </w:tcPr>
          <w:p w14:paraId="5A5C4520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Superannuation Entities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20D4CB39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1E850115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35744A12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32898C1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lastRenderedPageBreak/>
              <w:t>1057</w:t>
            </w:r>
          </w:p>
        </w:tc>
        <w:tc>
          <w:tcPr>
            <w:tcW w:w="1926" w:type="pct"/>
            <w:vAlign w:val="center"/>
            <w:hideMark/>
          </w:tcPr>
          <w:p w14:paraId="61D03023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Application of Australian Accounting Standards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AD38A22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7066DE8A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3EF9112E" w14:textId="77777777" w:rsidTr="00897E66">
        <w:trPr>
          <w:trHeight w:val="234"/>
        </w:trPr>
        <w:tc>
          <w:tcPr>
            <w:tcW w:w="335" w:type="pct"/>
            <w:noWrap/>
            <w:vAlign w:val="center"/>
            <w:hideMark/>
          </w:tcPr>
          <w:p w14:paraId="494A6AC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1058</w:t>
            </w:r>
          </w:p>
        </w:tc>
        <w:tc>
          <w:tcPr>
            <w:tcW w:w="1926" w:type="pct"/>
            <w:vAlign w:val="center"/>
            <w:hideMark/>
          </w:tcPr>
          <w:p w14:paraId="46EF571E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9B1925">
              <w:rPr>
                <w:rFonts w:eastAsia="Times New Roman" w:cs="Arial"/>
                <w:color w:val="000000"/>
                <w:spacing w:val="2"/>
                <w:lang w:eastAsia="en-AU"/>
              </w:rPr>
              <w:t>Income of Not-for-Profit Entities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66EDF948" w14:textId="77777777" w:rsidR="001938D9" w:rsidRPr="003427DB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spacing w:val="2"/>
                <w:lang w:eastAsia="en-AU"/>
              </w:rPr>
            </w:pPr>
            <w:r w:rsidRPr="003427DB">
              <w:rPr>
                <w:rFonts w:ascii="Calibri" w:eastAsia="Times New Roman" w:hAnsi="Calibri" w:cs="Times New Roman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28121C3" w14:textId="14E36A01" w:rsidR="001938D9" w:rsidRPr="003427DB" w:rsidRDefault="00897E66" w:rsidP="001938D9">
            <w:pPr>
              <w:spacing w:before="20" w:after="2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eastAsia="Times New Roman" w:cs="Arial"/>
                <w:spacing w:val="2"/>
                <w:lang w:eastAsia="en-AU"/>
              </w:rPr>
              <w:t xml:space="preserve"> </w:t>
            </w: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1938D9" w:rsidRPr="001938D9" w14:paraId="7DFAE51B" w14:textId="77777777" w:rsidTr="00897E66">
        <w:trPr>
          <w:trHeight w:val="234"/>
        </w:trPr>
        <w:tc>
          <w:tcPr>
            <w:tcW w:w="335" w:type="pct"/>
            <w:noWrap/>
            <w:vAlign w:val="center"/>
          </w:tcPr>
          <w:p w14:paraId="7414D54B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</w:rPr>
              <w:t>1059</w:t>
            </w:r>
          </w:p>
        </w:tc>
        <w:tc>
          <w:tcPr>
            <w:tcW w:w="1926" w:type="pct"/>
            <w:vAlign w:val="center"/>
          </w:tcPr>
          <w:p w14:paraId="5E47984E" w14:textId="42215AA0" w:rsidR="001938D9" w:rsidRPr="003427DB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</w:rPr>
              <w:t>Service Concession Arrangements: Grantors</w:t>
            </w:r>
          </w:p>
        </w:tc>
        <w:tc>
          <w:tcPr>
            <w:tcW w:w="1209" w:type="pct"/>
            <w:shd w:val="clear" w:color="auto" w:fill="A6A6A6"/>
            <w:vAlign w:val="center"/>
          </w:tcPr>
          <w:p w14:paraId="7BAABE20" w14:textId="0263AA3A" w:rsidR="001938D9" w:rsidRPr="003427DB" w:rsidRDefault="009D2B0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604CD100" w14:textId="1240A902" w:rsidR="001938D9" w:rsidRPr="003427DB" w:rsidRDefault="00897E66" w:rsidP="001938D9">
            <w:pPr>
              <w:spacing w:before="20" w:after="2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eastAsia="Times New Roman" w:cs="Arial"/>
                <w:spacing w:val="2"/>
                <w:lang w:eastAsia="en-AU"/>
              </w:rPr>
              <w:t xml:space="preserve"> </w:t>
            </w: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802B94" w:rsidRPr="001938D9" w14:paraId="30A8DCAE" w14:textId="77777777" w:rsidTr="00897E66">
        <w:trPr>
          <w:trHeight w:val="234"/>
        </w:trPr>
        <w:tc>
          <w:tcPr>
            <w:tcW w:w="335" w:type="pct"/>
            <w:noWrap/>
            <w:vAlign w:val="center"/>
          </w:tcPr>
          <w:p w14:paraId="72F222FE" w14:textId="0926233C" w:rsidR="00802B94" w:rsidRPr="004D073F" w:rsidRDefault="00802B94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szCs w:val="16"/>
              </w:rPr>
            </w:pPr>
            <w:r w:rsidRPr="004D073F">
              <w:rPr>
                <w:rFonts w:eastAsia="Times New Roman" w:cs="Arial"/>
                <w:color w:val="000000"/>
                <w:spacing w:val="2"/>
                <w:szCs w:val="16"/>
              </w:rPr>
              <w:t>1060</w:t>
            </w:r>
          </w:p>
        </w:tc>
        <w:tc>
          <w:tcPr>
            <w:tcW w:w="1926" w:type="pct"/>
            <w:vAlign w:val="center"/>
          </w:tcPr>
          <w:p w14:paraId="4E35715E" w14:textId="0A20329D" w:rsidR="00802B94" w:rsidRPr="00DC39A8" w:rsidRDefault="00802B94" w:rsidP="00D31585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pacing w:val="2"/>
                <w:szCs w:val="16"/>
              </w:rPr>
            </w:pPr>
            <w:r w:rsidRPr="008B361D">
              <w:rPr>
                <w:rFonts w:cs="Arial"/>
                <w:szCs w:val="16"/>
              </w:rPr>
              <w:t>General Purpose Financial Statements – Simplified Disclosures for For-Profit</w:t>
            </w:r>
            <w:r w:rsidR="00D31585" w:rsidRPr="008B361D">
              <w:rPr>
                <w:rFonts w:cs="Arial"/>
                <w:szCs w:val="16"/>
              </w:rPr>
              <w:t xml:space="preserve"> </w:t>
            </w:r>
            <w:r w:rsidRPr="008B361D">
              <w:rPr>
                <w:rFonts w:cs="Arial"/>
                <w:szCs w:val="16"/>
              </w:rPr>
              <w:t>and Not-for-Profit Tier 2 Entities</w:t>
            </w:r>
            <w:r w:rsidR="00D31585" w:rsidRPr="008B361D">
              <w:rPr>
                <w:rStyle w:val="EndnoteReference"/>
                <w:rFonts w:asciiTheme="minorHAnsi" w:hAnsiTheme="minorHAnsi" w:cs="Arial"/>
                <w:sz w:val="22"/>
                <w:szCs w:val="16"/>
              </w:rPr>
              <w:endnoteReference w:id="2"/>
            </w:r>
          </w:p>
        </w:tc>
        <w:tc>
          <w:tcPr>
            <w:tcW w:w="1209" w:type="pct"/>
            <w:shd w:val="clear" w:color="auto" w:fill="A6A6A6"/>
            <w:vAlign w:val="center"/>
          </w:tcPr>
          <w:p w14:paraId="734B102B" w14:textId="78C69D72" w:rsidR="00802B94" w:rsidRPr="003427DB" w:rsidRDefault="00802B94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21B8267A" w14:textId="0CF0504D" w:rsidR="00802B94" w:rsidRPr="003427DB" w:rsidRDefault="00651759" w:rsidP="001938D9">
            <w:pPr>
              <w:spacing w:before="20" w:after="2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</w:tbl>
    <w:p w14:paraId="790F82A8" w14:textId="11F58675" w:rsidR="00376AC0" w:rsidRPr="001938D9" w:rsidRDefault="00376AC0" w:rsidP="00B82A39">
      <w:pPr>
        <w:keepLines/>
        <w:spacing w:before="120" w:after="0" w:line="240" w:lineRule="auto"/>
      </w:pPr>
    </w:p>
    <w:sectPr w:rsidR="00376AC0" w:rsidRPr="001938D9">
      <w:headerReference w:type="default" r:id="rId8"/>
      <w:footerReference w:type="default" r:id="rId9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9C7D" w14:textId="77777777" w:rsidR="003435BA" w:rsidRDefault="003435BA" w:rsidP="001938D9">
      <w:pPr>
        <w:spacing w:after="0" w:line="240" w:lineRule="auto"/>
      </w:pPr>
      <w:r>
        <w:separator/>
      </w:r>
    </w:p>
  </w:endnote>
  <w:endnote w:type="continuationSeparator" w:id="0">
    <w:p w14:paraId="12A6C4B0" w14:textId="77777777" w:rsidR="003435BA" w:rsidRDefault="003435BA" w:rsidP="001938D9">
      <w:pPr>
        <w:spacing w:after="0" w:line="240" w:lineRule="auto"/>
      </w:pPr>
      <w:r>
        <w:continuationSeparator/>
      </w:r>
    </w:p>
  </w:endnote>
  <w:endnote w:id="1">
    <w:p w14:paraId="225BCC15" w14:textId="77777777" w:rsidR="00071EBE" w:rsidRPr="00513101" w:rsidRDefault="00071EBE" w:rsidP="00071EBE">
      <w:pPr>
        <w:pStyle w:val="EndnoteText"/>
        <w:rPr>
          <w:rFonts w:ascii="Arial" w:hAnsi="Arial" w:cs="Arial"/>
        </w:rPr>
      </w:pPr>
      <w:r w:rsidRPr="00513101">
        <w:rPr>
          <w:rStyle w:val="EndnoteReference"/>
          <w:rFonts w:ascii="Arial" w:hAnsi="Arial" w:cs="Arial"/>
        </w:rPr>
        <w:endnoteRef/>
      </w:r>
      <w:r w:rsidRPr="00513101">
        <w:rPr>
          <w:rFonts w:ascii="Arial" w:hAnsi="Arial" w:cs="Arial"/>
        </w:rPr>
        <w:t xml:space="preserve"> </w:t>
      </w:r>
      <w:r w:rsidRPr="00513101">
        <w:rPr>
          <w:rFonts w:ascii="Arial" w:hAnsi="Arial" w:cs="Arial"/>
          <w:sz w:val="16"/>
          <w:szCs w:val="16"/>
        </w:rPr>
        <w:t xml:space="preserve"> AASB 4 </w:t>
      </w:r>
      <w:r w:rsidRPr="00513101">
        <w:rPr>
          <w:rFonts w:ascii="Arial" w:hAnsi="Arial" w:cs="Arial"/>
          <w:i/>
          <w:iCs/>
          <w:sz w:val="16"/>
          <w:szCs w:val="16"/>
        </w:rPr>
        <w:t>Insurance Contracts</w:t>
      </w:r>
      <w:r w:rsidRPr="00513101">
        <w:rPr>
          <w:rFonts w:ascii="Arial" w:hAnsi="Arial" w:cs="Arial"/>
          <w:sz w:val="16"/>
          <w:szCs w:val="16"/>
        </w:rPr>
        <w:t xml:space="preserve">, AASB 1023 </w:t>
      </w:r>
      <w:r w:rsidRPr="00513101">
        <w:rPr>
          <w:rFonts w:ascii="Arial" w:hAnsi="Arial" w:cs="Arial"/>
          <w:i/>
          <w:iCs/>
          <w:sz w:val="16"/>
          <w:szCs w:val="16"/>
        </w:rPr>
        <w:t>General Insurance Contracts</w:t>
      </w:r>
      <w:r w:rsidRPr="00513101">
        <w:rPr>
          <w:rFonts w:ascii="Arial" w:hAnsi="Arial" w:cs="Arial"/>
          <w:sz w:val="16"/>
          <w:szCs w:val="16"/>
        </w:rPr>
        <w:t xml:space="preserve"> and AASB 1038 </w:t>
      </w:r>
      <w:r w:rsidRPr="00513101">
        <w:rPr>
          <w:rFonts w:ascii="Arial" w:hAnsi="Arial" w:cs="Arial"/>
          <w:i/>
          <w:iCs/>
          <w:sz w:val="16"/>
          <w:szCs w:val="16"/>
        </w:rPr>
        <w:t>Life Insurance Contracts</w:t>
      </w:r>
      <w:r w:rsidRPr="00513101">
        <w:rPr>
          <w:rFonts w:ascii="Arial" w:hAnsi="Arial" w:cs="Arial"/>
          <w:sz w:val="16"/>
          <w:szCs w:val="16"/>
        </w:rPr>
        <w:t xml:space="preserve"> will continue to be applicable until AASB 17 </w:t>
      </w:r>
      <w:r w:rsidRPr="00513101">
        <w:rPr>
          <w:rFonts w:ascii="Arial" w:hAnsi="Arial" w:cs="Arial"/>
          <w:i/>
          <w:iCs/>
          <w:sz w:val="16"/>
          <w:szCs w:val="16"/>
        </w:rPr>
        <w:t>Insurance Contracts</w:t>
      </w:r>
      <w:r w:rsidRPr="00513101">
        <w:rPr>
          <w:rFonts w:ascii="Arial" w:hAnsi="Arial" w:cs="Arial"/>
          <w:sz w:val="16"/>
          <w:szCs w:val="16"/>
        </w:rPr>
        <w:t xml:space="preserve"> becomes effective for the public sector on or after 1 July 2026.</w:t>
      </w:r>
    </w:p>
  </w:endnote>
  <w:endnote w:id="2">
    <w:p w14:paraId="01F23349" w14:textId="736D9EBC" w:rsidR="00D31585" w:rsidRDefault="00D31585" w:rsidP="00D31585">
      <w:pPr>
        <w:pStyle w:val="EndnoteText"/>
      </w:pPr>
      <w:r w:rsidRPr="00513101">
        <w:rPr>
          <w:rStyle w:val="EndnoteReference"/>
          <w:rFonts w:ascii="Arial" w:hAnsi="Arial" w:cs="Arial"/>
        </w:rPr>
        <w:endnoteRef/>
      </w:r>
      <w:r w:rsidRPr="00513101">
        <w:rPr>
          <w:rFonts w:ascii="Arial" w:hAnsi="Arial" w:cs="Arial"/>
        </w:rPr>
        <w:t xml:space="preserve"> </w:t>
      </w:r>
      <w:r w:rsidR="00651759" w:rsidRPr="00513101">
        <w:rPr>
          <w:rFonts w:ascii="Arial" w:hAnsi="Arial" w:cs="Arial"/>
          <w:sz w:val="16"/>
          <w:szCs w:val="16"/>
        </w:rPr>
        <w:t>As per FRD 101</w:t>
      </w:r>
      <w:r w:rsidR="00021653">
        <w:rPr>
          <w:rFonts w:ascii="Arial" w:hAnsi="Arial" w:cs="Arial"/>
          <w:sz w:val="16"/>
          <w:szCs w:val="16"/>
        </w:rPr>
        <w:t xml:space="preserve"> </w:t>
      </w:r>
      <w:r w:rsidR="00021653">
        <w:rPr>
          <w:rFonts w:ascii="Arial" w:hAnsi="Arial" w:cs="Arial"/>
          <w:i/>
          <w:iCs/>
          <w:sz w:val="16"/>
          <w:szCs w:val="16"/>
        </w:rPr>
        <w:t>Application of Tiers of Australian Accounting Standards</w:t>
      </w:r>
      <w:r w:rsidR="00651759" w:rsidRPr="00513101">
        <w:rPr>
          <w:rFonts w:ascii="Arial" w:hAnsi="Arial" w:cs="Arial"/>
          <w:sz w:val="16"/>
          <w:szCs w:val="16"/>
        </w:rPr>
        <w:t xml:space="preserve">, DTF approved the implementation of tiered financial reporting within the Victorian public sector in May 2024. </w:t>
      </w:r>
      <w:r w:rsidR="002B54D2" w:rsidRPr="00513101">
        <w:rPr>
          <w:rFonts w:ascii="Arial" w:hAnsi="Arial" w:cs="Arial"/>
          <w:sz w:val="16"/>
          <w:szCs w:val="16"/>
        </w:rPr>
        <w:t>Entities that do not meet the definition of a ‘significant entity’ under FRD 101 shall prepare Tier 2 financial statements in accordance with</w:t>
      </w:r>
      <w:r w:rsidR="00651759" w:rsidRPr="00513101">
        <w:rPr>
          <w:rFonts w:ascii="Arial" w:hAnsi="Arial" w:cs="Arial"/>
          <w:sz w:val="16"/>
          <w:szCs w:val="16"/>
        </w:rPr>
        <w:t xml:space="preserve"> AASB</w:t>
      </w:r>
      <w:r w:rsidRPr="00513101">
        <w:rPr>
          <w:rFonts w:ascii="Arial" w:hAnsi="Arial" w:cs="Arial"/>
          <w:sz w:val="16"/>
          <w:szCs w:val="16"/>
        </w:rPr>
        <w:t xml:space="preserve"> 1060 </w:t>
      </w:r>
      <w:r w:rsidRPr="00513101">
        <w:rPr>
          <w:rFonts w:ascii="Arial" w:hAnsi="Arial" w:cs="Arial"/>
          <w:i/>
          <w:iCs/>
          <w:sz w:val="16"/>
          <w:szCs w:val="16"/>
        </w:rPr>
        <w:t>General Purpose Financial Statements – Simplified Disclosures for For-Profit and Not-for-Profit Tier 2 Entities</w:t>
      </w:r>
      <w:r w:rsidRPr="00513101"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454F" w14:textId="257A7205" w:rsidR="009B1925" w:rsidRDefault="009B1925" w:rsidP="009B1925">
    <w:pPr>
      <w:rPr>
        <w:rFonts w:ascii="Arial" w:hAnsi="Arial" w:cs="Arial"/>
        <w:b/>
        <w:bCs/>
        <w:sz w:val="20"/>
        <w:szCs w:val="20"/>
      </w:rPr>
    </w:pPr>
  </w:p>
  <w:p w14:paraId="2933BBD8" w14:textId="77777777" w:rsidR="009B1925" w:rsidRPr="003427DB" w:rsidRDefault="009B1925" w:rsidP="009B1925">
    <w:pPr>
      <w:rPr>
        <w:rFonts w:ascii="Arial" w:hAnsi="Arial" w:cs="Arial"/>
        <w:b/>
        <w:bCs/>
        <w:color w:val="2F5496" w:themeColor="accent1" w:themeShade="BF"/>
        <w:sz w:val="20"/>
        <w:szCs w:val="20"/>
      </w:rPr>
    </w:pPr>
  </w:p>
  <w:p w14:paraId="468C2C44" w14:textId="7A4554F0" w:rsidR="001938D9" w:rsidRDefault="009B1925" w:rsidP="008B361D">
    <w:pPr>
      <w:tabs>
        <w:tab w:val="left" w:pos="8287"/>
      </w:tabs>
    </w:pPr>
    <w:r w:rsidRPr="003427DB">
      <w:rPr>
        <w:rFonts w:ascii="Arial" w:hAnsi="Arial" w:cs="Arial"/>
        <w:b/>
        <w:bCs/>
        <w:color w:val="2F5496" w:themeColor="accent1" w:themeShade="BF"/>
        <w:sz w:val="20"/>
        <w:szCs w:val="20"/>
      </w:rPr>
      <w:t>Guidance to Financial Reporting Direction 120</w:t>
    </w:r>
    <w:r w:rsidRPr="003427DB">
      <w:rPr>
        <w:rFonts w:ascii="Arial" w:hAnsi="Arial" w:cs="Arial"/>
        <w:b/>
        <w:bCs/>
        <w:sz w:val="20"/>
        <w:szCs w:val="20"/>
      </w:rPr>
      <w:tab/>
    </w:r>
    <w:r w:rsidRPr="003427DB">
      <w:rPr>
        <w:rFonts w:ascii="Arial" w:hAnsi="Arial" w:cs="Arial"/>
        <w:sz w:val="20"/>
        <w:szCs w:val="20"/>
      </w:rPr>
      <w:t xml:space="preserve">Page </w:t>
    </w:r>
    <w:r w:rsidRPr="003427DB">
      <w:rPr>
        <w:rStyle w:val="PageNumber"/>
        <w:rFonts w:ascii="Arial" w:hAnsi="Arial" w:cs="Arial"/>
        <w:color w:val="auto"/>
        <w:sz w:val="20"/>
        <w:szCs w:val="20"/>
      </w:rPr>
      <w:fldChar w:fldCharType="begin"/>
    </w:r>
    <w:r w:rsidRPr="003427DB">
      <w:rPr>
        <w:rStyle w:val="PageNumber"/>
        <w:rFonts w:ascii="Arial" w:hAnsi="Arial" w:cs="Arial"/>
        <w:color w:val="auto"/>
        <w:sz w:val="20"/>
        <w:szCs w:val="20"/>
      </w:rPr>
      <w:instrText xml:space="preserve"> Page </w:instrText>
    </w:r>
    <w:r w:rsidRPr="003427DB">
      <w:rPr>
        <w:rStyle w:val="PageNumber"/>
        <w:rFonts w:ascii="Arial" w:hAnsi="Arial" w:cs="Arial"/>
        <w:color w:val="auto"/>
        <w:sz w:val="20"/>
        <w:szCs w:val="20"/>
      </w:rPr>
      <w:fldChar w:fldCharType="separate"/>
    </w:r>
    <w:r w:rsidRPr="003427DB">
      <w:rPr>
        <w:rStyle w:val="PageNumber"/>
        <w:rFonts w:ascii="Arial" w:hAnsi="Arial" w:cs="Arial"/>
        <w:color w:val="auto"/>
        <w:sz w:val="20"/>
        <w:szCs w:val="20"/>
      </w:rPr>
      <w:t>1</w:t>
    </w:r>
    <w:r w:rsidRPr="003427DB">
      <w:rPr>
        <w:rStyle w:val="PageNumber"/>
        <w:rFonts w:ascii="Arial" w:hAnsi="Arial" w:cs="Arial"/>
        <w:color w:val="auto"/>
        <w:sz w:val="20"/>
        <w:szCs w:val="20"/>
      </w:rPr>
      <w:fldChar w:fldCharType="end"/>
    </w:r>
    <w:r w:rsidR="001938D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823891" wp14:editId="17C1021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554c4642a0db1137103737ec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BFD30A" w14:textId="77777777" w:rsidR="001938D9" w:rsidRPr="001938D9" w:rsidRDefault="001938D9" w:rsidP="001938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938D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23891" id="_x0000_t202" coordsize="21600,21600" o:spt="202" path="m,l,21600r21600,l21600,xe">
              <v:stroke joinstyle="miter"/>
              <v:path gradientshapeok="t" o:connecttype="rect"/>
            </v:shapetype>
            <v:shape id="MSIPCM554c4642a0db1137103737ec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58BFD30A" w14:textId="77777777" w:rsidR="001938D9" w:rsidRPr="001938D9" w:rsidRDefault="001938D9" w:rsidP="001938D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938D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B9D1" w14:textId="77777777" w:rsidR="003435BA" w:rsidRDefault="003435BA" w:rsidP="001938D9">
      <w:pPr>
        <w:spacing w:after="0" w:line="240" w:lineRule="auto"/>
      </w:pPr>
      <w:r>
        <w:separator/>
      </w:r>
    </w:p>
  </w:footnote>
  <w:footnote w:type="continuationSeparator" w:id="0">
    <w:p w14:paraId="65D1C77E" w14:textId="77777777" w:rsidR="003435BA" w:rsidRDefault="003435BA" w:rsidP="001938D9">
      <w:pPr>
        <w:spacing w:after="0" w:line="240" w:lineRule="auto"/>
      </w:pPr>
      <w:r>
        <w:continuationSeparator/>
      </w:r>
    </w:p>
  </w:footnote>
  <w:footnote w:id="1">
    <w:p w14:paraId="2D62DA17" w14:textId="4216A49A" w:rsidR="001938D9" w:rsidRPr="000E16B3" w:rsidRDefault="001938D9" w:rsidP="001938D9">
      <w:pPr>
        <w:pStyle w:val="FootnoteText"/>
        <w:spacing w:line="276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1DFA" w14:textId="77777777" w:rsidR="009B1925" w:rsidRPr="0041689E" w:rsidRDefault="009B1925" w:rsidP="009B192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6BFE2" wp14:editId="207C268F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DFED2D" wp14:editId="0A9ABE27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B1A60" w14:textId="77777777" w:rsidR="009B1925" w:rsidRDefault="009B1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D9"/>
    <w:rsid w:val="00021653"/>
    <w:rsid w:val="000361DE"/>
    <w:rsid w:val="00071EBE"/>
    <w:rsid w:val="00097EC7"/>
    <w:rsid w:val="00134C10"/>
    <w:rsid w:val="00164699"/>
    <w:rsid w:val="001778BA"/>
    <w:rsid w:val="001901D1"/>
    <w:rsid w:val="001938D9"/>
    <w:rsid w:val="001A4A5A"/>
    <w:rsid w:val="001D7C96"/>
    <w:rsid w:val="0021357C"/>
    <w:rsid w:val="002B54D2"/>
    <w:rsid w:val="003033C2"/>
    <w:rsid w:val="003347BC"/>
    <w:rsid w:val="00336625"/>
    <w:rsid w:val="003427DB"/>
    <w:rsid w:val="003435BA"/>
    <w:rsid w:val="00350450"/>
    <w:rsid w:val="00376AC0"/>
    <w:rsid w:val="00397034"/>
    <w:rsid w:val="003A3CC5"/>
    <w:rsid w:val="003F20AA"/>
    <w:rsid w:val="0041083D"/>
    <w:rsid w:val="004D073F"/>
    <w:rsid w:val="00513101"/>
    <w:rsid w:val="00540744"/>
    <w:rsid w:val="0057631D"/>
    <w:rsid w:val="00651759"/>
    <w:rsid w:val="006E01DA"/>
    <w:rsid w:val="007B08D5"/>
    <w:rsid w:val="00802B94"/>
    <w:rsid w:val="00897E0A"/>
    <w:rsid w:val="00897E66"/>
    <w:rsid w:val="008B361D"/>
    <w:rsid w:val="00955181"/>
    <w:rsid w:val="00965FD5"/>
    <w:rsid w:val="009B1925"/>
    <w:rsid w:val="009D2B09"/>
    <w:rsid w:val="00A1103B"/>
    <w:rsid w:val="00A36FCF"/>
    <w:rsid w:val="00AA7007"/>
    <w:rsid w:val="00AF44D9"/>
    <w:rsid w:val="00B2750F"/>
    <w:rsid w:val="00B4638F"/>
    <w:rsid w:val="00B8036B"/>
    <w:rsid w:val="00B82A39"/>
    <w:rsid w:val="00BF3C74"/>
    <w:rsid w:val="00C2534B"/>
    <w:rsid w:val="00C537AD"/>
    <w:rsid w:val="00C82CC9"/>
    <w:rsid w:val="00D305C0"/>
    <w:rsid w:val="00D31585"/>
    <w:rsid w:val="00D35D67"/>
    <w:rsid w:val="00D924A5"/>
    <w:rsid w:val="00D92E2A"/>
    <w:rsid w:val="00DC39A8"/>
    <w:rsid w:val="00ED57BA"/>
    <w:rsid w:val="00F20FCE"/>
    <w:rsid w:val="00F4255C"/>
    <w:rsid w:val="00F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BDB5BD"/>
  <w15:chartTrackingRefBased/>
  <w15:docId w15:val="{83292722-A00D-4071-A9C5-0FA0FBF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9B1925"/>
    <w:pPr>
      <w:keepNext/>
      <w:keepLines/>
      <w:spacing w:before="60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1938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38D9"/>
    <w:rPr>
      <w:sz w:val="20"/>
      <w:szCs w:val="20"/>
    </w:rPr>
  </w:style>
  <w:style w:type="table" w:customStyle="1" w:styleId="Modeltable">
    <w:name w:val="Model table"/>
    <w:basedOn w:val="TableNormal"/>
    <w:uiPriority w:val="99"/>
    <w:rsid w:val="001938D9"/>
    <w:pPr>
      <w:spacing w:before="40"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bottom w:val="single" w:sz="12" w:space="0" w:color="000000"/>
      </w:tblBorders>
      <w:tblCellMar>
        <w:left w:w="43" w:type="dxa"/>
        <w:right w:w="43" w:type="dxa"/>
      </w:tblCellMar>
    </w:tblPr>
    <w:tblStylePr w:type="firstRow">
      <w:rPr>
        <w:rFonts w:ascii="Arial" w:hAnsi="Arial"/>
        <w:color w:val="FFFFFF"/>
        <w:sz w:val="18"/>
      </w:rPr>
      <w:tblPr/>
      <w:tcPr>
        <w:shd w:val="clear" w:color="auto" w:fill="000000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9D9D9"/>
      </w:tcPr>
    </w:tblStylePr>
  </w:style>
  <w:style w:type="table" w:customStyle="1" w:styleId="CVtable2">
    <w:name w:val="CV table2"/>
    <w:basedOn w:val="TableNormal"/>
    <w:next w:val="TableGrid"/>
    <w:uiPriority w:val="59"/>
    <w:rsid w:val="001938D9"/>
    <w:pPr>
      <w:spacing w:before="120" w:after="0" w:line="240" w:lineRule="atLeast"/>
    </w:pPr>
    <w:rPr>
      <w:rFonts w:ascii="Calibri" w:eastAsia="Times New Roman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938D9"/>
    <w:pPr>
      <w:keepLines/>
      <w:spacing w:before="120" w:after="0" w:line="240" w:lineRule="auto"/>
    </w:pPr>
    <w:rPr>
      <w:spacing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8D9"/>
    <w:rPr>
      <w:spacing w:val="2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938D9"/>
    <w:rPr>
      <w:sz w:val="16"/>
      <w:szCs w:val="16"/>
    </w:rPr>
  </w:style>
  <w:style w:type="table" w:styleId="TableGrid">
    <w:name w:val="Table Grid"/>
    <w:basedOn w:val="TableNormal"/>
    <w:uiPriority w:val="39"/>
    <w:rsid w:val="0019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D9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nhideWhenUsed/>
    <w:rsid w:val="001938D9"/>
    <w:rPr>
      <w:vertAlign w:val="superscript"/>
    </w:rPr>
  </w:style>
  <w:style w:type="paragraph" w:customStyle="1" w:styleId="AppendixHeading">
    <w:name w:val="Appendix Heading"/>
    <w:basedOn w:val="Normal"/>
    <w:qFormat/>
    <w:rsid w:val="001938D9"/>
    <w:pPr>
      <w:keepNext/>
      <w:keepLines/>
      <w:pBdr>
        <w:bottom w:val="single" w:sz="12" w:space="1" w:color="auto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caps/>
      <w:spacing w:val="-2"/>
      <w:sz w:val="28"/>
      <w:szCs w:val="28"/>
    </w:rPr>
  </w:style>
  <w:style w:type="table" w:customStyle="1" w:styleId="Modeltable1">
    <w:name w:val="Model table1"/>
    <w:basedOn w:val="TableNormal"/>
    <w:uiPriority w:val="99"/>
    <w:rsid w:val="001938D9"/>
    <w:pPr>
      <w:spacing w:before="40"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bottom w:val="single" w:sz="12" w:space="0" w:color="000000"/>
      </w:tblBorders>
      <w:tblCellMar>
        <w:left w:w="43" w:type="dxa"/>
        <w:right w:w="43" w:type="dxa"/>
      </w:tblCellMar>
    </w:tblPr>
    <w:tblStylePr w:type="firstRow">
      <w:rPr>
        <w:rFonts w:ascii="Arial" w:hAnsi="Arial"/>
        <w:color w:val="FFFFFF"/>
        <w:sz w:val="18"/>
      </w:rPr>
      <w:tblPr/>
      <w:tcPr>
        <w:shd w:val="clear" w:color="auto" w:fill="000000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9D9D9"/>
      </w:tcPr>
    </w:tblStylePr>
  </w:style>
  <w:style w:type="table" w:customStyle="1" w:styleId="CVtable21">
    <w:name w:val="CV table21"/>
    <w:basedOn w:val="TableNormal"/>
    <w:next w:val="TableGrid"/>
    <w:uiPriority w:val="59"/>
    <w:rsid w:val="001938D9"/>
    <w:pPr>
      <w:spacing w:before="120" w:after="0" w:line="240" w:lineRule="atLeast"/>
    </w:pPr>
    <w:rPr>
      <w:rFonts w:ascii="Calibri" w:eastAsia="Times New Roman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D9"/>
  </w:style>
  <w:style w:type="paragraph" w:styleId="Footer">
    <w:name w:val="footer"/>
    <w:basedOn w:val="Normal"/>
    <w:link w:val="FooterChar"/>
    <w:uiPriority w:val="99"/>
    <w:unhideWhenUsed/>
    <w:rsid w:val="00193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D9"/>
  </w:style>
  <w:style w:type="character" w:customStyle="1" w:styleId="Heading1Char">
    <w:name w:val="Heading 1 Char"/>
    <w:basedOn w:val="DefaultParagraphFont"/>
    <w:link w:val="Heading1"/>
    <w:rsid w:val="009B1925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  <w:lang w:eastAsia="en-AU"/>
    </w:rPr>
  </w:style>
  <w:style w:type="character" w:styleId="PageNumber">
    <w:name w:val="page number"/>
    <w:uiPriority w:val="49"/>
    <w:semiHidden/>
    <w:rsid w:val="009B1925"/>
    <w:rPr>
      <w:b w:val="0"/>
      <w:color w:val="000000" w:themeColor="text1"/>
    </w:rPr>
  </w:style>
  <w:style w:type="paragraph" w:styleId="Revision">
    <w:name w:val="Revision"/>
    <w:hidden/>
    <w:uiPriority w:val="99"/>
    <w:semiHidden/>
    <w:rsid w:val="003427D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71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1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E3CE1C9-5FDE-4E1B-A276-026BE179C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66E2F-836B-48DB-A1A9-0025785D13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Pham (DTF)</dc:creator>
  <cp:keywords/>
  <dc:description/>
  <cp:lastModifiedBy>Constance Yuan (DTF)</cp:lastModifiedBy>
  <cp:revision>16</cp:revision>
  <dcterms:created xsi:type="dcterms:W3CDTF">2023-04-12T04:08:00Z</dcterms:created>
  <dcterms:modified xsi:type="dcterms:W3CDTF">2025-04-23T23:38:00Z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2023-04-12T05:36:42Z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f7c131c3-d4da-422e-90d1-ce3dcf72e44c</vt:lpwstr>
  </property>
  <property fmtid="{D5CDD505-2E9C-101B-9397-08002B2CF9AE}" pid="8" name="MSIP_Label_7158ebbd-6c5e-441f-bfc9-4eb8c11e3978_ContentBits">
    <vt:lpwstr>2</vt:lpwstr>
  </property>
</Properties>
</file>