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7EC17C64"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3946DEE2" w14:textId="3D0E02A6" w:rsidR="006C78FB" w:rsidRPr="00231BD3" w:rsidRDefault="006C78FB" w:rsidP="00C44F1F">
            <w:pPr>
              <w:pStyle w:val="FRDNumber"/>
            </w:pPr>
            <w:r w:rsidRPr="00231BD3">
              <w:t xml:space="preserve">FRD </w:t>
            </w:r>
            <w:r w:rsidR="004941FA">
              <w:t>25</w:t>
            </w:r>
          </w:p>
        </w:tc>
        <w:tc>
          <w:tcPr>
            <w:tcW w:w="270" w:type="dxa"/>
          </w:tcPr>
          <w:p w14:paraId="6EE16668" w14:textId="77777777" w:rsidR="006C78FB" w:rsidRPr="00231BD3" w:rsidRDefault="006C78FB" w:rsidP="00C44F1F"/>
        </w:tc>
        <w:tc>
          <w:tcPr>
            <w:tcW w:w="540" w:type="dxa"/>
          </w:tcPr>
          <w:p w14:paraId="5822A09C" w14:textId="77777777" w:rsidR="006C78FB" w:rsidRPr="00231BD3" w:rsidRDefault="006C78FB" w:rsidP="00C44F1F"/>
        </w:tc>
        <w:tc>
          <w:tcPr>
            <w:tcW w:w="6134" w:type="dxa"/>
          </w:tcPr>
          <w:p w14:paraId="43787230" w14:textId="7F89EAD9" w:rsidR="006C78FB" w:rsidRPr="00231BD3" w:rsidRDefault="004941FA" w:rsidP="00C44F1F">
            <w:pPr>
              <w:pStyle w:val="FRDHeader"/>
            </w:pPr>
            <w:r w:rsidRPr="004941FA">
              <w:t xml:space="preserve">Local Jobs Disclosures in the Report of </w:t>
            </w:r>
            <w:r w:rsidRPr="00EE6808">
              <w:t xml:space="preserve">Operations (April </w:t>
            </w:r>
            <w:r w:rsidR="004D3C58" w:rsidRPr="00EE6808">
              <w:t>202</w:t>
            </w:r>
            <w:r w:rsidR="00EE6808">
              <w:t>5</w:t>
            </w:r>
            <w:r w:rsidRPr="00EE6808">
              <w:t>)</w:t>
            </w:r>
          </w:p>
        </w:tc>
      </w:tr>
      <w:tr w:rsidR="006C78FB" w:rsidRPr="00E10ADB" w14:paraId="6716D00C" w14:textId="77777777" w:rsidTr="00C44F1F">
        <w:trPr>
          <w:trHeight w:hRule="exact" w:val="120"/>
        </w:trPr>
        <w:tc>
          <w:tcPr>
            <w:tcW w:w="2293" w:type="dxa"/>
          </w:tcPr>
          <w:p w14:paraId="5FCE0A2D" w14:textId="77777777" w:rsidR="006C78FB" w:rsidRPr="008A601F" w:rsidRDefault="006C78FB" w:rsidP="00C44F1F">
            <w:pPr>
              <w:pStyle w:val="Tabletext"/>
            </w:pPr>
          </w:p>
        </w:tc>
        <w:tc>
          <w:tcPr>
            <w:tcW w:w="270" w:type="dxa"/>
          </w:tcPr>
          <w:p w14:paraId="7E69584E" w14:textId="77777777" w:rsidR="006C78FB" w:rsidRPr="008A601F" w:rsidRDefault="006C78FB" w:rsidP="006D66F9">
            <w:pPr>
              <w:pStyle w:val="Normalgrey"/>
            </w:pPr>
          </w:p>
        </w:tc>
        <w:tc>
          <w:tcPr>
            <w:tcW w:w="540" w:type="dxa"/>
          </w:tcPr>
          <w:p w14:paraId="2A6DA11F" w14:textId="77777777" w:rsidR="006C78FB" w:rsidRPr="008A601F" w:rsidRDefault="006C78FB" w:rsidP="00C44F1F"/>
        </w:tc>
        <w:tc>
          <w:tcPr>
            <w:tcW w:w="6134" w:type="dxa"/>
          </w:tcPr>
          <w:p w14:paraId="4ACAF49C" w14:textId="77777777" w:rsidR="006C78FB" w:rsidRPr="008A601F" w:rsidRDefault="006C78FB" w:rsidP="00C44F1F"/>
        </w:tc>
      </w:tr>
      <w:tr w:rsidR="005828FE" w:rsidRPr="005828FE" w14:paraId="03E1B758" w14:textId="77777777" w:rsidTr="00C44F1F">
        <w:tc>
          <w:tcPr>
            <w:tcW w:w="2293" w:type="dxa"/>
          </w:tcPr>
          <w:p w14:paraId="71385238" w14:textId="77777777" w:rsidR="006C78FB" w:rsidRPr="005828FE" w:rsidRDefault="006C78FB" w:rsidP="00382EE1">
            <w:pPr>
              <w:pStyle w:val="Normalgrey"/>
            </w:pPr>
            <w:r w:rsidRPr="005828FE">
              <w:t>Purpose</w:t>
            </w:r>
          </w:p>
        </w:tc>
        <w:tc>
          <w:tcPr>
            <w:tcW w:w="270" w:type="dxa"/>
          </w:tcPr>
          <w:p w14:paraId="18B723D6" w14:textId="77777777" w:rsidR="006C78FB" w:rsidRPr="005828FE" w:rsidRDefault="006C78FB" w:rsidP="00286F9A">
            <w:pPr>
              <w:pStyle w:val="Normalgrey"/>
            </w:pPr>
          </w:p>
        </w:tc>
        <w:tc>
          <w:tcPr>
            <w:tcW w:w="540" w:type="dxa"/>
          </w:tcPr>
          <w:p w14:paraId="44E67506" w14:textId="77777777" w:rsidR="006C78FB" w:rsidRPr="005828FE" w:rsidRDefault="004941FA" w:rsidP="006519F6">
            <w:pPr>
              <w:pStyle w:val="Normalgrey"/>
            </w:pPr>
            <w:r>
              <w:t>1.1</w:t>
            </w:r>
          </w:p>
        </w:tc>
        <w:tc>
          <w:tcPr>
            <w:tcW w:w="6134" w:type="dxa"/>
          </w:tcPr>
          <w:p w14:paraId="58244E6E" w14:textId="77777777" w:rsidR="006C78FB" w:rsidRPr="005828FE" w:rsidRDefault="004941FA" w:rsidP="00382EE1">
            <w:pPr>
              <w:pStyle w:val="Normalgrey"/>
            </w:pPr>
            <w:r w:rsidRPr="004941FA">
              <w:t xml:space="preserve">To prescribe the disclosure requirements for the Local Jobs First in the report of operations in accordance with section 9 of the </w:t>
            </w:r>
            <w:r w:rsidRPr="004941FA">
              <w:rPr>
                <w:i/>
              </w:rPr>
              <w:t>Local Jobs First Act 2003</w:t>
            </w:r>
            <w:r w:rsidRPr="004941FA">
              <w:t>.</w:t>
            </w:r>
          </w:p>
        </w:tc>
      </w:tr>
      <w:tr w:rsidR="006C78FB" w:rsidRPr="005828FE" w14:paraId="0F4CE463" w14:textId="77777777" w:rsidTr="00963C94">
        <w:tc>
          <w:tcPr>
            <w:tcW w:w="2293" w:type="dxa"/>
            <w:shd w:val="clear" w:color="auto" w:fill="F2F2F2" w:themeFill="background1" w:themeFillShade="F2"/>
          </w:tcPr>
          <w:p w14:paraId="0543553B" w14:textId="77777777" w:rsidR="006C78FB" w:rsidRPr="00CE7A8E" w:rsidRDefault="006C78FB" w:rsidP="00A516DE">
            <w:pPr>
              <w:pStyle w:val="Normalbold"/>
            </w:pPr>
            <w:r w:rsidRPr="00CE7A8E">
              <w:t>Application</w:t>
            </w:r>
          </w:p>
        </w:tc>
        <w:tc>
          <w:tcPr>
            <w:tcW w:w="270" w:type="dxa"/>
            <w:shd w:val="clear" w:color="auto" w:fill="F2F2F2" w:themeFill="background1" w:themeFillShade="F2"/>
          </w:tcPr>
          <w:p w14:paraId="03297CFF" w14:textId="77777777" w:rsidR="006C78FB" w:rsidRPr="00380C74" w:rsidRDefault="006C78FB" w:rsidP="00286F9A">
            <w:pPr>
              <w:pStyle w:val="Normalgrey"/>
              <w:rPr>
                <w:b/>
              </w:rPr>
            </w:pPr>
          </w:p>
        </w:tc>
        <w:tc>
          <w:tcPr>
            <w:tcW w:w="540" w:type="dxa"/>
            <w:shd w:val="clear" w:color="auto" w:fill="F2F2F2" w:themeFill="background1" w:themeFillShade="F2"/>
          </w:tcPr>
          <w:p w14:paraId="69ACFDD4" w14:textId="77777777" w:rsidR="006C78FB" w:rsidRPr="00380C74" w:rsidRDefault="004941FA" w:rsidP="00286F9A">
            <w:pPr>
              <w:pStyle w:val="Normalgrey"/>
              <w:rPr>
                <w:b/>
              </w:rPr>
            </w:pPr>
            <w:r w:rsidRPr="00380C74">
              <w:rPr>
                <w:b/>
              </w:rPr>
              <w:t>2.1</w:t>
            </w:r>
          </w:p>
        </w:tc>
        <w:tc>
          <w:tcPr>
            <w:tcW w:w="6134" w:type="dxa"/>
            <w:shd w:val="clear" w:color="auto" w:fill="F2F2F2" w:themeFill="background1" w:themeFillShade="F2"/>
          </w:tcPr>
          <w:p w14:paraId="2C929AE4" w14:textId="77777777" w:rsidR="006C78FB" w:rsidRPr="00380C74" w:rsidRDefault="004941FA" w:rsidP="00A516DE">
            <w:pPr>
              <w:pStyle w:val="Normalbold"/>
            </w:pPr>
            <w:r w:rsidRPr="00380C74">
              <w:t xml:space="preserve">Applies to all entities defined as either a public body or a department under section 3 of the </w:t>
            </w:r>
            <w:r w:rsidRPr="00380C74">
              <w:rPr>
                <w:i/>
              </w:rPr>
              <w:t>Financial Management Act 1994</w:t>
            </w:r>
            <w:r w:rsidRPr="00380C74">
              <w:t xml:space="preserve">.  </w:t>
            </w:r>
          </w:p>
        </w:tc>
      </w:tr>
      <w:tr w:rsidR="006C78FB" w:rsidRPr="005828FE" w14:paraId="1E842038" w14:textId="77777777" w:rsidTr="00963C94">
        <w:tc>
          <w:tcPr>
            <w:tcW w:w="2293" w:type="dxa"/>
            <w:shd w:val="clear" w:color="auto" w:fill="F2F2F2" w:themeFill="background1" w:themeFillShade="F2"/>
          </w:tcPr>
          <w:p w14:paraId="13E26F5A" w14:textId="77777777" w:rsidR="006C78FB" w:rsidRPr="00CE7A8E" w:rsidRDefault="006C78FB" w:rsidP="00A516DE">
            <w:pPr>
              <w:pStyle w:val="Normalbold"/>
            </w:pPr>
            <w:r w:rsidRPr="00CE7A8E">
              <w:t>Operative date</w:t>
            </w:r>
          </w:p>
        </w:tc>
        <w:tc>
          <w:tcPr>
            <w:tcW w:w="270" w:type="dxa"/>
            <w:shd w:val="clear" w:color="auto" w:fill="F2F2F2" w:themeFill="background1" w:themeFillShade="F2"/>
          </w:tcPr>
          <w:p w14:paraId="70D68AD0" w14:textId="77777777" w:rsidR="006C78FB" w:rsidRPr="00380C74" w:rsidRDefault="006C78FB" w:rsidP="00286F9A">
            <w:pPr>
              <w:pStyle w:val="Normalgrey"/>
              <w:rPr>
                <w:b/>
              </w:rPr>
            </w:pPr>
          </w:p>
        </w:tc>
        <w:tc>
          <w:tcPr>
            <w:tcW w:w="540" w:type="dxa"/>
            <w:shd w:val="clear" w:color="auto" w:fill="F2F2F2" w:themeFill="background1" w:themeFillShade="F2"/>
          </w:tcPr>
          <w:p w14:paraId="71983376" w14:textId="77777777" w:rsidR="006C78FB" w:rsidRPr="00380C74" w:rsidRDefault="004941FA" w:rsidP="00286F9A">
            <w:pPr>
              <w:pStyle w:val="Normalgrey"/>
              <w:rPr>
                <w:b/>
              </w:rPr>
            </w:pPr>
            <w:r w:rsidRPr="00380C74">
              <w:rPr>
                <w:b/>
              </w:rPr>
              <w:t>3.1</w:t>
            </w:r>
          </w:p>
        </w:tc>
        <w:tc>
          <w:tcPr>
            <w:tcW w:w="6134" w:type="dxa"/>
            <w:shd w:val="clear" w:color="auto" w:fill="F2F2F2" w:themeFill="background1" w:themeFillShade="F2"/>
          </w:tcPr>
          <w:p w14:paraId="76FB3744" w14:textId="69038862" w:rsidR="006C78FB" w:rsidRPr="00380C74" w:rsidRDefault="004941FA" w:rsidP="00A516DE">
            <w:pPr>
              <w:pStyle w:val="Normalbold"/>
            </w:pPr>
            <w:r w:rsidRPr="00380C74">
              <w:t>Reporting periods commencing on or after 1 July 20</w:t>
            </w:r>
            <w:r w:rsidR="003E1C67">
              <w:t>24</w:t>
            </w:r>
            <w:r w:rsidRPr="00380C74">
              <w:t>.</w:t>
            </w:r>
          </w:p>
        </w:tc>
      </w:tr>
      <w:tr w:rsidR="004941FA" w:rsidRPr="005828FE" w14:paraId="55F9EC9F" w14:textId="77777777" w:rsidTr="00C44F1F">
        <w:tc>
          <w:tcPr>
            <w:tcW w:w="2293" w:type="dxa"/>
            <w:shd w:val="clear" w:color="auto" w:fill="F2F2F2" w:themeFill="background1" w:themeFillShade="F2"/>
          </w:tcPr>
          <w:p w14:paraId="4DD4C934" w14:textId="77777777" w:rsidR="004941FA" w:rsidRPr="00CE7A8E" w:rsidRDefault="004941FA" w:rsidP="00C44F1F">
            <w:pPr>
              <w:pStyle w:val="Normalbold"/>
            </w:pPr>
          </w:p>
        </w:tc>
        <w:tc>
          <w:tcPr>
            <w:tcW w:w="270" w:type="dxa"/>
            <w:shd w:val="clear" w:color="auto" w:fill="F2F2F2" w:themeFill="background1" w:themeFillShade="F2"/>
          </w:tcPr>
          <w:p w14:paraId="7737A6F4" w14:textId="77777777" w:rsidR="004941FA" w:rsidRPr="00380C74" w:rsidRDefault="004941FA" w:rsidP="00286F9A">
            <w:pPr>
              <w:pStyle w:val="Normalgrey"/>
              <w:rPr>
                <w:b/>
              </w:rPr>
            </w:pPr>
          </w:p>
        </w:tc>
        <w:tc>
          <w:tcPr>
            <w:tcW w:w="540" w:type="dxa"/>
            <w:shd w:val="clear" w:color="auto" w:fill="F2F2F2" w:themeFill="background1" w:themeFillShade="F2"/>
          </w:tcPr>
          <w:p w14:paraId="2D0CE164" w14:textId="77777777" w:rsidR="004941FA" w:rsidRPr="00380C74" w:rsidRDefault="004941FA" w:rsidP="00286F9A">
            <w:pPr>
              <w:pStyle w:val="Normalgrey"/>
              <w:rPr>
                <w:b/>
              </w:rPr>
            </w:pPr>
            <w:r w:rsidRPr="00380C74">
              <w:rPr>
                <w:b/>
              </w:rPr>
              <w:t>3.2</w:t>
            </w:r>
          </w:p>
        </w:tc>
        <w:tc>
          <w:tcPr>
            <w:tcW w:w="6134" w:type="dxa"/>
            <w:shd w:val="clear" w:color="auto" w:fill="F2F2F2" w:themeFill="background1" w:themeFillShade="F2"/>
          </w:tcPr>
          <w:p w14:paraId="622F91D1" w14:textId="285A60A4" w:rsidR="0036686F" w:rsidRPr="00380C74" w:rsidRDefault="005F09F1" w:rsidP="00C44F1F">
            <w:pPr>
              <w:pStyle w:val="Normalbold"/>
            </w:pPr>
            <w:r w:rsidRPr="00380C74">
              <w:t xml:space="preserve">FRD 25D </w:t>
            </w:r>
            <w:r w:rsidRPr="00380C74">
              <w:rPr>
                <w:i/>
                <w:iCs/>
              </w:rPr>
              <w:t xml:space="preserve">Local </w:t>
            </w:r>
            <w:r w:rsidR="0036686F" w:rsidRPr="00380C74">
              <w:rPr>
                <w:i/>
                <w:iCs/>
              </w:rPr>
              <w:t xml:space="preserve">Jobs </w:t>
            </w:r>
            <w:r w:rsidRPr="00380C74">
              <w:rPr>
                <w:i/>
              </w:rPr>
              <w:t>Disclosures in the Report of Operations</w:t>
            </w:r>
            <w:r w:rsidRPr="00380C74">
              <w:t xml:space="preserve"> is </w:t>
            </w:r>
            <w:r w:rsidR="0036686F" w:rsidRPr="00380C74">
              <w:t xml:space="preserve">renamed to FRD 25 </w:t>
            </w:r>
            <w:r w:rsidR="0036686F" w:rsidRPr="00380C74">
              <w:rPr>
                <w:i/>
                <w:iCs/>
              </w:rPr>
              <w:t xml:space="preserve">Local Jobs </w:t>
            </w:r>
            <w:r w:rsidR="0036686F" w:rsidRPr="00380C74">
              <w:rPr>
                <w:i/>
              </w:rPr>
              <w:t>Disclosures in the Report of Operations</w:t>
            </w:r>
            <w:r w:rsidR="0036686F" w:rsidRPr="00380C74">
              <w:t xml:space="preserve"> </w:t>
            </w:r>
            <w:r w:rsidRPr="00380C74">
              <w:t>effective 1 </w:t>
            </w:r>
            <w:r w:rsidR="0036686F" w:rsidRPr="00380C74">
              <w:t xml:space="preserve">April </w:t>
            </w:r>
            <w:r w:rsidRPr="00380C74">
              <w:t>20</w:t>
            </w:r>
            <w:r w:rsidR="0036686F" w:rsidRPr="00380C74">
              <w:t>22</w:t>
            </w:r>
            <w:r w:rsidRPr="00380C74">
              <w:t>.</w:t>
            </w:r>
          </w:p>
        </w:tc>
      </w:tr>
      <w:tr w:rsidR="004941FA" w:rsidRPr="005828FE" w14:paraId="5109FB4B" w14:textId="77777777" w:rsidTr="00C44F1F">
        <w:tc>
          <w:tcPr>
            <w:tcW w:w="2293" w:type="dxa"/>
            <w:shd w:val="clear" w:color="auto" w:fill="F2F2F2" w:themeFill="background1" w:themeFillShade="F2"/>
          </w:tcPr>
          <w:p w14:paraId="6FF7669A" w14:textId="77777777" w:rsidR="004941FA" w:rsidRPr="00CE7A8E" w:rsidRDefault="004941FA" w:rsidP="00C44F1F">
            <w:pPr>
              <w:pStyle w:val="Normalbold"/>
            </w:pPr>
            <w:r w:rsidRPr="00CE7A8E">
              <w:t>Transitional Arrangement</w:t>
            </w:r>
          </w:p>
        </w:tc>
        <w:tc>
          <w:tcPr>
            <w:tcW w:w="270" w:type="dxa"/>
            <w:shd w:val="clear" w:color="auto" w:fill="F2F2F2" w:themeFill="background1" w:themeFillShade="F2"/>
          </w:tcPr>
          <w:p w14:paraId="01280FCB" w14:textId="77777777" w:rsidR="004941FA" w:rsidRPr="00380C74" w:rsidRDefault="004941FA" w:rsidP="00286F9A">
            <w:pPr>
              <w:pStyle w:val="Normalgrey"/>
              <w:rPr>
                <w:b/>
              </w:rPr>
            </w:pPr>
          </w:p>
        </w:tc>
        <w:tc>
          <w:tcPr>
            <w:tcW w:w="540" w:type="dxa"/>
            <w:shd w:val="clear" w:color="auto" w:fill="F2F2F2" w:themeFill="background1" w:themeFillShade="F2"/>
          </w:tcPr>
          <w:p w14:paraId="78F29D4F" w14:textId="77777777" w:rsidR="004941FA" w:rsidRPr="00380C74" w:rsidRDefault="00990216" w:rsidP="00286F9A">
            <w:pPr>
              <w:pStyle w:val="Normalgrey"/>
              <w:rPr>
                <w:b/>
              </w:rPr>
            </w:pPr>
            <w:r w:rsidRPr="00380C74">
              <w:rPr>
                <w:b/>
              </w:rPr>
              <w:t>4.1</w:t>
            </w:r>
          </w:p>
        </w:tc>
        <w:tc>
          <w:tcPr>
            <w:tcW w:w="6134" w:type="dxa"/>
            <w:shd w:val="clear" w:color="auto" w:fill="F2F2F2" w:themeFill="background1" w:themeFillShade="F2"/>
          </w:tcPr>
          <w:p w14:paraId="0E89D33E" w14:textId="77777777" w:rsidR="00990216" w:rsidRPr="00CE7A8E" w:rsidRDefault="00990216" w:rsidP="00CE7A8E">
            <w:pPr>
              <w:pStyle w:val="Normalbold"/>
            </w:pPr>
            <w:r w:rsidRPr="00CE7A8E">
              <w:t>Transitional arrangements for projects at tender or in contract to 15</w:t>
            </w:r>
            <w:r w:rsidR="00F90254" w:rsidRPr="00CE7A8E">
              <w:t> </w:t>
            </w:r>
            <w:r w:rsidRPr="00CE7A8E">
              <w:t>August 2018</w:t>
            </w:r>
          </w:p>
          <w:p w14:paraId="5879B3FC" w14:textId="77777777" w:rsidR="00990216" w:rsidRPr="00380C74" w:rsidRDefault="00990216" w:rsidP="00990216">
            <w:pPr>
              <w:pStyle w:val="Bullet1"/>
              <w:rPr>
                <w:b/>
              </w:rPr>
            </w:pPr>
            <w:r w:rsidRPr="00380C74">
              <w:rPr>
                <w:b/>
              </w:rPr>
              <w:t xml:space="preserve">The </w:t>
            </w:r>
            <w:r w:rsidRPr="00380C74">
              <w:rPr>
                <w:b/>
                <w:i/>
              </w:rPr>
              <w:t>Victorian Industry Participation Policy Act 2003</w:t>
            </w:r>
            <w:r w:rsidRPr="00380C74">
              <w:rPr>
                <w:b/>
              </w:rPr>
              <w:t>, and the VIPP agency and supplier guidelines (2016), including model clauses, will continue to apply to projects where contracts have been entered into by 15 August 2018.</w:t>
            </w:r>
          </w:p>
          <w:p w14:paraId="4FFAA8CE" w14:textId="77777777" w:rsidR="00990216" w:rsidRPr="00380C74" w:rsidRDefault="00990216" w:rsidP="00990216">
            <w:pPr>
              <w:pStyle w:val="Bullet1"/>
              <w:rPr>
                <w:b/>
              </w:rPr>
            </w:pPr>
            <w:r w:rsidRPr="00380C74">
              <w:rPr>
                <w:b/>
              </w:rPr>
              <w:t>The Major Projects Skills Guarantee (MPSG) guidelines (2016) will continue to apply to MPSG applicable projects where contracts have been entered into by 15 August 2018.</w:t>
            </w:r>
          </w:p>
          <w:p w14:paraId="5E2AD401" w14:textId="77777777" w:rsidR="00990216" w:rsidRPr="00380C74" w:rsidRDefault="00990216" w:rsidP="00990216">
            <w:pPr>
              <w:pStyle w:val="Bullet1"/>
              <w:rPr>
                <w:b/>
              </w:rPr>
            </w:pPr>
            <w:r w:rsidRPr="00380C74">
              <w:rPr>
                <w:b/>
              </w:rPr>
              <w:t>All agencies must continue to ensure that contractors deliver their commitments as specified in VIPP Plans, Local Industry Development Plans (LIDP), and MPSG Compliance Plans within existing contracts.</w:t>
            </w:r>
          </w:p>
          <w:p w14:paraId="2C141D28" w14:textId="77777777" w:rsidR="00990216" w:rsidRPr="00CE7A8E" w:rsidRDefault="00990216" w:rsidP="00CE7A8E">
            <w:pPr>
              <w:pStyle w:val="Normalbold"/>
            </w:pPr>
            <w:r w:rsidRPr="00CE7A8E">
              <w:t>For projects tendered from 15 August 2018</w:t>
            </w:r>
          </w:p>
          <w:p w14:paraId="1AAF4580" w14:textId="77777777" w:rsidR="004941FA" w:rsidRPr="00380C74" w:rsidRDefault="00990216" w:rsidP="00380C74">
            <w:pPr>
              <w:pStyle w:val="Bullet1"/>
              <w:spacing w:before="0"/>
              <w:rPr>
                <w:b/>
              </w:rPr>
            </w:pPr>
            <w:r w:rsidRPr="00380C74">
              <w:rPr>
                <w:b/>
              </w:rPr>
              <w:t xml:space="preserve">The </w:t>
            </w:r>
            <w:r w:rsidRPr="00380C74">
              <w:rPr>
                <w:b/>
                <w:i/>
              </w:rPr>
              <w:t>Local Jobs First Act 2003</w:t>
            </w:r>
            <w:r w:rsidRPr="00380C74">
              <w:rPr>
                <w:b/>
              </w:rPr>
              <w:t>, the Local Jobs First Policy and related Local Jobs First Guidelines (including model clauses) will apply to all projects put to tender from 15 August 2018. The Local Jobs First Policy encompasses both VIPP and MPSG, which were previously administered separately.</w:t>
            </w:r>
          </w:p>
        </w:tc>
      </w:tr>
      <w:tr w:rsidR="004941FA" w:rsidRPr="005828FE" w14:paraId="36448111" w14:textId="77777777" w:rsidTr="00C44F1F">
        <w:tc>
          <w:tcPr>
            <w:tcW w:w="2293" w:type="dxa"/>
            <w:shd w:val="clear" w:color="auto" w:fill="F2F2F2" w:themeFill="background1" w:themeFillShade="F2"/>
          </w:tcPr>
          <w:p w14:paraId="06FA4424" w14:textId="77777777" w:rsidR="004941FA" w:rsidRPr="00CE7A8E" w:rsidRDefault="00990216" w:rsidP="00C44F1F">
            <w:pPr>
              <w:pStyle w:val="Normalbold"/>
            </w:pPr>
            <w:r w:rsidRPr="00CE7A8E">
              <w:t>Requirements</w:t>
            </w:r>
          </w:p>
        </w:tc>
        <w:tc>
          <w:tcPr>
            <w:tcW w:w="270" w:type="dxa"/>
            <w:shd w:val="clear" w:color="auto" w:fill="F2F2F2" w:themeFill="background1" w:themeFillShade="F2"/>
          </w:tcPr>
          <w:p w14:paraId="4A14CF07" w14:textId="77777777" w:rsidR="004941FA" w:rsidRPr="00380C74" w:rsidRDefault="004941FA" w:rsidP="00286F9A">
            <w:pPr>
              <w:pStyle w:val="Normalgrey"/>
              <w:rPr>
                <w:b/>
              </w:rPr>
            </w:pPr>
          </w:p>
        </w:tc>
        <w:tc>
          <w:tcPr>
            <w:tcW w:w="540" w:type="dxa"/>
            <w:shd w:val="clear" w:color="auto" w:fill="F2F2F2" w:themeFill="background1" w:themeFillShade="F2"/>
          </w:tcPr>
          <w:p w14:paraId="1B5710FE" w14:textId="77777777" w:rsidR="004941FA" w:rsidRPr="00380C74" w:rsidRDefault="00990216" w:rsidP="00286F9A">
            <w:pPr>
              <w:pStyle w:val="Normalgrey"/>
              <w:rPr>
                <w:b/>
              </w:rPr>
            </w:pPr>
            <w:r w:rsidRPr="00380C74">
              <w:rPr>
                <w:b/>
              </w:rPr>
              <w:t>5.1</w:t>
            </w:r>
          </w:p>
        </w:tc>
        <w:tc>
          <w:tcPr>
            <w:tcW w:w="6134" w:type="dxa"/>
            <w:shd w:val="clear" w:color="auto" w:fill="F2F2F2" w:themeFill="background1" w:themeFillShade="F2"/>
          </w:tcPr>
          <w:p w14:paraId="7633A4C1" w14:textId="47940A9E" w:rsidR="004941FA" w:rsidRPr="00380C74" w:rsidRDefault="00990216" w:rsidP="00CE7A8E">
            <w:pPr>
              <w:pStyle w:val="Normalbold"/>
            </w:pPr>
            <w:r w:rsidRPr="00380C74">
              <w:t>The accountable officer must disclose the details of the implementation of Local Jobs First in the entity’s report of operations.</w:t>
            </w:r>
          </w:p>
        </w:tc>
      </w:tr>
      <w:tr w:rsidR="00990216" w:rsidRPr="005828FE" w14:paraId="0BAFB06E" w14:textId="77777777" w:rsidTr="00C44F1F">
        <w:tc>
          <w:tcPr>
            <w:tcW w:w="2293" w:type="dxa"/>
            <w:shd w:val="clear" w:color="auto" w:fill="F2F2F2" w:themeFill="background1" w:themeFillShade="F2"/>
          </w:tcPr>
          <w:p w14:paraId="7D1833E0" w14:textId="77777777" w:rsidR="00990216" w:rsidRPr="00CE7A8E" w:rsidRDefault="00990216" w:rsidP="00990216">
            <w:pPr>
              <w:pStyle w:val="Normalbold"/>
            </w:pPr>
          </w:p>
        </w:tc>
        <w:tc>
          <w:tcPr>
            <w:tcW w:w="270" w:type="dxa"/>
            <w:shd w:val="clear" w:color="auto" w:fill="F2F2F2" w:themeFill="background1" w:themeFillShade="F2"/>
          </w:tcPr>
          <w:p w14:paraId="248B1C40" w14:textId="77777777" w:rsidR="00990216" w:rsidRPr="00380C74" w:rsidRDefault="00990216" w:rsidP="00990216">
            <w:pPr>
              <w:pStyle w:val="Normalgrey"/>
              <w:rPr>
                <w:b/>
              </w:rPr>
            </w:pPr>
          </w:p>
        </w:tc>
        <w:tc>
          <w:tcPr>
            <w:tcW w:w="540" w:type="dxa"/>
            <w:shd w:val="clear" w:color="auto" w:fill="F2F2F2" w:themeFill="background1" w:themeFillShade="F2"/>
          </w:tcPr>
          <w:p w14:paraId="07C7911B" w14:textId="77777777" w:rsidR="00990216" w:rsidRPr="00380C74" w:rsidRDefault="00990216" w:rsidP="00990216">
            <w:pPr>
              <w:pStyle w:val="Normalgrey"/>
              <w:rPr>
                <w:b/>
              </w:rPr>
            </w:pPr>
            <w:r w:rsidRPr="00380C74">
              <w:rPr>
                <w:b/>
              </w:rPr>
              <w:t>5.2</w:t>
            </w:r>
          </w:p>
        </w:tc>
        <w:tc>
          <w:tcPr>
            <w:tcW w:w="6134" w:type="dxa"/>
            <w:shd w:val="clear" w:color="auto" w:fill="F2F2F2" w:themeFill="background1" w:themeFillShade="F2"/>
          </w:tcPr>
          <w:p w14:paraId="0E1661B9" w14:textId="77777777" w:rsidR="00990216" w:rsidRPr="00380C74" w:rsidRDefault="00990216" w:rsidP="00380C74">
            <w:pPr>
              <w:pStyle w:val="Normalbold"/>
            </w:pPr>
            <w:r w:rsidRPr="00CE7A8E">
              <w:t>The accountable officer of each entity is responsible for ensuring all projects to which the Local Jobs First applies are reported on in summary form.</w:t>
            </w:r>
          </w:p>
        </w:tc>
      </w:tr>
      <w:tr w:rsidR="00990216" w:rsidRPr="005828FE" w14:paraId="4CDAB83E" w14:textId="77777777" w:rsidTr="00C44F1F">
        <w:tc>
          <w:tcPr>
            <w:tcW w:w="2293" w:type="dxa"/>
            <w:shd w:val="clear" w:color="auto" w:fill="F2F2F2" w:themeFill="background1" w:themeFillShade="F2"/>
          </w:tcPr>
          <w:p w14:paraId="5CA21254" w14:textId="77777777" w:rsidR="00990216" w:rsidRPr="00CE7A8E" w:rsidRDefault="00990216" w:rsidP="00990216">
            <w:pPr>
              <w:pStyle w:val="Normalbold"/>
            </w:pPr>
          </w:p>
        </w:tc>
        <w:tc>
          <w:tcPr>
            <w:tcW w:w="270" w:type="dxa"/>
            <w:shd w:val="clear" w:color="auto" w:fill="F2F2F2" w:themeFill="background1" w:themeFillShade="F2"/>
          </w:tcPr>
          <w:p w14:paraId="50A60C69" w14:textId="77777777" w:rsidR="00990216" w:rsidRPr="00380C74" w:rsidRDefault="00990216" w:rsidP="00990216">
            <w:pPr>
              <w:pStyle w:val="Normalgrey"/>
              <w:rPr>
                <w:b/>
              </w:rPr>
            </w:pPr>
          </w:p>
        </w:tc>
        <w:tc>
          <w:tcPr>
            <w:tcW w:w="540" w:type="dxa"/>
            <w:shd w:val="clear" w:color="auto" w:fill="F2F2F2" w:themeFill="background1" w:themeFillShade="F2"/>
          </w:tcPr>
          <w:p w14:paraId="0D370791" w14:textId="77777777" w:rsidR="00990216" w:rsidRPr="00380C74" w:rsidRDefault="00990216" w:rsidP="00990216">
            <w:pPr>
              <w:pStyle w:val="Normalgrey"/>
              <w:rPr>
                <w:b/>
              </w:rPr>
            </w:pPr>
            <w:r w:rsidRPr="00380C74">
              <w:rPr>
                <w:b/>
              </w:rPr>
              <w:t>5.3</w:t>
            </w:r>
          </w:p>
        </w:tc>
        <w:tc>
          <w:tcPr>
            <w:tcW w:w="6134" w:type="dxa"/>
            <w:shd w:val="clear" w:color="auto" w:fill="F2F2F2" w:themeFill="background1" w:themeFillShade="F2"/>
          </w:tcPr>
          <w:p w14:paraId="4D4C24AB" w14:textId="77777777" w:rsidR="00CE7A8E" w:rsidRDefault="00CE7A8E" w:rsidP="00990216">
            <w:pPr>
              <w:rPr>
                <w:b/>
              </w:rPr>
            </w:pPr>
            <w:r w:rsidRPr="003819C8">
              <w:rPr>
                <w:b/>
              </w:rPr>
              <w:t>Reporting on all Local Jobs First Projects except those related to grants</w:t>
            </w:r>
            <w:r w:rsidRPr="00CE7A8E">
              <w:rPr>
                <w:b/>
              </w:rPr>
              <w:t xml:space="preserve"> </w:t>
            </w:r>
          </w:p>
          <w:p w14:paraId="72127F7C" w14:textId="0DBE934A" w:rsidR="00990216" w:rsidRDefault="00990216" w:rsidP="00990216">
            <w:pPr>
              <w:rPr>
                <w:b/>
              </w:rPr>
            </w:pPr>
            <w:r w:rsidRPr="00380C74">
              <w:rPr>
                <w:b/>
              </w:rPr>
              <w:t xml:space="preserve">The </w:t>
            </w:r>
            <w:r w:rsidR="00CE7A8E">
              <w:rPr>
                <w:b/>
              </w:rPr>
              <w:t>R</w:t>
            </w:r>
            <w:r w:rsidR="00CE7A8E" w:rsidRPr="00380C74">
              <w:rPr>
                <w:b/>
              </w:rPr>
              <w:t xml:space="preserve">eport </w:t>
            </w:r>
            <w:r w:rsidRPr="00380C74">
              <w:rPr>
                <w:b/>
              </w:rPr>
              <w:t xml:space="preserve">of </w:t>
            </w:r>
            <w:r w:rsidR="00CE7A8E">
              <w:rPr>
                <w:b/>
              </w:rPr>
              <w:t>O</w:t>
            </w:r>
            <w:r w:rsidR="00CE7A8E" w:rsidRPr="00380C74">
              <w:rPr>
                <w:b/>
              </w:rPr>
              <w:t xml:space="preserve">perations </w:t>
            </w:r>
            <w:r w:rsidRPr="00380C74">
              <w:rPr>
                <w:b/>
              </w:rPr>
              <w:t xml:space="preserve">should contain the following information for projects </w:t>
            </w:r>
            <w:r w:rsidRPr="00380C74">
              <w:rPr>
                <w:b/>
                <w:i/>
              </w:rPr>
              <w:t>commenced and/or completed</w:t>
            </w:r>
            <w:r w:rsidRPr="00380C74">
              <w:rPr>
                <w:b/>
              </w:rPr>
              <w:t xml:space="preserve"> to which Local Jobs First applied in the reporting period:</w:t>
            </w:r>
          </w:p>
          <w:p w14:paraId="61A34D56" w14:textId="77777777" w:rsidR="00CE7A8E" w:rsidRPr="003819C8" w:rsidRDefault="00CE7A8E" w:rsidP="00380C74">
            <w:pPr>
              <w:pStyle w:val="Listnum"/>
              <w:spacing w:before="0"/>
              <w:rPr>
                <w:b/>
              </w:rPr>
            </w:pPr>
            <w:r w:rsidRPr="003819C8">
              <w:rPr>
                <w:b/>
              </w:rPr>
              <w:t xml:space="preserve">the number of projects and total value of both Local Jobs First Strategic and Local Jobs First Standard projects commenced and/or completed in the reporting period to which a VIPP Plan (only from 1 July 2018 to 15 August 2018) or Local Industry Development Plan (LIDP) was </w:t>
            </w:r>
            <w:proofErr w:type="gramStart"/>
            <w:r w:rsidRPr="003819C8">
              <w:rPr>
                <w:b/>
              </w:rPr>
              <w:t>required;</w:t>
            </w:r>
            <w:proofErr w:type="gramEnd"/>
          </w:p>
          <w:p w14:paraId="50DAD088" w14:textId="77777777" w:rsidR="00CE7A8E" w:rsidRPr="003819C8" w:rsidRDefault="00CE7A8E" w:rsidP="00380C74">
            <w:pPr>
              <w:pStyle w:val="Listnum"/>
              <w:spacing w:before="0"/>
              <w:rPr>
                <w:b/>
              </w:rPr>
            </w:pPr>
            <w:r w:rsidRPr="003819C8">
              <w:rPr>
                <w:b/>
              </w:rPr>
              <w:t>The number of projects that the Major Projects Skills Guarantee has been applied on (from 16 August 2018), the total number of hours completed or to be completed by apprentices, trainees or cadets on these projects, and the total number of opportunities created for apprentices, trainees and cadets on these projects.</w:t>
            </w:r>
          </w:p>
          <w:p w14:paraId="757EC7A5" w14:textId="77777777" w:rsidR="00CE7A8E" w:rsidRPr="003819C8" w:rsidRDefault="00CE7A8E" w:rsidP="00380C74">
            <w:pPr>
              <w:pStyle w:val="Listnum"/>
              <w:spacing w:before="0"/>
              <w:rPr>
                <w:b/>
              </w:rPr>
            </w:pPr>
            <w:r w:rsidRPr="003819C8">
              <w:rPr>
                <w:b/>
              </w:rPr>
              <w:t>the number of projects and percentage of ‘local content’ committed under projects that commenced and/or completed in the reporting period to which LIDP was required, split by:</w:t>
            </w:r>
          </w:p>
          <w:p w14:paraId="1BBE07C5" w14:textId="77777777" w:rsidR="00CE7A8E" w:rsidRPr="003819C8" w:rsidRDefault="00CE7A8E" w:rsidP="00380C74">
            <w:pPr>
              <w:pStyle w:val="Listnum2"/>
              <w:spacing w:before="0"/>
              <w:ind w:left="1010" w:hanging="505"/>
              <w:rPr>
                <w:b/>
              </w:rPr>
            </w:pPr>
            <w:proofErr w:type="gramStart"/>
            <w:r w:rsidRPr="003819C8">
              <w:rPr>
                <w:b/>
              </w:rPr>
              <w:t>metropolitan;</w:t>
            </w:r>
            <w:proofErr w:type="gramEnd"/>
          </w:p>
          <w:p w14:paraId="643CC9BC" w14:textId="77777777" w:rsidR="00CE7A8E" w:rsidRPr="003819C8" w:rsidRDefault="00CE7A8E" w:rsidP="00380C74">
            <w:pPr>
              <w:pStyle w:val="Listnum2"/>
              <w:spacing w:before="0"/>
              <w:rPr>
                <w:b/>
              </w:rPr>
            </w:pPr>
            <w:r w:rsidRPr="003819C8">
              <w:rPr>
                <w:b/>
              </w:rPr>
              <w:t>regional; and</w:t>
            </w:r>
          </w:p>
          <w:p w14:paraId="0B1421D8" w14:textId="77777777" w:rsidR="00CE7A8E" w:rsidRPr="003819C8" w:rsidRDefault="00CE7A8E" w:rsidP="00380C74">
            <w:pPr>
              <w:pStyle w:val="Listnum2"/>
              <w:spacing w:before="0"/>
              <w:rPr>
                <w:b/>
              </w:rPr>
            </w:pPr>
            <w:r w:rsidRPr="003819C8">
              <w:rPr>
                <w:b/>
              </w:rPr>
              <w:t>statewide.</w:t>
            </w:r>
          </w:p>
          <w:p w14:paraId="1E630834" w14:textId="56F786DC" w:rsidR="00CE7A8E" w:rsidRPr="003819C8" w:rsidRDefault="00CE7A8E" w:rsidP="00380C74">
            <w:pPr>
              <w:pStyle w:val="Listnum"/>
              <w:spacing w:before="0"/>
              <w:rPr>
                <w:b/>
              </w:rPr>
            </w:pPr>
            <w:r w:rsidRPr="003819C8">
              <w:rPr>
                <w:b/>
              </w:rPr>
              <w:t>for projects commenced, a statement of total LIDP commitments (local content, employment (AEE)</w:t>
            </w:r>
            <w:r w:rsidR="000E0E4D">
              <w:rPr>
                <w:b/>
              </w:rPr>
              <w:t>)</w:t>
            </w:r>
            <w:r w:rsidRPr="003819C8">
              <w:rPr>
                <w:b/>
              </w:rPr>
              <w:t xml:space="preserve"> committed as a result of these </w:t>
            </w:r>
            <w:proofErr w:type="gramStart"/>
            <w:r w:rsidRPr="003819C8">
              <w:rPr>
                <w:b/>
              </w:rPr>
              <w:t>projects;</w:t>
            </w:r>
            <w:proofErr w:type="gramEnd"/>
          </w:p>
          <w:p w14:paraId="3F410C0B" w14:textId="6465800C" w:rsidR="00CE7A8E" w:rsidRDefault="00CE7A8E" w:rsidP="00380C74">
            <w:pPr>
              <w:pStyle w:val="Listnum"/>
              <w:spacing w:before="0"/>
              <w:rPr>
                <w:b/>
              </w:rPr>
            </w:pPr>
            <w:r w:rsidRPr="003819C8">
              <w:rPr>
                <w:b/>
              </w:rPr>
              <w:t>for projects completed, a statement of total VIPP Plan or LIDP outcomes (local content, employment (AEE)</w:t>
            </w:r>
            <w:r w:rsidR="000E0E4D">
              <w:rPr>
                <w:b/>
              </w:rPr>
              <w:t>)</w:t>
            </w:r>
            <w:r w:rsidRPr="003819C8">
              <w:rPr>
                <w:b/>
              </w:rPr>
              <w:t xml:space="preserve"> achieved as a result of these </w:t>
            </w:r>
            <w:proofErr w:type="gramStart"/>
            <w:r w:rsidR="00955FBD">
              <w:rPr>
                <w:b/>
              </w:rPr>
              <w:t>projects</w:t>
            </w:r>
            <w:r w:rsidRPr="003819C8">
              <w:rPr>
                <w:b/>
              </w:rPr>
              <w:t>;</w:t>
            </w:r>
            <w:proofErr w:type="gramEnd"/>
          </w:p>
          <w:p w14:paraId="51311BDC" w14:textId="24EE3ABB" w:rsidR="00CE7A8E" w:rsidRDefault="00CE7A8E" w:rsidP="00380C74">
            <w:pPr>
              <w:pStyle w:val="Listnum"/>
              <w:spacing w:before="0"/>
              <w:rPr>
                <w:b/>
              </w:rPr>
            </w:pPr>
            <w:r w:rsidRPr="00380C74">
              <w:rPr>
                <w:b/>
              </w:rPr>
              <w:t>the number of small and medium sized businesses engaged as either the princip</w:t>
            </w:r>
            <w:r>
              <w:rPr>
                <w:b/>
              </w:rPr>
              <w:t>al</w:t>
            </w:r>
            <w:r w:rsidRPr="00380C74">
              <w:rPr>
                <w:b/>
              </w:rPr>
              <w:t xml:space="preserve"> contractor or as part of the supply chain</w:t>
            </w:r>
            <w:r w:rsidR="004833B7">
              <w:rPr>
                <w:b/>
              </w:rPr>
              <w:t xml:space="preserve">; and </w:t>
            </w:r>
          </w:p>
          <w:p w14:paraId="1329FCFA" w14:textId="47E82983" w:rsidR="004833B7" w:rsidRPr="00380C74" w:rsidRDefault="00D63328" w:rsidP="00380C74">
            <w:pPr>
              <w:pStyle w:val="Listnum"/>
              <w:spacing w:before="0"/>
              <w:rPr>
                <w:b/>
              </w:rPr>
            </w:pPr>
            <w:r>
              <w:rPr>
                <w:b/>
              </w:rPr>
              <w:t xml:space="preserve">for completed projects, </w:t>
            </w:r>
            <w:r w:rsidR="004833B7">
              <w:rPr>
                <w:b/>
              </w:rPr>
              <w:t xml:space="preserve">the number of post contract reviews </w:t>
            </w:r>
            <w:r w:rsidR="001648B1">
              <w:rPr>
                <w:b/>
              </w:rPr>
              <w:t xml:space="preserve">due to be </w:t>
            </w:r>
            <w:r w:rsidR="004713BC">
              <w:rPr>
                <w:b/>
              </w:rPr>
              <w:t>submitted</w:t>
            </w:r>
            <w:r w:rsidR="00A81770">
              <w:rPr>
                <w:b/>
              </w:rPr>
              <w:t>,</w:t>
            </w:r>
            <w:r w:rsidR="001648B1">
              <w:rPr>
                <w:b/>
              </w:rPr>
              <w:t xml:space="preserve"> the number of post contract reviews that were </w:t>
            </w:r>
            <w:r w:rsidR="004713BC">
              <w:rPr>
                <w:b/>
              </w:rPr>
              <w:t>submitted</w:t>
            </w:r>
            <w:r w:rsidR="001648B1">
              <w:rPr>
                <w:b/>
              </w:rPr>
              <w:t xml:space="preserve">. </w:t>
            </w:r>
          </w:p>
        </w:tc>
      </w:tr>
      <w:tr w:rsidR="00990216" w:rsidRPr="005828FE" w14:paraId="497AF2DD" w14:textId="77777777" w:rsidTr="00C44F1F">
        <w:tc>
          <w:tcPr>
            <w:tcW w:w="2293" w:type="dxa"/>
            <w:shd w:val="clear" w:color="auto" w:fill="F2F2F2" w:themeFill="background1" w:themeFillShade="F2"/>
          </w:tcPr>
          <w:p w14:paraId="7147C743" w14:textId="77777777" w:rsidR="00990216" w:rsidRPr="00CE7A8E" w:rsidRDefault="00990216" w:rsidP="007825E9">
            <w:pPr>
              <w:pStyle w:val="Normalbold"/>
              <w:spacing w:after="0"/>
            </w:pPr>
          </w:p>
        </w:tc>
        <w:tc>
          <w:tcPr>
            <w:tcW w:w="270" w:type="dxa"/>
            <w:shd w:val="clear" w:color="auto" w:fill="F2F2F2" w:themeFill="background1" w:themeFillShade="F2"/>
          </w:tcPr>
          <w:p w14:paraId="69B44176" w14:textId="77777777" w:rsidR="00990216" w:rsidRPr="00380C74" w:rsidRDefault="00990216" w:rsidP="007825E9">
            <w:pPr>
              <w:pStyle w:val="Normalgrey"/>
              <w:spacing w:after="0"/>
              <w:rPr>
                <w:b/>
              </w:rPr>
            </w:pPr>
          </w:p>
        </w:tc>
        <w:tc>
          <w:tcPr>
            <w:tcW w:w="540" w:type="dxa"/>
            <w:shd w:val="clear" w:color="auto" w:fill="F2F2F2" w:themeFill="background1" w:themeFillShade="F2"/>
          </w:tcPr>
          <w:p w14:paraId="434029E7" w14:textId="77777777" w:rsidR="00990216" w:rsidRPr="00380C74" w:rsidRDefault="00990216" w:rsidP="007825E9">
            <w:pPr>
              <w:pStyle w:val="Normalgrey"/>
              <w:spacing w:after="0"/>
              <w:rPr>
                <w:b/>
              </w:rPr>
            </w:pPr>
          </w:p>
        </w:tc>
        <w:tc>
          <w:tcPr>
            <w:tcW w:w="6134" w:type="dxa"/>
            <w:shd w:val="clear" w:color="auto" w:fill="F2F2F2" w:themeFill="background1" w:themeFillShade="F2"/>
          </w:tcPr>
          <w:p w14:paraId="0F945B30" w14:textId="77777777" w:rsidR="00990216" w:rsidRPr="00CE7A8E" w:rsidRDefault="00990216" w:rsidP="007825E9">
            <w:pPr>
              <w:spacing w:after="0"/>
              <w:rPr>
                <w:b/>
              </w:rPr>
            </w:pPr>
            <w:r w:rsidRPr="00CE7A8E">
              <w:rPr>
                <w:b/>
              </w:rPr>
              <w:t>Reporting on grants provided</w:t>
            </w:r>
          </w:p>
        </w:tc>
      </w:tr>
      <w:tr w:rsidR="00990216" w:rsidRPr="005828FE" w14:paraId="6CC3F3F2" w14:textId="77777777" w:rsidTr="00C44F1F">
        <w:tc>
          <w:tcPr>
            <w:tcW w:w="2293" w:type="dxa"/>
            <w:shd w:val="clear" w:color="auto" w:fill="F2F2F2" w:themeFill="background1" w:themeFillShade="F2"/>
          </w:tcPr>
          <w:p w14:paraId="0CC3EB7E" w14:textId="77777777" w:rsidR="00990216" w:rsidRPr="00CE7A8E" w:rsidRDefault="00990216" w:rsidP="00990216">
            <w:pPr>
              <w:pStyle w:val="Normalbold"/>
            </w:pPr>
          </w:p>
        </w:tc>
        <w:tc>
          <w:tcPr>
            <w:tcW w:w="270" w:type="dxa"/>
            <w:shd w:val="clear" w:color="auto" w:fill="F2F2F2" w:themeFill="background1" w:themeFillShade="F2"/>
          </w:tcPr>
          <w:p w14:paraId="532E0721" w14:textId="77777777" w:rsidR="00990216" w:rsidRPr="00380C74" w:rsidRDefault="00990216" w:rsidP="00990216">
            <w:pPr>
              <w:pStyle w:val="Normalgrey"/>
              <w:rPr>
                <w:b/>
              </w:rPr>
            </w:pPr>
          </w:p>
        </w:tc>
        <w:tc>
          <w:tcPr>
            <w:tcW w:w="540" w:type="dxa"/>
            <w:shd w:val="clear" w:color="auto" w:fill="F2F2F2" w:themeFill="background1" w:themeFillShade="F2"/>
          </w:tcPr>
          <w:p w14:paraId="27D46C55" w14:textId="77777777" w:rsidR="00990216" w:rsidRPr="00380C74" w:rsidRDefault="00990216" w:rsidP="00990216">
            <w:pPr>
              <w:pStyle w:val="Normalgrey"/>
              <w:rPr>
                <w:b/>
              </w:rPr>
            </w:pPr>
          </w:p>
        </w:tc>
        <w:tc>
          <w:tcPr>
            <w:tcW w:w="6134" w:type="dxa"/>
            <w:shd w:val="clear" w:color="auto" w:fill="F2F2F2" w:themeFill="background1" w:themeFillShade="F2"/>
          </w:tcPr>
          <w:p w14:paraId="1B4CCF93" w14:textId="77777777" w:rsidR="00990216" w:rsidRPr="00380C74" w:rsidRDefault="00990216" w:rsidP="00990216">
            <w:pPr>
              <w:pStyle w:val="Listnum"/>
              <w:numPr>
                <w:ilvl w:val="0"/>
                <w:numId w:val="27"/>
              </w:numPr>
              <w:rPr>
                <w:b/>
              </w:rPr>
            </w:pPr>
            <w:r w:rsidRPr="00380C74">
              <w:rPr>
                <w:b/>
              </w:rPr>
              <w:t>The total number of conversations with the Industry Capability Network that correspond with the registration and issue of an Interaction Reference Number.</w:t>
            </w:r>
          </w:p>
        </w:tc>
      </w:tr>
      <w:tr w:rsidR="005828FE" w:rsidRPr="005828FE" w14:paraId="2D05E5EE" w14:textId="77777777" w:rsidTr="00C44F1F">
        <w:tc>
          <w:tcPr>
            <w:tcW w:w="2293" w:type="dxa"/>
          </w:tcPr>
          <w:p w14:paraId="347277F0" w14:textId="77777777" w:rsidR="006C78FB" w:rsidRPr="005828FE" w:rsidRDefault="006C78FB" w:rsidP="00990216">
            <w:pPr>
              <w:pStyle w:val="Normalgrey"/>
              <w:pageBreakBefore/>
            </w:pPr>
            <w:r w:rsidRPr="005828FE">
              <w:lastRenderedPageBreak/>
              <w:t>Definitions</w:t>
            </w:r>
          </w:p>
        </w:tc>
        <w:tc>
          <w:tcPr>
            <w:tcW w:w="270" w:type="dxa"/>
          </w:tcPr>
          <w:p w14:paraId="266FF0C1" w14:textId="77777777" w:rsidR="006C78FB" w:rsidRPr="005828FE" w:rsidRDefault="006C78FB" w:rsidP="00286F9A">
            <w:pPr>
              <w:pStyle w:val="Normalgrey"/>
            </w:pPr>
          </w:p>
        </w:tc>
        <w:tc>
          <w:tcPr>
            <w:tcW w:w="540" w:type="dxa"/>
          </w:tcPr>
          <w:p w14:paraId="2F73E94A" w14:textId="77777777" w:rsidR="006C78FB" w:rsidRPr="005828FE" w:rsidRDefault="00990216" w:rsidP="00286F9A">
            <w:pPr>
              <w:pStyle w:val="Normalgrey"/>
            </w:pPr>
            <w:r>
              <w:t>6.1</w:t>
            </w:r>
          </w:p>
        </w:tc>
        <w:tc>
          <w:tcPr>
            <w:tcW w:w="6134" w:type="dxa"/>
          </w:tcPr>
          <w:p w14:paraId="0CC9992C" w14:textId="77777777" w:rsidR="006C78FB" w:rsidRPr="00E20142" w:rsidRDefault="00990216" w:rsidP="00E20142">
            <w:pPr>
              <w:pStyle w:val="Normalgrey"/>
            </w:pPr>
            <w:r w:rsidRPr="00990216">
              <w:t>For a complete glossary of terms related to Local Jobs First Policy and Guidelines refer to localjobsfirst.vic.gov.au.</w:t>
            </w:r>
          </w:p>
        </w:tc>
      </w:tr>
      <w:tr w:rsidR="00990216" w:rsidRPr="005828FE" w14:paraId="08007E6C" w14:textId="77777777" w:rsidTr="00C44F1F">
        <w:tc>
          <w:tcPr>
            <w:tcW w:w="2293" w:type="dxa"/>
          </w:tcPr>
          <w:p w14:paraId="5652B719" w14:textId="77777777" w:rsidR="00990216" w:rsidRPr="005828FE" w:rsidRDefault="00990216" w:rsidP="00382EE1">
            <w:pPr>
              <w:pStyle w:val="Normalgrey"/>
            </w:pPr>
          </w:p>
        </w:tc>
        <w:tc>
          <w:tcPr>
            <w:tcW w:w="270" w:type="dxa"/>
          </w:tcPr>
          <w:p w14:paraId="3E47198B" w14:textId="77777777" w:rsidR="00990216" w:rsidRPr="005828FE" w:rsidRDefault="00990216" w:rsidP="00286F9A">
            <w:pPr>
              <w:pStyle w:val="Normalgrey"/>
            </w:pPr>
          </w:p>
        </w:tc>
        <w:tc>
          <w:tcPr>
            <w:tcW w:w="540" w:type="dxa"/>
          </w:tcPr>
          <w:p w14:paraId="48ABACB5" w14:textId="77777777" w:rsidR="00990216" w:rsidRPr="005828FE" w:rsidRDefault="00990216" w:rsidP="00286F9A">
            <w:pPr>
              <w:pStyle w:val="Normalgrey"/>
            </w:pPr>
            <w:r>
              <w:t>6.2</w:t>
            </w:r>
          </w:p>
        </w:tc>
        <w:tc>
          <w:tcPr>
            <w:tcW w:w="6134" w:type="dxa"/>
          </w:tcPr>
          <w:p w14:paraId="7D0D72F8" w14:textId="77777777" w:rsidR="00990216" w:rsidRPr="00565CF3" w:rsidRDefault="00990216" w:rsidP="00990216">
            <w:pPr>
              <w:pStyle w:val="Normalgrey"/>
            </w:pPr>
            <w:r w:rsidRPr="00F90254">
              <w:rPr>
                <w:b/>
              </w:rPr>
              <w:t>Annualised Employee Equivalent (AEE)</w:t>
            </w:r>
            <w:r w:rsidRPr="00990216">
              <w:t xml:space="preserve"> – Annualised Employee Equivalent (AEE) is calculated by dividing the total number of ordinary working hours that an employee worked over the reporting period by the total number of full-time working hours paid per annum (this is generally 38 hours per week for 52 weeks per year). The employee’s working hours include paid leave (e.g. sick leave, paternity leave, recreation leave, long service leave etc.) but </w:t>
            </w:r>
            <w:r w:rsidR="00F90254" w:rsidRPr="00F90254">
              <w:rPr>
                <w:i/>
              </w:rPr>
              <w:t>not</w:t>
            </w:r>
            <w:r w:rsidR="00F90254" w:rsidRPr="00990216">
              <w:t xml:space="preserve"> </w:t>
            </w:r>
            <w:r w:rsidRPr="00990216">
              <w:t>unpaid leave.</w:t>
            </w:r>
          </w:p>
        </w:tc>
      </w:tr>
      <w:tr w:rsidR="00990216" w:rsidRPr="005828FE" w14:paraId="3C71960E" w14:textId="77777777" w:rsidTr="00C44F1F">
        <w:tc>
          <w:tcPr>
            <w:tcW w:w="2293" w:type="dxa"/>
          </w:tcPr>
          <w:p w14:paraId="15FE9F1F" w14:textId="77777777" w:rsidR="00990216" w:rsidRPr="005828FE" w:rsidRDefault="00990216" w:rsidP="00990216">
            <w:pPr>
              <w:pStyle w:val="Normalgrey"/>
            </w:pPr>
          </w:p>
        </w:tc>
        <w:tc>
          <w:tcPr>
            <w:tcW w:w="270" w:type="dxa"/>
          </w:tcPr>
          <w:p w14:paraId="642B3057" w14:textId="77777777" w:rsidR="00990216" w:rsidRPr="005828FE" w:rsidRDefault="00990216" w:rsidP="00990216">
            <w:pPr>
              <w:pStyle w:val="Normalgrey"/>
            </w:pPr>
          </w:p>
        </w:tc>
        <w:tc>
          <w:tcPr>
            <w:tcW w:w="540" w:type="dxa"/>
          </w:tcPr>
          <w:p w14:paraId="67EA6FC4" w14:textId="77777777" w:rsidR="00990216" w:rsidRPr="005828FE" w:rsidRDefault="00990216" w:rsidP="00990216">
            <w:pPr>
              <w:pStyle w:val="Normalgrey"/>
            </w:pPr>
            <w:r>
              <w:t>6.3</w:t>
            </w:r>
          </w:p>
        </w:tc>
        <w:tc>
          <w:tcPr>
            <w:tcW w:w="6134" w:type="dxa"/>
          </w:tcPr>
          <w:p w14:paraId="27CE9D34" w14:textId="13C6E58B" w:rsidR="00990216" w:rsidRPr="005C4A86" w:rsidRDefault="00990216" w:rsidP="00707197">
            <w:pPr>
              <w:pStyle w:val="Normalgrey"/>
            </w:pPr>
            <w:r w:rsidRPr="00F90254">
              <w:rPr>
                <w:b/>
              </w:rPr>
              <w:t>Industry Capability Network (ICN)</w:t>
            </w:r>
            <w:r w:rsidRPr="005C4A86">
              <w:t xml:space="preserve"> – means the organisation that manages the Local Jobs First </w:t>
            </w:r>
            <w:r w:rsidR="00362DDF">
              <w:t>Vi</w:t>
            </w:r>
            <w:r w:rsidR="00F73053">
              <w:t xml:space="preserve">ctorian </w:t>
            </w:r>
            <w:r w:rsidRPr="005C4A86">
              <w:t>Management Centre which administers the Local Jobs First on behalf of the Victorian Government at</w:t>
            </w:r>
            <w:r w:rsidR="00707197">
              <w:t xml:space="preserve"> </w:t>
            </w:r>
            <w:hyperlink r:id="rId12" w:history="1">
              <w:r w:rsidR="00707197" w:rsidRPr="00C05BA4">
                <w:rPr>
                  <w:rStyle w:val="Hyperlink"/>
                </w:rPr>
                <w:t>https://icnvic.force.com/login</w:t>
              </w:r>
            </w:hyperlink>
            <w:r w:rsidRPr="005C4A86">
              <w:t xml:space="preserve"> </w:t>
            </w:r>
          </w:p>
        </w:tc>
      </w:tr>
      <w:tr w:rsidR="00990216" w:rsidRPr="005828FE" w14:paraId="6E54F294" w14:textId="77777777" w:rsidTr="00C44F1F">
        <w:tc>
          <w:tcPr>
            <w:tcW w:w="2293" w:type="dxa"/>
          </w:tcPr>
          <w:p w14:paraId="6C965978" w14:textId="77777777" w:rsidR="00990216" w:rsidRPr="005828FE" w:rsidRDefault="00990216" w:rsidP="00990216">
            <w:pPr>
              <w:pStyle w:val="Normalgrey"/>
            </w:pPr>
          </w:p>
        </w:tc>
        <w:tc>
          <w:tcPr>
            <w:tcW w:w="270" w:type="dxa"/>
          </w:tcPr>
          <w:p w14:paraId="5EF34E3F" w14:textId="77777777" w:rsidR="00990216" w:rsidRPr="005828FE" w:rsidRDefault="00990216" w:rsidP="00990216">
            <w:pPr>
              <w:pStyle w:val="Normalgrey"/>
            </w:pPr>
          </w:p>
        </w:tc>
        <w:tc>
          <w:tcPr>
            <w:tcW w:w="540" w:type="dxa"/>
          </w:tcPr>
          <w:p w14:paraId="370DB841" w14:textId="77777777" w:rsidR="00990216" w:rsidRPr="005828FE" w:rsidRDefault="00990216" w:rsidP="00990216">
            <w:pPr>
              <w:pStyle w:val="Normalgrey"/>
            </w:pPr>
            <w:r>
              <w:t>6.4</w:t>
            </w:r>
          </w:p>
        </w:tc>
        <w:tc>
          <w:tcPr>
            <w:tcW w:w="6134" w:type="dxa"/>
          </w:tcPr>
          <w:p w14:paraId="246268A3" w14:textId="77777777" w:rsidR="00990216" w:rsidRPr="005C4A86" w:rsidRDefault="00990216" w:rsidP="00990216">
            <w:pPr>
              <w:pStyle w:val="Normalgrey"/>
            </w:pPr>
            <w:r w:rsidRPr="00F90254">
              <w:rPr>
                <w:b/>
              </w:rPr>
              <w:t>Interaction Reference Number</w:t>
            </w:r>
            <w:r w:rsidRPr="005C4A86">
              <w:t xml:space="preserve"> – the Interaction Reference Number is used in the application of the Local Jobs First in grants. </w:t>
            </w:r>
          </w:p>
        </w:tc>
      </w:tr>
      <w:tr w:rsidR="00990216" w:rsidRPr="005828FE" w14:paraId="517A7CEC" w14:textId="77777777" w:rsidTr="00C44F1F">
        <w:tc>
          <w:tcPr>
            <w:tcW w:w="2293" w:type="dxa"/>
          </w:tcPr>
          <w:p w14:paraId="4BEB0EE7" w14:textId="77777777" w:rsidR="00990216" w:rsidRPr="005828FE" w:rsidRDefault="00990216" w:rsidP="00990216">
            <w:pPr>
              <w:pStyle w:val="Normalgrey"/>
            </w:pPr>
          </w:p>
        </w:tc>
        <w:tc>
          <w:tcPr>
            <w:tcW w:w="270" w:type="dxa"/>
          </w:tcPr>
          <w:p w14:paraId="13A78691" w14:textId="77777777" w:rsidR="00990216" w:rsidRPr="005828FE" w:rsidRDefault="00990216" w:rsidP="00990216">
            <w:pPr>
              <w:pStyle w:val="Normalgrey"/>
            </w:pPr>
          </w:p>
        </w:tc>
        <w:tc>
          <w:tcPr>
            <w:tcW w:w="540" w:type="dxa"/>
          </w:tcPr>
          <w:p w14:paraId="1CE22991" w14:textId="77777777" w:rsidR="00990216" w:rsidRPr="005828FE" w:rsidRDefault="00990216" w:rsidP="00990216">
            <w:pPr>
              <w:pStyle w:val="Normalgrey"/>
            </w:pPr>
            <w:r>
              <w:t>6.5</w:t>
            </w:r>
          </w:p>
        </w:tc>
        <w:tc>
          <w:tcPr>
            <w:tcW w:w="6134" w:type="dxa"/>
          </w:tcPr>
          <w:p w14:paraId="2B615EB1" w14:textId="77777777" w:rsidR="00990216" w:rsidRPr="005C4A86" w:rsidRDefault="00990216" w:rsidP="00990216">
            <w:pPr>
              <w:pStyle w:val="Normalgrey"/>
            </w:pPr>
            <w:r w:rsidRPr="00F90254">
              <w:rPr>
                <w:b/>
              </w:rPr>
              <w:t>Local content</w:t>
            </w:r>
            <w:r w:rsidRPr="005C4A86">
              <w:t xml:space="preserve"> –</w:t>
            </w:r>
            <w:r>
              <w:t xml:space="preserve"> </w:t>
            </w:r>
            <w:r w:rsidRPr="005C4A86">
              <w:t xml:space="preserve">the term ‘local content’ covers all suppliers producing Australian or New Zealand (ANZ) goods or services or when they have added value to imported items. Under Section 3(1) of the </w:t>
            </w:r>
            <w:r w:rsidRPr="00B17BC7">
              <w:rPr>
                <w:i/>
              </w:rPr>
              <w:t>Local Jobs First Act 2003</w:t>
            </w:r>
            <w:r w:rsidRPr="005C4A86">
              <w:t>, local content means goods that are produced by local industry, or services that are supplied by local industry or construction activities carried out by local industry.</w:t>
            </w:r>
          </w:p>
        </w:tc>
      </w:tr>
      <w:tr w:rsidR="00990216" w:rsidRPr="005828FE" w14:paraId="4DA26ED7" w14:textId="77777777" w:rsidTr="00C44F1F">
        <w:tc>
          <w:tcPr>
            <w:tcW w:w="2293" w:type="dxa"/>
          </w:tcPr>
          <w:p w14:paraId="631754A8" w14:textId="77777777" w:rsidR="00990216" w:rsidRPr="005828FE" w:rsidRDefault="00990216" w:rsidP="00990216">
            <w:pPr>
              <w:pStyle w:val="Normalgrey"/>
            </w:pPr>
          </w:p>
        </w:tc>
        <w:tc>
          <w:tcPr>
            <w:tcW w:w="270" w:type="dxa"/>
          </w:tcPr>
          <w:p w14:paraId="11179297" w14:textId="77777777" w:rsidR="00990216" w:rsidRPr="005828FE" w:rsidRDefault="00990216" w:rsidP="00990216">
            <w:pPr>
              <w:pStyle w:val="Normalgrey"/>
            </w:pPr>
          </w:p>
        </w:tc>
        <w:tc>
          <w:tcPr>
            <w:tcW w:w="540" w:type="dxa"/>
          </w:tcPr>
          <w:p w14:paraId="505F715D" w14:textId="77777777" w:rsidR="00990216" w:rsidRPr="005828FE" w:rsidRDefault="00990216" w:rsidP="00990216">
            <w:pPr>
              <w:pStyle w:val="Normalgrey"/>
            </w:pPr>
            <w:r>
              <w:t>6.6</w:t>
            </w:r>
          </w:p>
        </w:tc>
        <w:tc>
          <w:tcPr>
            <w:tcW w:w="6134" w:type="dxa"/>
          </w:tcPr>
          <w:p w14:paraId="788CD3B3" w14:textId="77777777" w:rsidR="00990216" w:rsidRPr="005C4A86" w:rsidRDefault="00990216" w:rsidP="00990216">
            <w:pPr>
              <w:pStyle w:val="Normalgrey"/>
            </w:pPr>
            <w:r w:rsidRPr="00F90254">
              <w:rPr>
                <w:b/>
              </w:rPr>
              <w:t>Local Industry Development Plan (LIDP)</w:t>
            </w:r>
            <w:r w:rsidRPr="005C4A86">
              <w:t xml:space="preserve"> – means a document prepared by the supplier as part of the EOI, RFP and/or tender submission for a Local Jobs First project. The LIDP details the supplier’s commitment to address the Local Jobs First requirements and details the expected local content and job outcomes. An LIDP must have an ICN acknowledgement letter from the ICN to be admissible. </w:t>
            </w:r>
          </w:p>
        </w:tc>
      </w:tr>
      <w:tr w:rsidR="00990216" w:rsidRPr="005828FE" w14:paraId="041A6300" w14:textId="77777777" w:rsidTr="00C44F1F">
        <w:tc>
          <w:tcPr>
            <w:tcW w:w="2293" w:type="dxa"/>
          </w:tcPr>
          <w:p w14:paraId="6B830ED6" w14:textId="77777777" w:rsidR="00990216" w:rsidRPr="005828FE" w:rsidRDefault="00990216" w:rsidP="00990216">
            <w:pPr>
              <w:pStyle w:val="Normalgrey"/>
            </w:pPr>
          </w:p>
        </w:tc>
        <w:tc>
          <w:tcPr>
            <w:tcW w:w="270" w:type="dxa"/>
          </w:tcPr>
          <w:p w14:paraId="1DDD14B1" w14:textId="77777777" w:rsidR="00990216" w:rsidRPr="005828FE" w:rsidRDefault="00990216" w:rsidP="00990216">
            <w:pPr>
              <w:pStyle w:val="Normalgrey"/>
            </w:pPr>
          </w:p>
        </w:tc>
        <w:tc>
          <w:tcPr>
            <w:tcW w:w="540" w:type="dxa"/>
          </w:tcPr>
          <w:p w14:paraId="456F81F9" w14:textId="77777777" w:rsidR="00990216" w:rsidRPr="005828FE" w:rsidRDefault="00990216" w:rsidP="00990216">
            <w:pPr>
              <w:pStyle w:val="Normalgrey"/>
            </w:pPr>
            <w:r>
              <w:t>6.7</w:t>
            </w:r>
          </w:p>
        </w:tc>
        <w:tc>
          <w:tcPr>
            <w:tcW w:w="6134" w:type="dxa"/>
          </w:tcPr>
          <w:p w14:paraId="61DA05B9" w14:textId="77777777" w:rsidR="00990216" w:rsidRDefault="00990216" w:rsidP="00990216">
            <w:pPr>
              <w:pStyle w:val="Normalgrey"/>
            </w:pPr>
            <w:r w:rsidRPr="00F90254">
              <w:rPr>
                <w:b/>
              </w:rPr>
              <w:t>Local Jobs First Policy</w:t>
            </w:r>
            <w:r w:rsidRPr="005C4A86">
              <w:t xml:space="preserve"> – the Local Jobs First Policy is comprised of the Victorian Industry Participation Policy and the Major Projects Skills Guarantee.</w:t>
            </w:r>
          </w:p>
        </w:tc>
      </w:tr>
      <w:tr w:rsidR="00990216" w:rsidRPr="005828FE" w14:paraId="21078516" w14:textId="77777777" w:rsidTr="00C44F1F">
        <w:tc>
          <w:tcPr>
            <w:tcW w:w="2293" w:type="dxa"/>
          </w:tcPr>
          <w:p w14:paraId="0354B3D9" w14:textId="77777777" w:rsidR="00990216" w:rsidRPr="005828FE" w:rsidRDefault="00990216" w:rsidP="00382EE1">
            <w:pPr>
              <w:pStyle w:val="Normalgrey"/>
            </w:pPr>
          </w:p>
        </w:tc>
        <w:tc>
          <w:tcPr>
            <w:tcW w:w="270" w:type="dxa"/>
          </w:tcPr>
          <w:p w14:paraId="63842BD3" w14:textId="77777777" w:rsidR="00990216" w:rsidRPr="005828FE" w:rsidRDefault="00990216" w:rsidP="00286F9A">
            <w:pPr>
              <w:pStyle w:val="Normalgrey"/>
            </w:pPr>
          </w:p>
        </w:tc>
        <w:tc>
          <w:tcPr>
            <w:tcW w:w="540" w:type="dxa"/>
          </w:tcPr>
          <w:p w14:paraId="60922CFF" w14:textId="77777777" w:rsidR="00990216" w:rsidRPr="005828FE" w:rsidRDefault="00990216" w:rsidP="00286F9A">
            <w:pPr>
              <w:pStyle w:val="Normalgrey"/>
            </w:pPr>
            <w:r>
              <w:t>6.8</w:t>
            </w:r>
          </w:p>
        </w:tc>
        <w:tc>
          <w:tcPr>
            <w:tcW w:w="6134" w:type="dxa"/>
          </w:tcPr>
          <w:p w14:paraId="62D52054" w14:textId="77777777" w:rsidR="002E4A92" w:rsidRDefault="002E4A92" w:rsidP="00255BA7">
            <w:pPr>
              <w:pStyle w:val="Normalgrey"/>
            </w:pPr>
            <w:r w:rsidRPr="00F90254">
              <w:rPr>
                <w:b/>
              </w:rPr>
              <w:t>Local Jobs First Standard project</w:t>
            </w:r>
            <w:r>
              <w:t xml:space="preserve"> – is a project:</w:t>
            </w:r>
          </w:p>
          <w:p w14:paraId="254633B9" w14:textId="624FE0C3" w:rsidR="002E4A92" w:rsidRPr="00CE7A8E" w:rsidRDefault="002E4A92" w:rsidP="00380C74">
            <w:pPr>
              <w:pStyle w:val="Bullet1grey"/>
              <w:spacing w:before="0"/>
            </w:pPr>
            <w:r w:rsidRPr="00CE7A8E">
              <w:t xml:space="preserve">with a budget of $1 million or more in regional </w:t>
            </w:r>
            <w:proofErr w:type="gramStart"/>
            <w:r w:rsidRPr="00CE7A8E">
              <w:t>Victoria;</w:t>
            </w:r>
            <w:proofErr w:type="gramEnd"/>
          </w:p>
          <w:p w14:paraId="113B07B1" w14:textId="77777777" w:rsidR="002E4A92" w:rsidRPr="00CE7A8E" w:rsidRDefault="002E4A92" w:rsidP="00380C74">
            <w:pPr>
              <w:pStyle w:val="Bullet1grey"/>
              <w:spacing w:before="0"/>
            </w:pPr>
            <w:r w:rsidRPr="00CE7A8E">
              <w:t xml:space="preserve">with a budget of $3 million or more for state-wide projects or for projects in metropolitan </w:t>
            </w:r>
            <w:proofErr w:type="gramStart"/>
            <w:r w:rsidRPr="00CE7A8E">
              <w:t>Melbourne;</w:t>
            </w:r>
            <w:proofErr w:type="gramEnd"/>
          </w:p>
          <w:p w14:paraId="20A2CFB8" w14:textId="77777777" w:rsidR="00990216" w:rsidRPr="00565CF3" w:rsidRDefault="002E4A92" w:rsidP="00380C74">
            <w:pPr>
              <w:pStyle w:val="Bullet1grey"/>
              <w:spacing w:before="0"/>
            </w:pPr>
            <w:r w:rsidRPr="00CE7A8E">
              <w:t>declared to be a standard project by the Minister under section 7A (1) of the Act.</w:t>
            </w:r>
          </w:p>
        </w:tc>
      </w:tr>
      <w:tr w:rsidR="00255BA7" w:rsidRPr="005828FE" w14:paraId="1CD2863B" w14:textId="77777777" w:rsidTr="00C44F1F">
        <w:tc>
          <w:tcPr>
            <w:tcW w:w="2293" w:type="dxa"/>
          </w:tcPr>
          <w:p w14:paraId="38895C28" w14:textId="77777777" w:rsidR="00255BA7" w:rsidRPr="005828FE" w:rsidRDefault="00255BA7" w:rsidP="00255BA7">
            <w:pPr>
              <w:pStyle w:val="Normalgrey"/>
            </w:pPr>
          </w:p>
        </w:tc>
        <w:tc>
          <w:tcPr>
            <w:tcW w:w="270" w:type="dxa"/>
          </w:tcPr>
          <w:p w14:paraId="08A14918" w14:textId="77777777" w:rsidR="00255BA7" w:rsidRPr="005828FE" w:rsidRDefault="00255BA7" w:rsidP="00255BA7">
            <w:pPr>
              <w:pStyle w:val="Normalgrey"/>
            </w:pPr>
          </w:p>
        </w:tc>
        <w:tc>
          <w:tcPr>
            <w:tcW w:w="540" w:type="dxa"/>
          </w:tcPr>
          <w:p w14:paraId="2E7DDA0A" w14:textId="77777777" w:rsidR="00255BA7" w:rsidRPr="005828FE" w:rsidRDefault="00255BA7" w:rsidP="00255BA7">
            <w:pPr>
              <w:pStyle w:val="Normalgrey"/>
            </w:pPr>
            <w:r>
              <w:t>6.9</w:t>
            </w:r>
          </w:p>
        </w:tc>
        <w:tc>
          <w:tcPr>
            <w:tcW w:w="6134" w:type="dxa"/>
          </w:tcPr>
          <w:p w14:paraId="2D226D94" w14:textId="77777777" w:rsidR="00255BA7" w:rsidRPr="00436DAA" w:rsidRDefault="00255BA7" w:rsidP="00255BA7">
            <w:pPr>
              <w:pStyle w:val="Normalgrey"/>
            </w:pPr>
            <w:r w:rsidRPr="00F90254">
              <w:rPr>
                <w:b/>
              </w:rPr>
              <w:t>Local Jobs First Strategic project</w:t>
            </w:r>
            <w:r w:rsidRPr="00436DAA">
              <w:t xml:space="preserve"> – means a project with a budget of $50</w:t>
            </w:r>
            <w:r>
              <w:t> </w:t>
            </w:r>
            <w:r w:rsidRPr="00436DAA">
              <w:t xml:space="preserve">million or more or any other project declared to be Strategic Project by the Minister under section 7A (2) of the Act. </w:t>
            </w:r>
          </w:p>
        </w:tc>
      </w:tr>
      <w:tr w:rsidR="00255BA7" w:rsidRPr="005828FE" w14:paraId="320A796F" w14:textId="77777777" w:rsidTr="00C44F1F">
        <w:tc>
          <w:tcPr>
            <w:tcW w:w="2293" w:type="dxa"/>
          </w:tcPr>
          <w:p w14:paraId="53745981" w14:textId="77777777" w:rsidR="00255BA7" w:rsidRPr="005828FE" w:rsidRDefault="00255BA7" w:rsidP="00255BA7">
            <w:pPr>
              <w:pStyle w:val="Normalgrey"/>
            </w:pPr>
          </w:p>
        </w:tc>
        <w:tc>
          <w:tcPr>
            <w:tcW w:w="270" w:type="dxa"/>
          </w:tcPr>
          <w:p w14:paraId="319A7C10" w14:textId="77777777" w:rsidR="00255BA7" w:rsidRPr="005828FE" w:rsidRDefault="00255BA7" w:rsidP="00255BA7">
            <w:pPr>
              <w:pStyle w:val="Normalgrey"/>
            </w:pPr>
          </w:p>
        </w:tc>
        <w:tc>
          <w:tcPr>
            <w:tcW w:w="540" w:type="dxa"/>
          </w:tcPr>
          <w:p w14:paraId="0E962F42" w14:textId="77777777" w:rsidR="00255BA7" w:rsidRPr="005828FE" w:rsidRDefault="00255BA7" w:rsidP="00255BA7">
            <w:pPr>
              <w:pStyle w:val="Normalgrey"/>
            </w:pPr>
            <w:r>
              <w:t>6.10</w:t>
            </w:r>
          </w:p>
        </w:tc>
        <w:tc>
          <w:tcPr>
            <w:tcW w:w="6134" w:type="dxa"/>
          </w:tcPr>
          <w:p w14:paraId="329FA85B" w14:textId="77777777" w:rsidR="00255BA7" w:rsidRPr="00436DAA" w:rsidRDefault="00255BA7" w:rsidP="00255BA7">
            <w:pPr>
              <w:pStyle w:val="Normalgrey"/>
            </w:pPr>
            <w:r w:rsidRPr="00F90254">
              <w:rPr>
                <w:b/>
              </w:rPr>
              <w:t>Major Projects Skills Guarantee</w:t>
            </w:r>
            <w:r w:rsidRPr="00436DAA">
              <w:t xml:space="preserve"> – means a policy that provides job opportunities for apprentices, trainees and cadets on high value construction projects ($20 million and above).</w:t>
            </w:r>
          </w:p>
        </w:tc>
      </w:tr>
      <w:tr w:rsidR="00255BA7" w:rsidRPr="005828FE" w14:paraId="5FE7E93F" w14:textId="77777777" w:rsidTr="00955FBD">
        <w:trPr>
          <w:trHeight w:val="751"/>
        </w:trPr>
        <w:tc>
          <w:tcPr>
            <w:tcW w:w="0" w:type="dxa"/>
          </w:tcPr>
          <w:p w14:paraId="56E17103" w14:textId="77777777" w:rsidR="00255BA7" w:rsidRPr="005828FE" w:rsidRDefault="00255BA7" w:rsidP="00255BA7">
            <w:pPr>
              <w:pStyle w:val="Normalgrey"/>
            </w:pPr>
          </w:p>
        </w:tc>
        <w:tc>
          <w:tcPr>
            <w:tcW w:w="0" w:type="dxa"/>
          </w:tcPr>
          <w:p w14:paraId="21B96A31" w14:textId="77777777" w:rsidR="00255BA7" w:rsidRPr="005828FE" w:rsidRDefault="00255BA7" w:rsidP="00255BA7">
            <w:pPr>
              <w:pStyle w:val="Normalgrey"/>
            </w:pPr>
          </w:p>
        </w:tc>
        <w:tc>
          <w:tcPr>
            <w:tcW w:w="0" w:type="dxa"/>
          </w:tcPr>
          <w:p w14:paraId="612B9511" w14:textId="77777777" w:rsidR="00255BA7" w:rsidRPr="005828FE" w:rsidRDefault="00255BA7" w:rsidP="00255BA7">
            <w:pPr>
              <w:pStyle w:val="Normalgrey"/>
            </w:pPr>
            <w:r>
              <w:t>6.11</w:t>
            </w:r>
          </w:p>
        </w:tc>
        <w:tc>
          <w:tcPr>
            <w:tcW w:w="0" w:type="dxa"/>
          </w:tcPr>
          <w:p w14:paraId="6002A103" w14:textId="2355AC22" w:rsidR="00853EA2" w:rsidRPr="00436DAA" w:rsidRDefault="00255BA7" w:rsidP="00872C91">
            <w:pPr>
              <w:pStyle w:val="Normalgrey"/>
            </w:pPr>
            <w:r w:rsidRPr="00F90254">
              <w:rPr>
                <w:b/>
              </w:rPr>
              <w:t>Regional Victoria</w:t>
            </w:r>
            <w:r w:rsidRPr="00436DAA">
              <w:t xml:space="preserve"> – has the same meaning as in the </w:t>
            </w:r>
            <w:r w:rsidRPr="00255BA7">
              <w:rPr>
                <w:i/>
              </w:rPr>
              <w:t>Regional Development Victoria Act 2002</w:t>
            </w:r>
            <w:r w:rsidRPr="00436DAA">
              <w:t xml:space="preserve"> refer to Act. </w:t>
            </w:r>
          </w:p>
        </w:tc>
      </w:tr>
      <w:tr w:rsidR="00872C91" w:rsidRPr="005828FE" w14:paraId="1957FD4B" w14:textId="77777777" w:rsidTr="00C44F1F">
        <w:tc>
          <w:tcPr>
            <w:tcW w:w="2293" w:type="dxa"/>
          </w:tcPr>
          <w:p w14:paraId="08E6F16E" w14:textId="77777777" w:rsidR="00872C91" w:rsidRPr="005828FE" w:rsidRDefault="00872C91" w:rsidP="00255BA7">
            <w:pPr>
              <w:pStyle w:val="Normalgrey"/>
            </w:pPr>
          </w:p>
        </w:tc>
        <w:tc>
          <w:tcPr>
            <w:tcW w:w="270" w:type="dxa"/>
          </w:tcPr>
          <w:p w14:paraId="1EC8CF79" w14:textId="77777777" w:rsidR="00872C91" w:rsidRPr="005828FE" w:rsidRDefault="00872C91" w:rsidP="00255BA7">
            <w:pPr>
              <w:pStyle w:val="Normalgrey"/>
            </w:pPr>
          </w:p>
        </w:tc>
        <w:tc>
          <w:tcPr>
            <w:tcW w:w="540" w:type="dxa"/>
          </w:tcPr>
          <w:p w14:paraId="18CC0583" w14:textId="15719E14" w:rsidR="00872C91" w:rsidRDefault="00872C91" w:rsidP="00255BA7">
            <w:pPr>
              <w:pStyle w:val="Normalgrey"/>
            </w:pPr>
            <w:r>
              <w:t>6.12</w:t>
            </w:r>
          </w:p>
        </w:tc>
        <w:tc>
          <w:tcPr>
            <w:tcW w:w="6134" w:type="dxa"/>
          </w:tcPr>
          <w:p w14:paraId="65FC410A" w14:textId="6638644D" w:rsidR="00872C91" w:rsidRPr="00F90254" w:rsidRDefault="00872C91" w:rsidP="00255BA7">
            <w:pPr>
              <w:pStyle w:val="Normalgrey"/>
              <w:rPr>
                <w:b/>
              </w:rPr>
            </w:pPr>
            <w:r w:rsidRPr="00E93E99">
              <w:rPr>
                <w:b/>
                <w:bCs/>
              </w:rPr>
              <w:t>Post Contract Review</w:t>
            </w:r>
            <w:r>
              <w:t xml:space="preserve"> – the final reporting submitted at the end of a contract. This is submitted to the Industry Capability Network for verification.</w:t>
            </w:r>
          </w:p>
        </w:tc>
      </w:tr>
      <w:tr w:rsidR="00255BA7" w:rsidRPr="005828FE" w14:paraId="43F9ED3C" w14:textId="77777777" w:rsidTr="00C44F1F">
        <w:tc>
          <w:tcPr>
            <w:tcW w:w="2293" w:type="dxa"/>
          </w:tcPr>
          <w:p w14:paraId="5EEC0B13" w14:textId="77777777" w:rsidR="00255BA7" w:rsidRPr="005828FE" w:rsidRDefault="00255BA7" w:rsidP="00255BA7">
            <w:pPr>
              <w:pStyle w:val="Normalgrey"/>
            </w:pPr>
          </w:p>
        </w:tc>
        <w:tc>
          <w:tcPr>
            <w:tcW w:w="270" w:type="dxa"/>
          </w:tcPr>
          <w:p w14:paraId="2071B50A" w14:textId="77777777" w:rsidR="00255BA7" w:rsidRPr="005828FE" w:rsidRDefault="00255BA7" w:rsidP="00255BA7">
            <w:pPr>
              <w:pStyle w:val="Normalgrey"/>
            </w:pPr>
          </w:p>
        </w:tc>
        <w:tc>
          <w:tcPr>
            <w:tcW w:w="540" w:type="dxa"/>
          </w:tcPr>
          <w:p w14:paraId="453B1201" w14:textId="2D6E87F6" w:rsidR="00255BA7" w:rsidRPr="005828FE" w:rsidRDefault="00255BA7" w:rsidP="00255BA7">
            <w:pPr>
              <w:pStyle w:val="Normalgrey"/>
            </w:pPr>
            <w:r>
              <w:t>6.1</w:t>
            </w:r>
            <w:r w:rsidR="00872C91">
              <w:t>3</w:t>
            </w:r>
          </w:p>
        </w:tc>
        <w:tc>
          <w:tcPr>
            <w:tcW w:w="6134" w:type="dxa"/>
          </w:tcPr>
          <w:p w14:paraId="062E943F" w14:textId="77777777" w:rsidR="00255BA7" w:rsidRDefault="00255BA7" w:rsidP="00255BA7">
            <w:pPr>
              <w:pStyle w:val="Normalgrey"/>
            </w:pPr>
            <w:r w:rsidRPr="00F90254">
              <w:rPr>
                <w:b/>
              </w:rPr>
              <w:t>Victorian Industry Participation Policy (VIPP)</w:t>
            </w:r>
            <w:r w:rsidRPr="00436DAA">
              <w:t xml:space="preserve"> – The Victorian Industry Participation Policy is an industry development policy designed to ensure small and medium-sized enterprises are given full and fair opportunity to compete for Victorian Government contracts.</w:t>
            </w:r>
          </w:p>
        </w:tc>
      </w:tr>
      <w:tr w:rsidR="005828FE" w:rsidRPr="005828FE" w14:paraId="40895C05" w14:textId="77777777" w:rsidTr="00C44F1F">
        <w:tc>
          <w:tcPr>
            <w:tcW w:w="2293" w:type="dxa"/>
          </w:tcPr>
          <w:p w14:paraId="660EE10C" w14:textId="77777777" w:rsidR="006C78FB" w:rsidRPr="005828FE" w:rsidRDefault="006C78FB" w:rsidP="00382EE1">
            <w:pPr>
              <w:pStyle w:val="Normalgrey"/>
            </w:pPr>
            <w:r w:rsidRPr="005828FE">
              <w:t>Guidance</w:t>
            </w:r>
          </w:p>
        </w:tc>
        <w:tc>
          <w:tcPr>
            <w:tcW w:w="270" w:type="dxa"/>
          </w:tcPr>
          <w:p w14:paraId="63DC89C9" w14:textId="77777777" w:rsidR="006C78FB" w:rsidRPr="005828FE" w:rsidRDefault="006C78FB" w:rsidP="00286F9A">
            <w:pPr>
              <w:pStyle w:val="Normalgrey"/>
            </w:pPr>
          </w:p>
        </w:tc>
        <w:tc>
          <w:tcPr>
            <w:tcW w:w="540" w:type="dxa"/>
          </w:tcPr>
          <w:p w14:paraId="1E9ECA99" w14:textId="77777777" w:rsidR="006C78FB" w:rsidRPr="005828FE" w:rsidRDefault="00255BA7" w:rsidP="00286F9A">
            <w:pPr>
              <w:pStyle w:val="Normalgrey"/>
            </w:pPr>
            <w:r>
              <w:t>7.1</w:t>
            </w:r>
          </w:p>
        </w:tc>
        <w:tc>
          <w:tcPr>
            <w:tcW w:w="6134" w:type="dxa"/>
          </w:tcPr>
          <w:p w14:paraId="4CCF1C9C" w14:textId="77777777" w:rsidR="006C78FB" w:rsidRPr="005828FE" w:rsidRDefault="00255BA7" w:rsidP="00255BA7">
            <w:pPr>
              <w:pStyle w:val="Normalgrey"/>
            </w:pPr>
            <w:r w:rsidRPr="00255BA7">
              <w:t>The Local Jobs First Policy is comprised of the Victorian Industry Participation Policy (VIPP) and the Major Projects Skills Guarantee (MPSG).</w:t>
            </w:r>
          </w:p>
        </w:tc>
      </w:tr>
      <w:tr w:rsidR="00255BA7" w:rsidRPr="005828FE" w14:paraId="19D7F81C" w14:textId="77777777" w:rsidTr="00C44F1F">
        <w:tc>
          <w:tcPr>
            <w:tcW w:w="2293" w:type="dxa"/>
          </w:tcPr>
          <w:p w14:paraId="709C135D" w14:textId="77777777" w:rsidR="00255BA7" w:rsidRPr="005828FE" w:rsidRDefault="00255BA7" w:rsidP="00382EE1">
            <w:pPr>
              <w:pStyle w:val="Normalgrey"/>
            </w:pPr>
          </w:p>
        </w:tc>
        <w:tc>
          <w:tcPr>
            <w:tcW w:w="270" w:type="dxa"/>
          </w:tcPr>
          <w:p w14:paraId="2E9FD80A" w14:textId="77777777" w:rsidR="00255BA7" w:rsidRPr="005828FE" w:rsidRDefault="00255BA7" w:rsidP="00286F9A">
            <w:pPr>
              <w:pStyle w:val="Normalgrey"/>
            </w:pPr>
          </w:p>
        </w:tc>
        <w:tc>
          <w:tcPr>
            <w:tcW w:w="540" w:type="dxa"/>
          </w:tcPr>
          <w:p w14:paraId="452FB7D9" w14:textId="77777777" w:rsidR="00255BA7" w:rsidRPr="005828FE" w:rsidRDefault="00255BA7" w:rsidP="00286F9A">
            <w:pPr>
              <w:pStyle w:val="Normalgrey"/>
            </w:pPr>
            <w:r>
              <w:t>7.2</w:t>
            </w:r>
          </w:p>
        </w:tc>
        <w:tc>
          <w:tcPr>
            <w:tcW w:w="6134" w:type="dxa"/>
          </w:tcPr>
          <w:p w14:paraId="52ACCCDC" w14:textId="77777777" w:rsidR="00255BA7" w:rsidRPr="00255BA7" w:rsidRDefault="00255BA7" w:rsidP="00255BA7">
            <w:pPr>
              <w:pStyle w:val="Normalgrey"/>
            </w:pPr>
            <w:r w:rsidRPr="00255BA7">
              <w:t>The objectives of the Local Jobs First are:</w:t>
            </w:r>
          </w:p>
          <w:p w14:paraId="4A3BE345" w14:textId="77777777" w:rsidR="00255BA7" w:rsidRPr="00255BA7" w:rsidRDefault="00255BA7" w:rsidP="00380C74">
            <w:pPr>
              <w:pStyle w:val="Bullet1grey"/>
              <w:spacing w:before="0"/>
            </w:pPr>
            <w:r w:rsidRPr="00255BA7">
              <w:t xml:space="preserve">promoting employment and business growth by expanding market opportunities for local </w:t>
            </w:r>
            <w:proofErr w:type="gramStart"/>
            <w:r w:rsidRPr="00255BA7">
              <w:t>industry;</w:t>
            </w:r>
            <w:proofErr w:type="gramEnd"/>
          </w:p>
          <w:p w14:paraId="768AB59D" w14:textId="77777777" w:rsidR="00255BA7" w:rsidRPr="00255BA7" w:rsidRDefault="00255BA7" w:rsidP="00380C74">
            <w:pPr>
              <w:pStyle w:val="Bullet1grey"/>
              <w:spacing w:before="0"/>
            </w:pPr>
            <w:r w:rsidRPr="00255BA7">
              <w:t xml:space="preserve">providing contractors with increased access to, and raised awareness of, local industry </w:t>
            </w:r>
            <w:proofErr w:type="gramStart"/>
            <w:r w:rsidRPr="00255BA7">
              <w:t>capability;</w:t>
            </w:r>
            <w:proofErr w:type="gramEnd"/>
          </w:p>
          <w:p w14:paraId="42664949" w14:textId="77777777" w:rsidR="00255BA7" w:rsidRPr="00255BA7" w:rsidRDefault="00255BA7" w:rsidP="00380C74">
            <w:pPr>
              <w:pStyle w:val="Bullet1grey"/>
              <w:spacing w:before="0"/>
            </w:pPr>
            <w:r w:rsidRPr="00255BA7">
              <w:t>exposing local industry to world's best practice in workplace innovation, e-commerce and use of new technologies and materials; and</w:t>
            </w:r>
          </w:p>
          <w:p w14:paraId="69165C18" w14:textId="77777777" w:rsidR="00255BA7" w:rsidRPr="001302DE" w:rsidRDefault="00255BA7" w:rsidP="00380C74">
            <w:pPr>
              <w:pStyle w:val="Bullet1grey"/>
              <w:spacing w:before="0"/>
            </w:pPr>
            <w:r w:rsidRPr="00255BA7">
              <w:t>developing local industry's international competitiveness and flexibility in responding to changing global markets by giving local industry a fair opportunity to compete against foreign suppliers.</w:t>
            </w:r>
          </w:p>
        </w:tc>
      </w:tr>
      <w:tr w:rsidR="00255BA7" w:rsidRPr="005828FE" w14:paraId="560F227D" w14:textId="77777777" w:rsidTr="00C44F1F">
        <w:tc>
          <w:tcPr>
            <w:tcW w:w="2293" w:type="dxa"/>
          </w:tcPr>
          <w:p w14:paraId="0D561986" w14:textId="77777777" w:rsidR="00255BA7" w:rsidRPr="005828FE" w:rsidRDefault="00255BA7" w:rsidP="00382EE1">
            <w:pPr>
              <w:pStyle w:val="Normalgrey"/>
            </w:pPr>
          </w:p>
        </w:tc>
        <w:tc>
          <w:tcPr>
            <w:tcW w:w="270" w:type="dxa"/>
          </w:tcPr>
          <w:p w14:paraId="3B1DEADE" w14:textId="77777777" w:rsidR="00255BA7" w:rsidRPr="005828FE" w:rsidRDefault="00255BA7" w:rsidP="00286F9A">
            <w:pPr>
              <w:pStyle w:val="Normalgrey"/>
            </w:pPr>
          </w:p>
        </w:tc>
        <w:tc>
          <w:tcPr>
            <w:tcW w:w="540" w:type="dxa"/>
          </w:tcPr>
          <w:p w14:paraId="05C8218A" w14:textId="77777777" w:rsidR="00255BA7" w:rsidRPr="005828FE" w:rsidRDefault="00255BA7" w:rsidP="00286F9A">
            <w:pPr>
              <w:pStyle w:val="Normalgrey"/>
            </w:pPr>
            <w:r>
              <w:t>7.3</w:t>
            </w:r>
          </w:p>
        </w:tc>
        <w:tc>
          <w:tcPr>
            <w:tcW w:w="6134" w:type="dxa"/>
          </w:tcPr>
          <w:p w14:paraId="69BB6B45" w14:textId="77777777" w:rsidR="00255BA7" w:rsidRPr="00255BA7" w:rsidRDefault="00255BA7" w:rsidP="00255BA7">
            <w:pPr>
              <w:pStyle w:val="Normalgrey"/>
            </w:pPr>
            <w:r w:rsidRPr="00255BA7">
              <w:t>Departments and public bodies are required to apply Local Jobs First – to all projects over $3 million in metropolitan Melbourne or State-wide, and $1 million in regional Victoria.</w:t>
            </w:r>
          </w:p>
        </w:tc>
      </w:tr>
      <w:tr w:rsidR="00255BA7" w:rsidRPr="005828FE" w14:paraId="09FE9A03" w14:textId="77777777" w:rsidTr="00C44F1F">
        <w:tc>
          <w:tcPr>
            <w:tcW w:w="2293" w:type="dxa"/>
          </w:tcPr>
          <w:p w14:paraId="1DAAE8E2" w14:textId="77777777" w:rsidR="00255BA7" w:rsidRPr="005828FE" w:rsidRDefault="00255BA7" w:rsidP="00382EE1">
            <w:pPr>
              <w:pStyle w:val="Normalgrey"/>
            </w:pPr>
          </w:p>
        </w:tc>
        <w:tc>
          <w:tcPr>
            <w:tcW w:w="270" w:type="dxa"/>
          </w:tcPr>
          <w:p w14:paraId="40B4E6EA" w14:textId="77777777" w:rsidR="00255BA7" w:rsidRPr="005828FE" w:rsidRDefault="00255BA7" w:rsidP="00286F9A">
            <w:pPr>
              <w:pStyle w:val="Normalgrey"/>
            </w:pPr>
          </w:p>
        </w:tc>
        <w:tc>
          <w:tcPr>
            <w:tcW w:w="540" w:type="dxa"/>
          </w:tcPr>
          <w:p w14:paraId="770B7D6A" w14:textId="77777777" w:rsidR="00255BA7" w:rsidRPr="005828FE" w:rsidRDefault="00255BA7" w:rsidP="00286F9A">
            <w:pPr>
              <w:pStyle w:val="Normalgrey"/>
            </w:pPr>
            <w:r>
              <w:t>7.4</w:t>
            </w:r>
          </w:p>
        </w:tc>
        <w:tc>
          <w:tcPr>
            <w:tcW w:w="6134" w:type="dxa"/>
          </w:tcPr>
          <w:p w14:paraId="0ED7469E" w14:textId="77777777" w:rsidR="00255BA7" w:rsidRDefault="00255BA7" w:rsidP="00255BA7">
            <w:pPr>
              <w:pStyle w:val="Normalgrey"/>
            </w:pPr>
            <w:r>
              <w:t>The Local Jobs First Policy applies to the full range of Victorian Government projects that meet financial thresholds.</w:t>
            </w:r>
          </w:p>
          <w:p w14:paraId="73BCDFA8" w14:textId="77777777" w:rsidR="00255BA7" w:rsidRDefault="00255BA7" w:rsidP="00255BA7">
            <w:pPr>
              <w:pStyle w:val="Normalgrey"/>
            </w:pPr>
            <w:r>
              <w:t xml:space="preserve">Local Jobs First applicable projects include but are not limited to: </w:t>
            </w:r>
          </w:p>
          <w:p w14:paraId="2FDD1C14" w14:textId="77777777" w:rsidR="00255BA7" w:rsidRDefault="00255BA7" w:rsidP="00380C74">
            <w:pPr>
              <w:pStyle w:val="Bullet1grey"/>
              <w:spacing w:before="0"/>
            </w:pPr>
            <w:r>
              <w:t>purchase of goods and/or services, regardless of the method of procurement (including but not limited to individual project tenders, State Purchase Contracts, supplier panels)</w:t>
            </w:r>
          </w:p>
          <w:p w14:paraId="508B0268" w14:textId="77777777" w:rsidR="00255BA7" w:rsidRDefault="00255BA7" w:rsidP="00380C74">
            <w:pPr>
              <w:pStyle w:val="Bullet1grey"/>
              <w:spacing w:before="0"/>
            </w:pPr>
            <w:r>
              <w:t>construction projects (incorporating design and construction phases and all related elements), including but not limited to individual projects, Public Private Partnerships, Alliance Contracts, Market Led Proposals, supplier panels and auctions</w:t>
            </w:r>
          </w:p>
          <w:p w14:paraId="7FE83322" w14:textId="77777777" w:rsidR="00255BA7" w:rsidRPr="001302DE" w:rsidRDefault="00255BA7" w:rsidP="00380C74">
            <w:pPr>
              <w:pStyle w:val="Bullet1grey"/>
              <w:spacing w:before="0"/>
            </w:pPr>
            <w:r>
              <w:t>grant and loan projects, including but limited to grant agreements or loan arrangements to private, non-government and local government organisations for a single or group of projects.</w:t>
            </w:r>
          </w:p>
        </w:tc>
      </w:tr>
      <w:tr w:rsidR="00255BA7" w:rsidRPr="005828FE" w14:paraId="34D773C2" w14:textId="77777777" w:rsidTr="00C44F1F">
        <w:tc>
          <w:tcPr>
            <w:tcW w:w="2293" w:type="dxa"/>
          </w:tcPr>
          <w:p w14:paraId="076725E8" w14:textId="77777777" w:rsidR="00255BA7" w:rsidRPr="005828FE" w:rsidRDefault="00255BA7" w:rsidP="00382EE1">
            <w:pPr>
              <w:pStyle w:val="Normalgrey"/>
            </w:pPr>
          </w:p>
        </w:tc>
        <w:tc>
          <w:tcPr>
            <w:tcW w:w="270" w:type="dxa"/>
          </w:tcPr>
          <w:p w14:paraId="1B25ED55" w14:textId="77777777" w:rsidR="00255BA7" w:rsidRPr="005828FE" w:rsidRDefault="00255BA7" w:rsidP="00286F9A">
            <w:pPr>
              <w:pStyle w:val="Normalgrey"/>
            </w:pPr>
          </w:p>
        </w:tc>
        <w:tc>
          <w:tcPr>
            <w:tcW w:w="540" w:type="dxa"/>
          </w:tcPr>
          <w:p w14:paraId="190E8443" w14:textId="77777777" w:rsidR="00255BA7" w:rsidRPr="005828FE" w:rsidRDefault="00255BA7" w:rsidP="00286F9A">
            <w:pPr>
              <w:pStyle w:val="Normalgrey"/>
            </w:pPr>
            <w:r>
              <w:t>7.5</w:t>
            </w:r>
          </w:p>
        </w:tc>
        <w:tc>
          <w:tcPr>
            <w:tcW w:w="6134" w:type="dxa"/>
          </w:tcPr>
          <w:p w14:paraId="5CF4C286" w14:textId="77777777" w:rsidR="00255BA7" w:rsidRPr="001302DE" w:rsidRDefault="00255BA7" w:rsidP="00255BA7">
            <w:pPr>
              <w:pStyle w:val="Normalgrey"/>
            </w:pPr>
            <w:r w:rsidRPr="00255BA7">
              <w:t>For each project commencing from 15 August 2018, where an LIDP is required, departments and public bodies are required to apply a minimum 10 per cent formal weighting for industry development, and 10</w:t>
            </w:r>
            <w:r w:rsidR="00F76F3E">
              <w:t xml:space="preserve"> per cent</w:t>
            </w:r>
            <w:r w:rsidRPr="00255BA7">
              <w:t xml:space="preserve"> for job outcomes.</w:t>
            </w:r>
          </w:p>
        </w:tc>
      </w:tr>
      <w:tr w:rsidR="00255BA7" w:rsidRPr="005828FE" w14:paraId="410CC446" w14:textId="77777777" w:rsidTr="00C44F1F">
        <w:tc>
          <w:tcPr>
            <w:tcW w:w="2293" w:type="dxa"/>
          </w:tcPr>
          <w:p w14:paraId="4880B497" w14:textId="77777777" w:rsidR="00255BA7" w:rsidRPr="005828FE" w:rsidRDefault="00255BA7" w:rsidP="00382EE1">
            <w:pPr>
              <w:pStyle w:val="Normalgrey"/>
            </w:pPr>
          </w:p>
        </w:tc>
        <w:tc>
          <w:tcPr>
            <w:tcW w:w="270" w:type="dxa"/>
          </w:tcPr>
          <w:p w14:paraId="0C9CD9E7" w14:textId="77777777" w:rsidR="00255BA7" w:rsidRPr="005828FE" w:rsidRDefault="00255BA7" w:rsidP="00286F9A">
            <w:pPr>
              <w:pStyle w:val="Normalgrey"/>
            </w:pPr>
          </w:p>
        </w:tc>
        <w:tc>
          <w:tcPr>
            <w:tcW w:w="540" w:type="dxa"/>
          </w:tcPr>
          <w:p w14:paraId="78602C9C" w14:textId="77777777" w:rsidR="00255BA7" w:rsidRPr="005828FE" w:rsidRDefault="00255BA7" w:rsidP="00286F9A">
            <w:pPr>
              <w:pStyle w:val="Normalgrey"/>
            </w:pPr>
            <w:r>
              <w:t>7.6</w:t>
            </w:r>
          </w:p>
        </w:tc>
        <w:tc>
          <w:tcPr>
            <w:tcW w:w="6134" w:type="dxa"/>
          </w:tcPr>
          <w:p w14:paraId="1C9C57A2" w14:textId="77777777" w:rsidR="00255BA7" w:rsidRPr="00255BA7" w:rsidRDefault="00255BA7" w:rsidP="00255BA7">
            <w:pPr>
              <w:pStyle w:val="Normalgrey"/>
              <w:rPr>
                <w:b/>
              </w:rPr>
            </w:pPr>
            <w:r w:rsidRPr="00255BA7">
              <w:rPr>
                <w:b/>
              </w:rPr>
              <w:t>Illustrated example</w:t>
            </w:r>
          </w:p>
          <w:p w14:paraId="34DA982D" w14:textId="1EAE1E12" w:rsidR="00707197" w:rsidRPr="001302DE" w:rsidRDefault="00255BA7" w:rsidP="00707197">
            <w:pPr>
              <w:pStyle w:val="Normalgrey"/>
            </w:pPr>
            <w:r>
              <w:t xml:space="preserve">An example of a Local Jobs First disclosure is illustrated in the Model Report for Victorian Government Departments for the corresponding reporting period, available on the DTF website at: </w:t>
            </w:r>
            <w:hyperlink r:id="rId13" w:history="1">
              <w:r w:rsidR="00707197" w:rsidRPr="00C05BA4">
                <w:rPr>
                  <w:rStyle w:val="Hyperlink"/>
                </w:rPr>
                <w:t>www.dtf.vic.gov.au/Government-Financial-Management/Financial-reporting-policy/Model-report</w:t>
              </w:r>
            </w:hyperlink>
          </w:p>
        </w:tc>
      </w:tr>
      <w:tr w:rsidR="00255BA7" w:rsidRPr="005828FE" w14:paraId="6647045F" w14:textId="77777777" w:rsidTr="00C44F1F">
        <w:tc>
          <w:tcPr>
            <w:tcW w:w="2293" w:type="dxa"/>
          </w:tcPr>
          <w:p w14:paraId="21D287AD" w14:textId="77777777" w:rsidR="00255BA7" w:rsidRPr="005828FE" w:rsidRDefault="00255BA7" w:rsidP="00382EE1">
            <w:pPr>
              <w:pStyle w:val="Normalgrey"/>
            </w:pPr>
          </w:p>
        </w:tc>
        <w:tc>
          <w:tcPr>
            <w:tcW w:w="270" w:type="dxa"/>
          </w:tcPr>
          <w:p w14:paraId="24ABADF3" w14:textId="77777777" w:rsidR="00255BA7" w:rsidRPr="005828FE" w:rsidRDefault="00255BA7" w:rsidP="00286F9A">
            <w:pPr>
              <w:pStyle w:val="Normalgrey"/>
            </w:pPr>
          </w:p>
        </w:tc>
        <w:tc>
          <w:tcPr>
            <w:tcW w:w="540" w:type="dxa"/>
          </w:tcPr>
          <w:p w14:paraId="693CFC4C" w14:textId="77777777" w:rsidR="00255BA7" w:rsidRPr="005828FE" w:rsidRDefault="00255BA7" w:rsidP="00286F9A">
            <w:pPr>
              <w:pStyle w:val="Normalgrey"/>
            </w:pPr>
            <w:r>
              <w:t>7.7</w:t>
            </w:r>
          </w:p>
        </w:tc>
        <w:tc>
          <w:tcPr>
            <w:tcW w:w="6134" w:type="dxa"/>
          </w:tcPr>
          <w:p w14:paraId="522F72EE" w14:textId="0462AA28" w:rsidR="00707197" w:rsidRDefault="00781637" w:rsidP="00781637">
            <w:pPr>
              <w:pStyle w:val="Normalgrey"/>
            </w:pPr>
            <w:r>
              <w:t xml:space="preserve">Detailed information about Local Jobs First implementation and reporting is available on the </w:t>
            </w:r>
            <w:r w:rsidR="00B27576">
              <w:t xml:space="preserve">Department of Jobs Skills, Industry and Regions </w:t>
            </w:r>
            <w:r>
              <w:t xml:space="preserve">Local Jobs First website at: </w:t>
            </w:r>
            <w:hyperlink r:id="rId14" w:history="1">
              <w:r w:rsidR="00707197" w:rsidRPr="00C05BA4">
                <w:rPr>
                  <w:rStyle w:val="Hyperlink"/>
                </w:rPr>
                <w:t>www.localjobsfirst.vic.gov.au</w:t>
              </w:r>
            </w:hyperlink>
          </w:p>
          <w:p w14:paraId="38386352" w14:textId="7ED2DD8B" w:rsidR="00255BA7" w:rsidRPr="001302DE" w:rsidRDefault="00781637" w:rsidP="00781637">
            <w:pPr>
              <w:pStyle w:val="Normalgrey"/>
            </w:pPr>
            <w:r>
              <w:t xml:space="preserve">Further inquiries can be directed to the Industry Participation Team by email, localjobsfirst@ecodev.vic.gov.au </w:t>
            </w:r>
          </w:p>
        </w:tc>
      </w:tr>
      <w:tr w:rsidR="005828FE" w:rsidRPr="005828FE" w14:paraId="44F98418" w14:textId="77777777" w:rsidTr="00C44F1F">
        <w:tc>
          <w:tcPr>
            <w:tcW w:w="2293" w:type="dxa"/>
          </w:tcPr>
          <w:p w14:paraId="4D7FAA92" w14:textId="77777777" w:rsidR="006C78FB" w:rsidRPr="005828FE" w:rsidRDefault="006C78FB" w:rsidP="00382EE1">
            <w:pPr>
              <w:pStyle w:val="Normalgrey"/>
            </w:pPr>
            <w:r w:rsidRPr="005828FE">
              <w:t>Relevant pronouncements</w:t>
            </w:r>
          </w:p>
        </w:tc>
        <w:tc>
          <w:tcPr>
            <w:tcW w:w="270" w:type="dxa"/>
          </w:tcPr>
          <w:p w14:paraId="35BF78C2" w14:textId="77777777" w:rsidR="006C78FB" w:rsidRPr="005828FE" w:rsidRDefault="006C78FB" w:rsidP="00286F9A">
            <w:pPr>
              <w:pStyle w:val="Normalgrey"/>
            </w:pPr>
          </w:p>
        </w:tc>
        <w:tc>
          <w:tcPr>
            <w:tcW w:w="540" w:type="dxa"/>
          </w:tcPr>
          <w:p w14:paraId="0D887C87" w14:textId="47AF84FE" w:rsidR="006C78FB" w:rsidRPr="005828FE" w:rsidRDefault="0036686F" w:rsidP="00286F9A">
            <w:pPr>
              <w:pStyle w:val="Normalgrey"/>
            </w:pPr>
            <w:r>
              <w:t>8.1</w:t>
            </w:r>
          </w:p>
        </w:tc>
        <w:tc>
          <w:tcPr>
            <w:tcW w:w="6134" w:type="dxa"/>
          </w:tcPr>
          <w:p w14:paraId="481DF68C" w14:textId="113BE608" w:rsidR="007825E9" w:rsidRPr="00380C74" w:rsidRDefault="007825E9" w:rsidP="00380C74">
            <w:pPr>
              <w:pStyle w:val="Bullet1grey"/>
              <w:spacing w:before="0"/>
              <w:rPr>
                <w:i/>
                <w:iCs/>
              </w:rPr>
            </w:pPr>
            <w:r w:rsidRPr="00380C74">
              <w:rPr>
                <w:i/>
                <w:iCs/>
              </w:rPr>
              <w:t>The Local Jobs First Act 2003</w:t>
            </w:r>
          </w:p>
          <w:p w14:paraId="408838D8" w14:textId="4393D36A" w:rsidR="00707197" w:rsidRPr="005828FE" w:rsidRDefault="007825E9" w:rsidP="00380C74">
            <w:pPr>
              <w:pStyle w:val="Bullet1grey"/>
              <w:spacing w:before="0"/>
            </w:pPr>
            <w:r>
              <w:t xml:space="preserve">Local Jobs First Policy and Local Jobs First Agency – Guidelines for agencies, as amended from time to time, located at: </w:t>
            </w:r>
            <w:hyperlink r:id="rId15" w:history="1">
              <w:r w:rsidR="00707197" w:rsidRPr="00C05BA4">
                <w:rPr>
                  <w:rStyle w:val="Hyperlink"/>
                </w:rPr>
                <w:t>www.localjobsfirst.vic.gov.au</w:t>
              </w:r>
            </w:hyperlink>
          </w:p>
        </w:tc>
      </w:tr>
      <w:tr w:rsidR="005828FE" w:rsidRPr="005828FE" w14:paraId="3D30CC3D" w14:textId="77777777" w:rsidTr="00C44F1F">
        <w:tc>
          <w:tcPr>
            <w:tcW w:w="2293" w:type="dxa"/>
          </w:tcPr>
          <w:p w14:paraId="334D6D74" w14:textId="77777777" w:rsidR="006C78FB" w:rsidRPr="005828FE" w:rsidRDefault="006C78FB" w:rsidP="00382EE1">
            <w:pPr>
              <w:pStyle w:val="Normalgrey"/>
            </w:pPr>
            <w:r w:rsidRPr="005828FE">
              <w:t>Background</w:t>
            </w:r>
          </w:p>
        </w:tc>
        <w:tc>
          <w:tcPr>
            <w:tcW w:w="270" w:type="dxa"/>
          </w:tcPr>
          <w:p w14:paraId="3C6CC1B9" w14:textId="77777777" w:rsidR="006C78FB" w:rsidRPr="005828FE" w:rsidRDefault="006C78FB" w:rsidP="00286F9A">
            <w:pPr>
              <w:pStyle w:val="Normalgrey"/>
            </w:pPr>
          </w:p>
        </w:tc>
        <w:tc>
          <w:tcPr>
            <w:tcW w:w="540" w:type="dxa"/>
          </w:tcPr>
          <w:p w14:paraId="3350B418" w14:textId="4A61CC46" w:rsidR="006C78FB" w:rsidRPr="005828FE" w:rsidRDefault="0036686F" w:rsidP="00286F9A">
            <w:pPr>
              <w:pStyle w:val="Normalgrey"/>
            </w:pPr>
            <w:r>
              <w:t>9.1</w:t>
            </w:r>
          </w:p>
        </w:tc>
        <w:tc>
          <w:tcPr>
            <w:tcW w:w="6134" w:type="dxa"/>
          </w:tcPr>
          <w:p w14:paraId="3A5A81C2" w14:textId="4B9D6579" w:rsidR="005F13AE" w:rsidRPr="005828FE" w:rsidRDefault="007825E9" w:rsidP="0036686F">
            <w:pPr>
              <w:pStyle w:val="Normalgrey"/>
            </w:pPr>
            <w:r>
              <w:t xml:space="preserve">In October 2003, the Victorian Parliament passed the Victorian </w:t>
            </w:r>
            <w:r w:rsidRPr="007825E9">
              <w:rPr>
                <w:i/>
              </w:rPr>
              <w:t>Industry Participation Policy Act 2003</w:t>
            </w:r>
            <w:r>
              <w:t xml:space="preserve">. This Act requires public bodies and departments to report on the implementation of the Victorian Industry Participation Policy. These actions were the basis of FRD 25. </w:t>
            </w:r>
            <w:r w:rsidR="00D45C2B">
              <w:t xml:space="preserve"> </w:t>
            </w:r>
          </w:p>
        </w:tc>
      </w:tr>
      <w:tr w:rsidR="0036686F" w:rsidRPr="005828FE" w14:paraId="7C3CB043" w14:textId="77777777" w:rsidTr="00C44F1F">
        <w:tc>
          <w:tcPr>
            <w:tcW w:w="2293" w:type="dxa"/>
          </w:tcPr>
          <w:p w14:paraId="3980156A" w14:textId="77777777" w:rsidR="0036686F" w:rsidRPr="005828FE" w:rsidRDefault="0036686F" w:rsidP="00382EE1">
            <w:pPr>
              <w:pStyle w:val="Normalgrey"/>
            </w:pPr>
          </w:p>
        </w:tc>
        <w:tc>
          <w:tcPr>
            <w:tcW w:w="270" w:type="dxa"/>
          </w:tcPr>
          <w:p w14:paraId="01C25FC0" w14:textId="77777777" w:rsidR="0036686F" w:rsidRPr="005828FE" w:rsidRDefault="0036686F" w:rsidP="00286F9A">
            <w:pPr>
              <w:pStyle w:val="Normalgrey"/>
            </w:pPr>
          </w:p>
        </w:tc>
        <w:tc>
          <w:tcPr>
            <w:tcW w:w="540" w:type="dxa"/>
          </w:tcPr>
          <w:p w14:paraId="18E003DF" w14:textId="09688560" w:rsidR="0036686F" w:rsidRDefault="00707197" w:rsidP="00286F9A">
            <w:pPr>
              <w:pStyle w:val="Normalgrey"/>
            </w:pPr>
            <w:r>
              <w:t>9.2</w:t>
            </w:r>
          </w:p>
        </w:tc>
        <w:tc>
          <w:tcPr>
            <w:tcW w:w="6134" w:type="dxa"/>
          </w:tcPr>
          <w:p w14:paraId="14135F97" w14:textId="7ECFEE7F" w:rsidR="0036686F" w:rsidRDefault="0036686F" w:rsidP="00380C74">
            <w:pPr>
              <w:pStyle w:val="Normalgrey"/>
            </w:pPr>
            <w:r>
              <w:t xml:space="preserve">This FRD was </w:t>
            </w:r>
            <w:r w:rsidR="00CE7A8E">
              <w:t>revised</w:t>
            </w:r>
            <w:r>
              <w:t xml:space="preserve"> in:</w:t>
            </w:r>
          </w:p>
          <w:p w14:paraId="4646EF02" w14:textId="27396B1D" w:rsidR="0036686F" w:rsidRDefault="0036686F" w:rsidP="00380C74">
            <w:pPr>
              <w:pStyle w:val="Bullet1grey"/>
              <w:spacing w:before="0"/>
            </w:pPr>
            <w:r>
              <w:t>2009 to incorporate VIPP reporting guidelines following the Victorian Industry and Manufacturing Statement, Building Our Industries for the Future.</w:t>
            </w:r>
          </w:p>
          <w:p w14:paraId="2A4C00AF" w14:textId="0202CB40" w:rsidR="0036686F" w:rsidRDefault="0036686F" w:rsidP="00380C74">
            <w:pPr>
              <w:pStyle w:val="Bullet1grey"/>
              <w:spacing w:before="0"/>
            </w:pPr>
            <w:r>
              <w:t>May 2014 following the Victorian Government’s reform to VIPP on 1 January 2013 to provide a stronger focus on contestable procurement opportunities, and to improve monitoring and reporting of VIPP outcomes.</w:t>
            </w:r>
          </w:p>
          <w:p w14:paraId="40C31510" w14:textId="403C0B73" w:rsidR="0036686F" w:rsidRDefault="0036686F" w:rsidP="00380C74">
            <w:pPr>
              <w:pStyle w:val="Bullet1grey"/>
              <w:spacing w:before="0"/>
            </w:pPr>
            <w:r>
              <w:t>October 2016 following the implementation of the Victorian Government’s remaining reform commitments to VIPP. The reforms include the introduction of a formal minimum 10 per cent weighting of local content in the project tender evaluation of applicable projects, and the new brand ‘Local Jobs First’ to sit alongside the legislative VIPP brand, to reflect what the policy is seeking to achieve.</w:t>
            </w:r>
          </w:p>
          <w:p w14:paraId="170BD856" w14:textId="0A8E6932" w:rsidR="0036686F" w:rsidRDefault="00707197" w:rsidP="00380C74">
            <w:pPr>
              <w:pStyle w:val="Bullet1grey"/>
              <w:spacing w:before="0"/>
            </w:pPr>
            <w:r>
              <w:t>April 2019</w:t>
            </w:r>
            <w:r w:rsidR="0036686F">
              <w:t xml:space="preserve">, </w:t>
            </w:r>
            <w:r>
              <w:t xml:space="preserve">after </w:t>
            </w:r>
            <w:r w:rsidR="0036686F">
              <w:t xml:space="preserve">the Victorian Parliament reformed the </w:t>
            </w:r>
            <w:r w:rsidR="0036686F" w:rsidRPr="007825E9">
              <w:rPr>
                <w:i/>
              </w:rPr>
              <w:t xml:space="preserve">Victorian Industry Participation Policy Act 2003 </w:t>
            </w:r>
            <w:r w:rsidR="0036686F">
              <w:t xml:space="preserve">into the </w:t>
            </w:r>
            <w:r w:rsidR="0036686F" w:rsidRPr="007825E9">
              <w:rPr>
                <w:i/>
              </w:rPr>
              <w:t>Local Jobs First Act 2003</w:t>
            </w:r>
            <w:r>
              <w:t>.</w:t>
            </w:r>
          </w:p>
          <w:p w14:paraId="3C7726B2" w14:textId="14666B79" w:rsidR="0036686F" w:rsidRDefault="0036686F" w:rsidP="00380C74">
            <w:pPr>
              <w:pStyle w:val="Bullet1grey"/>
              <w:spacing w:before="0"/>
            </w:pPr>
            <w:r>
              <w:t>April 2019 following amendments to the</w:t>
            </w:r>
            <w:r w:rsidRPr="007825E9">
              <w:rPr>
                <w:i/>
              </w:rPr>
              <w:t xml:space="preserve"> Local Jobs First Act 2003</w:t>
            </w:r>
            <w:r>
              <w:t>. The amendments to the Act established VIPP and MPSG under Local Jobs First, streamlined reporting requirements, and established the role of the Local Jobs First Commissioner.</w:t>
            </w:r>
          </w:p>
          <w:p w14:paraId="781651E6" w14:textId="77777777" w:rsidR="0036686F" w:rsidRDefault="00707197" w:rsidP="00380C74">
            <w:pPr>
              <w:pStyle w:val="Bullet1grey"/>
              <w:spacing w:before="0"/>
            </w:pPr>
            <w:r>
              <w:t xml:space="preserve">April 2022 </w:t>
            </w:r>
            <w:r w:rsidR="0036686F">
              <w:t>to update website links and clarify reporting requirements for employment outcomes and small and medium sized business participation.</w:t>
            </w:r>
          </w:p>
          <w:p w14:paraId="6501418D" w14:textId="10537E86" w:rsidR="005D7ECA" w:rsidRDefault="009114F2" w:rsidP="00380C74">
            <w:pPr>
              <w:pStyle w:val="Bullet1grey"/>
              <w:spacing w:before="0"/>
            </w:pPr>
            <w:r w:rsidRPr="00492E3C">
              <w:t xml:space="preserve">April 2025 to include disclosure </w:t>
            </w:r>
            <w:r w:rsidR="00492E3C" w:rsidRPr="00B17BC7">
              <w:t>of post contract reviews and completion reporting. This was added to bring disclosure requirements in line with the policy</w:t>
            </w:r>
            <w:r w:rsidRPr="00492E3C">
              <w:t>.</w:t>
            </w:r>
          </w:p>
        </w:tc>
      </w:tr>
    </w:tbl>
    <w:p w14:paraId="7AEC8C34" w14:textId="77777777" w:rsidR="008C63EE" w:rsidRDefault="008C63EE" w:rsidP="00FE782F"/>
    <w:sectPr w:rsidR="008C63EE" w:rsidSect="005828FE">
      <w:headerReference w:type="default" r:id="rId16"/>
      <w:footerReference w:type="even" r:id="rId17"/>
      <w:footerReference w:type="default" r:id="rId18"/>
      <w:pgSz w:w="11906" w:h="16838" w:code="9"/>
      <w:pgMar w:top="1802" w:right="1440" w:bottom="1350" w:left="1440" w:header="450"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5728" w14:textId="77777777" w:rsidR="003E0B34" w:rsidRDefault="003E0B34" w:rsidP="002D711A">
      <w:pPr>
        <w:spacing w:after="0" w:line="240" w:lineRule="auto"/>
      </w:pPr>
      <w:r>
        <w:separator/>
      </w:r>
    </w:p>
    <w:p w14:paraId="2CA9583F" w14:textId="77777777" w:rsidR="003E0B34" w:rsidRDefault="003E0B34"/>
  </w:endnote>
  <w:endnote w:type="continuationSeparator" w:id="0">
    <w:p w14:paraId="005C890C" w14:textId="77777777" w:rsidR="003E0B34" w:rsidRDefault="003E0B34" w:rsidP="002D711A">
      <w:pPr>
        <w:spacing w:after="0" w:line="240" w:lineRule="auto"/>
      </w:pPr>
      <w:r>
        <w:continuationSeparator/>
      </w:r>
    </w:p>
    <w:p w14:paraId="79024B20" w14:textId="77777777" w:rsidR="003E0B34" w:rsidRDefault="003E0B34"/>
  </w:endnote>
  <w:endnote w:type="continuationNotice" w:id="1">
    <w:p w14:paraId="3E33641A" w14:textId="77777777" w:rsidR="003E0B34" w:rsidRDefault="003E0B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4B5F" w14:textId="77777777" w:rsidR="00014213" w:rsidRPr="00014213" w:rsidRDefault="00014213" w:rsidP="00C022F9">
    <w:pPr>
      <w:pStyle w:val="Footer"/>
    </w:pPr>
    <w:r>
      <w:drawing>
        <wp:anchor distT="0" distB="0" distL="114300" distR="114300" simplePos="0" relativeHeight="251658240" behindDoc="0" locked="0" layoutInCell="1" allowOverlap="1" wp14:anchorId="7CA3976F" wp14:editId="2AF58A6A">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70E37AE" w14:textId="77777777" w:rsidR="0057703D" w:rsidRDefault="00577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35D7" w14:textId="6D4E6FB5" w:rsidR="00A516DE" w:rsidRDefault="004D3C58" w:rsidP="00A516DE">
    <w:pPr>
      <w:pStyle w:val="Spacer"/>
    </w:pPr>
    <w:r>
      <w:rPr>
        <w:noProof/>
      </w:rPr>
      <mc:AlternateContent>
        <mc:Choice Requires="wps">
          <w:drawing>
            <wp:anchor distT="0" distB="0" distL="114300" distR="114300" simplePos="0" relativeHeight="251658241" behindDoc="0" locked="0" layoutInCell="0" allowOverlap="1" wp14:anchorId="7520538F" wp14:editId="41E1F97C">
              <wp:simplePos x="0" y="0"/>
              <wp:positionH relativeFrom="page">
                <wp:posOffset>0</wp:posOffset>
              </wp:positionH>
              <wp:positionV relativeFrom="page">
                <wp:posOffset>10227945</wp:posOffset>
              </wp:positionV>
              <wp:extent cx="7560310" cy="273050"/>
              <wp:effectExtent l="0" t="0" r="0" b="12700"/>
              <wp:wrapNone/>
              <wp:docPr id="1" name="MSIPCM69a645a5a51f6b7c2eef43f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006D62" w14:textId="3FCFFFFB" w:rsidR="004D3C58" w:rsidRPr="004D3C58" w:rsidRDefault="004D3C58" w:rsidP="004D3C58">
                          <w:pPr>
                            <w:spacing w:before="0" w:after="0"/>
                            <w:rPr>
                              <w:rFonts w:ascii="Calibri" w:hAnsi="Calibri" w:cs="Calibri"/>
                              <w:color w:val="000000"/>
                              <w:sz w:val="22"/>
                            </w:rPr>
                          </w:pPr>
                          <w:r w:rsidRPr="004D3C5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20538F" id="_x0000_t202" coordsize="21600,21600" o:spt="202" path="m,l,21600r21600,l21600,xe">
              <v:stroke joinstyle="miter"/>
              <v:path gradientshapeok="t" o:connecttype="rect"/>
            </v:shapetype>
            <v:shape id="MSIPCM69a645a5a51f6b7c2eef43f5"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8006D62" w14:textId="3FCFFFFB" w:rsidR="004D3C58" w:rsidRPr="004D3C58" w:rsidRDefault="004D3C58" w:rsidP="004D3C58">
                    <w:pPr>
                      <w:spacing w:before="0" w:after="0"/>
                      <w:rPr>
                        <w:rFonts w:ascii="Calibri" w:hAnsi="Calibri" w:cs="Calibri"/>
                        <w:color w:val="000000"/>
                        <w:sz w:val="22"/>
                      </w:rPr>
                    </w:pPr>
                    <w:r w:rsidRPr="004D3C58">
                      <w:rPr>
                        <w:rFonts w:ascii="Calibri" w:hAnsi="Calibri" w:cs="Calibri"/>
                        <w:color w:val="000000"/>
                        <w:sz w:val="22"/>
                      </w:rPr>
                      <w:t>OFFICIAL</w:t>
                    </w:r>
                  </w:p>
                </w:txbxContent>
              </v:textbox>
              <w10:wrap anchorx="page" anchory="page"/>
            </v:shape>
          </w:pict>
        </mc:Fallback>
      </mc:AlternateContent>
    </w:r>
  </w:p>
  <w:p w14:paraId="13452611" w14:textId="6DEDCABF" w:rsidR="0041689E" w:rsidRPr="005828FE" w:rsidRDefault="0041689E" w:rsidP="0041689E">
    <w:pPr>
      <w:pStyle w:val="Footer"/>
      <w:spacing w:before="0"/>
    </w:pPr>
    <w:r w:rsidRPr="005828FE">
      <w:rPr>
        <w:b/>
        <w:noProof w:val="0"/>
      </w:rPr>
      <w:fldChar w:fldCharType="begin"/>
    </w:r>
    <w:r w:rsidRPr="005828FE">
      <w:rPr>
        <w:b/>
      </w:rPr>
      <w:instrText xml:space="preserve"> StyleRef “</w:instrText>
    </w:r>
    <w:r w:rsidR="006C78FB" w:rsidRPr="005828FE">
      <w:rPr>
        <w:b/>
      </w:rPr>
      <w:instrText>FRD number</w:instrText>
    </w:r>
    <w:r w:rsidRPr="005828FE">
      <w:rPr>
        <w:b/>
      </w:rPr>
      <w:instrText xml:space="preserve">” </w:instrText>
    </w:r>
    <w:r w:rsidRPr="005828FE">
      <w:rPr>
        <w:b/>
        <w:noProof w:val="0"/>
      </w:rPr>
      <w:fldChar w:fldCharType="separate"/>
    </w:r>
    <w:r w:rsidR="007E5B8A">
      <w:rPr>
        <w:b/>
      </w:rPr>
      <w:t>FRD 25</w:t>
    </w:r>
    <w:r w:rsidRPr="005828FE">
      <w:rPr>
        <w:b/>
      </w:rPr>
      <w:fldChar w:fldCharType="end"/>
    </w:r>
    <w:r w:rsidR="006C78FB" w:rsidRPr="005828FE">
      <w:rPr>
        <w:b/>
      </w:rPr>
      <w:t xml:space="preserve"> </w:t>
    </w:r>
    <w:r w:rsidR="006C78FB" w:rsidRPr="006C78FB">
      <w:fldChar w:fldCharType="begin"/>
    </w:r>
    <w:r w:rsidR="006C78FB" w:rsidRPr="006C78FB">
      <w:instrText xml:space="preserve"> StyleRef “FRD Header” </w:instrText>
    </w:r>
    <w:r w:rsidR="006C78FB" w:rsidRPr="006C78FB">
      <w:fldChar w:fldCharType="separate"/>
    </w:r>
    <w:r w:rsidR="007E5B8A">
      <w:t>Local Jobs Disclosures in the Report of Operations (April 2025)</w:t>
    </w:r>
    <w:r w:rsidR="006C78FB"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sidR="00DF5B90">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31B3A" w14:textId="77777777" w:rsidR="003E0B34" w:rsidRDefault="003E0B34" w:rsidP="002D711A">
      <w:pPr>
        <w:spacing w:after="0" w:line="240" w:lineRule="auto"/>
      </w:pPr>
      <w:r>
        <w:separator/>
      </w:r>
    </w:p>
    <w:p w14:paraId="20E88E10" w14:textId="77777777" w:rsidR="003E0B34" w:rsidRDefault="003E0B34"/>
  </w:footnote>
  <w:footnote w:type="continuationSeparator" w:id="0">
    <w:p w14:paraId="27EDED97" w14:textId="77777777" w:rsidR="003E0B34" w:rsidRDefault="003E0B34" w:rsidP="002D711A">
      <w:pPr>
        <w:spacing w:after="0" w:line="240" w:lineRule="auto"/>
      </w:pPr>
      <w:r>
        <w:continuationSeparator/>
      </w:r>
    </w:p>
    <w:p w14:paraId="6DC07C2A" w14:textId="77777777" w:rsidR="003E0B34" w:rsidRDefault="003E0B34"/>
  </w:footnote>
  <w:footnote w:type="continuationNotice" w:id="1">
    <w:p w14:paraId="18830BF7" w14:textId="77777777" w:rsidR="003E0B34" w:rsidRDefault="003E0B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BCCD" w14:textId="6C5B4403" w:rsidR="0041689E" w:rsidRPr="0041689E" w:rsidRDefault="005828FE" w:rsidP="005828FE">
    <w:pPr>
      <w:pStyle w:val="Header"/>
      <w:tabs>
        <w:tab w:val="clear" w:pos="9026"/>
      </w:tabs>
      <w:ind w:right="-694"/>
      <w:jc w:val="right"/>
    </w:pPr>
    <w:r>
      <w:rPr>
        <w:noProof/>
      </w:rPr>
      <w:drawing>
        <wp:inline distT="0" distB="0" distL="0" distR="0" wp14:anchorId="5F627017" wp14:editId="044D14B7">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1835F1B9" w14:textId="77777777" w:rsidR="0057703D" w:rsidRDefault="005770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739058405">
    <w:abstractNumId w:val="1"/>
  </w:num>
  <w:num w:numId="2" w16cid:durableId="414783033">
    <w:abstractNumId w:val="1"/>
  </w:num>
  <w:num w:numId="3" w16cid:durableId="2025158982">
    <w:abstractNumId w:val="1"/>
  </w:num>
  <w:num w:numId="4" w16cid:durableId="131484886">
    <w:abstractNumId w:val="5"/>
  </w:num>
  <w:num w:numId="5" w16cid:durableId="1055396330">
    <w:abstractNumId w:val="1"/>
  </w:num>
  <w:num w:numId="6" w16cid:durableId="2094089278">
    <w:abstractNumId w:val="1"/>
  </w:num>
  <w:num w:numId="7" w16cid:durableId="1968394228">
    <w:abstractNumId w:val="1"/>
  </w:num>
  <w:num w:numId="8" w16cid:durableId="447819684">
    <w:abstractNumId w:val="1"/>
  </w:num>
  <w:num w:numId="9" w16cid:durableId="956133230">
    <w:abstractNumId w:val="5"/>
  </w:num>
  <w:num w:numId="10" w16cid:durableId="2098136476">
    <w:abstractNumId w:val="5"/>
  </w:num>
  <w:num w:numId="11" w16cid:durableId="1739748204">
    <w:abstractNumId w:val="5"/>
  </w:num>
  <w:num w:numId="12" w16cid:durableId="1958022488">
    <w:abstractNumId w:val="5"/>
  </w:num>
  <w:num w:numId="13" w16cid:durableId="485510779">
    <w:abstractNumId w:val="5"/>
  </w:num>
  <w:num w:numId="14" w16cid:durableId="703794749">
    <w:abstractNumId w:val="5"/>
  </w:num>
  <w:num w:numId="15" w16cid:durableId="1552963101">
    <w:abstractNumId w:val="5"/>
  </w:num>
  <w:num w:numId="16" w16cid:durableId="1287003250">
    <w:abstractNumId w:val="5"/>
  </w:num>
  <w:num w:numId="17" w16cid:durableId="1929343194">
    <w:abstractNumId w:val="0"/>
  </w:num>
  <w:num w:numId="18" w16cid:durableId="1337341496">
    <w:abstractNumId w:val="0"/>
  </w:num>
  <w:num w:numId="19" w16cid:durableId="1561087190">
    <w:abstractNumId w:val="2"/>
  </w:num>
  <w:num w:numId="20" w16cid:durableId="1122193635">
    <w:abstractNumId w:val="4"/>
  </w:num>
  <w:num w:numId="21" w16cid:durableId="1219366814">
    <w:abstractNumId w:val="4"/>
  </w:num>
  <w:num w:numId="22" w16cid:durableId="420151575">
    <w:abstractNumId w:val="3"/>
  </w:num>
  <w:num w:numId="23" w16cid:durableId="1636258532">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16cid:durableId="1935942848">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16cid:durableId="1934896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6475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5685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41FA"/>
    <w:rsid w:val="0000176A"/>
    <w:rsid w:val="00007E98"/>
    <w:rsid w:val="00011ED8"/>
    <w:rsid w:val="00012F6F"/>
    <w:rsid w:val="00014213"/>
    <w:rsid w:val="00014B55"/>
    <w:rsid w:val="00020E3E"/>
    <w:rsid w:val="00023BF3"/>
    <w:rsid w:val="00026811"/>
    <w:rsid w:val="00031AD5"/>
    <w:rsid w:val="00031DD7"/>
    <w:rsid w:val="0004356D"/>
    <w:rsid w:val="00045296"/>
    <w:rsid w:val="000464FD"/>
    <w:rsid w:val="00075E6C"/>
    <w:rsid w:val="000B29AD"/>
    <w:rsid w:val="000B4C26"/>
    <w:rsid w:val="000B5A3E"/>
    <w:rsid w:val="000C6372"/>
    <w:rsid w:val="000D14BD"/>
    <w:rsid w:val="000E0E4D"/>
    <w:rsid w:val="000E392D"/>
    <w:rsid w:val="000F4288"/>
    <w:rsid w:val="000F7165"/>
    <w:rsid w:val="00102379"/>
    <w:rsid w:val="001065D6"/>
    <w:rsid w:val="00106E44"/>
    <w:rsid w:val="00110B55"/>
    <w:rsid w:val="0011308E"/>
    <w:rsid w:val="00117C6B"/>
    <w:rsid w:val="00121252"/>
    <w:rsid w:val="00124609"/>
    <w:rsid w:val="001254CE"/>
    <w:rsid w:val="001302DE"/>
    <w:rsid w:val="00134CEA"/>
    <w:rsid w:val="00137BDD"/>
    <w:rsid w:val="001422CC"/>
    <w:rsid w:val="00147339"/>
    <w:rsid w:val="00154FDB"/>
    <w:rsid w:val="001617B6"/>
    <w:rsid w:val="001648B1"/>
    <w:rsid w:val="00165E66"/>
    <w:rsid w:val="00187A9D"/>
    <w:rsid w:val="001964FB"/>
    <w:rsid w:val="00196CBC"/>
    <w:rsid w:val="001C7BAE"/>
    <w:rsid w:val="001D4CF9"/>
    <w:rsid w:val="001E31FA"/>
    <w:rsid w:val="001E64F6"/>
    <w:rsid w:val="00204CB9"/>
    <w:rsid w:val="00214F2D"/>
    <w:rsid w:val="00215F7C"/>
    <w:rsid w:val="002172DD"/>
    <w:rsid w:val="00222BEB"/>
    <w:rsid w:val="002250EA"/>
    <w:rsid w:val="00225E60"/>
    <w:rsid w:val="00231BD3"/>
    <w:rsid w:val="0023202C"/>
    <w:rsid w:val="00236203"/>
    <w:rsid w:val="00245043"/>
    <w:rsid w:val="00255BA7"/>
    <w:rsid w:val="002569F0"/>
    <w:rsid w:val="00257760"/>
    <w:rsid w:val="002619A1"/>
    <w:rsid w:val="0027281E"/>
    <w:rsid w:val="002752C5"/>
    <w:rsid w:val="00286F9A"/>
    <w:rsid w:val="00291ED0"/>
    <w:rsid w:val="00292D36"/>
    <w:rsid w:val="00297281"/>
    <w:rsid w:val="002A4004"/>
    <w:rsid w:val="002A79B8"/>
    <w:rsid w:val="002C54E0"/>
    <w:rsid w:val="002D711A"/>
    <w:rsid w:val="002D7336"/>
    <w:rsid w:val="002E3396"/>
    <w:rsid w:val="002E4A92"/>
    <w:rsid w:val="002F25A5"/>
    <w:rsid w:val="002F44B5"/>
    <w:rsid w:val="00305E31"/>
    <w:rsid w:val="0031149C"/>
    <w:rsid w:val="00313013"/>
    <w:rsid w:val="00321AC8"/>
    <w:rsid w:val="003225E4"/>
    <w:rsid w:val="00323BE7"/>
    <w:rsid w:val="00331B65"/>
    <w:rsid w:val="00352673"/>
    <w:rsid w:val="00355BF1"/>
    <w:rsid w:val="00361426"/>
    <w:rsid w:val="00362DDF"/>
    <w:rsid w:val="00363C79"/>
    <w:rsid w:val="0036686F"/>
    <w:rsid w:val="00367D6B"/>
    <w:rsid w:val="00370168"/>
    <w:rsid w:val="00380C74"/>
    <w:rsid w:val="003824A0"/>
    <w:rsid w:val="00382A69"/>
    <w:rsid w:val="00382EE1"/>
    <w:rsid w:val="00385422"/>
    <w:rsid w:val="0038771C"/>
    <w:rsid w:val="0039405B"/>
    <w:rsid w:val="003A1C92"/>
    <w:rsid w:val="003A541A"/>
    <w:rsid w:val="003A6923"/>
    <w:rsid w:val="003C2C67"/>
    <w:rsid w:val="003C5BA4"/>
    <w:rsid w:val="003D521F"/>
    <w:rsid w:val="003E0B34"/>
    <w:rsid w:val="003E1C67"/>
    <w:rsid w:val="003E3E26"/>
    <w:rsid w:val="003F1295"/>
    <w:rsid w:val="003F377B"/>
    <w:rsid w:val="003F76FC"/>
    <w:rsid w:val="004002EB"/>
    <w:rsid w:val="00404876"/>
    <w:rsid w:val="00405BEC"/>
    <w:rsid w:val="0041689E"/>
    <w:rsid w:val="0041799A"/>
    <w:rsid w:val="00421F2E"/>
    <w:rsid w:val="00422A4B"/>
    <w:rsid w:val="004236C8"/>
    <w:rsid w:val="00425485"/>
    <w:rsid w:val="00427681"/>
    <w:rsid w:val="00433DB7"/>
    <w:rsid w:val="00437CB1"/>
    <w:rsid w:val="00453750"/>
    <w:rsid w:val="00456941"/>
    <w:rsid w:val="00462EE2"/>
    <w:rsid w:val="00464F7E"/>
    <w:rsid w:val="0046697B"/>
    <w:rsid w:val="004702EA"/>
    <w:rsid w:val="004713BC"/>
    <w:rsid w:val="00482D02"/>
    <w:rsid w:val="004833B7"/>
    <w:rsid w:val="00492E3C"/>
    <w:rsid w:val="004941FA"/>
    <w:rsid w:val="004A13FF"/>
    <w:rsid w:val="004A7519"/>
    <w:rsid w:val="004D3518"/>
    <w:rsid w:val="004D3C58"/>
    <w:rsid w:val="004D62D6"/>
    <w:rsid w:val="004D71D7"/>
    <w:rsid w:val="004E4EA4"/>
    <w:rsid w:val="004F163E"/>
    <w:rsid w:val="004F497D"/>
    <w:rsid w:val="004F6445"/>
    <w:rsid w:val="004F7B88"/>
    <w:rsid w:val="00523264"/>
    <w:rsid w:val="00527645"/>
    <w:rsid w:val="0053416C"/>
    <w:rsid w:val="00541C2F"/>
    <w:rsid w:val="00554086"/>
    <w:rsid w:val="00563527"/>
    <w:rsid w:val="00563AA7"/>
    <w:rsid w:val="00565CF3"/>
    <w:rsid w:val="00575765"/>
    <w:rsid w:val="0057703D"/>
    <w:rsid w:val="0058124E"/>
    <w:rsid w:val="005828FE"/>
    <w:rsid w:val="005875A3"/>
    <w:rsid w:val="00591507"/>
    <w:rsid w:val="005A3416"/>
    <w:rsid w:val="005A787A"/>
    <w:rsid w:val="005B27FE"/>
    <w:rsid w:val="005C3E6D"/>
    <w:rsid w:val="005D51F0"/>
    <w:rsid w:val="005D7ECA"/>
    <w:rsid w:val="005F09F1"/>
    <w:rsid w:val="005F13AE"/>
    <w:rsid w:val="005F61DF"/>
    <w:rsid w:val="005F681F"/>
    <w:rsid w:val="006023F9"/>
    <w:rsid w:val="00610559"/>
    <w:rsid w:val="006324FF"/>
    <w:rsid w:val="006332F6"/>
    <w:rsid w:val="00645167"/>
    <w:rsid w:val="006519F6"/>
    <w:rsid w:val="00652625"/>
    <w:rsid w:val="006534B2"/>
    <w:rsid w:val="0065615D"/>
    <w:rsid w:val="00657011"/>
    <w:rsid w:val="006650B5"/>
    <w:rsid w:val="006651B1"/>
    <w:rsid w:val="00665778"/>
    <w:rsid w:val="00675718"/>
    <w:rsid w:val="006842DA"/>
    <w:rsid w:val="00687ED4"/>
    <w:rsid w:val="006916ED"/>
    <w:rsid w:val="0069179C"/>
    <w:rsid w:val="006A3B8C"/>
    <w:rsid w:val="006A5B34"/>
    <w:rsid w:val="006A5F5B"/>
    <w:rsid w:val="006B0418"/>
    <w:rsid w:val="006B2873"/>
    <w:rsid w:val="006B3E8F"/>
    <w:rsid w:val="006C77A9"/>
    <w:rsid w:val="006C78FB"/>
    <w:rsid w:val="006C797E"/>
    <w:rsid w:val="006D66F9"/>
    <w:rsid w:val="006F6693"/>
    <w:rsid w:val="006F716B"/>
    <w:rsid w:val="0070117D"/>
    <w:rsid w:val="00707197"/>
    <w:rsid w:val="00707FE8"/>
    <w:rsid w:val="00715D76"/>
    <w:rsid w:val="00716ACA"/>
    <w:rsid w:val="00722B8A"/>
    <w:rsid w:val="00724962"/>
    <w:rsid w:val="00724A0F"/>
    <w:rsid w:val="00732162"/>
    <w:rsid w:val="00736732"/>
    <w:rsid w:val="00740302"/>
    <w:rsid w:val="0074281E"/>
    <w:rsid w:val="00745174"/>
    <w:rsid w:val="00750CBE"/>
    <w:rsid w:val="0075264A"/>
    <w:rsid w:val="00755FD2"/>
    <w:rsid w:val="00764D35"/>
    <w:rsid w:val="00766B5A"/>
    <w:rsid w:val="00774BF5"/>
    <w:rsid w:val="00781637"/>
    <w:rsid w:val="007825E9"/>
    <w:rsid w:val="007834F2"/>
    <w:rsid w:val="00791020"/>
    <w:rsid w:val="007929CC"/>
    <w:rsid w:val="00797714"/>
    <w:rsid w:val="007A5F82"/>
    <w:rsid w:val="007D7F12"/>
    <w:rsid w:val="007E5B8A"/>
    <w:rsid w:val="007F1A4C"/>
    <w:rsid w:val="008022C3"/>
    <w:rsid w:val="008041E6"/>
    <w:rsid w:val="008065A4"/>
    <w:rsid w:val="008065D2"/>
    <w:rsid w:val="008070A2"/>
    <w:rsid w:val="0082050E"/>
    <w:rsid w:val="0082194C"/>
    <w:rsid w:val="008220C4"/>
    <w:rsid w:val="008222FF"/>
    <w:rsid w:val="008241FF"/>
    <w:rsid w:val="008411E9"/>
    <w:rsid w:val="0084200F"/>
    <w:rsid w:val="00843B2C"/>
    <w:rsid w:val="00850504"/>
    <w:rsid w:val="00853EA2"/>
    <w:rsid w:val="00863669"/>
    <w:rsid w:val="00872C91"/>
    <w:rsid w:val="00883509"/>
    <w:rsid w:val="00885279"/>
    <w:rsid w:val="00892D2D"/>
    <w:rsid w:val="008A4900"/>
    <w:rsid w:val="008B2A17"/>
    <w:rsid w:val="008C63EE"/>
    <w:rsid w:val="008C7605"/>
    <w:rsid w:val="008D0281"/>
    <w:rsid w:val="008E3C4E"/>
    <w:rsid w:val="008E6F8A"/>
    <w:rsid w:val="008F6D45"/>
    <w:rsid w:val="009114F2"/>
    <w:rsid w:val="00942CF8"/>
    <w:rsid w:val="0094404D"/>
    <w:rsid w:val="009510CD"/>
    <w:rsid w:val="00955FBD"/>
    <w:rsid w:val="00956995"/>
    <w:rsid w:val="00957221"/>
    <w:rsid w:val="00962BE9"/>
    <w:rsid w:val="00963C94"/>
    <w:rsid w:val="00973CD2"/>
    <w:rsid w:val="009834C0"/>
    <w:rsid w:val="009861F6"/>
    <w:rsid w:val="00986322"/>
    <w:rsid w:val="00986AAC"/>
    <w:rsid w:val="00990216"/>
    <w:rsid w:val="0099093E"/>
    <w:rsid w:val="009A1DA2"/>
    <w:rsid w:val="009A3704"/>
    <w:rsid w:val="009A4739"/>
    <w:rsid w:val="009A674F"/>
    <w:rsid w:val="009A7E64"/>
    <w:rsid w:val="009B199C"/>
    <w:rsid w:val="009B1DF9"/>
    <w:rsid w:val="009B54C8"/>
    <w:rsid w:val="009B61F1"/>
    <w:rsid w:val="009B62E0"/>
    <w:rsid w:val="009C3D88"/>
    <w:rsid w:val="009C503D"/>
    <w:rsid w:val="009D1176"/>
    <w:rsid w:val="009E3858"/>
    <w:rsid w:val="009E70DD"/>
    <w:rsid w:val="009F2ED9"/>
    <w:rsid w:val="009F3231"/>
    <w:rsid w:val="009F5C58"/>
    <w:rsid w:val="00A023A0"/>
    <w:rsid w:val="00A03F5F"/>
    <w:rsid w:val="00A1023C"/>
    <w:rsid w:val="00A1562B"/>
    <w:rsid w:val="00A170F4"/>
    <w:rsid w:val="00A2559E"/>
    <w:rsid w:val="00A25FD9"/>
    <w:rsid w:val="00A34213"/>
    <w:rsid w:val="00A46BA8"/>
    <w:rsid w:val="00A47634"/>
    <w:rsid w:val="00A516DE"/>
    <w:rsid w:val="00A54AFA"/>
    <w:rsid w:val="00A612FE"/>
    <w:rsid w:val="00A736BE"/>
    <w:rsid w:val="00A81770"/>
    <w:rsid w:val="00A940F9"/>
    <w:rsid w:val="00AA26B8"/>
    <w:rsid w:val="00AA4D53"/>
    <w:rsid w:val="00AB3FE2"/>
    <w:rsid w:val="00AC11CF"/>
    <w:rsid w:val="00AC13F7"/>
    <w:rsid w:val="00AC4A4A"/>
    <w:rsid w:val="00AC4B9D"/>
    <w:rsid w:val="00AD3322"/>
    <w:rsid w:val="00AD5FD9"/>
    <w:rsid w:val="00AD7CC0"/>
    <w:rsid w:val="00AD7E4E"/>
    <w:rsid w:val="00AF0B8B"/>
    <w:rsid w:val="00AF3D47"/>
    <w:rsid w:val="00AF48A0"/>
    <w:rsid w:val="00AF4D58"/>
    <w:rsid w:val="00AF6666"/>
    <w:rsid w:val="00B06C7A"/>
    <w:rsid w:val="00B10154"/>
    <w:rsid w:val="00B130E2"/>
    <w:rsid w:val="00B17BC7"/>
    <w:rsid w:val="00B22C1C"/>
    <w:rsid w:val="00B27576"/>
    <w:rsid w:val="00B6366E"/>
    <w:rsid w:val="00B81B44"/>
    <w:rsid w:val="00B9053B"/>
    <w:rsid w:val="00B93C44"/>
    <w:rsid w:val="00BA70CD"/>
    <w:rsid w:val="00BB0326"/>
    <w:rsid w:val="00BC3422"/>
    <w:rsid w:val="00BC6691"/>
    <w:rsid w:val="00BE5D9B"/>
    <w:rsid w:val="00C015B9"/>
    <w:rsid w:val="00C022F9"/>
    <w:rsid w:val="00C032EA"/>
    <w:rsid w:val="00C04715"/>
    <w:rsid w:val="00C06EB5"/>
    <w:rsid w:val="00C1145F"/>
    <w:rsid w:val="00C44F1F"/>
    <w:rsid w:val="00C5182E"/>
    <w:rsid w:val="00C637E1"/>
    <w:rsid w:val="00C70D50"/>
    <w:rsid w:val="00C77A28"/>
    <w:rsid w:val="00C82CC9"/>
    <w:rsid w:val="00C8472D"/>
    <w:rsid w:val="00C862C0"/>
    <w:rsid w:val="00C9067F"/>
    <w:rsid w:val="00C907D7"/>
    <w:rsid w:val="00C92338"/>
    <w:rsid w:val="00C957CB"/>
    <w:rsid w:val="00CA1DC8"/>
    <w:rsid w:val="00CA7C3A"/>
    <w:rsid w:val="00CB4622"/>
    <w:rsid w:val="00CC2DB2"/>
    <w:rsid w:val="00CD0307"/>
    <w:rsid w:val="00CD1220"/>
    <w:rsid w:val="00CD1647"/>
    <w:rsid w:val="00CD3D1B"/>
    <w:rsid w:val="00CE7A8E"/>
    <w:rsid w:val="00CF7DCA"/>
    <w:rsid w:val="00D0364F"/>
    <w:rsid w:val="00D211E9"/>
    <w:rsid w:val="00D2312F"/>
    <w:rsid w:val="00D269C1"/>
    <w:rsid w:val="00D332F4"/>
    <w:rsid w:val="00D44953"/>
    <w:rsid w:val="00D45C2B"/>
    <w:rsid w:val="00D45E19"/>
    <w:rsid w:val="00D46056"/>
    <w:rsid w:val="00D542F3"/>
    <w:rsid w:val="00D548AE"/>
    <w:rsid w:val="00D5644B"/>
    <w:rsid w:val="00D56E25"/>
    <w:rsid w:val="00D63328"/>
    <w:rsid w:val="00D718D7"/>
    <w:rsid w:val="00D814B7"/>
    <w:rsid w:val="00D90688"/>
    <w:rsid w:val="00DA3AAD"/>
    <w:rsid w:val="00DA7832"/>
    <w:rsid w:val="00DB312B"/>
    <w:rsid w:val="00DB4DB3"/>
    <w:rsid w:val="00DC5135"/>
    <w:rsid w:val="00DC5654"/>
    <w:rsid w:val="00DC658F"/>
    <w:rsid w:val="00DD5EB6"/>
    <w:rsid w:val="00DE60CC"/>
    <w:rsid w:val="00DF2150"/>
    <w:rsid w:val="00DF5B90"/>
    <w:rsid w:val="00E0236C"/>
    <w:rsid w:val="00E122DB"/>
    <w:rsid w:val="00E13E52"/>
    <w:rsid w:val="00E1551F"/>
    <w:rsid w:val="00E20142"/>
    <w:rsid w:val="00E26B32"/>
    <w:rsid w:val="00E30E0A"/>
    <w:rsid w:val="00E3232B"/>
    <w:rsid w:val="00E34D45"/>
    <w:rsid w:val="00E35309"/>
    <w:rsid w:val="00E35FB3"/>
    <w:rsid w:val="00E407B6"/>
    <w:rsid w:val="00E41EF1"/>
    <w:rsid w:val="00E42942"/>
    <w:rsid w:val="00E468A6"/>
    <w:rsid w:val="00E70826"/>
    <w:rsid w:val="00E71BDF"/>
    <w:rsid w:val="00E76837"/>
    <w:rsid w:val="00E818E2"/>
    <w:rsid w:val="00E83CA7"/>
    <w:rsid w:val="00E860F9"/>
    <w:rsid w:val="00E92C19"/>
    <w:rsid w:val="00EA03A3"/>
    <w:rsid w:val="00EB020E"/>
    <w:rsid w:val="00EC171D"/>
    <w:rsid w:val="00ED487E"/>
    <w:rsid w:val="00EE5E60"/>
    <w:rsid w:val="00EE6808"/>
    <w:rsid w:val="00EE7A0D"/>
    <w:rsid w:val="00F17CE1"/>
    <w:rsid w:val="00F2115C"/>
    <w:rsid w:val="00F22ABA"/>
    <w:rsid w:val="00F23366"/>
    <w:rsid w:val="00F36B12"/>
    <w:rsid w:val="00F439E6"/>
    <w:rsid w:val="00F55AF4"/>
    <w:rsid w:val="00F60F9F"/>
    <w:rsid w:val="00F64F08"/>
    <w:rsid w:val="00F73053"/>
    <w:rsid w:val="00F734F5"/>
    <w:rsid w:val="00F76F3E"/>
    <w:rsid w:val="00F90254"/>
    <w:rsid w:val="00F92739"/>
    <w:rsid w:val="00F966B1"/>
    <w:rsid w:val="00F97D48"/>
    <w:rsid w:val="00FA0311"/>
    <w:rsid w:val="00FA1680"/>
    <w:rsid w:val="00FA5447"/>
    <w:rsid w:val="00FB1EC9"/>
    <w:rsid w:val="00FC42E5"/>
    <w:rsid w:val="00FD14C0"/>
    <w:rsid w:val="00FD5C5E"/>
    <w:rsid w:val="00FD640F"/>
    <w:rsid w:val="00FD6B4C"/>
    <w:rsid w:val="00FE782F"/>
    <w:rsid w:val="00FF051E"/>
    <w:rsid w:val="00FF4E99"/>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CBF0"/>
  <w15:docId w15:val="{ED66340D-2738-4301-A312-B29FBB99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45"/>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5F5B"/>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990216"/>
    <w:pPr>
      <w:numPr>
        <w:numId w:val="8"/>
      </w:numPr>
      <w:spacing w:before="160" w:after="0" w:line="240" w:lineRule="auto"/>
      <w:ind w:left="289" w:hanging="289"/>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FB1EC9"/>
    <w:pPr>
      <w:spacing w:line="252" w:lineRule="auto"/>
      <w:ind w:left="288"/>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106E44"/>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uiPriority w:val="1"/>
    <w:qFormat/>
    <w:rsid w:val="00990216"/>
    <w:pPr>
      <w:numPr>
        <w:numId w:val="4"/>
      </w:numPr>
      <w:ind w:left="505" w:hanging="505"/>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99093E"/>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character" w:styleId="CommentReference">
    <w:name w:val="annotation reference"/>
    <w:basedOn w:val="DefaultParagraphFont"/>
    <w:uiPriority w:val="99"/>
    <w:semiHidden/>
    <w:unhideWhenUsed/>
    <w:rsid w:val="00011ED8"/>
    <w:rPr>
      <w:sz w:val="16"/>
      <w:szCs w:val="16"/>
    </w:rPr>
  </w:style>
  <w:style w:type="paragraph" w:styleId="CommentText">
    <w:name w:val="annotation text"/>
    <w:basedOn w:val="Normal"/>
    <w:link w:val="CommentTextChar"/>
    <w:uiPriority w:val="99"/>
    <w:unhideWhenUsed/>
    <w:rsid w:val="00011ED8"/>
    <w:pPr>
      <w:spacing w:line="240" w:lineRule="auto"/>
    </w:pPr>
    <w:rPr>
      <w:sz w:val="20"/>
    </w:rPr>
  </w:style>
  <w:style w:type="character" w:customStyle="1" w:styleId="CommentTextChar">
    <w:name w:val="Comment Text Char"/>
    <w:basedOn w:val="DefaultParagraphFont"/>
    <w:link w:val="CommentText"/>
    <w:uiPriority w:val="99"/>
    <w:rsid w:val="00011ED8"/>
    <w:rPr>
      <w:spacing w:val="2"/>
    </w:rPr>
  </w:style>
  <w:style w:type="paragraph" w:styleId="CommentSubject">
    <w:name w:val="annotation subject"/>
    <w:basedOn w:val="CommentText"/>
    <w:next w:val="CommentText"/>
    <w:link w:val="CommentSubjectChar"/>
    <w:uiPriority w:val="99"/>
    <w:semiHidden/>
    <w:unhideWhenUsed/>
    <w:rsid w:val="00011ED8"/>
    <w:rPr>
      <w:b/>
      <w:bCs/>
    </w:rPr>
  </w:style>
  <w:style w:type="character" w:customStyle="1" w:styleId="CommentSubjectChar">
    <w:name w:val="Comment Subject Char"/>
    <w:basedOn w:val="CommentTextChar"/>
    <w:link w:val="CommentSubject"/>
    <w:uiPriority w:val="99"/>
    <w:semiHidden/>
    <w:rsid w:val="00011ED8"/>
    <w:rPr>
      <w:b/>
      <w:bCs/>
      <w:spacing w:val="2"/>
    </w:rPr>
  </w:style>
  <w:style w:type="character" w:styleId="UnresolvedMention">
    <w:name w:val="Unresolved Mention"/>
    <w:basedOn w:val="DefaultParagraphFont"/>
    <w:uiPriority w:val="99"/>
    <w:semiHidden/>
    <w:unhideWhenUsed/>
    <w:rsid w:val="00707197"/>
    <w:rPr>
      <w:color w:val="605E5C"/>
      <w:shd w:val="clear" w:color="auto" w:fill="E1DFDD"/>
    </w:rPr>
  </w:style>
  <w:style w:type="paragraph" w:styleId="Revision">
    <w:name w:val="Revision"/>
    <w:hidden/>
    <w:uiPriority w:val="99"/>
    <w:semiHidden/>
    <w:rsid w:val="00380C74"/>
    <w:pPr>
      <w:spacing w:after="0" w:line="240" w:lineRule="auto"/>
    </w:pPr>
    <w:rPr>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tf.vic.gov.au/Government-Financial-Management/Financial-reporting-policy/Model-repor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nvic.force.com/log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ocaljobsfirst.vic.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ocaljobsfirst.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B5021F6FA5748BD595AC6B2FEC278" ma:contentTypeVersion="20" ma:contentTypeDescription="Create a new document." ma:contentTypeScope="" ma:versionID="f95714c46ff48bc15963d334947cee9d">
  <xsd:schema xmlns:xsd="http://www.w3.org/2001/XMLSchema" xmlns:xs="http://www.w3.org/2001/XMLSchema" xmlns:p="http://schemas.microsoft.com/office/2006/metadata/properties" xmlns:ns2="32e98561-183e-4de5-80c3-a793f40b4ede" xmlns:ns3="bd07834f-d95b-4883-aa18-4cf54a60a803" targetNamespace="http://schemas.microsoft.com/office/2006/metadata/properties" ma:root="true" ma:fieldsID="a7b7c6a39d9110767faa221881c9c855" ns2:_="" ns3:_="">
    <xsd:import namespace="32e98561-183e-4de5-80c3-a793f40b4ede"/>
    <xsd:import namespace="bd07834f-d95b-4883-aa18-4cf54a60a8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pfeg" minOccurs="0"/>
                <xsd:element ref="ns3:tes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07834f-d95b-4883-aa18-4cf54a60a8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feg" ma:index="20" nillable="true" ma:displayName="Number" ma:internalName="pfeg">
      <xsd:simpleType>
        <xsd:restriction base="dms:Number"/>
      </xsd:simpleType>
    </xsd:element>
    <xsd:element name="test" ma:index="21" nillable="true" ma:displayName="test" ma:format="DateTime" ma:internalName="test">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07834f-d95b-4883-aa18-4cf54a60a803">
      <Terms xmlns="http://schemas.microsoft.com/office/infopath/2007/PartnerControls"/>
    </lcf76f155ced4ddcb4097134ff3c332f>
    <pfeg xmlns="bd07834f-d95b-4883-aa18-4cf54a60a803" xsi:nil="true"/>
    <TaxCatchAll xmlns="32e98561-183e-4de5-80c3-a793f40b4ede" xsi:nil="true"/>
    <test xmlns="bd07834f-d95b-4883-aa18-4cf54a60a80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E2F91-0DBA-44E5-9E95-E9030E538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8561-183e-4de5-80c3-a793f40b4ede"/>
    <ds:schemaRef ds:uri="bd07834f-d95b-4883-aa18-4cf54a60a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160D5-2664-4A12-BEAA-C8788E2A1B47}">
  <ds:schemaRefs>
    <ds:schemaRef ds:uri="http://schemas.openxmlformats.org/officeDocument/2006/bibliography"/>
  </ds:schemaRefs>
</ds:datastoreItem>
</file>

<file path=customXml/itemProps3.xml><?xml version="1.0" encoding="utf-8"?>
<ds:datastoreItem xmlns:ds="http://schemas.openxmlformats.org/officeDocument/2006/customXml" ds:itemID="{9D25D8E2-4ADA-4538-BC33-D607E00FB553}">
  <ds:schemaRefs>
    <ds:schemaRef ds:uri="http://www.w3.org/2001/XMLSchema"/>
  </ds:schemaRefs>
</ds:datastoreItem>
</file>

<file path=customXml/itemProps4.xml><?xml version="1.0" encoding="utf-8"?>
<ds:datastoreItem xmlns:ds="http://schemas.openxmlformats.org/officeDocument/2006/customXml" ds:itemID="{FF6C3A69-4BB5-4ABD-AA4F-F7177FDB9675}">
  <ds:schemaRefs>
    <ds:schemaRef ds:uri="http://schemas.microsoft.com/office/2006/metadata/properties"/>
    <ds:schemaRef ds:uri="http://schemas.microsoft.com/office/infopath/2007/PartnerControls"/>
    <ds:schemaRef ds:uri="bd07834f-d95b-4883-aa18-4cf54a60a803"/>
    <ds:schemaRef ds:uri="32e98561-183e-4de5-80c3-a793f40b4ede"/>
  </ds:schemaRefs>
</ds:datastoreItem>
</file>

<file path=customXml/itemProps5.xml><?xml version="1.0" encoding="utf-8"?>
<ds:datastoreItem xmlns:ds="http://schemas.openxmlformats.org/officeDocument/2006/customXml" ds:itemID="{DD0B2D55-FA70-4FC1-A2FC-2CCB12168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Anlezark</dc:creator>
  <cp:keywords/>
  <cp:lastModifiedBy>Constance Yuan (DTF)</cp:lastModifiedBy>
  <cp:revision>8</cp:revision>
  <cp:lastPrinted>2016-03-03T23:13:00Z</cp:lastPrinted>
  <dcterms:created xsi:type="dcterms:W3CDTF">2025-02-13T07:35:00Z</dcterms:created>
  <dcterms:modified xsi:type="dcterms:W3CDTF">2025-04-09T03:58:00Z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2022-04-28T02:40:53Z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fbf8f7cf-4cd0-42e8-9162-2f1f0568af40</vt:lpwstr>
  </property>
  <property fmtid="{D5CDD505-2E9C-101B-9397-08002B2CF9AE}" pid="11" name="MSIP_Label_7158ebbd-6c5e-441f-bfc9-4eb8c11e3978_ContentBits">
    <vt:lpwstr>2</vt:lpwstr>
  </property>
  <property fmtid="{D5CDD505-2E9C-101B-9397-08002B2CF9AE}" pid="12" name="ContentTypeId">
    <vt:lpwstr>0x010100332B5021F6FA5748BD595AC6B2FEC278</vt:lpwstr>
  </property>
  <property fmtid="{D5CDD505-2E9C-101B-9397-08002B2CF9AE}" pid="13" name="MediaServiceImageTags">
    <vt:lpwstr/>
  </property>
</Properties>
</file>