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74096605"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54FCECCC" w14:textId="1D571AC8" w:rsidR="006C78FB" w:rsidRPr="00231BD3" w:rsidRDefault="00FD4E13" w:rsidP="00140A8D">
            <w:pPr>
              <w:pStyle w:val="FRDNumber"/>
            </w:pPr>
            <w:r>
              <w:t xml:space="preserve">FRD </w:t>
            </w:r>
            <w:r w:rsidR="00140A8D">
              <w:t>21</w:t>
            </w:r>
          </w:p>
        </w:tc>
        <w:tc>
          <w:tcPr>
            <w:tcW w:w="270" w:type="dxa"/>
          </w:tcPr>
          <w:p w14:paraId="061525EE" w14:textId="77777777" w:rsidR="006C78FB" w:rsidRPr="00231BD3" w:rsidRDefault="006C78FB" w:rsidP="00B8224B"/>
        </w:tc>
        <w:tc>
          <w:tcPr>
            <w:tcW w:w="540" w:type="dxa"/>
          </w:tcPr>
          <w:p w14:paraId="745CCA70" w14:textId="77777777" w:rsidR="006C78FB" w:rsidRPr="00231BD3" w:rsidRDefault="006C78FB" w:rsidP="00B8224B"/>
        </w:tc>
        <w:tc>
          <w:tcPr>
            <w:tcW w:w="6134" w:type="dxa"/>
          </w:tcPr>
          <w:p w14:paraId="26CF269F" w14:textId="3DBD7BD6" w:rsidR="006C78FB" w:rsidRPr="00FD4E13" w:rsidRDefault="00FD4E13" w:rsidP="00F15A21">
            <w:pPr>
              <w:pStyle w:val="FRDHeader"/>
            </w:pPr>
            <w:r>
              <w:t xml:space="preserve">Disclosures </w:t>
            </w:r>
            <w:r w:rsidR="001771C3">
              <w:t xml:space="preserve">of </w:t>
            </w:r>
            <w:r w:rsidR="001771C3" w:rsidRPr="009828E9">
              <w:t>responsible person</w:t>
            </w:r>
            <w:r w:rsidR="001771C3">
              <w:t>s</w:t>
            </w:r>
            <w:r w:rsidR="00775640">
              <w:t xml:space="preserve"> and</w:t>
            </w:r>
            <w:r w:rsidR="00775640" w:rsidRPr="009828E9">
              <w:t xml:space="preserve"> </w:t>
            </w:r>
            <w:r w:rsidR="001771C3" w:rsidRPr="009828E9">
              <w:t>executive officer</w:t>
            </w:r>
            <w:r w:rsidR="001771C3">
              <w:t xml:space="preserve">s </w:t>
            </w:r>
            <w:r w:rsidR="001771C3" w:rsidRPr="009828E9">
              <w:t>in the financial report</w:t>
            </w:r>
            <w:r w:rsidR="0095658D">
              <w:t xml:space="preserve"> </w:t>
            </w:r>
            <w:r w:rsidR="002A1D18">
              <w:t>(</w:t>
            </w:r>
            <w:r w:rsidR="00D27697">
              <w:t>April</w:t>
            </w:r>
            <w:r w:rsidR="00251515">
              <w:t xml:space="preserve"> 202</w:t>
            </w:r>
            <w:r w:rsidR="007701E4">
              <w:t>5</w:t>
            </w:r>
            <w:r w:rsidR="002A1D18">
              <w:t>)</w:t>
            </w:r>
          </w:p>
        </w:tc>
      </w:tr>
      <w:tr w:rsidR="006C78FB" w:rsidRPr="00E10ADB" w14:paraId="7121D5EC" w14:textId="77777777" w:rsidTr="00B8224B">
        <w:trPr>
          <w:trHeight w:hRule="exact" w:val="120"/>
        </w:trPr>
        <w:tc>
          <w:tcPr>
            <w:tcW w:w="2293" w:type="dxa"/>
          </w:tcPr>
          <w:p w14:paraId="279BB9DD" w14:textId="77777777" w:rsidR="006C78FB" w:rsidRPr="008A601F" w:rsidRDefault="006C78FB" w:rsidP="00B8224B">
            <w:pPr>
              <w:pStyle w:val="Tabletext"/>
            </w:pPr>
          </w:p>
        </w:tc>
        <w:tc>
          <w:tcPr>
            <w:tcW w:w="270" w:type="dxa"/>
          </w:tcPr>
          <w:p w14:paraId="1C362A6E" w14:textId="77777777" w:rsidR="006C78FB" w:rsidRPr="008A601F" w:rsidRDefault="006C78FB" w:rsidP="006D66F9">
            <w:pPr>
              <w:pStyle w:val="Normalgrey"/>
            </w:pPr>
          </w:p>
        </w:tc>
        <w:tc>
          <w:tcPr>
            <w:tcW w:w="540" w:type="dxa"/>
          </w:tcPr>
          <w:p w14:paraId="65067AF3" w14:textId="77777777" w:rsidR="006C78FB" w:rsidRPr="008A601F" w:rsidRDefault="006C78FB" w:rsidP="00B8224B"/>
        </w:tc>
        <w:tc>
          <w:tcPr>
            <w:tcW w:w="6134" w:type="dxa"/>
          </w:tcPr>
          <w:p w14:paraId="44A7B6EF" w14:textId="77777777" w:rsidR="006C78FB" w:rsidRPr="008A601F" w:rsidRDefault="006C78FB" w:rsidP="00B8224B"/>
        </w:tc>
      </w:tr>
      <w:tr w:rsidR="005828FE" w:rsidRPr="005828FE" w14:paraId="088C2509" w14:textId="77777777" w:rsidTr="00B8224B">
        <w:tc>
          <w:tcPr>
            <w:tcW w:w="2293" w:type="dxa"/>
          </w:tcPr>
          <w:p w14:paraId="3A18BC8A" w14:textId="77777777" w:rsidR="006C78FB" w:rsidRPr="005828FE" w:rsidRDefault="006C78FB" w:rsidP="00382EE1">
            <w:pPr>
              <w:pStyle w:val="Normalgrey"/>
            </w:pPr>
            <w:r w:rsidRPr="005828FE">
              <w:t>Purpose</w:t>
            </w:r>
          </w:p>
        </w:tc>
        <w:tc>
          <w:tcPr>
            <w:tcW w:w="270" w:type="dxa"/>
          </w:tcPr>
          <w:p w14:paraId="6205D312" w14:textId="77777777" w:rsidR="006C78FB" w:rsidRPr="005828FE" w:rsidRDefault="006C78FB" w:rsidP="0072029A">
            <w:pPr>
              <w:pStyle w:val="Refnum1"/>
            </w:pPr>
          </w:p>
        </w:tc>
        <w:tc>
          <w:tcPr>
            <w:tcW w:w="540" w:type="dxa"/>
          </w:tcPr>
          <w:p w14:paraId="147F4AAF" w14:textId="77777777" w:rsidR="006C78FB" w:rsidRPr="005828FE" w:rsidRDefault="006C78FB" w:rsidP="007D5DF5">
            <w:pPr>
              <w:pStyle w:val="Refnum2"/>
            </w:pPr>
          </w:p>
        </w:tc>
        <w:tc>
          <w:tcPr>
            <w:tcW w:w="6134" w:type="dxa"/>
          </w:tcPr>
          <w:p w14:paraId="7260D9B0" w14:textId="77777777" w:rsidR="006C78FB" w:rsidRPr="0072029A" w:rsidRDefault="0072029A" w:rsidP="0017360E">
            <w:pPr>
              <w:pStyle w:val="Normalgrey"/>
            </w:pPr>
            <w:r w:rsidRPr="005B514B">
              <w:t>To prescribe disclosure requirements of remuneration in relation to responsible persons and executive officers in the financial report of all public sector agencies.</w:t>
            </w:r>
          </w:p>
        </w:tc>
      </w:tr>
      <w:tr w:rsidR="006C78FB" w:rsidRPr="005828FE" w14:paraId="32C56673" w14:textId="77777777" w:rsidTr="00963C94">
        <w:tc>
          <w:tcPr>
            <w:tcW w:w="2293" w:type="dxa"/>
            <w:shd w:val="clear" w:color="auto" w:fill="F2F2F2" w:themeFill="background1" w:themeFillShade="F2"/>
          </w:tcPr>
          <w:p w14:paraId="0375738F" w14:textId="77777777" w:rsidR="006C78FB" w:rsidRPr="002C1DA1" w:rsidRDefault="006C78FB" w:rsidP="00A516DE">
            <w:pPr>
              <w:pStyle w:val="Normalbold"/>
            </w:pPr>
            <w:r w:rsidRPr="002C1DA1">
              <w:t>Application</w:t>
            </w:r>
          </w:p>
        </w:tc>
        <w:tc>
          <w:tcPr>
            <w:tcW w:w="270" w:type="dxa"/>
            <w:shd w:val="clear" w:color="auto" w:fill="F2F2F2" w:themeFill="background1" w:themeFillShade="F2"/>
          </w:tcPr>
          <w:p w14:paraId="4BDEEBA5" w14:textId="77777777" w:rsidR="006C78FB" w:rsidRPr="002C1DA1" w:rsidRDefault="006C78FB" w:rsidP="0072029A">
            <w:pPr>
              <w:pStyle w:val="Refnum1grey"/>
              <w:rPr>
                <w:b/>
              </w:rPr>
            </w:pPr>
          </w:p>
        </w:tc>
        <w:tc>
          <w:tcPr>
            <w:tcW w:w="540" w:type="dxa"/>
            <w:shd w:val="clear" w:color="auto" w:fill="F2F2F2" w:themeFill="background1" w:themeFillShade="F2"/>
          </w:tcPr>
          <w:p w14:paraId="420309B5" w14:textId="77777777" w:rsidR="006C78FB" w:rsidRPr="002C1DA1" w:rsidRDefault="006C78FB" w:rsidP="0072029A">
            <w:pPr>
              <w:pStyle w:val="Refnum2"/>
              <w:rPr>
                <w:b/>
              </w:rPr>
            </w:pPr>
          </w:p>
        </w:tc>
        <w:tc>
          <w:tcPr>
            <w:tcW w:w="6134" w:type="dxa"/>
            <w:shd w:val="clear" w:color="auto" w:fill="F2F2F2" w:themeFill="background1" w:themeFillShade="F2"/>
          </w:tcPr>
          <w:p w14:paraId="09984CC2" w14:textId="77777777" w:rsidR="006C78FB" w:rsidRPr="0072029A" w:rsidRDefault="00AF6529" w:rsidP="00647096">
            <w:pPr>
              <w:pStyle w:val="Normalbold"/>
            </w:pPr>
            <w:r>
              <w:t>Applies to</w:t>
            </w:r>
            <w:r w:rsidR="0072029A">
              <w:t xml:space="preserve"> any ‘department’</w:t>
            </w:r>
            <w:r w:rsidR="00647096">
              <w:t xml:space="preserve"> </w:t>
            </w:r>
            <w:r w:rsidR="0072029A" w:rsidRPr="00784C13">
              <w:t xml:space="preserve">or ‘public body’ as defined in Section 3 of the </w:t>
            </w:r>
            <w:r w:rsidR="0072029A" w:rsidRPr="00784C13">
              <w:rPr>
                <w:i/>
                <w:iCs/>
              </w:rPr>
              <w:t>Financial Management Act 1994</w:t>
            </w:r>
            <w:r w:rsidR="0072029A">
              <w:rPr>
                <w:i/>
                <w:iCs/>
              </w:rPr>
              <w:t xml:space="preserve"> </w:t>
            </w:r>
            <w:r w:rsidR="0072029A" w:rsidRPr="00042C24">
              <w:rPr>
                <w:iCs/>
              </w:rPr>
              <w:t>(FMA)</w:t>
            </w:r>
            <w:r w:rsidR="0072029A" w:rsidRPr="00D83057">
              <w:t xml:space="preserve">. </w:t>
            </w:r>
            <w:r w:rsidR="0072029A" w:rsidRPr="00784C13">
              <w:t>A public sector entity classified as a public financial corporation or a public non-financial corporati</w:t>
            </w:r>
            <w:r w:rsidR="0072029A">
              <w:t xml:space="preserve">on </w:t>
            </w:r>
            <w:r w:rsidR="0072029A" w:rsidRPr="00784C13">
              <w:t xml:space="preserve">within the latest </w:t>
            </w:r>
            <w:r w:rsidR="0072029A" w:rsidRPr="00BD5252">
              <w:rPr>
                <w:i/>
              </w:rPr>
              <w:t>F</w:t>
            </w:r>
            <w:r w:rsidR="0072029A" w:rsidRPr="00784C13">
              <w:rPr>
                <w:i/>
                <w:iCs/>
              </w:rPr>
              <w:t>inancial Report for the State of Victoria</w:t>
            </w:r>
            <w:r w:rsidR="0072029A" w:rsidRPr="00784C13">
              <w:t xml:space="preserve"> that does not meet the definition of a ‘public body’ is encouraged to refer to this FRD for guidance.</w:t>
            </w:r>
          </w:p>
        </w:tc>
      </w:tr>
      <w:tr w:rsidR="006C78FB" w:rsidRPr="005828FE" w14:paraId="2D53C237" w14:textId="77777777" w:rsidTr="00963C94">
        <w:tc>
          <w:tcPr>
            <w:tcW w:w="2293" w:type="dxa"/>
            <w:shd w:val="clear" w:color="auto" w:fill="F2F2F2" w:themeFill="background1" w:themeFillShade="F2"/>
          </w:tcPr>
          <w:p w14:paraId="59F8178D" w14:textId="77777777" w:rsidR="006C78FB" w:rsidRPr="002C1DA1" w:rsidRDefault="006C78FB" w:rsidP="00A516DE">
            <w:pPr>
              <w:pStyle w:val="Normalbold"/>
            </w:pPr>
            <w:r w:rsidRPr="002C1DA1">
              <w:t>Operative date</w:t>
            </w:r>
          </w:p>
        </w:tc>
        <w:tc>
          <w:tcPr>
            <w:tcW w:w="270" w:type="dxa"/>
            <w:shd w:val="clear" w:color="auto" w:fill="F2F2F2" w:themeFill="background1" w:themeFillShade="F2"/>
          </w:tcPr>
          <w:p w14:paraId="1DAC6AE5" w14:textId="77777777" w:rsidR="006C78FB" w:rsidRPr="002C1DA1" w:rsidRDefault="006C78FB" w:rsidP="0072029A">
            <w:pPr>
              <w:pStyle w:val="Refnum1grey"/>
              <w:rPr>
                <w:b/>
              </w:rPr>
            </w:pPr>
          </w:p>
        </w:tc>
        <w:tc>
          <w:tcPr>
            <w:tcW w:w="540" w:type="dxa"/>
            <w:shd w:val="clear" w:color="auto" w:fill="F2F2F2" w:themeFill="background1" w:themeFillShade="F2"/>
          </w:tcPr>
          <w:p w14:paraId="7A8D9187" w14:textId="77777777" w:rsidR="006C78FB" w:rsidRPr="002C1DA1" w:rsidRDefault="006C78FB" w:rsidP="0072029A">
            <w:pPr>
              <w:pStyle w:val="Refnum2"/>
              <w:rPr>
                <w:b/>
              </w:rPr>
            </w:pPr>
          </w:p>
        </w:tc>
        <w:tc>
          <w:tcPr>
            <w:tcW w:w="6134" w:type="dxa"/>
            <w:shd w:val="clear" w:color="auto" w:fill="F2F2F2" w:themeFill="background1" w:themeFillShade="F2"/>
          </w:tcPr>
          <w:p w14:paraId="51D6825B" w14:textId="29449197" w:rsidR="0072029A" w:rsidRPr="0072029A" w:rsidRDefault="0072029A" w:rsidP="00255FD4">
            <w:pPr>
              <w:pStyle w:val="Normalbold"/>
            </w:pPr>
            <w:r w:rsidRPr="00AE0CC8">
              <w:t>Reporting periods commencing</w:t>
            </w:r>
            <w:r>
              <w:t xml:space="preserve"> on or after</w:t>
            </w:r>
            <w:r w:rsidRPr="00AE0CC8">
              <w:t xml:space="preserve"> </w:t>
            </w:r>
            <w:r>
              <w:rPr>
                <w:bCs/>
              </w:rPr>
              <w:t xml:space="preserve">1 July </w:t>
            </w:r>
            <w:r w:rsidR="00AF6529">
              <w:rPr>
                <w:bCs/>
              </w:rPr>
              <w:t>20</w:t>
            </w:r>
            <w:r w:rsidR="009C5EE1">
              <w:rPr>
                <w:bCs/>
              </w:rPr>
              <w:t>24</w:t>
            </w:r>
            <w:r w:rsidR="00AF6529">
              <w:rPr>
                <w:bCs/>
              </w:rPr>
              <w:t>.</w:t>
            </w:r>
          </w:p>
        </w:tc>
      </w:tr>
      <w:tr w:rsidR="004607B0" w:rsidRPr="005828FE" w14:paraId="43DF6770" w14:textId="77777777" w:rsidTr="00963C94">
        <w:tc>
          <w:tcPr>
            <w:tcW w:w="2293" w:type="dxa"/>
            <w:shd w:val="clear" w:color="auto" w:fill="F2F2F2" w:themeFill="background1" w:themeFillShade="F2"/>
          </w:tcPr>
          <w:p w14:paraId="7713C35B" w14:textId="77777777" w:rsidR="004607B0" w:rsidRPr="002C1DA1" w:rsidRDefault="004607B0" w:rsidP="00A516DE">
            <w:pPr>
              <w:pStyle w:val="Normalbold"/>
            </w:pPr>
          </w:p>
        </w:tc>
        <w:tc>
          <w:tcPr>
            <w:tcW w:w="270" w:type="dxa"/>
            <w:shd w:val="clear" w:color="auto" w:fill="F2F2F2" w:themeFill="background1" w:themeFillShade="F2"/>
          </w:tcPr>
          <w:p w14:paraId="4C3A7CA8" w14:textId="77777777" w:rsidR="004607B0" w:rsidRPr="002C1DA1" w:rsidRDefault="004607B0" w:rsidP="004607B0">
            <w:pPr>
              <w:pStyle w:val="Refnum1grey"/>
              <w:numPr>
                <w:ilvl w:val="0"/>
                <w:numId w:val="0"/>
              </w:numPr>
              <w:rPr>
                <w:b/>
              </w:rPr>
            </w:pPr>
          </w:p>
        </w:tc>
        <w:tc>
          <w:tcPr>
            <w:tcW w:w="540" w:type="dxa"/>
            <w:shd w:val="clear" w:color="auto" w:fill="F2F2F2" w:themeFill="background1" w:themeFillShade="F2"/>
          </w:tcPr>
          <w:p w14:paraId="7ACD29F2" w14:textId="77777777" w:rsidR="004607B0" w:rsidRPr="002C1DA1" w:rsidRDefault="004607B0" w:rsidP="0072029A">
            <w:pPr>
              <w:pStyle w:val="Refnum2"/>
              <w:rPr>
                <w:b/>
              </w:rPr>
            </w:pPr>
          </w:p>
        </w:tc>
        <w:tc>
          <w:tcPr>
            <w:tcW w:w="6134" w:type="dxa"/>
            <w:shd w:val="clear" w:color="auto" w:fill="F2F2F2" w:themeFill="background1" w:themeFillShade="F2"/>
          </w:tcPr>
          <w:p w14:paraId="2BCF1EDA" w14:textId="2D80639F" w:rsidR="004607B0" w:rsidRPr="004607B0" w:rsidRDefault="004607B0" w:rsidP="00251515">
            <w:pPr>
              <w:pStyle w:val="Normalbold"/>
            </w:pPr>
            <w:r>
              <w:t xml:space="preserve">FRD 21C </w:t>
            </w:r>
            <w:r>
              <w:rPr>
                <w:i/>
                <w:iCs/>
              </w:rPr>
              <w:t xml:space="preserve">Disclosures of responsible persons and executive officers in the financial report </w:t>
            </w:r>
            <w:r>
              <w:t xml:space="preserve">is renamed to FRD 21 </w:t>
            </w:r>
            <w:r>
              <w:rPr>
                <w:i/>
                <w:iCs/>
              </w:rPr>
              <w:t xml:space="preserve">Disclosures of responsible persons and executive officers in the financial report </w:t>
            </w:r>
            <w:r w:rsidRPr="00D53CCF">
              <w:t>effective 1 April 2022</w:t>
            </w:r>
            <w:r>
              <w:rPr>
                <w:i/>
                <w:iCs/>
              </w:rPr>
              <w:t>.</w:t>
            </w:r>
          </w:p>
        </w:tc>
      </w:tr>
      <w:tr w:rsidR="00BC6691" w:rsidRPr="005828FE" w14:paraId="2EBCCB87" w14:textId="77777777" w:rsidTr="00A0322D">
        <w:tc>
          <w:tcPr>
            <w:tcW w:w="2293" w:type="dxa"/>
            <w:shd w:val="clear" w:color="auto" w:fill="F2F2F2" w:themeFill="background1" w:themeFillShade="F2"/>
          </w:tcPr>
          <w:p w14:paraId="014E73B4" w14:textId="77777777" w:rsidR="00BC6691" w:rsidRPr="002C1DA1" w:rsidRDefault="00BC6691" w:rsidP="00A0322D">
            <w:pPr>
              <w:pStyle w:val="Normalbold"/>
            </w:pPr>
            <w:r w:rsidRPr="002C1DA1">
              <w:t>Requirements</w:t>
            </w:r>
          </w:p>
        </w:tc>
        <w:tc>
          <w:tcPr>
            <w:tcW w:w="270" w:type="dxa"/>
            <w:shd w:val="clear" w:color="auto" w:fill="F2F2F2" w:themeFill="background1" w:themeFillShade="F2"/>
          </w:tcPr>
          <w:p w14:paraId="39B96AF3" w14:textId="77777777" w:rsidR="00BC6691" w:rsidRPr="002C1DA1" w:rsidRDefault="00BC6691" w:rsidP="0072029A">
            <w:pPr>
              <w:pStyle w:val="Refnum1grey"/>
              <w:rPr>
                <w:b/>
              </w:rPr>
            </w:pPr>
          </w:p>
        </w:tc>
        <w:tc>
          <w:tcPr>
            <w:tcW w:w="540" w:type="dxa"/>
            <w:shd w:val="clear" w:color="auto" w:fill="F2F2F2" w:themeFill="background1" w:themeFillShade="F2"/>
          </w:tcPr>
          <w:p w14:paraId="1948CCB7" w14:textId="77777777" w:rsidR="00BC6691" w:rsidRPr="002C1DA1" w:rsidRDefault="00BC6691" w:rsidP="0072029A">
            <w:pPr>
              <w:pStyle w:val="Refnum2"/>
              <w:rPr>
                <w:b/>
              </w:rPr>
            </w:pPr>
          </w:p>
        </w:tc>
        <w:tc>
          <w:tcPr>
            <w:tcW w:w="6134" w:type="dxa"/>
            <w:shd w:val="clear" w:color="auto" w:fill="F2F2F2" w:themeFill="background1" w:themeFillShade="F2"/>
          </w:tcPr>
          <w:p w14:paraId="18E23EA8" w14:textId="77777777" w:rsidR="00BC6691" w:rsidRPr="00096A66" w:rsidRDefault="0072029A" w:rsidP="0072029A">
            <w:pPr>
              <w:pStyle w:val="Normalbold"/>
            </w:pPr>
            <w:r w:rsidRPr="00096A66">
              <w:t>Responsible persons</w:t>
            </w:r>
          </w:p>
          <w:p w14:paraId="3A8A7305" w14:textId="77777777" w:rsidR="0072029A" w:rsidRPr="00096A66" w:rsidRDefault="0072029A" w:rsidP="0072029A">
            <w:pPr>
              <w:pStyle w:val="Normalbold"/>
            </w:pPr>
            <w:r w:rsidRPr="00096A66">
              <w:t>The financial report of a reporting entity (including consolidated financial report in relation to an economic entity) must disclose the following in relation to responsible persons at any time during the reporting period:</w:t>
            </w:r>
          </w:p>
          <w:p w14:paraId="6C6B654C" w14:textId="77777777" w:rsidR="0072029A" w:rsidRPr="00096A66" w:rsidRDefault="0072029A" w:rsidP="0072029A">
            <w:pPr>
              <w:pStyle w:val="Listnum"/>
              <w:rPr>
                <w:b/>
              </w:rPr>
            </w:pPr>
            <w:r w:rsidRPr="00096A66">
              <w:rPr>
                <w:b/>
              </w:rPr>
              <w:t xml:space="preserve">the number of responsible </w:t>
            </w:r>
            <w:proofErr w:type="gramStart"/>
            <w:r w:rsidRPr="00096A66">
              <w:rPr>
                <w:b/>
              </w:rPr>
              <w:t>persons;</w:t>
            </w:r>
            <w:proofErr w:type="gramEnd"/>
            <w:r w:rsidRPr="00096A66">
              <w:rPr>
                <w:b/>
              </w:rPr>
              <w:t xml:space="preserve"> </w:t>
            </w:r>
          </w:p>
          <w:p w14:paraId="6F1A16AF" w14:textId="77777777" w:rsidR="0072029A" w:rsidRPr="00096A66" w:rsidRDefault="0072029A" w:rsidP="0072029A">
            <w:pPr>
              <w:pStyle w:val="Listnum"/>
              <w:rPr>
                <w:b/>
              </w:rPr>
            </w:pPr>
            <w:r w:rsidRPr="00096A66">
              <w:rPr>
                <w:b/>
              </w:rPr>
              <w:t xml:space="preserve">the name of each person holding a position of responsible person; and </w:t>
            </w:r>
          </w:p>
          <w:p w14:paraId="56E51E00" w14:textId="77777777" w:rsidR="0072029A" w:rsidRPr="00096A66" w:rsidRDefault="0072029A" w:rsidP="00840A94">
            <w:pPr>
              <w:pStyle w:val="Listnum"/>
            </w:pPr>
            <w:r w:rsidRPr="00096A66">
              <w:rPr>
                <w:b/>
              </w:rPr>
              <w:t xml:space="preserve">the total remuneration received within </w:t>
            </w:r>
            <w:r w:rsidR="00840A94">
              <w:rPr>
                <w:b/>
              </w:rPr>
              <w:t xml:space="preserve">a </w:t>
            </w:r>
            <w:r w:rsidRPr="00096A66">
              <w:rPr>
                <w:b/>
              </w:rPr>
              <w:t xml:space="preserve">$10 000 </w:t>
            </w:r>
            <w:r w:rsidR="00840A94">
              <w:rPr>
                <w:b/>
              </w:rPr>
              <w:t xml:space="preserve">range. </w:t>
            </w:r>
          </w:p>
        </w:tc>
      </w:tr>
      <w:tr w:rsidR="0072029A" w:rsidRPr="005828FE" w14:paraId="17788C57" w14:textId="77777777" w:rsidTr="00A0322D">
        <w:tc>
          <w:tcPr>
            <w:tcW w:w="2293" w:type="dxa"/>
            <w:shd w:val="clear" w:color="auto" w:fill="F2F2F2" w:themeFill="background1" w:themeFillShade="F2"/>
          </w:tcPr>
          <w:p w14:paraId="1BD8D89B" w14:textId="77777777" w:rsidR="0072029A" w:rsidRPr="002C1DA1" w:rsidRDefault="0072029A" w:rsidP="0072029A">
            <w:pPr>
              <w:rPr>
                <w:b/>
              </w:rPr>
            </w:pPr>
          </w:p>
        </w:tc>
        <w:tc>
          <w:tcPr>
            <w:tcW w:w="270" w:type="dxa"/>
            <w:shd w:val="clear" w:color="auto" w:fill="F2F2F2" w:themeFill="background1" w:themeFillShade="F2"/>
          </w:tcPr>
          <w:p w14:paraId="68FA6EA0" w14:textId="77777777" w:rsidR="0072029A" w:rsidRPr="002C1DA1" w:rsidRDefault="0072029A" w:rsidP="0072029A">
            <w:pPr>
              <w:rPr>
                <w:b/>
              </w:rPr>
            </w:pPr>
          </w:p>
        </w:tc>
        <w:tc>
          <w:tcPr>
            <w:tcW w:w="540" w:type="dxa"/>
            <w:shd w:val="clear" w:color="auto" w:fill="F2F2F2" w:themeFill="background1" w:themeFillShade="F2"/>
          </w:tcPr>
          <w:p w14:paraId="6A72D26E" w14:textId="77777777" w:rsidR="0072029A" w:rsidRPr="002C1DA1" w:rsidRDefault="0072029A" w:rsidP="0072029A">
            <w:pPr>
              <w:pStyle w:val="Refnum2"/>
              <w:rPr>
                <w:b/>
              </w:rPr>
            </w:pPr>
          </w:p>
        </w:tc>
        <w:tc>
          <w:tcPr>
            <w:tcW w:w="6134" w:type="dxa"/>
            <w:shd w:val="clear" w:color="auto" w:fill="F2F2F2" w:themeFill="background1" w:themeFillShade="F2"/>
          </w:tcPr>
          <w:p w14:paraId="51FFABCA" w14:textId="77777777" w:rsidR="0072029A" w:rsidRPr="00096A66" w:rsidRDefault="0072029A" w:rsidP="00A0322D">
            <w:pPr>
              <w:pStyle w:val="Normalbold"/>
            </w:pPr>
            <w:r w:rsidRPr="00096A66">
              <w:t>Ministers</w:t>
            </w:r>
          </w:p>
          <w:p w14:paraId="586E3874" w14:textId="5B6C9896" w:rsidR="0072029A" w:rsidRPr="00096A66" w:rsidRDefault="0072029A" w:rsidP="004F12B3">
            <w:pPr>
              <w:pStyle w:val="Normalbold"/>
            </w:pPr>
            <w:r w:rsidRPr="00E211F5">
              <w:t>The names of the relevant Ministers at any time during the reporting period</w:t>
            </w:r>
            <w:r w:rsidR="004F12B3">
              <w:t xml:space="preserve"> must</w:t>
            </w:r>
            <w:r w:rsidRPr="00E211F5">
              <w:t xml:space="preserve"> be disclosed. Ministerial remuneration is only to be disclosed in the financial report of </w:t>
            </w:r>
            <w:r w:rsidR="00E211F5" w:rsidRPr="00E211F5">
              <w:t xml:space="preserve">the </w:t>
            </w:r>
            <w:r w:rsidRPr="00E211F5">
              <w:t xml:space="preserve">Department of </w:t>
            </w:r>
            <w:r w:rsidR="00481C07" w:rsidRPr="00E211F5">
              <w:t>Parliamentary Services</w:t>
            </w:r>
            <w:r w:rsidRPr="00E211F5">
              <w:t>.</w:t>
            </w:r>
          </w:p>
        </w:tc>
      </w:tr>
      <w:tr w:rsidR="0072029A" w:rsidRPr="005828FE" w14:paraId="1D21C729" w14:textId="77777777" w:rsidTr="00A0322D">
        <w:tc>
          <w:tcPr>
            <w:tcW w:w="2293" w:type="dxa"/>
            <w:shd w:val="clear" w:color="auto" w:fill="F2F2F2" w:themeFill="background1" w:themeFillShade="F2"/>
          </w:tcPr>
          <w:p w14:paraId="06ACA30D" w14:textId="77777777" w:rsidR="0072029A" w:rsidRPr="002C1DA1" w:rsidRDefault="0072029A" w:rsidP="0072029A">
            <w:pPr>
              <w:rPr>
                <w:b/>
              </w:rPr>
            </w:pPr>
          </w:p>
        </w:tc>
        <w:tc>
          <w:tcPr>
            <w:tcW w:w="270" w:type="dxa"/>
            <w:shd w:val="clear" w:color="auto" w:fill="F2F2F2" w:themeFill="background1" w:themeFillShade="F2"/>
          </w:tcPr>
          <w:p w14:paraId="27F7DB1A" w14:textId="77777777" w:rsidR="0072029A" w:rsidRPr="002C1DA1" w:rsidRDefault="0072029A" w:rsidP="0072029A">
            <w:pPr>
              <w:rPr>
                <w:b/>
              </w:rPr>
            </w:pPr>
          </w:p>
        </w:tc>
        <w:tc>
          <w:tcPr>
            <w:tcW w:w="540" w:type="dxa"/>
            <w:shd w:val="clear" w:color="auto" w:fill="F2F2F2" w:themeFill="background1" w:themeFillShade="F2"/>
          </w:tcPr>
          <w:p w14:paraId="6A9D42D1" w14:textId="77777777" w:rsidR="0072029A" w:rsidRPr="002C1DA1" w:rsidRDefault="0072029A" w:rsidP="0072029A">
            <w:pPr>
              <w:pStyle w:val="Refnum2"/>
              <w:rPr>
                <w:b/>
              </w:rPr>
            </w:pPr>
          </w:p>
        </w:tc>
        <w:tc>
          <w:tcPr>
            <w:tcW w:w="6134" w:type="dxa"/>
            <w:shd w:val="clear" w:color="auto" w:fill="F2F2F2" w:themeFill="background1" w:themeFillShade="F2"/>
          </w:tcPr>
          <w:p w14:paraId="2E194BFB" w14:textId="77777777" w:rsidR="0072029A" w:rsidRPr="0017360E" w:rsidRDefault="0072029A" w:rsidP="00A0322D">
            <w:pPr>
              <w:pStyle w:val="Normalbold"/>
            </w:pPr>
            <w:r w:rsidRPr="0017360E">
              <w:t>Executive officers</w:t>
            </w:r>
          </w:p>
          <w:p w14:paraId="1B849FEC" w14:textId="77777777" w:rsidR="0072029A" w:rsidRPr="0017360E" w:rsidRDefault="0072029A" w:rsidP="0072029A">
            <w:pPr>
              <w:pStyle w:val="Normalbold"/>
            </w:pPr>
            <w:r w:rsidRPr="0017360E">
              <w:t xml:space="preserve">An entity shall disclose the following in relation to executive officers as defined in paragraph </w:t>
            </w:r>
            <w:r w:rsidR="00E67C8B" w:rsidRPr="0017360E">
              <w:t>5</w:t>
            </w:r>
            <w:r w:rsidRPr="0017360E">
              <w:t>.3:</w:t>
            </w:r>
          </w:p>
          <w:p w14:paraId="49F7DC01" w14:textId="77777777" w:rsidR="0072029A" w:rsidRPr="0017360E" w:rsidRDefault="0072029A" w:rsidP="0017360E">
            <w:pPr>
              <w:pStyle w:val="Listnum"/>
              <w:numPr>
                <w:ilvl w:val="0"/>
                <w:numId w:val="28"/>
              </w:numPr>
              <w:rPr>
                <w:b/>
              </w:rPr>
            </w:pPr>
            <w:r w:rsidRPr="0017360E">
              <w:rPr>
                <w:b/>
              </w:rPr>
              <w:t>the number of executive officers with total remuneration received or receivable in connection to their position as an executive officer over the reporting period. An executive officer’s remuneration should be disclosed within</w:t>
            </w:r>
            <w:r w:rsidR="003B015C" w:rsidRPr="0017360E">
              <w:rPr>
                <w:b/>
              </w:rPr>
              <w:t xml:space="preserve"> </w:t>
            </w:r>
            <w:r w:rsidR="00B11626" w:rsidRPr="0017360E">
              <w:rPr>
                <w:b/>
              </w:rPr>
              <w:t>remuneration categories</w:t>
            </w:r>
            <w:r w:rsidRPr="0017360E">
              <w:rPr>
                <w:b/>
              </w:rPr>
              <w:t xml:space="preserve"> in a table </w:t>
            </w:r>
            <w:proofErr w:type="gramStart"/>
            <w:r w:rsidRPr="0017360E">
              <w:rPr>
                <w:b/>
              </w:rPr>
              <w:t>format;</w:t>
            </w:r>
            <w:proofErr w:type="gramEnd"/>
          </w:p>
          <w:p w14:paraId="44BFDFD7" w14:textId="77777777" w:rsidR="0072029A" w:rsidRPr="0017360E" w:rsidRDefault="0072029A" w:rsidP="0017360E">
            <w:pPr>
              <w:pStyle w:val="Listnum"/>
              <w:rPr>
                <w:b/>
              </w:rPr>
            </w:pPr>
            <w:r w:rsidRPr="0017360E">
              <w:rPr>
                <w:b/>
              </w:rPr>
              <w:t xml:space="preserve">the total remuneration received or receivable by executive officers identified in paragraph </w:t>
            </w:r>
            <w:r w:rsidR="00492EC0" w:rsidRPr="0017360E">
              <w:rPr>
                <w:b/>
              </w:rPr>
              <w:t>4</w:t>
            </w:r>
            <w:r w:rsidRPr="0017360E">
              <w:rPr>
                <w:b/>
              </w:rPr>
              <w:t xml:space="preserve">.3(a) over the reporting </w:t>
            </w:r>
            <w:proofErr w:type="gramStart"/>
            <w:r w:rsidRPr="0017360E">
              <w:rPr>
                <w:b/>
              </w:rPr>
              <w:t>period;</w:t>
            </w:r>
            <w:proofErr w:type="gramEnd"/>
          </w:p>
          <w:p w14:paraId="0FFB0DE8" w14:textId="54332310" w:rsidR="0072029A" w:rsidRPr="0017360E" w:rsidRDefault="0072029A" w:rsidP="0017360E">
            <w:pPr>
              <w:pStyle w:val="Listnum"/>
              <w:rPr>
                <w:b/>
              </w:rPr>
            </w:pPr>
            <w:r w:rsidRPr="0017360E">
              <w:rPr>
                <w:b/>
              </w:rPr>
              <w:t xml:space="preserve">the total annualised employee equivalent (AEE) of executive officers identified in paragraph </w:t>
            </w:r>
            <w:r w:rsidR="00492EC0" w:rsidRPr="0017360E">
              <w:rPr>
                <w:b/>
              </w:rPr>
              <w:t>4</w:t>
            </w:r>
            <w:r w:rsidRPr="0017360E">
              <w:rPr>
                <w:b/>
              </w:rPr>
              <w:t>.3(a) over the reporting period; and</w:t>
            </w:r>
          </w:p>
          <w:p w14:paraId="2D5125BE" w14:textId="77777777" w:rsidR="0072029A" w:rsidRPr="0017360E" w:rsidRDefault="0072029A" w:rsidP="0017360E">
            <w:pPr>
              <w:pStyle w:val="Listnum"/>
              <w:rPr>
                <w:b/>
              </w:rPr>
            </w:pPr>
            <w:r w:rsidRPr="0017360E">
              <w:rPr>
                <w:b/>
              </w:rPr>
              <w:t xml:space="preserve">the reasons for significant variations between </w:t>
            </w:r>
            <w:r w:rsidR="00813B2C" w:rsidRPr="0017360E">
              <w:rPr>
                <w:b/>
              </w:rPr>
              <w:t xml:space="preserve">the </w:t>
            </w:r>
            <w:r w:rsidRPr="0017360E">
              <w:rPr>
                <w:b/>
              </w:rPr>
              <w:t>current and previous reporting period.</w:t>
            </w:r>
          </w:p>
        </w:tc>
      </w:tr>
      <w:tr w:rsidR="00DD1E43" w:rsidRPr="005828FE" w14:paraId="553FE52A" w14:textId="77777777" w:rsidTr="00A0322D">
        <w:tc>
          <w:tcPr>
            <w:tcW w:w="2293" w:type="dxa"/>
            <w:shd w:val="clear" w:color="auto" w:fill="F2F2F2" w:themeFill="background1" w:themeFillShade="F2"/>
          </w:tcPr>
          <w:p w14:paraId="3EB26BFC" w14:textId="77777777" w:rsidR="00DD1E43" w:rsidRPr="002C1DA1" w:rsidRDefault="00DD1E43" w:rsidP="0072029A">
            <w:pPr>
              <w:rPr>
                <w:b/>
              </w:rPr>
            </w:pPr>
          </w:p>
        </w:tc>
        <w:tc>
          <w:tcPr>
            <w:tcW w:w="270" w:type="dxa"/>
            <w:shd w:val="clear" w:color="auto" w:fill="F2F2F2" w:themeFill="background1" w:themeFillShade="F2"/>
          </w:tcPr>
          <w:p w14:paraId="5DE577D0" w14:textId="77777777" w:rsidR="00DD1E43" w:rsidRPr="002C1DA1" w:rsidRDefault="00DD1E43" w:rsidP="0072029A">
            <w:pPr>
              <w:rPr>
                <w:b/>
              </w:rPr>
            </w:pPr>
          </w:p>
        </w:tc>
        <w:tc>
          <w:tcPr>
            <w:tcW w:w="540" w:type="dxa"/>
            <w:shd w:val="clear" w:color="auto" w:fill="F2F2F2" w:themeFill="background1" w:themeFillShade="F2"/>
          </w:tcPr>
          <w:p w14:paraId="47325B87" w14:textId="77777777" w:rsidR="00DD1E43" w:rsidRPr="002C1DA1" w:rsidRDefault="00DD1E43" w:rsidP="0072029A">
            <w:pPr>
              <w:pStyle w:val="Refnum2"/>
              <w:rPr>
                <w:b/>
              </w:rPr>
            </w:pPr>
          </w:p>
        </w:tc>
        <w:tc>
          <w:tcPr>
            <w:tcW w:w="6134" w:type="dxa"/>
            <w:shd w:val="clear" w:color="auto" w:fill="F2F2F2" w:themeFill="background1" w:themeFillShade="F2"/>
          </w:tcPr>
          <w:p w14:paraId="22D31662" w14:textId="149041AE" w:rsidR="00321FB0" w:rsidRDefault="00321FB0" w:rsidP="00A0322D">
            <w:pPr>
              <w:pStyle w:val="Normalbold"/>
            </w:pPr>
            <w:r>
              <w:t>Entities that are not defined as a ‘significant entity’ under FRD 101</w:t>
            </w:r>
          </w:p>
          <w:p w14:paraId="71EE1245" w14:textId="479E6080" w:rsidR="00DD1E43" w:rsidRPr="0017360E" w:rsidRDefault="00DD1E43" w:rsidP="00A0322D">
            <w:pPr>
              <w:pStyle w:val="Normalbold"/>
            </w:pPr>
            <w:r>
              <w:t>Pursuant to the requirements of AASB 1060</w:t>
            </w:r>
            <w:r w:rsidR="00321FB0">
              <w:t xml:space="preserve">, </w:t>
            </w:r>
            <w:r w:rsidR="000B3800">
              <w:t>entities</w:t>
            </w:r>
            <w:r>
              <w:t xml:space="preserve"> </w:t>
            </w:r>
            <w:r w:rsidR="000B3800">
              <w:t xml:space="preserve">that do not meet the definition of a ‘significant entity’ </w:t>
            </w:r>
            <w:r w:rsidR="00932EEC">
              <w:t xml:space="preserve">under FRD 101 </w:t>
            </w:r>
            <w:r w:rsidR="000B3800">
              <w:t>do not need to apply paragraph 4.3(a).</w:t>
            </w:r>
          </w:p>
        </w:tc>
      </w:tr>
      <w:tr w:rsidR="005828FE" w:rsidRPr="005828FE" w14:paraId="503E147C" w14:textId="77777777" w:rsidTr="00B8224B">
        <w:tc>
          <w:tcPr>
            <w:tcW w:w="2293" w:type="dxa"/>
          </w:tcPr>
          <w:p w14:paraId="33E24145" w14:textId="77777777" w:rsidR="006C78FB" w:rsidRPr="005828FE" w:rsidRDefault="006C78FB" w:rsidP="00382EE1">
            <w:pPr>
              <w:pStyle w:val="Normalgrey"/>
            </w:pPr>
            <w:r w:rsidRPr="005828FE">
              <w:t>Definitions</w:t>
            </w:r>
          </w:p>
        </w:tc>
        <w:tc>
          <w:tcPr>
            <w:tcW w:w="270" w:type="dxa"/>
          </w:tcPr>
          <w:p w14:paraId="09EEB196" w14:textId="77777777" w:rsidR="006C78FB" w:rsidRPr="005828FE" w:rsidRDefault="006C78FB" w:rsidP="0072029A">
            <w:pPr>
              <w:pStyle w:val="Refnum1"/>
            </w:pPr>
          </w:p>
        </w:tc>
        <w:tc>
          <w:tcPr>
            <w:tcW w:w="540" w:type="dxa"/>
          </w:tcPr>
          <w:p w14:paraId="251F7FD7" w14:textId="77777777" w:rsidR="006C78FB" w:rsidRPr="005828FE" w:rsidRDefault="006C78FB" w:rsidP="0072029A">
            <w:pPr>
              <w:pStyle w:val="Refnum2"/>
            </w:pPr>
          </w:p>
        </w:tc>
        <w:tc>
          <w:tcPr>
            <w:tcW w:w="6134" w:type="dxa"/>
          </w:tcPr>
          <w:p w14:paraId="4478255C" w14:textId="70269731" w:rsidR="006C78FB" w:rsidRPr="0072029A" w:rsidRDefault="0072029A" w:rsidP="00682CA5">
            <w:pPr>
              <w:pStyle w:val="Normalgrey"/>
            </w:pPr>
            <w:r w:rsidRPr="00484911">
              <w:rPr>
                <w:b/>
              </w:rPr>
              <w:t>Accountable officer</w:t>
            </w:r>
            <w:r w:rsidR="002C1DA1">
              <w:rPr>
                <w:iCs/>
              </w:rPr>
              <w:t xml:space="preserve"> </w:t>
            </w:r>
            <w:r w:rsidR="002C1DA1">
              <w:t>–</w:t>
            </w:r>
            <w:r w:rsidR="002C1DA1" w:rsidRPr="004A576E">
              <w:rPr>
                <w:iCs/>
              </w:rPr>
              <w:t xml:space="preserve"> </w:t>
            </w:r>
            <w:r w:rsidR="00905E6B">
              <w:t>a</w:t>
            </w:r>
            <w:r w:rsidR="00905E6B" w:rsidRPr="00005D43">
              <w:t xml:space="preserve">s </w:t>
            </w:r>
            <w:r w:rsidRPr="00005D43">
              <w:t xml:space="preserve">defined in section </w:t>
            </w:r>
            <w:r w:rsidR="00484911">
              <w:t>42</w:t>
            </w:r>
            <w:r w:rsidR="00484911" w:rsidRPr="00005D43">
              <w:t xml:space="preserve"> </w:t>
            </w:r>
            <w:r w:rsidRPr="00005D43">
              <w:t>of the FMA</w:t>
            </w:r>
            <w:r w:rsidR="00905E6B">
              <w:t>,</w:t>
            </w:r>
            <w:r w:rsidR="00F90818">
              <w:t xml:space="preserve"> </w:t>
            </w:r>
            <w:r w:rsidR="00905E6B">
              <w:t>is</w:t>
            </w:r>
            <w:r w:rsidR="00F90818">
              <w:t xml:space="preserve"> the</w:t>
            </w:r>
            <w:r w:rsidR="00484911" w:rsidRPr="00484911">
              <w:t xml:space="preserve"> </w:t>
            </w:r>
            <w:r w:rsidR="00905E6B">
              <w:t>D</w:t>
            </w:r>
            <w:r w:rsidR="00484911" w:rsidRPr="00484911">
              <w:t>epartment Head</w:t>
            </w:r>
            <w:r w:rsidR="006360FB">
              <w:t xml:space="preserve"> of a department</w:t>
            </w:r>
            <w:r w:rsidR="00905E6B">
              <w:t>,</w:t>
            </w:r>
            <w:r w:rsidR="00484911" w:rsidRPr="00484911">
              <w:t xml:space="preserve"> </w:t>
            </w:r>
            <w:r w:rsidR="00682CA5">
              <w:t>or</w:t>
            </w:r>
            <w:r w:rsidR="00484911" w:rsidRPr="00484911">
              <w:t xml:space="preserve"> the Chief Executive Officer (CEO) or equivalen</w:t>
            </w:r>
            <w:r w:rsidR="00905E6B">
              <w:t xml:space="preserve">t of a public body, unless the Minister determines otherwise. </w:t>
            </w:r>
            <w:r w:rsidR="00484911">
              <w:rPr>
                <w:b/>
              </w:rPr>
              <w:t xml:space="preserve"> </w:t>
            </w:r>
          </w:p>
        </w:tc>
      </w:tr>
      <w:tr w:rsidR="00496467" w:rsidRPr="005828FE" w14:paraId="54F78AAC" w14:textId="77777777" w:rsidTr="00B8224B">
        <w:tc>
          <w:tcPr>
            <w:tcW w:w="2293" w:type="dxa"/>
          </w:tcPr>
          <w:p w14:paraId="78A4BF9F" w14:textId="77777777" w:rsidR="00496467" w:rsidRPr="005828FE" w:rsidRDefault="00496467" w:rsidP="00382EE1">
            <w:pPr>
              <w:pStyle w:val="Normalgrey"/>
            </w:pPr>
          </w:p>
        </w:tc>
        <w:tc>
          <w:tcPr>
            <w:tcW w:w="270" w:type="dxa"/>
          </w:tcPr>
          <w:p w14:paraId="63582A26" w14:textId="77777777" w:rsidR="00496467" w:rsidRPr="005828FE" w:rsidRDefault="00496467" w:rsidP="0072029A">
            <w:pPr>
              <w:pStyle w:val="Refnum1"/>
            </w:pPr>
          </w:p>
        </w:tc>
        <w:tc>
          <w:tcPr>
            <w:tcW w:w="540" w:type="dxa"/>
          </w:tcPr>
          <w:p w14:paraId="4855E984" w14:textId="77777777" w:rsidR="00496467" w:rsidRPr="005828FE" w:rsidRDefault="00496467" w:rsidP="00496467">
            <w:pPr>
              <w:pStyle w:val="Refnum2"/>
              <w:numPr>
                <w:ilvl w:val="0"/>
                <w:numId w:val="0"/>
              </w:numPr>
            </w:pPr>
            <w:r>
              <w:t>5.2</w:t>
            </w:r>
          </w:p>
        </w:tc>
        <w:tc>
          <w:tcPr>
            <w:tcW w:w="6134" w:type="dxa"/>
          </w:tcPr>
          <w:p w14:paraId="4E66B340" w14:textId="5F1431A6" w:rsidR="00496467" w:rsidRPr="00496467" w:rsidRDefault="00496467" w:rsidP="009850A8">
            <w:pPr>
              <w:pStyle w:val="Normalgrey"/>
            </w:pPr>
            <w:r w:rsidRPr="00FA34F0">
              <w:rPr>
                <w:b/>
              </w:rPr>
              <w:t>Annualised employee equivalent</w:t>
            </w:r>
            <w:r w:rsidRPr="00FA34F0">
              <w:t xml:space="preserve"> (AEE) </w:t>
            </w:r>
            <w:r w:rsidR="002C1DA1">
              <w:t>–</w:t>
            </w:r>
            <w:r w:rsidR="002C1DA1" w:rsidRPr="004A576E">
              <w:rPr>
                <w:iCs/>
              </w:rPr>
              <w:t xml:space="preserve"> </w:t>
            </w:r>
            <w:r w:rsidR="004507DC">
              <w:t xml:space="preserve">shows </w:t>
            </w:r>
            <w:r w:rsidR="00A45286">
              <w:t xml:space="preserve">the </w:t>
            </w:r>
            <w:proofErr w:type="gramStart"/>
            <w:r w:rsidR="00AC2942">
              <w:t>time period</w:t>
            </w:r>
            <w:proofErr w:type="gramEnd"/>
            <w:r w:rsidR="00AC2942">
              <w:t xml:space="preserve"> that the employee worked over the reporting perio</w:t>
            </w:r>
            <w:r w:rsidRPr="00FA34F0">
              <w:t>d</w:t>
            </w:r>
            <w:r w:rsidR="00C33CDD">
              <w:t>, compared to point in time reporting</w:t>
            </w:r>
            <w:r w:rsidR="00345C33">
              <w:t xml:space="preserve"> such as FTE reporting in FRD </w:t>
            </w:r>
            <w:r w:rsidR="003855BC">
              <w:t>29</w:t>
            </w:r>
            <w:r w:rsidR="00C33CDD">
              <w:t>.</w:t>
            </w:r>
            <w:r w:rsidR="008E160E">
              <w:t xml:space="preserve"> </w:t>
            </w:r>
            <w:r w:rsidR="00611013">
              <w:t xml:space="preserve">AEE is calculated </w:t>
            </w:r>
            <w:r w:rsidR="004033A3">
              <w:t xml:space="preserve">by dividing </w:t>
            </w:r>
            <w:r w:rsidR="00694A40">
              <w:t xml:space="preserve">the total number of ordinary working hours </w:t>
            </w:r>
            <w:r w:rsidRPr="00FA34F0">
              <w:t xml:space="preserve">that an employee worked </w:t>
            </w:r>
            <w:r w:rsidR="00694A40">
              <w:t xml:space="preserve">and was paid </w:t>
            </w:r>
            <w:r w:rsidRPr="00FA34F0">
              <w:t>over the reporting period</w:t>
            </w:r>
            <w:r w:rsidR="00F4026F">
              <w:t xml:space="preserve"> </w:t>
            </w:r>
            <w:r w:rsidR="005911CF">
              <w:t xml:space="preserve">(including paid leave) by the </w:t>
            </w:r>
            <w:r w:rsidR="007A217A">
              <w:t xml:space="preserve">standard </w:t>
            </w:r>
            <w:r w:rsidR="005911CF">
              <w:t xml:space="preserve">total number of full-time working hours paid </w:t>
            </w:r>
            <w:r w:rsidR="009212C9">
              <w:t xml:space="preserve">per annum. </w:t>
            </w:r>
            <w:r w:rsidR="00A01144">
              <w:t xml:space="preserve">Generally, </w:t>
            </w:r>
            <w:r w:rsidR="0062671C">
              <w:t>this is 38 hours per week, for 52 weeks, resulting in a total of 1</w:t>
            </w:r>
            <w:r w:rsidR="00F4026F">
              <w:t>,</w:t>
            </w:r>
            <w:r w:rsidR="0062671C">
              <w:t xml:space="preserve">976 hours per annum. </w:t>
            </w:r>
          </w:p>
        </w:tc>
      </w:tr>
      <w:tr w:rsidR="0072029A" w:rsidRPr="005828FE" w14:paraId="4DFE50C0" w14:textId="77777777" w:rsidTr="00B8224B">
        <w:tc>
          <w:tcPr>
            <w:tcW w:w="2293" w:type="dxa"/>
          </w:tcPr>
          <w:p w14:paraId="378FBBF5" w14:textId="77777777" w:rsidR="0072029A" w:rsidRPr="005828FE" w:rsidRDefault="0072029A" w:rsidP="00382EE1">
            <w:pPr>
              <w:pStyle w:val="Normalgrey"/>
            </w:pPr>
          </w:p>
        </w:tc>
        <w:tc>
          <w:tcPr>
            <w:tcW w:w="270" w:type="dxa"/>
          </w:tcPr>
          <w:p w14:paraId="202A66D2" w14:textId="77777777" w:rsidR="0072029A" w:rsidRPr="005828FE" w:rsidRDefault="0072029A" w:rsidP="0072029A"/>
        </w:tc>
        <w:tc>
          <w:tcPr>
            <w:tcW w:w="540" w:type="dxa"/>
          </w:tcPr>
          <w:p w14:paraId="15B73E57" w14:textId="77777777" w:rsidR="0072029A" w:rsidRPr="005828FE" w:rsidRDefault="00496467" w:rsidP="00496467">
            <w:pPr>
              <w:pStyle w:val="Refnum2"/>
              <w:numPr>
                <w:ilvl w:val="0"/>
                <w:numId w:val="0"/>
              </w:numPr>
            </w:pPr>
            <w:r>
              <w:t>5.3</w:t>
            </w:r>
          </w:p>
        </w:tc>
        <w:tc>
          <w:tcPr>
            <w:tcW w:w="6134" w:type="dxa"/>
          </w:tcPr>
          <w:p w14:paraId="31DF3DFD" w14:textId="78A47FBA" w:rsidR="00607068" w:rsidRPr="003059AD" w:rsidRDefault="0072029A" w:rsidP="00607068">
            <w:pPr>
              <w:pStyle w:val="Normalgrey"/>
            </w:pPr>
            <w:r w:rsidRPr="003059AD">
              <w:rPr>
                <w:b/>
              </w:rPr>
              <w:t>Executive officer</w:t>
            </w:r>
            <w:r w:rsidR="002C1DA1" w:rsidRPr="003059AD">
              <w:rPr>
                <w:iCs/>
              </w:rPr>
              <w:t xml:space="preserve"> </w:t>
            </w:r>
            <w:r w:rsidR="002C1DA1" w:rsidRPr="003059AD">
              <w:t>–</w:t>
            </w:r>
            <w:r w:rsidR="002C1DA1" w:rsidRPr="003059AD">
              <w:rPr>
                <w:iCs/>
              </w:rPr>
              <w:t xml:space="preserve"> </w:t>
            </w:r>
            <w:r w:rsidRPr="003059AD">
              <w:t xml:space="preserve">a person, other than a </w:t>
            </w:r>
            <w:r w:rsidR="003559F5" w:rsidRPr="003059AD">
              <w:t>statutory office holder or an accountable officer, who:</w:t>
            </w:r>
            <w:r w:rsidRPr="003059AD">
              <w:t xml:space="preserve"> </w:t>
            </w:r>
          </w:p>
          <w:p w14:paraId="5C59D718" w14:textId="24C190E3" w:rsidR="00D35C69" w:rsidRPr="003059AD" w:rsidRDefault="003559F5" w:rsidP="00D35C69">
            <w:pPr>
              <w:pStyle w:val="Bullet1grey"/>
            </w:pPr>
            <w:r w:rsidRPr="003059AD">
              <w:t xml:space="preserve">for a department, </w:t>
            </w:r>
            <w:r w:rsidR="001D4308" w:rsidRPr="003059AD">
              <w:t xml:space="preserve">who </w:t>
            </w:r>
            <w:r w:rsidRPr="003059AD">
              <w:t xml:space="preserve">is employed as an executive under </w:t>
            </w:r>
            <w:r w:rsidR="000223F9" w:rsidRPr="003059AD">
              <w:t>P</w:t>
            </w:r>
            <w:r w:rsidRPr="003059AD">
              <w:t xml:space="preserve">art 3 of the </w:t>
            </w:r>
            <w:r w:rsidRPr="003059AD">
              <w:rPr>
                <w:i/>
                <w:iCs/>
              </w:rPr>
              <w:t>Public Administration Act 2004</w:t>
            </w:r>
            <w:r w:rsidRPr="003059AD">
              <w:t xml:space="preserve"> (PAA)</w:t>
            </w:r>
          </w:p>
          <w:p w14:paraId="199EA6AD" w14:textId="4C80E4E0" w:rsidR="00DE3525" w:rsidRPr="003059AD" w:rsidRDefault="000223F9" w:rsidP="00882197">
            <w:pPr>
              <w:pStyle w:val="Bullet1grey"/>
            </w:pPr>
            <w:r w:rsidRPr="003059AD">
              <w:t xml:space="preserve">for a public body, </w:t>
            </w:r>
            <w:r w:rsidR="001D4308" w:rsidRPr="003059AD">
              <w:t xml:space="preserve">who </w:t>
            </w:r>
            <w:r w:rsidRPr="003059AD">
              <w:t xml:space="preserve">is employed as an executive under Part 3 of the </w:t>
            </w:r>
            <w:proofErr w:type="gramStart"/>
            <w:r w:rsidRPr="003059AD">
              <w:t>PAA, or</w:t>
            </w:r>
            <w:proofErr w:type="gramEnd"/>
            <w:r w:rsidRPr="003059AD">
              <w:t xml:space="preserve"> is a person </w:t>
            </w:r>
            <w:r w:rsidR="00602794" w:rsidRPr="003059AD">
              <w:t xml:space="preserve">to </w:t>
            </w:r>
            <w:r w:rsidRPr="003059AD">
              <w:t xml:space="preserve">whom the Victorian Government’s </w:t>
            </w:r>
            <w:r w:rsidR="00DE3525" w:rsidRPr="003059AD">
              <w:t>Public Entity Executive Remuneration (PEER) Policy</w:t>
            </w:r>
            <w:r w:rsidRPr="003059AD">
              <w:t xml:space="preserve"> applies</w:t>
            </w:r>
            <w:r w:rsidR="00D906EF">
              <w:t>.</w:t>
            </w:r>
          </w:p>
          <w:p w14:paraId="21FBA539" w14:textId="25D01F8C" w:rsidR="0072029A" w:rsidRPr="00607068" w:rsidRDefault="003559F5" w:rsidP="00607068">
            <w:pPr>
              <w:pStyle w:val="Normalgrey"/>
              <w:rPr>
                <w:b/>
              </w:rPr>
            </w:pPr>
            <w:r w:rsidRPr="003059AD">
              <w:t xml:space="preserve">The Victorian Government’s </w:t>
            </w:r>
            <w:r w:rsidR="00825742" w:rsidRPr="003059AD">
              <w:t xml:space="preserve">PEER </w:t>
            </w:r>
            <w:r w:rsidRPr="003059AD">
              <w:t xml:space="preserve">Policy can be found on the Victorian </w:t>
            </w:r>
            <w:r w:rsidR="00825742" w:rsidRPr="003059AD">
              <w:t>Government</w:t>
            </w:r>
            <w:r w:rsidRPr="003059AD">
              <w:t xml:space="preserve"> website at </w:t>
            </w:r>
            <w:r w:rsidR="007F7E0B" w:rsidRPr="003059AD">
              <w:t>www.vic.gov.au/public-entity-executive-remuneration-policy</w:t>
            </w:r>
            <w:r w:rsidRPr="003059AD">
              <w:t>.</w:t>
            </w:r>
            <w:r w:rsidRPr="00607068">
              <w:t xml:space="preserve"> </w:t>
            </w:r>
          </w:p>
        </w:tc>
      </w:tr>
      <w:tr w:rsidR="0072029A" w:rsidRPr="005828FE" w14:paraId="2DA21E48" w14:textId="77777777" w:rsidTr="00B8224B">
        <w:tc>
          <w:tcPr>
            <w:tcW w:w="2293" w:type="dxa"/>
          </w:tcPr>
          <w:p w14:paraId="306CB5CF" w14:textId="77777777" w:rsidR="0072029A" w:rsidRPr="005828FE" w:rsidRDefault="0072029A" w:rsidP="00382EE1">
            <w:pPr>
              <w:pStyle w:val="Normalgrey"/>
            </w:pPr>
          </w:p>
        </w:tc>
        <w:tc>
          <w:tcPr>
            <w:tcW w:w="270" w:type="dxa"/>
          </w:tcPr>
          <w:p w14:paraId="55879ACB" w14:textId="77777777" w:rsidR="0072029A" w:rsidRPr="005828FE" w:rsidRDefault="0072029A" w:rsidP="0072029A"/>
        </w:tc>
        <w:tc>
          <w:tcPr>
            <w:tcW w:w="540" w:type="dxa"/>
          </w:tcPr>
          <w:p w14:paraId="4E4A3A5B" w14:textId="77777777" w:rsidR="0072029A" w:rsidRPr="005828FE" w:rsidRDefault="00496467" w:rsidP="00250F83">
            <w:pPr>
              <w:pStyle w:val="Refnum2"/>
              <w:numPr>
                <w:ilvl w:val="0"/>
                <w:numId w:val="0"/>
              </w:numPr>
              <w:ind w:left="504" w:hanging="504"/>
            </w:pPr>
            <w:r>
              <w:t>5.</w:t>
            </w:r>
            <w:r w:rsidR="00250F83">
              <w:t>4</w:t>
            </w:r>
          </w:p>
        </w:tc>
        <w:tc>
          <w:tcPr>
            <w:tcW w:w="6134" w:type="dxa"/>
          </w:tcPr>
          <w:p w14:paraId="10ADA262" w14:textId="062F2037" w:rsidR="0072029A" w:rsidRDefault="0072029A" w:rsidP="0072029A">
            <w:pPr>
              <w:pStyle w:val="Normalgrey"/>
            </w:pPr>
            <w:r w:rsidRPr="00484911">
              <w:rPr>
                <w:b/>
              </w:rPr>
              <w:t>Responsible person</w:t>
            </w:r>
          </w:p>
          <w:p w14:paraId="703B3D99" w14:textId="58F38697" w:rsidR="0072029A" w:rsidRDefault="0072029A" w:rsidP="0072029A">
            <w:pPr>
              <w:pStyle w:val="Listnumgrey"/>
            </w:pPr>
            <w:r>
              <w:t xml:space="preserve">in relation to a department, the Accountable Officer and the </w:t>
            </w:r>
            <w:r w:rsidR="00006A46">
              <w:t xml:space="preserve">relevant </w:t>
            </w:r>
            <w:r>
              <w:t>Minister or Ministers (in relation to the individual Minister’s portfolio</w:t>
            </w:r>
            <w:proofErr w:type="gramStart"/>
            <w:r>
              <w:t>);</w:t>
            </w:r>
            <w:proofErr w:type="gramEnd"/>
          </w:p>
          <w:p w14:paraId="2BB71909" w14:textId="77777777" w:rsidR="0072029A" w:rsidRDefault="0072029A" w:rsidP="0072029A">
            <w:pPr>
              <w:pStyle w:val="Listnumgrey"/>
            </w:pPr>
            <w:r w:rsidRPr="00042C24">
              <w:t>in relation to a public body other than a department,</w:t>
            </w:r>
            <w:r w:rsidR="00FB6FC7">
              <w:t xml:space="preserve"> </w:t>
            </w:r>
            <w:r w:rsidRPr="00042C24">
              <w:t xml:space="preserve">the </w:t>
            </w:r>
            <w:r w:rsidR="00006A46">
              <w:t>relevant</w:t>
            </w:r>
            <w:r w:rsidR="00006A46" w:rsidRPr="00042C24">
              <w:t xml:space="preserve"> </w:t>
            </w:r>
            <w:r w:rsidRPr="00042C24">
              <w:t>Minister, the accountable officer and members of the governing boards, trustees or boards of management; and</w:t>
            </w:r>
          </w:p>
          <w:p w14:paraId="2A482AE3" w14:textId="77777777" w:rsidR="0072029A" w:rsidRPr="0072029A" w:rsidRDefault="0072029A" w:rsidP="0072029A">
            <w:pPr>
              <w:pStyle w:val="Listnumgrey"/>
            </w:pPr>
            <w:r w:rsidRPr="009F72F5">
              <w:t xml:space="preserve">any other person occupying or acting in the position of Minister, accountable officer or Board member in relation to a reporting entity. Responsible persons of the reporting entity comprise, in relation to the financial </w:t>
            </w:r>
            <w:r w:rsidRPr="006A6015">
              <w:rPr>
                <w:bCs/>
                <w:szCs w:val="22"/>
              </w:rPr>
              <w:t>report of a reporting entity, the responsible persons of the entity, and, in relation to the consolidated financial report of an economic entity, the responsible persons of the economic entity, which in normal circumstances, comprise the responsible persons of the parent entity in the economic entity.</w:t>
            </w:r>
          </w:p>
        </w:tc>
      </w:tr>
      <w:tr w:rsidR="0072029A" w:rsidRPr="005828FE" w14:paraId="4C6816BE" w14:textId="77777777" w:rsidTr="00B8224B">
        <w:tc>
          <w:tcPr>
            <w:tcW w:w="2293" w:type="dxa"/>
          </w:tcPr>
          <w:p w14:paraId="3F708580" w14:textId="77777777" w:rsidR="0072029A" w:rsidRPr="005828FE" w:rsidRDefault="0072029A" w:rsidP="00382EE1">
            <w:pPr>
              <w:pStyle w:val="Normalgrey"/>
            </w:pPr>
          </w:p>
        </w:tc>
        <w:tc>
          <w:tcPr>
            <w:tcW w:w="270" w:type="dxa"/>
          </w:tcPr>
          <w:p w14:paraId="5ABE5511" w14:textId="77777777" w:rsidR="0072029A" w:rsidRPr="00307361" w:rsidRDefault="0072029A" w:rsidP="0072029A"/>
        </w:tc>
        <w:tc>
          <w:tcPr>
            <w:tcW w:w="540" w:type="dxa"/>
          </w:tcPr>
          <w:p w14:paraId="52D257A6" w14:textId="77777777" w:rsidR="0072029A" w:rsidRPr="00307361" w:rsidRDefault="00496467" w:rsidP="00250F83">
            <w:pPr>
              <w:pStyle w:val="Refnum2"/>
              <w:numPr>
                <w:ilvl w:val="0"/>
                <w:numId w:val="0"/>
              </w:numPr>
              <w:ind w:left="504" w:hanging="504"/>
            </w:pPr>
            <w:r>
              <w:t>5.</w:t>
            </w:r>
            <w:r w:rsidR="00250F83">
              <w:t>5</w:t>
            </w:r>
          </w:p>
        </w:tc>
        <w:tc>
          <w:tcPr>
            <w:tcW w:w="6134" w:type="dxa"/>
          </w:tcPr>
          <w:p w14:paraId="6A79596A" w14:textId="117F39EE" w:rsidR="0072029A" w:rsidRPr="00307361" w:rsidRDefault="0072029A" w:rsidP="00307361">
            <w:pPr>
              <w:pStyle w:val="Normalgrey"/>
            </w:pPr>
            <w:r w:rsidRPr="00307361">
              <w:rPr>
                <w:b/>
              </w:rPr>
              <w:t>Remuneration</w:t>
            </w:r>
            <w:r w:rsidR="002C1DA1">
              <w:rPr>
                <w:iCs/>
              </w:rPr>
              <w:t xml:space="preserve"> </w:t>
            </w:r>
            <w:r w:rsidR="002C1DA1">
              <w:t>–</w:t>
            </w:r>
            <w:r w:rsidR="002C1DA1" w:rsidRPr="004A576E">
              <w:rPr>
                <w:iCs/>
              </w:rPr>
              <w:t xml:space="preserve"> </w:t>
            </w:r>
            <w:r w:rsidRPr="00307361">
              <w:t xml:space="preserve">includes </w:t>
            </w:r>
            <w:r w:rsidR="00307361" w:rsidRPr="00307361">
              <w:t xml:space="preserve">all employee benefits (as defined in AASB 119 </w:t>
            </w:r>
            <w:r w:rsidR="00307361" w:rsidRPr="00307361">
              <w:rPr>
                <w:i/>
              </w:rPr>
              <w:t>Employee Benefits</w:t>
            </w:r>
            <w:r w:rsidR="00307361" w:rsidRPr="00307361">
              <w:t xml:space="preserve">) which are all forms of </w:t>
            </w:r>
            <w:r w:rsidR="00307361">
              <w:t xml:space="preserve">consideration paid, payable or provided by the entity, or on behalf of the entity, in exchange for service rendered. It also includes amounts paid on behalf of a parent of the entity in respect of the entity. </w:t>
            </w:r>
          </w:p>
        </w:tc>
      </w:tr>
      <w:tr w:rsidR="00C524E6" w:rsidRPr="005828FE" w14:paraId="7B549A84" w14:textId="77777777" w:rsidTr="00B8224B">
        <w:tc>
          <w:tcPr>
            <w:tcW w:w="2293" w:type="dxa"/>
          </w:tcPr>
          <w:p w14:paraId="503D4BB1" w14:textId="77777777" w:rsidR="00C524E6" w:rsidRPr="005828FE" w:rsidRDefault="00C524E6" w:rsidP="00382EE1">
            <w:pPr>
              <w:pStyle w:val="Normalgrey"/>
            </w:pPr>
          </w:p>
        </w:tc>
        <w:tc>
          <w:tcPr>
            <w:tcW w:w="270" w:type="dxa"/>
          </w:tcPr>
          <w:p w14:paraId="5A8DA8E1" w14:textId="77777777" w:rsidR="00C524E6" w:rsidRPr="00307361" w:rsidRDefault="00C524E6" w:rsidP="0072029A"/>
        </w:tc>
        <w:tc>
          <w:tcPr>
            <w:tcW w:w="540" w:type="dxa"/>
          </w:tcPr>
          <w:p w14:paraId="0794A8F1" w14:textId="77777777" w:rsidR="00C524E6" w:rsidRDefault="00C524E6" w:rsidP="00250F83">
            <w:pPr>
              <w:pStyle w:val="Refnum2"/>
              <w:numPr>
                <w:ilvl w:val="0"/>
                <w:numId w:val="0"/>
              </w:numPr>
              <w:ind w:left="504" w:hanging="504"/>
            </w:pPr>
            <w:r>
              <w:t>5.6</w:t>
            </w:r>
          </w:p>
        </w:tc>
        <w:tc>
          <w:tcPr>
            <w:tcW w:w="6134" w:type="dxa"/>
          </w:tcPr>
          <w:p w14:paraId="6D21D9EC" w14:textId="58DE2897" w:rsidR="00C524E6" w:rsidRPr="002A3FE7" w:rsidRDefault="0038797E" w:rsidP="00307361">
            <w:pPr>
              <w:pStyle w:val="Normalgrey"/>
            </w:pPr>
            <w:r w:rsidRPr="0038797E">
              <w:rPr>
                <w:b/>
              </w:rPr>
              <w:t>Remuneration categories</w:t>
            </w:r>
            <w:r w:rsidR="002C1DA1">
              <w:rPr>
                <w:iCs/>
              </w:rPr>
              <w:t xml:space="preserve"> </w:t>
            </w:r>
            <w:r w:rsidR="002C1DA1">
              <w:t>–</w:t>
            </w:r>
            <w:r w:rsidR="002C1DA1" w:rsidRPr="004A576E">
              <w:rPr>
                <w:iCs/>
              </w:rPr>
              <w:t xml:space="preserve"> </w:t>
            </w:r>
            <w:r>
              <w:t>include</w:t>
            </w:r>
            <w:r w:rsidR="00C524E6" w:rsidRPr="002A3FE7">
              <w:t xml:space="preserve"> the following five categories as prescribed by AASB 124 </w:t>
            </w:r>
            <w:r w:rsidR="00C524E6" w:rsidRPr="002A3FE7">
              <w:rPr>
                <w:i/>
              </w:rPr>
              <w:t>Related Party Disclosures</w:t>
            </w:r>
            <w:r w:rsidR="00C524E6" w:rsidRPr="002A3FE7">
              <w:t>:</w:t>
            </w:r>
          </w:p>
          <w:p w14:paraId="46B231AA" w14:textId="77777777" w:rsidR="00C524E6" w:rsidRDefault="002A3FE7" w:rsidP="00FF5DB9">
            <w:pPr>
              <w:pStyle w:val="Bullet1grey"/>
            </w:pPr>
            <w:r>
              <w:t xml:space="preserve">salaries and other short-term </w:t>
            </w:r>
            <w:proofErr w:type="gramStart"/>
            <w:r>
              <w:t>benefits;</w:t>
            </w:r>
            <w:proofErr w:type="gramEnd"/>
          </w:p>
          <w:p w14:paraId="3D281535" w14:textId="77777777" w:rsidR="002A3FE7" w:rsidRDefault="002A3FE7" w:rsidP="00FF5DB9">
            <w:pPr>
              <w:pStyle w:val="Bullet1grey"/>
            </w:pPr>
            <w:r>
              <w:t>post-employment benefits:</w:t>
            </w:r>
          </w:p>
          <w:p w14:paraId="45C272E9" w14:textId="77777777" w:rsidR="002A3FE7" w:rsidRDefault="002A3FE7" w:rsidP="00FF5DB9">
            <w:pPr>
              <w:pStyle w:val="Bullet1grey"/>
            </w:pPr>
            <w:r>
              <w:t xml:space="preserve">other long-term </w:t>
            </w:r>
            <w:proofErr w:type="gramStart"/>
            <w:r>
              <w:t>benefits;</w:t>
            </w:r>
            <w:proofErr w:type="gramEnd"/>
          </w:p>
          <w:p w14:paraId="4FBF3A9F" w14:textId="77777777" w:rsidR="002A3FE7" w:rsidRDefault="002A3FE7" w:rsidP="00FF5DB9">
            <w:pPr>
              <w:pStyle w:val="Bullet1grey"/>
            </w:pPr>
            <w:r>
              <w:t xml:space="preserve">termination benefits; and </w:t>
            </w:r>
          </w:p>
          <w:p w14:paraId="7638C7C4" w14:textId="77777777" w:rsidR="002A3FE7" w:rsidRPr="00C524E6" w:rsidRDefault="002A3FE7" w:rsidP="00FF5DB9">
            <w:pPr>
              <w:pStyle w:val="Bullet1grey"/>
            </w:pPr>
            <w:r>
              <w:t xml:space="preserve">share-based payments. </w:t>
            </w:r>
          </w:p>
        </w:tc>
      </w:tr>
      <w:tr w:rsidR="005828FE" w:rsidRPr="005828FE" w14:paraId="76164094" w14:textId="77777777" w:rsidTr="00B8224B">
        <w:tc>
          <w:tcPr>
            <w:tcW w:w="2293" w:type="dxa"/>
          </w:tcPr>
          <w:p w14:paraId="77B8C4F1" w14:textId="77777777" w:rsidR="006C78FB" w:rsidRPr="005828FE" w:rsidRDefault="0072029A" w:rsidP="00382EE1">
            <w:pPr>
              <w:pStyle w:val="Normalgrey"/>
            </w:pPr>
            <w:r w:rsidRPr="005828FE">
              <w:t>Guidance</w:t>
            </w:r>
          </w:p>
        </w:tc>
        <w:tc>
          <w:tcPr>
            <w:tcW w:w="270" w:type="dxa"/>
          </w:tcPr>
          <w:p w14:paraId="06684FA9" w14:textId="77777777" w:rsidR="006C78FB" w:rsidRPr="005828FE" w:rsidRDefault="006C78FB" w:rsidP="0072029A">
            <w:pPr>
              <w:pStyle w:val="Refnum1"/>
            </w:pPr>
          </w:p>
        </w:tc>
        <w:tc>
          <w:tcPr>
            <w:tcW w:w="540" w:type="dxa"/>
          </w:tcPr>
          <w:p w14:paraId="6AC4AE7B" w14:textId="77777777" w:rsidR="006C78FB" w:rsidRPr="005828FE" w:rsidRDefault="00496467" w:rsidP="00496467">
            <w:pPr>
              <w:pStyle w:val="Refnum2"/>
              <w:numPr>
                <w:ilvl w:val="0"/>
                <w:numId w:val="0"/>
              </w:numPr>
            </w:pPr>
            <w:r>
              <w:t>6.1</w:t>
            </w:r>
          </w:p>
        </w:tc>
        <w:tc>
          <w:tcPr>
            <w:tcW w:w="6134" w:type="dxa"/>
          </w:tcPr>
          <w:p w14:paraId="16668558" w14:textId="77777777" w:rsidR="00421F2E" w:rsidRPr="0072029A" w:rsidRDefault="0072029A" w:rsidP="00804292">
            <w:pPr>
              <w:pStyle w:val="Normalgrey"/>
            </w:pPr>
            <w:r w:rsidRPr="00005D43">
              <w:t xml:space="preserve">This section provides guidance on the disclosure requirements </w:t>
            </w:r>
            <w:r>
              <w:t xml:space="preserve">of this FRD </w:t>
            </w:r>
            <w:r w:rsidRPr="00005D43">
              <w:t>in relation to responsible persons</w:t>
            </w:r>
            <w:r w:rsidR="00804292">
              <w:t xml:space="preserve"> and </w:t>
            </w:r>
            <w:r w:rsidRPr="00005D43">
              <w:t>executive officers</w:t>
            </w:r>
            <w:r w:rsidRPr="00B42521">
              <w:t>.</w:t>
            </w:r>
          </w:p>
        </w:tc>
      </w:tr>
      <w:tr w:rsidR="0072029A" w:rsidRPr="005828FE" w14:paraId="2F97055C" w14:textId="77777777" w:rsidTr="00B8224B">
        <w:tc>
          <w:tcPr>
            <w:tcW w:w="2293" w:type="dxa"/>
          </w:tcPr>
          <w:p w14:paraId="4EB87622" w14:textId="77777777" w:rsidR="0072029A" w:rsidRPr="005828FE" w:rsidRDefault="0072029A" w:rsidP="00382EE1">
            <w:pPr>
              <w:pStyle w:val="Normalgrey"/>
            </w:pPr>
          </w:p>
        </w:tc>
        <w:tc>
          <w:tcPr>
            <w:tcW w:w="270" w:type="dxa"/>
          </w:tcPr>
          <w:p w14:paraId="1598E6AC" w14:textId="77777777" w:rsidR="0072029A" w:rsidRPr="005828FE" w:rsidRDefault="0072029A" w:rsidP="0072029A"/>
        </w:tc>
        <w:tc>
          <w:tcPr>
            <w:tcW w:w="540" w:type="dxa"/>
          </w:tcPr>
          <w:p w14:paraId="25D612AD" w14:textId="77777777" w:rsidR="0072029A" w:rsidRPr="005828FE" w:rsidRDefault="00496467" w:rsidP="00496467">
            <w:pPr>
              <w:pStyle w:val="Refnum2"/>
              <w:numPr>
                <w:ilvl w:val="0"/>
                <w:numId w:val="0"/>
              </w:numPr>
              <w:ind w:left="504" w:hanging="504"/>
            </w:pPr>
            <w:r>
              <w:t>6.2</w:t>
            </w:r>
          </w:p>
        </w:tc>
        <w:tc>
          <w:tcPr>
            <w:tcW w:w="6134" w:type="dxa"/>
          </w:tcPr>
          <w:p w14:paraId="2097478C" w14:textId="77777777" w:rsidR="0072029A" w:rsidRDefault="0072029A" w:rsidP="0072029A">
            <w:pPr>
              <w:pStyle w:val="Normalgreybold"/>
            </w:pPr>
            <w:r w:rsidRPr="00042C24">
              <w:t>Responsible persons</w:t>
            </w:r>
          </w:p>
          <w:p w14:paraId="66A09163" w14:textId="77777777" w:rsidR="0072029A" w:rsidRDefault="0072029A" w:rsidP="0072029A">
            <w:pPr>
              <w:pStyle w:val="Normalgrey"/>
            </w:pPr>
            <w:r w:rsidRPr="009B1CEB">
              <w:t xml:space="preserve">The </w:t>
            </w:r>
            <w:r w:rsidRPr="00096A66">
              <w:t>following should be</w:t>
            </w:r>
            <w:r w:rsidRPr="009B1CEB">
              <w:t xml:space="preserve"> disclosed </w:t>
            </w:r>
            <w:proofErr w:type="gramStart"/>
            <w:r w:rsidRPr="009B1CEB">
              <w:t>in regard to</w:t>
            </w:r>
            <w:proofErr w:type="gramEnd"/>
            <w:r w:rsidRPr="009B1CEB">
              <w:t xml:space="preserve"> </w:t>
            </w:r>
            <w:r w:rsidRPr="0072029A">
              <w:rPr>
                <w:b/>
              </w:rPr>
              <w:t>responsible persons</w:t>
            </w:r>
            <w:r w:rsidRPr="009B1CEB">
              <w:t>:</w:t>
            </w:r>
          </w:p>
          <w:p w14:paraId="38F66067" w14:textId="77777777" w:rsidR="0072029A" w:rsidRPr="00BA6503" w:rsidRDefault="00F7704D" w:rsidP="0072029A">
            <w:pPr>
              <w:pStyle w:val="Listnumgrey"/>
              <w:numPr>
                <w:ilvl w:val="2"/>
                <w:numId w:val="31"/>
              </w:numPr>
            </w:pPr>
            <w:r>
              <w:t>t</w:t>
            </w:r>
            <w:r w:rsidRPr="009B1CEB">
              <w:t xml:space="preserve">he </w:t>
            </w:r>
            <w:r w:rsidR="0072029A" w:rsidRPr="009B1CEB">
              <w:t xml:space="preserve">name of each person holding a position that meets the definition of a responsible person of the reporting entity, at any time </w:t>
            </w:r>
            <w:r w:rsidR="0072029A" w:rsidRPr="00BA6503">
              <w:t xml:space="preserve">during the reporting </w:t>
            </w:r>
            <w:proofErr w:type="gramStart"/>
            <w:r w:rsidR="0072029A" w:rsidRPr="00BA6503">
              <w:t>period;</w:t>
            </w:r>
            <w:proofErr w:type="gramEnd"/>
          </w:p>
          <w:p w14:paraId="5EDD164C" w14:textId="77777777" w:rsidR="0072029A" w:rsidRPr="00BA6503" w:rsidRDefault="00F7704D" w:rsidP="0072029A">
            <w:pPr>
              <w:pStyle w:val="Listnumgrey"/>
            </w:pPr>
            <w:r w:rsidRPr="00BA6503">
              <w:t xml:space="preserve">where </w:t>
            </w:r>
            <w:r w:rsidR="0072029A" w:rsidRPr="00BA6503">
              <w:t>there is more than one responsible person during any reporting period, the total remuneration of all responsible persons received or receivable in connection to their position as responsible person;</w:t>
            </w:r>
            <w:r w:rsidRPr="00BA6503">
              <w:t xml:space="preserve"> and</w:t>
            </w:r>
          </w:p>
          <w:p w14:paraId="62AD5B5E" w14:textId="77777777" w:rsidR="0072029A" w:rsidRPr="0072029A" w:rsidRDefault="0072029A" w:rsidP="00AC3AB4">
            <w:pPr>
              <w:pStyle w:val="Listnumgrey"/>
            </w:pPr>
            <w:r w:rsidRPr="00BA6503">
              <w:t xml:space="preserve">the remuneration of </w:t>
            </w:r>
            <w:r w:rsidR="00BA6503" w:rsidRPr="00BA6503">
              <w:t xml:space="preserve">each </w:t>
            </w:r>
            <w:r w:rsidRPr="00BA6503">
              <w:t>responsible person in</w:t>
            </w:r>
            <w:r w:rsidR="00BA6503" w:rsidRPr="00BA6503">
              <w:t xml:space="preserve"> an</w:t>
            </w:r>
            <w:r w:rsidR="00AC3AB4" w:rsidRPr="00BA6503">
              <w:t xml:space="preserve"> </w:t>
            </w:r>
            <w:r w:rsidRPr="00BA6503">
              <w:t xml:space="preserve">income </w:t>
            </w:r>
            <w:r w:rsidR="00AC3AB4" w:rsidRPr="00BA6503">
              <w:t xml:space="preserve">range </w:t>
            </w:r>
            <w:r w:rsidRPr="00BA6503">
              <w:t>of $10 000</w:t>
            </w:r>
            <w:r w:rsidR="00BA6503" w:rsidRPr="00BA6503">
              <w:t xml:space="preserve">. </w:t>
            </w:r>
          </w:p>
        </w:tc>
      </w:tr>
      <w:tr w:rsidR="0072029A" w:rsidRPr="005828FE" w14:paraId="4A3F3587" w14:textId="77777777" w:rsidTr="00B8224B">
        <w:tc>
          <w:tcPr>
            <w:tcW w:w="2293" w:type="dxa"/>
          </w:tcPr>
          <w:p w14:paraId="4FB55697" w14:textId="77777777" w:rsidR="0072029A" w:rsidRPr="005828FE" w:rsidRDefault="0072029A" w:rsidP="00382EE1">
            <w:pPr>
              <w:pStyle w:val="Normalgrey"/>
            </w:pPr>
          </w:p>
        </w:tc>
        <w:tc>
          <w:tcPr>
            <w:tcW w:w="270" w:type="dxa"/>
          </w:tcPr>
          <w:p w14:paraId="7AC7B339" w14:textId="77777777" w:rsidR="0072029A" w:rsidRPr="005828FE" w:rsidRDefault="0072029A" w:rsidP="0072029A"/>
        </w:tc>
        <w:tc>
          <w:tcPr>
            <w:tcW w:w="540" w:type="dxa"/>
          </w:tcPr>
          <w:p w14:paraId="5A337FC7" w14:textId="77777777" w:rsidR="0072029A" w:rsidRPr="005828FE" w:rsidRDefault="00496467" w:rsidP="00496467">
            <w:pPr>
              <w:pStyle w:val="Refnum2"/>
              <w:numPr>
                <w:ilvl w:val="0"/>
                <w:numId w:val="0"/>
              </w:numPr>
              <w:ind w:left="504" w:hanging="504"/>
            </w:pPr>
            <w:r>
              <w:t>6.3</w:t>
            </w:r>
          </w:p>
        </w:tc>
        <w:tc>
          <w:tcPr>
            <w:tcW w:w="6134" w:type="dxa"/>
          </w:tcPr>
          <w:p w14:paraId="04B9C8B1" w14:textId="77777777" w:rsidR="0072029A" w:rsidRDefault="0072029A" w:rsidP="0072029A">
            <w:pPr>
              <w:pStyle w:val="Normalgreybold"/>
            </w:pPr>
            <w:r w:rsidRPr="0072029A">
              <w:t>Executive officers</w:t>
            </w:r>
          </w:p>
          <w:p w14:paraId="6654E825" w14:textId="77777777" w:rsidR="0072029A" w:rsidRPr="00885C66" w:rsidRDefault="0072029A" w:rsidP="0072029A">
            <w:pPr>
              <w:pStyle w:val="Normalgrey"/>
            </w:pPr>
            <w:r w:rsidRPr="009E0269">
              <w:t xml:space="preserve">The </w:t>
            </w:r>
            <w:r w:rsidRPr="00885C66">
              <w:t xml:space="preserve">following </w:t>
            </w:r>
            <w:r w:rsidR="00D27300" w:rsidRPr="00885C66">
              <w:t>s</w:t>
            </w:r>
            <w:r w:rsidR="00D27300">
              <w:t>hould</w:t>
            </w:r>
            <w:r w:rsidR="00D27300" w:rsidRPr="00885C66">
              <w:t xml:space="preserve"> </w:t>
            </w:r>
            <w:r w:rsidRPr="00885C66">
              <w:t xml:space="preserve">be disclosed </w:t>
            </w:r>
            <w:proofErr w:type="gramStart"/>
            <w:r w:rsidRPr="00885C66">
              <w:t>in regard to</w:t>
            </w:r>
            <w:proofErr w:type="gramEnd"/>
            <w:r w:rsidRPr="00885C66">
              <w:t xml:space="preserve"> </w:t>
            </w:r>
            <w:r w:rsidRPr="00885C66">
              <w:rPr>
                <w:b/>
              </w:rPr>
              <w:t>executive officers</w:t>
            </w:r>
            <w:r w:rsidRPr="00885C66">
              <w:t>:</w:t>
            </w:r>
          </w:p>
          <w:p w14:paraId="625AB5F8" w14:textId="77777777" w:rsidR="0072029A" w:rsidRPr="00D46B3D" w:rsidRDefault="000A5E6F" w:rsidP="00D46B3D">
            <w:pPr>
              <w:pStyle w:val="Listnumgrey"/>
              <w:numPr>
                <w:ilvl w:val="2"/>
                <w:numId w:val="32"/>
              </w:numPr>
            </w:pPr>
            <w:r w:rsidRPr="00D46B3D">
              <w:t xml:space="preserve">total </w:t>
            </w:r>
            <w:r w:rsidR="0072029A" w:rsidRPr="00D46B3D">
              <w:t>remuneration of all executive officers received or receivable in connection to their position as an executive officer</w:t>
            </w:r>
            <w:r w:rsidR="00E64678" w:rsidRPr="00D46B3D">
              <w:t xml:space="preserve"> (</w:t>
            </w:r>
            <w:r w:rsidR="0072029A" w:rsidRPr="00D46B3D">
              <w:t>including the remuneration of executive officers acting in the position of an accountable officer at any time during the reporting period</w:t>
            </w:r>
            <w:r w:rsidR="00E64678" w:rsidRPr="00D46B3D">
              <w:t>), and details of the components of that remuneration</w:t>
            </w:r>
            <w:r w:rsidR="00D46B3D" w:rsidRPr="00D46B3D">
              <w:t>.</w:t>
            </w:r>
            <w:r w:rsidR="00E64678" w:rsidRPr="00D46B3D">
              <w:t xml:space="preserve"> Details on remuneration components are required to mitigate against erroneous conclusions, for example where remuneration is high due to the payout of residual entitlements (e.g. annual leave) on termination of </w:t>
            </w:r>
            <w:proofErr w:type="gramStart"/>
            <w:r w:rsidR="00E64678" w:rsidRPr="00D46B3D">
              <w:t>contracts</w:t>
            </w:r>
            <w:r w:rsidR="0072029A" w:rsidRPr="00D46B3D">
              <w:t>;</w:t>
            </w:r>
            <w:proofErr w:type="gramEnd"/>
          </w:p>
          <w:p w14:paraId="4D03E5D3" w14:textId="5C2FBD36" w:rsidR="0072029A" w:rsidRPr="00361E0E" w:rsidRDefault="000A5E6F" w:rsidP="00DD57C5">
            <w:pPr>
              <w:pStyle w:val="Listnumgrey"/>
            </w:pPr>
            <w:r>
              <w:t>t</w:t>
            </w:r>
            <w:r w:rsidRPr="00361E0E">
              <w:t xml:space="preserve">he </w:t>
            </w:r>
            <w:r w:rsidR="0072029A" w:rsidRPr="00361E0E">
              <w:t>disclosure of the annualised employee equivalent (AEE) applies to</w:t>
            </w:r>
            <w:r>
              <w:t xml:space="preserve"> all</w:t>
            </w:r>
            <w:r w:rsidR="0072029A" w:rsidRPr="00361E0E">
              <w:t xml:space="preserve"> executive officers;</w:t>
            </w:r>
            <w:r w:rsidR="005A6198">
              <w:t xml:space="preserve"> </w:t>
            </w:r>
            <w:r w:rsidR="0072029A" w:rsidRPr="00361E0E">
              <w:t>and</w:t>
            </w:r>
          </w:p>
          <w:p w14:paraId="2994BDB9" w14:textId="77777777" w:rsidR="0072029A" w:rsidRPr="0072029A" w:rsidRDefault="005A6198" w:rsidP="005A6198">
            <w:pPr>
              <w:pStyle w:val="Listnumgrey"/>
            </w:pPr>
            <w:r>
              <w:t>a</w:t>
            </w:r>
            <w:r w:rsidRPr="00820331">
              <w:t xml:space="preserve">ccrual </w:t>
            </w:r>
            <w:r w:rsidR="0072029A" w:rsidRPr="00820331">
              <w:t xml:space="preserve">principles apply </w:t>
            </w:r>
            <w:r>
              <w:t>to</w:t>
            </w:r>
            <w:r w:rsidR="0072029A" w:rsidRPr="00820331">
              <w:t xml:space="preserve"> all amounts received or receivable in connection to the position as an executive officer over the reporting period are disclosed.</w:t>
            </w:r>
          </w:p>
        </w:tc>
      </w:tr>
      <w:tr w:rsidR="0072029A" w:rsidRPr="005828FE" w14:paraId="27F37309" w14:textId="77777777" w:rsidTr="00B8224B">
        <w:tc>
          <w:tcPr>
            <w:tcW w:w="2293" w:type="dxa"/>
          </w:tcPr>
          <w:p w14:paraId="75F55548" w14:textId="77777777" w:rsidR="0072029A" w:rsidRPr="005828FE" w:rsidRDefault="0072029A" w:rsidP="00382EE1">
            <w:pPr>
              <w:pStyle w:val="Normalgrey"/>
            </w:pPr>
          </w:p>
        </w:tc>
        <w:tc>
          <w:tcPr>
            <w:tcW w:w="270" w:type="dxa"/>
          </w:tcPr>
          <w:p w14:paraId="5FD591CE" w14:textId="77777777" w:rsidR="0072029A" w:rsidRPr="005828FE" w:rsidRDefault="0072029A" w:rsidP="0072029A"/>
        </w:tc>
        <w:tc>
          <w:tcPr>
            <w:tcW w:w="540" w:type="dxa"/>
          </w:tcPr>
          <w:p w14:paraId="1F478659" w14:textId="77777777" w:rsidR="0072029A" w:rsidRPr="005828FE" w:rsidRDefault="00496467" w:rsidP="00D37B90">
            <w:pPr>
              <w:pStyle w:val="Refnum2"/>
              <w:numPr>
                <w:ilvl w:val="0"/>
                <w:numId w:val="0"/>
              </w:numPr>
              <w:ind w:left="504" w:hanging="504"/>
            </w:pPr>
            <w:r>
              <w:t>6.</w:t>
            </w:r>
            <w:r w:rsidR="00D37B90">
              <w:t>4</w:t>
            </w:r>
          </w:p>
        </w:tc>
        <w:tc>
          <w:tcPr>
            <w:tcW w:w="6134" w:type="dxa"/>
          </w:tcPr>
          <w:p w14:paraId="15F9B723" w14:textId="77777777" w:rsidR="0072029A" w:rsidRPr="00073D16" w:rsidRDefault="0072029A" w:rsidP="0072029A">
            <w:pPr>
              <w:pStyle w:val="Normalgrey"/>
            </w:pPr>
            <w:proofErr w:type="gramStart"/>
            <w:r w:rsidRPr="00073D16">
              <w:t>For the purpose of</w:t>
            </w:r>
            <w:proofErr w:type="gramEnd"/>
            <w:r w:rsidRPr="00073D16">
              <w:t xml:space="preserve"> this FRD, holding financial and/or human resource management delegation is not a pre-requisite for undertaking significant management responsibilities.</w:t>
            </w:r>
          </w:p>
        </w:tc>
      </w:tr>
      <w:tr w:rsidR="003E72E3" w:rsidRPr="005828FE" w14:paraId="167991D6" w14:textId="77777777" w:rsidTr="00B8224B">
        <w:tc>
          <w:tcPr>
            <w:tcW w:w="2293" w:type="dxa"/>
          </w:tcPr>
          <w:p w14:paraId="4190F863" w14:textId="77777777" w:rsidR="003E72E3" w:rsidRPr="005828FE" w:rsidRDefault="003E72E3" w:rsidP="00382EE1">
            <w:pPr>
              <w:pStyle w:val="Normalgrey"/>
            </w:pPr>
            <w:r w:rsidRPr="005828FE">
              <w:t>Relevant pronouncements</w:t>
            </w:r>
          </w:p>
        </w:tc>
        <w:tc>
          <w:tcPr>
            <w:tcW w:w="270" w:type="dxa"/>
          </w:tcPr>
          <w:p w14:paraId="7195B8D1" w14:textId="77777777" w:rsidR="003E72E3" w:rsidRPr="005828FE" w:rsidRDefault="003E72E3" w:rsidP="0072029A"/>
        </w:tc>
        <w:tc>
          <w:tcPr>
            <w:tcW w:w="540" w:type="dxa"/>
          </w:tcPr>
          <w:p w14:paraId="17E01560" w14:textId="77777777" w:rsidR="003E72E3" w:rsidRPr="005828FE" w:rsidRDefault="003E72E3" w:rsidP="003E72E3">
            <w:pPr>
              <w:pStyle w:val="Refnum2"/>
              <w:numPr>
                <w:ilvl w:val="0"/>
                <w:numId w:val="0"/>
              </w:numPr>
              <w:ind w:left="504" w:hanging="504"/>
            </w:pPr>
            <w:r>
              <w:t>7.1</w:t>
            </w:r>
          </w:p>
        </w:tc>
        <w:tc>
          <w:tcPr>
            <w:tcW w:w="6134" w:type="dxa"/>
          </w:tcPr>
          <w:p w14:paraId="0AA0C9A3" w14:textId="77777777" w:rsidR="003E72E3" w:rsidRPr="00D27300" w:rsidRDefault="00D27300" w:rsidP="00A6792B">
            <w:pPr>
              <w:pStyle w:val="Bullet1grey"/>
            </w:pPr>
            <w:r w:rsidRPr="00D27300">
              <w:t xml:space="preserve">AASB 119 </w:t>
            </w:r>
            <w:r w:rsidRPr="00A6792B">
              <w:rPr>
                <w:i/>
                <w:iCs/>
              </w:rPr>
              <w:t>Employee Benefits</w:t>
            </w:r>
          </w:p>
          <w:p w14:paraId="556429D0" w14:textId="77777777" w:rsidR="00D27300" w:rsidRDefault="00D27300" w:rsidP="00A6792B">
            <w:pPr>
              <w:pStyle w:val="Bullet1grey"/>
            </w:pPr>
            <w:r w:rsidRPr="00D27300">
              <w:t xml:space="preserve">AASB 124 </w:t>
            </w:r>
            <w:r w:rsidRPr="00A6792B">
              <w:rPr>
                <w:i/>
                <w:iCs/>
              </w:rPr>
              <w:t>Related Party Disclosures</w:t>
            </w:r>
            <w:r w:rsidRPr="00D27300">
              <w:t xml:space="preserve"> </w:t>
            </w:r>
          </w:p>
          <w:p w14:paraId="5ACDE775" w14:textId="77777777" w:rsidR="00D27300" w:rsidRPr="00DD1E43" w:rsidRDefault="00D27300" w:rsidP="00A6792B">
            <w:pPr>
              <w:pStyle w:val="Bullet1grey"/>
            </w:pPr>
            <w:r>
              <w:t xml:space="preserve">FRD 15 </w:t>
            </w:r>
            <w:r w:rsidRPr="00A6792B">
              <w:rPr>
                <w:i/>
                <w:iCs/>
              </w:rPr>
              <w:t>Executive officer disclosures in the Report of Operations by departments</w:t>
            </w:r>
          </w:p>
          <w:p w14:paraId="5C0211E4" w14:textId="77777777" w:rsidR="00DD1E43" w:rsidRPr="00DF0E4A" w:rsidRDefault="00DD1E43" w:rsidP="00A6792B">
            <w:pPr>
              <w:pStyle w:val="Bullet1grey"/>
            </w:pPr>
            <w:r>
              <w:t xml:space="preserve">AASB 1060 </w:t>
            </w:r>
            <w:r>
              <w:rPr>
                <w:i/>
                <w:iCs/>
              </w:rPr>
              <w:t>General Purpose Financial Statements – Simplified Disclosures for For-Profit and Not-for-Profit Tier 2 Entities</w:t>
            </w:r>
          </w:p>
          <w:p w14:paraId="7EA4E1DB" w14:textId="4F557B1D" w:rsidR="00DF0E4A" w:rsidRPr="00D27300" w:rsidRDefault="00DF0E4A" w:rsidP="00A6792B">
            <w:pPr>
              <w:pStyle w:val="Bullet1grey"/>
            </w:pPr>
            <w:r>
              <w:t xml:space="preserve">FRD 101 </w:t>
            </w:r>
            <w:r>
              <w:rPr>
                <w:i/>
                <w:iCs/>
              </w:rPr>
              <w:t>Application of Tiers of Australian Accounting Standards</w:t>
            </w:r>
          </w:p>
        </w:tc>
      </w:tr>
      <w:tr w:rsidR="003E72E3" w:rsidRPr="005828FE" w14:paraId="56FCA21E" w14:textId="77777777" w:rsidTr="00B8224B">
        <w:tc>
          <w:tcPr>
            <w:tcW w:w="2293" w:type="dxa"/>
          </w:tcPr>
          <w:p w14:paraId="50DC7B35" w14:textId="77777777" w:rsidR="003E72E3" w:rsidRPr="005828FE" w:rsidRDefault="003E72E3" w:rsidP="00382EE1">
            <w:pPr>
              <w:pStyle w:val="Normalgrey"/>
            </w:pPr>
            <w:r w:rsidRPr="005828FE">
              <w:t>Background</w:t>
            </w:r>
          </w:p>
        </w:tc>
        <w:tc>
          <w:tcPr>
            <w:tcW w:w="270" w:type="dxa"/>
          </w:tcPr>
          <w:p w14:paraId="356F907F" w14:textId="77777777" w:rsidR="003E72E3" w:rsidRPr="005828FE" w:rsidRDefault="003E72E3" w:rsidP="0072029A"/>
        </w:tc>
        <w:tc>
          <w:tcPr>
            <w:tcW w:w="540" w:type="dxa"/>
          </w:tcPr>
          <w:p w14:paraId="140735BA" w14:textId="77777777" w:rsidR="003E72E3" w:rsidRDefault="003E72E3" w:rsidP="003E72E3">
            <w:pPr>
              <w:pStyle w:val="Refnum2"/>
              <w:numPr>
                <w:ilvl w:val="0"/>
                <w:numId w:val="0"/>
              </w:numPr>
              <w:ind w:left="504" w:hanging="504"/>
            </w:pPr>
            <w:r>
              <w:t>8.1</w:t>
            </w:r>
          </w:p>
        </w:tc>
        <w:tc>
          <w:tcPr>
            <w:tcW w:w="6134" w:type="dxa"/>
          </w:tcPr>
          <w:p w14:paraId="67522FB2" w14:textId="5D3DE941" w:rsidR="003E72E3" w:rsidRDefault="00FB4AA6" w:rsidP="00EF109B">
            <w:pPr>
              <w:pStyle w:val="Normalgrey"/>
            </w:pPr>
            <w:r w:rsidRPr="007C32DD">
              <w:t xml:space="preserve">FRD 21 </w:t>
            </w:r>
            <w:r w:rsidRPr="00EF109B">
              <w:rPr>
                <w:i/>
              </w:rPr>
              <w:t>Responsible person and executive officer disclosures in the financial report</w:t>
            </w:r>
            <w:r w:rsidRPr="007C32DD">
              <w:t xml:space="preserve"> was issued in 2005 to prescribe disclosure requirements on remuneration and related party transactions in relation to responsible persons and executive officers over the reporting period.</w:t>
            </w:r>
          </w:p>
        </w:tc>
      </w:tr>
      <w:tr w:rsidR="00251515" w:rsidRPr="005828FE" w14:paraId="410EF72B" w14:textId="77777777" w:rsidTr="00B8224B">
        <w:tc>
          <w:tcPr>
            <w:tcW w:w="2293" w:type="dxa"/>
          </w:tcPr>
          <w:p w14:paraId="71C98C55" w14:textId="77777777" w:rsidR="00251515" w:rsidRPr="005828FE" w:rsidRDefault="00251515" w:rsidP="00382EE1">
            <w:pPr>
              <w:pStyle w:val="Normalgrey"/>
            </w:pPr>
          </w:p>
        </w:tc>
        <w:tc>
          <w:tcPr>
            <w:tcW w:w="270" w:type="dxa"/>
          </w:tcPr>
          <w:p w14:paraId="5C198839" w14:textId="77777777" w:rsidR="00251515" w:rsidRPr="005828FE" w:rsidRDefault="00251515" w:rsidP="0072029A"/>
        </w:tc>
        <w:tc>
          <w:tcPr>
            <w:tcW w:w="540" w:type="dxa"/>
          </w:tcPr>
          <w:p w14:paraId="5A8BC98C" w14:textId="23045E48" w:rsidR="00251515" w:rsidRDefault="00251515" w:rsidP="003E72E3">
            <w:pPr>
              <w:pStyle w:val="Refnum2"/>
              <w:numPr>
                <w:ilvl w:val="0"/>
                <w:numId w:val="0"/>
              </w:numPr>
              <w:ind w:left="504" w:hanging="504"/>
            </w:pPr>
            <w:r>
              <w:t>8.2</w:t>
            </w:r>
          </w:p>
        </w:tc>
        <w:tc>
          <w:tcPr>
            <w:tcW w:w="6134" w:type="dxa"/>
          </w:tcPr>
          <w:p w14:paraId="5D9A7061" w14:textId="1991D701" w:rsidR="00251515" w:rsidRDefault="00251515" w:rsidP="00251515">
            <w:pPr>
              <w:pStyle w:val="Normalgrey"/>
            </w:pPr>
            <w:r>
              <w:t>This FRD was updated in:</w:t>
            </w:r>
          </w:p>
          <w:p w14:paraId="6CABBAA5" w14:textId="77777777" w:rsidR="00EF109B" w:rsidRDefault="00EF109B" w:rsidP="00EF109B">
            <w:pPr>
              <w:pStyle w:val="Bullet1grey"/>
              <w:numPr>
                <w:ilvl w:val="0"/>
                <w:numId w:val="37"/>
              </w:numPr>
              <w:ind w:left="299" w:hanging="283"/>
            </w:pPr>
            <w:r>
              <w:t>July 2011 to:</w:t>
            </w:r>
          </w:p>
          <w:p w14:paraId="10C24891" w14:textId="77777777" w:rsidR="00EF109B" w:rsidRDefault="00EF109B" w:rsidP="00EF109B">
            <w:pPr>
              <w:pStyle w:val="Bullet2grey"/>
            </w:pPr>
            <w:r w:rsidRPr="007C32DD">
              <w:t>introduc</w:t>
            </w:r>
            <w:r>
              <w:t>e</w:t>
            </w:r>
            <w:r w:rsidRPr="007C32DD">
              <w:t xml:space="preserve"> a new measure in the form of ‘annualised employee equivalent’ in addition to the headcount disclosure for executive officers; and </w:t>
            </w:r>
          </w:p>
          <w:p w14:paraId="40BC7DD7" w14:textId="1B75513C" w:rsidR="00EF109B" w:rsidRDefault="00EF109B" w:rsidP="00EF109B">
            <w:pPr>
              <w:pStyle w:val="Bullet2grey"/>
            </w:pPr>
            <w:r w:rsidRPr="007C32DD">
              <w:t xml:space="preserve">extend the scope to contractors charged with significant management responsibilities in an entity. </w:t>
            </w:r>
          </w:p>
          <w:p w14:paraId="6B51A01B" w14:textId="77777777" w:rsidR="00EF109B" w:rsidRDefault="00251515" w:rsidP="00EF109B">
            <w:pPr>
              <w:pStyle w:val="Bullet1grey"/>
            </w:pPr>
            <w:r>
              <w:t xml:space="preserve">May 2017 to align the definition of ‘remuneration’ with the requirements of AASB 124 </w:t>
            </w:r>
            <w:r w:rsidRPr="00FB4AA6">
              <w:rPr>
                <w:i/>
              </w:rPr>
              <w:t>Related Party Disclosures,</w:t>
            </w:r>
            <w:r>
              <w:t xml:space="preserve"> and to clarify the definition of accountable officer and executive officer for departments and public bodies. The disclosure table was amended to:</w:t>
            </w:r>
          </w:p>
          <w:p w14:paraId="2724F9F9" w14:textId="77777777" w:rsidR="00EF109B" w:rsidRDefault="00251515" w:rsidP="00EF109B">
            <w:pPr>
              <w:pStyle w:val="Bullet2grey"/>
            </w:pPr>
            <w:r>
              <w:t xml:space="preserve">remove the $100 000 threshold on remuneration reporting for executive </w:t>
            </w:r>
            <w:proofErr w:type="gramStart"/>
            <w:r>
              <w:t>officers;</w:t>
            </w:r>
            <w:proofErr w:type="gramEnd"/>
          </w:p>
          <w:p w14:paraId="29582318" w14:textId="77777777" w:rsidR="00EF109B" w:rsidRDefault="00251515" w:rsidP="00EF109B">
            <w:pPr>
              <w:pStyle w:val="Bullet2grey"/>
            </w:pPr>
            <w:r>
              <w:t xml:space="preserve">remove the $10 000 banding; </w:t>
            </w:r>
            <w:proofErr w:type="gramStart"/>
            <w:r>
              <w:t>and;</w:t>
            </w:r>
            <w:proofErr w:type="gramEnd"/>
            <w:r>
              <w:t xml:space="preserve"> </w:t>
            </w:r>
          </w:p>
          <w:p w14:paraId="4E72365B" w14:textId="77777777" w:rsidR="00D53CCF" w:rsidRDefault="00251515" w:rsidP="00D53CCF">
            <w:pPr>
              <w:pStyle w:val="Bullet2grey"/>
            </w:pPr>
            <w:r>
              <w:t xml:space="preserve">incorporate the remuneration disclosure categories prescribed by AASB 124. </w:t>
            </w:r>
          </w:p>
          <w:p w14:paraId="7CBAAC22" w14:textId="43A48114" w:rsidR="00251515" w:rsidRDefault="00251515" w:rsidP="00D53CCF">
            <w:pPr>
              <w:pStyle w:val="Bullet2grey"/>
              <w:numPr>
                <w:ilvl w:val="0"/>
                <w:numId w:val="0"/>
              </w:numPr>
              <w:ind w:left="288"/>
            </w:pPr>
            <w:r>
              <w:t xml:space="preserve">Separate disclosure of other personnel was removed as these are contractors with significant management responsibilities who are captured in the related </w:t>
            </w:r>
            <w:proofErr w:type="gramStart"/>
            <w:r>
              <w:t>parties</w:t>
            </w:r>
            <w:proofErr w:type="gramEnd"/>
            <w:r>
              <w:t xml:space="preserve"> disclosure as key management personnel under AASB 124. The term ‘responsible Minister’ was also updated to ‘relevant Minister’ to align with the terminology used in the FMA and to clarify the respective definitions in the FRD and 2016 Standing Directions. In addition, related party transaction disclosures for responsible persons were deleted as they will be reported in the related party disclosure note to the financial statements in accordance with AASB 124.</w:t>
            </w:r>
          </w:p>
          <w:p w14:paraId="1D3B4E97" w14:textId="2E79A9D9" w:rsidR="004013D4" w:rsidRDefault="00D53CCF" w:rsidP="006E42E1">
            <w:pPr>
              <w:pStyle w:val="Bullet1grey"/>
            </w:pPr>
            <w:r>
              <w:t>April 2022 to remove Appendix A since an identical illustration is included in the Model Report.</w:t>
            </w:r>
          </w:p>
          <w:p w14:paraId="1C804309" w14:textId="681BE4AF" w:rsidR="0069408D" w:rsidRPr="005F49B7" w:rsidRDefault="0069408D" w:rsidP="0069408D">
            <w:pPr>
              <w:pStyle w:val="Bullet1grey"/>
            </w:pPr>
            <w:r w:rsidRPr="005F49B7">
              <w:t>April 2025 to clarify the definition of ‘AEE’</w:t>
            </w:r>
            <w:r w:rsidR="00DD1E43">
              <w:t xml:space="preserve">; </w:t>
            </w:r>
            <w:r w:rsidRPr="005F49B7">
              <w:t>update references to the PEER Policy</w:t>
            </w:r>
            <w:r w:rsidR="00DD1E43">
              <w:t xml:space="preserve">; and clarify the reporting requirements of executive officers for entities that are not defined as </w:t>
            </w:r>
            <w:r w:rsidR="00DF0E4A">
              <w:t xml:space="preserve">a </w:t>
            </w:r>
            <w:r w:rsidR="00DD1E43">
              <w:t>‘significant entity’ under FRD 101</w:t>
            </w:r>
            <w:r w:rsidR="00D83C61">
              <w:t>.</w:t>
            </w:r>
          </w:p>
          <w:p w14:paraId="3FBFEDB4" w14:textId="0DFEA2DD" w:rsidR="00D53CCF" w:rsidRPr="007C32DD" w:rsidRDefault="00D53CCF" w:rsidP="0069408D">
            <w:pPr>
              <w:pStyle w:val="Bullet1grey"/>
              <w:numPr>
                <w:ilvl w:val="0"/>
                <w:numId w:val="0"/>
              </w:numPr>
              <w:ind w:left="288"/>
            </w:pPr>
          </w:p>
        </w:tc>
      </w:tr>
      <w:tr w:rsidR="00D53CCF" w:rsidRPr="005828FE" w14:paraId="0D80A722" w14:textId="77777777" w:rsidTr="00B8224B">
        <w:tc>
          <w:tcPr>
            <w:tcW w:w="2293" w:type="dxa"/>
          </w:tcPr>
          <w:p w14:paraId="379959FD" w14:textId="6AEB63C7" w:rsidR="00D53CCF" w:rsidRPr="005828FE" w:rsidRDefault="00D53CCF" w:rsidP="00D53CCF">
            <w:pPr>
              <w:pStyle w:val="Normalgrey"/>
            </w:pPr>
            <w:r w:rsidRPr="009932F2">
              <w:t>Model for Disclosure</w:t>
            </w:r>
          </w:p>
        </w:tc>
        <w:tc>
          <w:tcPr>
            <w:tcW w:w="270" w:type="dxa"/>
          </w:tcPr>
          <w:p w14:paraId="111E12C2" w14:textId="77777777" w:rsidR="00D53CCF" w:rsidRPr="005828FE" w:rsidRDefault="00D53CCF" w:rsidP="00D53CCF"/>
        </w:tc>
        <w:tc>
          <w:tcPr>
            <w:tcW w:w="540" w:type="dxa"/>
          </w:tcPr>
          <w:p w14:paraId="49C259C5" w14:textId="4DF1E3F4" w:rsidR="00D53CCF" w:rsidRDefault="00D53CCF" w:rsidP="00D53CCF">
            <w:pPr>
              <w:pStyle w:val="Refnum2"/>
              <w:numPr>
                <w:ilvl w:val="0"/>
                <w:numId w:val="0"/>
              </w:numPr>
              <w:ind w:left="504" w:hanging="504"/>
            </w:pPr>
            <w:r>
              <w:t>9.1</w:t>
            </w:r>
          </w:p>
        </w:tc>
        <w:tc>
          <w:tcPr>
            <w:tcW w:w="6134" w:type="dxa"/>
          </w:tcPr>
          <w:p w14:paraId="3FFAA45F" w14:textId="0DDF70EA" w:rsidR="00D53CCF" w:rsidRDefault="00D53CCF" w:rsidP="00D53CCF">
            <w:pPr>
              <w:pStyle w:val="Normalgrey"/>
            </w:pPr>
            <w:r w:rsidRPr="001B6CA3">
              <w:rPr>
                <w:i/>
              </w:rPr>
              <w:t>Model Report for Victorian Government Departments</w:t>
            </w:r>
            <w:r>
              <w:t xml:space="preserve"> - Report of Operations - Section 3: Workforce data</w:t>
            </w:r>
          </w:p>
        </w:tc>
      </w:tr>
    </w:tbl>
    <w:p w14:paraId="79929F2F" w14:textId="77777777" w:rsidR="00137CD1" w:rsidRPr="00F5210A" w:rsidRDefault="00137CD1" w:rsidP="00D53CCF"/>
    <w:sectPr w:rsidR="00137CD1" w:rsidRPr="00F5210A" w:rsidSect="005828FE">
      <w:headerReference w:type="default" r:id="rId12"/>
      <w:footerReference w:type="even" r:id="rId13"/>
      <w:footerReference w:type="default" r:id="rId14"/>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4944" w14:textId="77777777" w:rsidR="003C4DA3" w:rsidRDefault="003C4DA3" w:rsidP="002D711A">
      <w:pPr>
        <w:spacing w:after="0" w:line="240" w:lineRule="auto"/>
      </w:pPr>
      <w:r>
        <w:separator/>
      </w:r>
    </w:p>
    <w:p w14:paraId="5AF396E2" w14:textId="77777777" w:rsidR="003C4DA3" w:rsidRDefault="003C4DA3"/>
  </w:endnote>
  <w:endnote w:type="continuationSeparator" w:id="0">
    <w:p w14:paraId="16B3694C" w14:textId="77777777" w:rsidR="003C4DA3" w:rsidRDefault="003C4DA3" w:rsidP="002D711A">
      <w:pPr>
        <w:spacing w:after="0" w:line="240" w:lineRule="auto"/>
      </w:pPr>
      <w:r>
        <w:continuationSeparator/>
      </w:r>
    </w:p>
    <w:p w14:paraId="7BDB552F" w14:textId="77777777" w:rsidR="003C4DA3" w:rsidRDefault="003C4DA3"/>
  </w:endnote>
  <w:endnote w:type="continuationNotice" w:id="1">
    <w:p w14:paraId="4227355B" w14:textId="77777777" w:rsidR="00005FEB" w:rsidRDefault="00005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B116" w14:textId="77777777" w:rsidR="00014213" w:rsidRPr="00014213" w:rsidRDefault="00014213" w:rsidP="00C022F9">
    <w:pPr>
      <w:pStyle w:val="Footer"/>
    </w:pPr>
    <w:r>
      <w:drawing>
        <wp:anchor distT="0" distB="0" distL="114300" distR="114300" simplePos="0" relativeHeight="251658240" behindDoc="0" locked="0" layoutInCell="1" allowOverlap="1" wp14:anchorId="5B5F5073" wp14:editId="729E3E6B">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66E8C03"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25F" w14:textId="631D347F" w:rsidR="00A516DE" w:rsidRDefault="00670F85" w:rsidP="00A516DE">
    <w:pPr>
      <w:pStyle w:val="Spacer"/>
    </w:pPr>
    <w:r>
      <w:rPr>
        <w:noProof/>
      </w:rPr>
      <mc:AlternateContent>
        <mc:Choice Requires="wps">
          <w:drawing>
            <wp:anchor distT="0" distB="0" distL="114300" distR="114300" simplePos="0" relativeHeight="251658241" behindDoc="0" locked="0" layoutInCell="0" allowOverlap="1" wp14:anchorId="7273DD5A" wp14:editId="73118667">
              <wp:simplePos x="0" y="0"/>
              <wp:positionH relativeFrom="page">
                <wp:posOffset>0</wp:posOffset>
              </wp:positionH>
              <wp:positionV relativeFrom="page">
                <wp:posOffset>10227945</wp:posOffset>
              </wp:positionV>
              <wp:extent cx="7560310" cy="273050"/>
              <wp:effectExtent l="0" t="0" r="0" b="12700"/>
              <wp:wrapNone/>
              <wp:docPr id="1" name="MSIPCM658d462ab1c1d6be16db9d7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81C5F" w14:textId="7BED3239" w:rsidR="00670F85" w:rsidRPr="00670F85" w:rsidRDefault="00670F85" w:rsidP="00670F85">
                          <w:pPr>
                            <w:spacing w:before="0" w:after="0"/>
                            <w:rPr>
                              <w:rFonts w:ascii="Calibri" w:hAnsi="Calibri" w:cs="Calibri"/>
                              <w:color w:val="000000"/>
                              <w:sz w:val="22"/>
                            </w:rPr>
                          </w:pPr>
                          <w:r w:rsidRPr="00670F8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73DD5A" id="_x0000_t202" coordsize="21600,21600" o:spt="202" path="m,l,21600r21600,l21600,xe">
              <v:stroke joinstyle="miter"/>
              <v:path gradientshapeok="t" o:connecttype="rect"/>
            </v:shapetype>
            <v:shape id="MSIPCM658d462ab1c1d6be16db9d73"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EC81C5F" w14:textId="7BED3239" w:rsidR="00670F85" w:rsidRPr="00670F85" w:rsidRDefault="00670F85" w:rsidP="00670F85">
                    <w:pPr>
                      <w:spacing w:before="0" w:after="0"/>
                      <w:rPr>
                        <w:rFonts w:ascii="Calibri" w:hAnsi="Calibri" w:cs="Calibri"/>
                        <w:color w:val="000000"/>
                        <w:sz w:val="22"/>
                      </w:rPr>
                    </w:pPr>
                    <w:r w:rsidRPr="00670F85">
                      <w:rPr>
                        <w:rFonts w:ascii="Calibri" w:hAnsi="Calibri" w:cs="Calibri"/>
                        <w:color w:val="000000"/>
                        <w:sz w:val="22"/>
                      </w:rPr>
                      <w:t>OFFICIAL</w:t>
                    </w:r>
                  </w:p>
                </w:txbxContent>
              </v:textbox>
              <w10:wrap anchorx="page" anchory="page"/>
            </v:shape>
          </w:pict>
        </mc:Fallback>
      </mc:AlternateContent>
    </w:r>
  </w:p>
  <w:p w14:paraId="35C425E4" w14:textId="4E5BB5D4"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7D63D4">
      <w:rPr>
        <w:b/>
      </w:rPr>
      <w:t>FRD 21</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7D63D4">
      <w:t>Disclosures of responsible persons and executive officers in the financial report (April 2025)</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8C1766">
      <w:rPr>
        <w:rStyle w:val="PageNumber"/>
        <w:color w:val="auto"/>
      </w:rPr>
      <w:t>4</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489A" w14:textId="77777777" w:rsidR="003C4DA3" w:rsidRDefault="003C4DA3" w:rsidP="002D711A">
      <w:pPr>
        <w:spacing w:after="0" w:line="240" w:lineRule="auto"/>
      </w:pPr>
      <w:r>
        <w:separator/>
      </w:r>
    </w:p>
    <w:p w14:paraId="7C091901" w14:textId="77777777" w:rsidR="003C4DA3" w:rsidRDefault="003C4DA3"/>
  </w:footnote>
  <w:footnote w:type="continuationSeparator" w:id="0">
    <w:p w14:paraId="21D6D611" w14:textId="77777777" w:rsidR="003C4DA3" w:rsidRDefault="003C4DA3" w:rsidP="002D711A">
      <w:pPr>
        <w:spacing w:after="0" w:line="240" w:lineRule="auto"/>
      </w:pPr>
      <w:r>
        <w:continuationSeparator/>
      </w:r>
    </w:p>
    <w:p w14:paraId="49DF091E" w14:textId="77777777" w:rsidR="003C4DA3" w:rsidRDefault="003C4DA3"/>
  </w:footnote>
  <w:footnote w:type="continuationNotice" w:id="1">
    <w:p w14:paraId="52522C0D" w14:textId="77777777" w:rsidR="00005FEB" w:rsidRDefault="00005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CFFE" w14:textId="41A7F898" w:rsidR="0041689E" w:rsidRPr="0041689E" w:rsidRDefault="005828FE" w:rsidP="005828FE">
    <w:pPr>
      <w:pStyle w:val="Header"/>
      <w:tabs>
        <w:tab w:val="clear" w:pos="9026"/>
      </w:tabs>
      <w:ind w:right="-694"/>
      <w:jc w:val="right"/>
    </w:pPr>
    <w:r>
      <w:rPr>
        <w:noProof/>
      </w:rPr>
      <w:drawing>
        <wp:inline distT="0" distB="0" distL="0" distR="0" wp14:anchorId="79CE82F1" wp14:editId="63F8AC2B">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3167EBD0"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76C7"/>
    <w:multiLevelType w:val="hybridMultilevel"/>
    <w:tmpl w:val="18EC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B7FAF"/>
    <w:multiLevelType w:val="hybridMultilevel"/>
    <w:tmpl w:val="77C43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7A71"/>
    <w:multiLevelType w:val="hybridMultilevel"/>
    <w:tmpl w:val="292E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2C799E"/>
    <w:multiLevelType w:val="hybridMultilevel"/>
    <w:tmpl w:val="57908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857BE5"/>
    <w:multiLevelType w:val="hybridMultilevel"/>
    <w:tmpl w:val="82DC9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F2CAC"/>
    <w:multiLevelType w:val="hybridMultilevel"/>
    <w:tmpl w:val="17F6A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5173E9"/>
    <w:multiLevelType w:val="hybridMultilevel"/>
    <w:tmpl w:val="FCEE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D44514"/>
    <w:multiLevelType w:val="multilevel"/>
    <w:tmpl w:val="AD66C32A"/>
    <w:lvl w:ilvl="0">
      <w:start w:val="1"/>
      <w:numFmt w:val="lowerLetter"/>
      <w:pStyle w:val="Listnum"/>
      <w:lvlText w:val="(%1)"/>
      <w:lvlJc w:val="left"/>
      <w:pPr>
        <w:tabs>
          <w:tab w:val="num" w:pos="504"/>
        </w:tabs>
        <w:ind w:left="504" w:hanging="504"/>
      </w:pPr>
      <w:rPr>
        <w:b/>
        <w:bCs/>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2071808074">
    <w:abstractNumId w:val="7"/>
  </w:num>
  <w:num w:numId="2" w16cid:durableId="337849164">
    <w:abstractNumId w:val="7"/>
  </w:num>
  <w:num w:numId="3" w16cid:durableId="728649577">
    <w:abstractNumId w:val="7"/>
  </w:num>
  <w:num w:numId="4" w16cid:durableId="510490449">
    <w:abstractNumId w:val="12"/>
  </w:num>
  <w:num w:numId="5" w16cid:durableId="2016495825">
    <w:abstractNumId w:val="7"/>
  </w:num>
  <w:num w:numId="6" w16cid:durableId="1665427365">
    <w:abstractNumId w:val="7"/>
  </w:num>
  <w:num w:numId="7" w16cid:durableId="1575822605">
    <w:abstractNumId w:val="7"/>
  </w:num>
  <w:num w:numId="8" w16cid:durableId="935361228">
    <w:abstractNumId w:val="7"/>
  </w:num>
  <w:num w:numId="9" w16cid:durableId="384647810">
    <w:abstractNumId w:val="12"/>
  </w:num>
  <w:num w:numId="10" w16cid:durableId="753085176">
    <w:abstractNumId w:val="12"/>
  </w:num>
  <w:num w:numId="11" w16cid:durableId="1305888154">
    <w:abstractNumId w:val="12"/>
  </w:num>
  <w:num w:numId="12" w16cid:durableId="1315065156">
    <w:abstractNumId w:val="12"/>
  </w:num>
  <w:num w:numId="13" w16cid:durableId="1385372360">
    <w:abstractNumId w:val="12"/>
  </w:num>
  <w:num w:numId="14" w16cid:durableId="1653675376">
    <w:abstractNumId w:val="12"/>
  </w:num>
  <w:num w:numId="15" w16cid:durableId="217015372">
    <w:abstractNumId w:val="12"/>
  </w:num>
  <w:num w:numId="16" w16cid:durableId="141772835">
    <w:abstractNumId w:val="12"/>
  </w:num>
  <w:num w:numId="17" w16cid:durableId="1387683027">
    <w:abstractNumId w:val="2"/>
  </w:num>
  <w:num w:numId="18" w16cid:durableId="1026636261">
    <w:abstractNumId w:val="2"/>
  </w:num>
  <w:num w:numId="19" w16cid:durableId="811949022">
    <w:abstractNumId w:val="8"/>
  </w:num>
  <w:num w:numId="20" w16cid:durableId="180437755">
    <w:abstractNumId w:val="11"/>
  </w:num>
  <w:num w:numId="21" w16cid:durableId="1376614263">
    <w:abstractNumId w:val="11"/>
  </w:num>
  <w:num w:numId="22" w16cid:durableId="187574125">
    <w:abstractNumId w:val="10"/>
  </w:num>
  <w:num w:numId="23" w16cid:durableId="1801219273">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977027760">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23293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9488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284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213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1236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7018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9728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5388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864065">
    <w:abstractNumId w:val="4"/>
  </w:num>
  <w:num w:numId="34" w16cid:durableId="531261653">
    <w:abstractNumId w:val="9"/>
  </w:num>
  <w:num w:numId="35" w16cid:durableId="2007584122">
    <w:abstractNumId w:val="1"/>
  </w:num>
  <w:num w:numId="36" w16cid:durableId="54133080">
    <w:abstractNumId w:val="0"/>
  </w:num>
  <w:num w:numId="37" w16cid:durableId="141505641">
    <w:abstractNumId w:val="5"/>
  </w:num>
  <w:num w:numId="38" w16cid:durableId="685716143">
    <w:abstractNumId w:val="6"/>
  </w:num>
  <w:num w:numId="39" w16cid:durableId="358049209">
    <w:abstractNumId w:val="3"/>
  </w:num>
  <w:num w:numId="40" w16cid:durableId="2064787921">
    <w:abstractNumId w:val="7"/>
  </w:num>
  <w:num w:numId="41" w16cid:durableId="32467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7B0"/>
    <w:rsid w:val="0000176A"/>
    <w:rsid w:val="000053F8"/>
    <w:rsid w:val="00005FEB"/>
    <w:rsid w:val="00006A46"/>
    <w:rsid w:val="00012F6F"/>
    <w:rsid w:val="00014213"/>
    <w:rsid w:val="00014483"/>
    <w:rsid w:val="00014B55"/>
    <w:rsid w:val="00020049"/>
    <w:rsid w:val="00020DF0"/>
    <w:rsid w:val="00020E3E"/>
    <w:rsid w:val="000223F9"/>
    <w:rsid w:val="0002290F"/>
    <w:rsid w:val="00023BF3"/>
    <w:rsid w:val="00026811"/>
    <w:rsid w:val="00041F0A"/>
    <w:rsid w:val="0004356D"/>
    <w:rsid w:val="00044E62"/>
    <w:rsid w:val="00045296"/>
    <w:rsid w:val="00047C9F"/>
    <w:rsid w:val="000532CA"/>
    <w:rsid w:val="00065C78"/>
    <w:rsid w:val="00072C3C"/>
    <w:rsid w:val="00073D16"/>
    <w:rsid w:val="00075E6C"/>
    <w:rsid w:val="00080F57"/>
    <w:rsid w:val="00082A02"/>
    <w:rsid w:val="00082B03"/>
    <w:rsid w:val="00083744"/>
    <w:rsid w:val="00083785"/>
    <w:rsid w:val="0008746F"/>
    <w:rsid w:val="00090EDC"/>
    <w:rsid w:val="00092268"/>
    <w:rsid w:val="00092F7B"/>
    <w:rsid w:val="00094189"/>
    <w:rsid w:val="000965E4"/>
    <w:rsid w:val="00096A66"/>
    <w:rsid w:val="000A5E6F"/>
    <w:rsid w:val="000B115E"/>
    <w:rsid w:val="000B12B1"/>
    <w:rsid w:val="000B29AD"/>
    <w:rsid w:val="000B30FC"/>
    <w:rsid w:val="000B3800"/>
    <w:rsid w:val="000B4797"/>
    <w:rsid w:val="000C6372"/>
    <w:rsid w:val="000D2F26"/>
    <w:rsid w:val="000D3800"/>
    <w:rsid w:val="000D7AE9"/>
    <w:rsid w:val="000E06EA"/>
    <w:rsid w:val="000E2A74"/>
    <w:rsid w:val="000E392D"/>
    <w:rsid w:val="000F2FB6"/>
    <w:rsid w:val="000F4288"/>
    <w:rsid w:val="000F7165"/>
    <w:rsid w:val="001006BD"/>
    <w:rsid w:val="00102379"/>
    <w:rsid w:val="00103A4F"/>
    <w:rsid w:val="001055BC"/>
    <w:rsid w:val="001065D6"/>
    <w:rsid w:val="00106E44"/>
    <w:rsid w:val="0011526C"/>
    <w:rsid w:val="00117C6B"/>
    <w:rsid w:val="00121252"/>
    <w:rsid w:val="00121539"/>
    <w:rsid w:val="00124609"/>
    <w:rsid w:val="001254CE"/>
    <w:rsid w:val="00127C87"/>
    <w:rsid w:val="001302DE"/>
    <w:rsid w:val="00132385"/>
    <w:rsid w:val="00134CEA"/>
    <w:rsid w:val="00137410"/>
    <w:rsid w:val="00137CD1"/>
    <w:rsid w:val="00140A4B"/>
    <w:rsid w:val="00140A8D"/>
    <w:rsid w:val="00141A65"/>
    <w:rsid w:val="001422CC"/>
    <w:rsid w:val="00150136"/>
    <w:rsid w:val="00153EF9"/>
    <w:rsid w:val="001548F3"/>
    <w:rsid w:val="00154B7B"/>
    <w:rsid w:val="00154E2B"/>
    <w:rsid w:val="00154FDB"/>
    <w:rsid w:val="001617B6"/>
    <w:rsid w:val="00165E66"/>
    <w:rsid w:val="0017360E"/>
    <w:rsid w:val="00174862"/>
    <w:rsid w:val="001751ED"/>
    <w:rsid w:val="00175981"/>
    <w:rsid w:val="001771C3"/>
    <w:rsid w:val="00195DBB"/>
    <w:rsid w:val="00195EBC"/>
    <w:rsid w:val="001B48A6"/>
    <w:rsid w:val="001B6703"/>
    <w:rsid w:val="001C2918"/>
    <w:rsid w:val="001C7BAE"/>
    <w:rsid w:val="001D4308"/>
    <w:rsid w:val="001D4CF9"/>
    <w:rsid w:val="001D6187"/>
    <w:rsid w:val="001E05ED"/>
    <w:rsid w:val="001E31FA"/>
    <w:rsid w:val="001E550D"/>
    <w:rsid w:val="001E64F6"/>
    <w:rsid w:val="001F10AB"/>
    <w:rsid w:val="00204CB9"/>
    <w:rsid w:val="00215F7C"/>
    <w:rsid w:val="00217195"/>
    <w:rsid w:val="002216E0"/>
    <w:rsid w:val="002224C7"/>
    <w:rsid w:val="00222BEB"/>
    <w:rsid w:val="00224C82"/>
    <w:rsid w:val="00224EFF"/>
    <w:rsid w:val="00225E60"/>
    <w:rsid w:val="00231BD3"/>
    <w:rsid w:val="0023202C"/>
    <w:rsid w:val="002351BF"/>
    <w:rsid w:val="00236203"/>
    <w:rsid w:val="002401DC"/>
    <w:rsid w:val="002436BD"/>
    <w:rsid w:val="00245043"/>
    <w:rsid w:val="00250F83"/>
    <w:rsid w:val="0025149E"/>
    <w:rsid w:val="00251515"/>
    <w:rsid w:val="00253501"/>
    <w:rsid w:val="002552BF"/>
    <w:rsid w:val="00255FD4"/>
    <w:rsid w:val="00257760"/>
    <w:rsid w:val="002638BC"/>
    <w:rsid w:val="002752C5"/>
    <w:rsid w:val="00280CA2"/>
    <w:rsid w:val="00282355"/>
    <w:rsid w:val="002866C4"/>
    <w:rsid w:val="00286F9A"/>
    <w:rsid w:val="00292D36"/>
    <w:rsid w:val="00293885"/>
    <w:rsid w:val="002959B1"/>
    <w:rsid w:val="00297281"/>
    <w:rsid w:val="00297B66"/>
    <w:rsid w:val="002A0167"/>
    <w:rsid w:val="002A1D18"/>
    <w:rsid w:val="002A21AC"/>
    <w:rsid w:val="002A3FE7"/>
    <w:rsid w:val="002A4004"/>
    <w:rsid w:val="002A4669"/>
    <w:rsid w:val="002A6264"/>
    <w:rsid w:val="002A79B8"/>
    <w:rsid w:val="002B00C7"/>
    <w:rsid w:val="002B4660"/>
    <w:rsid w:val="002C1DA1"/>
    <w:rsid w:val="002C54E0"/>
    <w:rsid w:val="002C6CE5"/>
    <w:rsid w:val="002C70E1"/>
    <w:rsid w:val="002D4069"/>
    <w:rsid w:val="002D481B"/>
    <w:rsid w:val="002D711A"/>
    <w:rsid w:val="002D7336"/>
    <w:rsid w:val="002E21A3"/>
    <w:rsid w:val="002E3396"/>
    <w:rsid w:val="002E77B6"/>
    <w:rsid w:val="002F5B37"/>
    <w:rsid w:val="003003D3"/>
    <w:rsid w:val="00301EAB"/>
    <w:rsid w:val="003033C2"/>
    <w:rsid w:val="003059AD"/>
    <w:rsid w:val="00307361"/>
    <w:rsid w:val="0031149C"/>
    <w:rsid w:val="00311FCF"/>
    <w:rsid w:val="00312C71"/>
    <w:rsid w:val="00321AC8"/>
    <w:rsid w:val="00321FB0"/>
    <w:rsid w:val="003225E4"/>
    <w:rsid w:val="00325320"/>
    <w:rsid w:val="00327055"/>
    <w:rsid w:val="0033146E"/>
    <w:rsid w:val="00342068"/>
    <w:rsid w:val="00345C33"/>
    <w:rsid w:val="00351DE0"/>
    <w:rsid w:val="003559F5"/>
    <w:rsid w:val="00361426"/>
    <w:rsid w:val="00361E0E"/>
    <w:rsid w:val="003628AF"/>
    <w:rsid w:val="00363215"/>
    <w:rsid w:val="00363436"/>
    <w:rsid w:val="003634C1"/>
    <w:rsid w:val="003641A8"/>
    <w:rsid w:val="003676BA"/>
    <w:rsid w:val="0038224E"/>
    <w:rsid w:val="00382EE1"/>
    <w:rsid w:val="00385422"/>
    <w:rsid w:val="003855BC"/>
    <w:rsid w:val="0038771C"/>
    <w:rsid w:val="0038797E"/>
    <w:rsid w:val="0039405B"/>
    <w:rsid w:val="003A1C92"/>
    <w:rsid w:val="003A541A"/>
    <w:rsid w:val="003A6923"/>
    <w:rsid w:val="003B015C"/>
    <w:rsid w:val="003B05B5"/>
    <w:rsid w:val="003B2BA9"/>
    <w:rsid w:val="003B2E5F"/>
    <w:rsid w:val="003B2E7B"/>
    <w:rsid w:val="003C0567"/>
    <w:rsid w:val="003C2C67"/>
    <w:rsid w:val="003C383A"/>
    <w:rsid w:val="003C4DA3"/>
    <w:rsid w:val="003C5630"/>
    <w:rsid w:val="003C5BA4"/>
    <w:rsid w:val="003C7AD2"/>
    <w:rsid w:val="003D1535"/>
    <w:rsid w:val="003D7407"/>
    <w:rsid w:val="003D7D95"/>
    <w:rsid w:val="003E11C4"/>
    <w:rsid w:val="003E3E26"/>
    <w:rsid w:val="003E72E3"/>
    <w:rsid w:val="003F1295"/>
    <w:rsid w:val="003F38DA"/>
    <w:rsid w:val="003F76FC"/>
    <w:rsid w:val="004002EB"/>
    <w:rsid w:val="00400FD1"/>
    <w:rsid w:val="004011A2"/>
    <w:rsid w:val="004013D4"/>
    <w:rsid w:val="00401FDE"/>
    <w:rsid w:val="004027B0"/>
    <w:rsid w:val="004033A3"/>
    <w:rsid w:val="00405BEC"/>
    <w:rsid w:val="00413F06"/>
    <w:rsid w:val="00415D3B"/>
    <w:rsid w:val="0041689E"/>
    <w:rsid w:val="00421487"/>
    <w:rsid w:val="00421F2E"/>
    <w:rsid w:val="004236C8"/>
    <w:rsid w:val="00424BD4"/>
    <w:rsid w:val="00427681"/>
    <w:rsid w:val="00433DB7"/>
    <w:rsid w:val="0043640C"/>
    <w:rsid w:val="004507DC"/>
    <w:rsid w:val="00450D65"/>
    <w:rsid w:val="00453750"/>
    <w:rsid w:val="00456941"/>
    <w:rsid w:val="00456A61"/>
    <w:rsid w:val="004607B0"/>
    <w:rsid w:val="00464F7E"/>
    <w:rsid w:val="0046697B"/>
    <w:rsid w:val="00467581"/>
    <w:rsid w:val="004702EA"/>
    <w:rsid w:val="00471EA4"/>
    <w:rsid w:val="0047399C"/>
    <w:rsid w:val="00476607"/>
    <w:rsid w:val="00481C07"/>
    <w:rsid w:val="00482D02"/>
    <w:rsid w:val="00484911"/>
    <w:rsid w:val="00486E42"/>
    <w:rsid w:val="00492EC0"/>
    <w:rsid w:val="00494945"/>
    <w:rsid w:val="00496467"/>
    <w:rsid w:val="004A1DC8"/>
    <w:rsid w:val="004A2C08"/>
    <w:rsid w:val="004A7519"/>
    <w:rsid w:val="004B19BB"/>
    <w:rsid w:val="004D3518"/>
    <w:rsid w:val="004D5CD8"/>
    <w:rsid w:val="004D62D6"/>
    <w:rsid w:val="004D71D7"/>
    <w:rsid w:val="004D7497"/>
    <w:rsid w:val="004E47B8"/>
    <w:rsid w:val="004F12B3"/>
    <w:rsid w:val="004F163E"/>
    <w:rsid w:val="004F176B"/>
    <w:rsid w:val="004F6445"/>
    <w:rsid w:val="0050141B"/>
    <w:rsid w:val="00510BBC"/>
    <w:rsid w:val="005114C6"/>
    <w:rsid w:val="00515C02"/>
    <w:rsid w:val="0052486D"/>
    <w:rsid w:val="00530007"/>
    <w:rsid w:val="0053416C"/>
    <w:rsid w:val="0054009B"/>
    <w:rsid w:val="00541C2F"/>
    <w:rsid w:val="0054311A"/>
    <w:rsid w:val="0054771C"/>
    <w:rsid w:val="00550B83"/>
    <w:rsid w:val="005518CA"/>
    <w:rsid w:val="00553BDD"/>
    <w:rsid w:val="00554086"/>
    <w:rsid w:val="005553BE"/>
    <w:rsid w:val="00563527"/>
    <w:rsid w:val="0056412B"/>
    <w:rsid w:val="00565CF3"/>
    <w:rsid w:val="00570C7D"/>
    <w:rsid w:val="00573525"/>
    <w:rsid w:val="00574E7E"/>
    <w:rsid w:val="0057703D"/>
    <w:rsid w:val="00577F02"/>
    <w:rsid w:val="0058124E"/>
    <w:rsid w:val="00582416"/>
    <w:rsid w:val="005828FE"/>
    <w:rsid w:val="005875A3"/>
    <w:rsid w:val="005911CF"/>
    <w:rsid w:val="005970AC"/>
    <w:rsid w:val="005A2DFB"/>
    <w:rsid w:val="005A3416"/>
    <w:rsid w:val="005A52C1"/>
    <w:rsid w:val="005A54B7"/>
    <w:rsid w:val="005A6198"/>
    <w:rsid w:val="005B06A9"/>
    <w:rsid w:val="005B21C9"/>
    <w:rsid w:val="005B27FE"/>
    <w:rsid w:val="005B3074"/>
    <w:rsid w:val="005B514B"/>
    <w:rsid w:val="005C1C75"/>
    <w:rsid w:val="005C24B5"/>
    <w:rsid w:val="005C3E6D"/>
    <w:rsid w:val="005C41F3"/>
    <w:rsid w:val="005D1774"/>
    <w:rsid w:val="005D51F0"/>
    <w:rsid w:val="005D7BFF"/>
    <w:rsid w:val="005E7258"/>
    <w:rsid w:val="005F49B7"/>
    <w:rsid w:val="005F5CE1"/>
    <w:rsid w:val="005F61DF"/>
    <w:rsid w:val="005F681F"/>
    <w:rsid w:val="005F7739"/>
    <w:rsid w:val="006008CF"/>
    <w:rsid w:val="00600D13"/>
    <w:rsid w:val="006023F9"/>
    <w:rsid w:val="00602794"/>
    <w:rsid w:val="00607068"/>
    <w:rsid w:val="006073DA"/>
    <w:rsid w:val="00610559"/>
    <w:rsid w:val="00611013"/>
    <w:rsid w:val="00611932"/>
    <w:rsid w:val="00612AA3"/>
    <w:rsid w:val="0062671C"/>
    <w:rsid w:val="00626E7B"/>
    <w:rsid w:val="0062743A"/>
    <w:rsid w:val="006332F6"/>
    <w:rsid w:val="0063512F"/>
    <w:rsid w:val="006360FB"/>
    <w:rsid w:val="0063611C"/>
    <w:rsid w:val="00640846"/>
    <w:rsid w:val="00641E73"/>
    <w:rsid w:val="00647096"/>
    <w:rsid w:val="00650125"/>
    <w:rsid w:val="006519F6"/>
    <w:rsid w:val="00652625"/>
    <w:rsid w:val="006534B2"/>
    <w:rsid w:val="00654215"/>
    <w:rsid w:val="0065615D"/>
    <w:rsid w:val="00656DF8"/>
    <w:rsid w:val="00657011"/>
    <w:rsid w:val="00657D5D"/>
    <w:rsid w:val="00662367"/>
    <w:rsid w:val="00662AE8"/>
    <w:rsid w:val="0066446A"/>
    <w:rsid w:val="006650B5"/>
    <w:rsid w:val="006651B1"/>
    <w:rsid w:val="00665778"/>
    <w:rsid w:val="00665E8E"/>
    <w:rsid w:val="00670F85"/>
    <w:rsid w:val="0067206E"/>
    <w:rsid w:val="0068205E"/>
    <w:rsid w:val="00682CA5"/>
    <w:rsid w:val="00693402"/>
    <w:rsid w:val="0069408D"/>
    <w:rsid w:val="00694A40"/>
    <w:rsid w:val="006971A2"/>
    <w:rsid w:val="006A1418"/>
    <w:rsid w:val="006A5B34"/>
    <w:rsid w:val="006A5F5B"/>
    <w:rsid w:val="006B2873"/>
    <w:rsid w:val="006B6D48"/>
    <w:rsid w:val="006C1454"/>
    <w:rsid w:val="006C156A"/>
    <w:rsid w:val="006C588E"/>
    <w:rsid w:val="006C5C33"/>
    <w:rsid w:val="006C7605"/>
    <w:rsid w:val="006C77A9"/>
    <w:rsid w:val="006C78FB"/>
    <w:rsid w:val="006D345F"/>
    <w:rsid w:val="006D66F9"/>
    <w:rsid w:val="006D6D32"/>
    <w:rsid w:val="006E42E1"/>
    <w:rsid w:val="006F2402"/>
    <w:rsid w:val="006F33F8"/>
    <w:rsid w:val="006F6693"/>
    <w:rsid w:val="006F73DC"/>
    <w:rsid w:val="0070117D"/>
    <w:rsid w:val="00701272"/>
    <w:rsid w:val="00704EC0"/>
    <w:rsid w:val="00707FE8"/>
    <w:rsid w:val="007155A8"/>
    <w:rsid w:val="00716976"/>
    <w:rsid w:val="0072029A"/>
    <w:rsid w:val="00720F74"/>
    <w:rsid w:val="00724962"/>
    <w:rsid w:val="00724A0F"/>
    <w:rsid w:val="00732107"/>
    <w:rsid w:val="00732162"/>
    <w:rsid w:val="00736732"/>
    <w:rsid w:val="00740302"/>
    <w:rsid w:val="00740932"/>
    <w:rsid w:val="0074281E"/>
    <w:rsid w:val="00745174"/>
    <w:rsid w:val="00750CBE"/>
    <w:rsid w:val="007537EB"/>
    <w:rsid w:val="00763803"/>
    <w:rsid w:val="0076511A"/>
    <w:rsid w:val="00766B5A"/>
    <w:rsid w:val="007701E4"/>
    <w:rsid w:val="0077409C"/>
    <w:rsid w:val="00775640"/>
    <w:rsid w:val="00777F92"/>
    <w:rsid w:val="00781E77"/>
    <w:rsid w:val="007834F2"/>
    <w:rsid w:val="00784EC9"/>
    <w:rsid w:val="00786155"/>
    <w:rsid w:val="00786FF4"/>
    <w:rsid w:val="00791020"/>
    <w:rsid w:val="007919F4"/>
    <w:rsid w:val="007A06C4"/>
    <w:rsid w:val="007A0D1D"/>
    <w:rsid w:val="007A16F3"/>
    <w:rsid w:val="007A217A"/>
    <w:rsid w:val="007A271B"/>
    <w:rsid w:val="007A5F82"/>
    <w:rsid w:val="007B0AA5"/>
    <w:rsid w:val="007B5CB9"/>
    <w:rsid w:val="007C1CE8"/>
    <w:rsid w:val="007C24DB"/>
    <w:rsid w:val="007C32DD"/>
    <w:rsid w:val="007D5DF5"/>
    <w:rsid w:val="007D63D4"/>
    <w:rsid w:val="007E0B61"/>
    <w:rsid w:val="007E6459"/>
    <w:rsid w:val="007F1A4C"/>
    <w:rsid w:val="007F3FFE"/>
    <w:rsid w:val="007F7E0B"/>
    <w:rsid w:val="008022C3"/>
    <w:rsid w:val="008041E6"/>
    <w:rsid w:val="00804292"/>
    <w:rsid w:val="008065D2"/>
    <w:rsid w:val="00811C12"/>
    <w:rsid w:val="00813B2C"/>
    <w:rsid w:val="00820331"/>
    <w:rsid w:val="0082194C"/>
    <w:rsid w:val="008220C4"/>
    <w:rsid w:val="008222FF"/>
    <w:rsid w:val="008241FF"/>
    <w:rsid w:val="00825742"/>
    <w:rsid w:val="00826271"/>
    <w:rsid w:val="00831AB3"/>
    <w:rsid w:val="008329CE"/>
    <w:rsid w:val="008350C3"/>
    <w:rsid w:val="00837D22"/>
    <w:rsid w:val="008401C1"/>
    <w:rsid w:val="00840A94"/>
    <w:rsid w:val="008411E9"/>
    <w:rsid w:val="0084200F"/>
    <w:rsid w:val="00843B2C"/>
    <w:rsid w:val="008443BD"/>
    <w:rsid w:val="008460D6"/>
    <w:rsid w:val="008462F1"/>
    <w:rsid w:val="008518ED"/>
    <w:rsid w:val="00860951"/>
    <w:rsid w:val="00863669"/>
    <w:rsid w:val="008664F7"/>
    <w:rsid w:val="00867FEE"/>
    <w:rsid w:val="008718B1"/>
    <w:rsid w:val="008809C2"/>
    <w:rsid w:val="00882197"/>
    <w:rsid w:val="00885C66"/>
    <w:rsid w:val="00896D11"/>
    <w:rsid w:val="008A4900"/>
    <w:rsid w:val="008B2A17"/>
    <w:rsid w:val="008B643E"/>
    <w:rsid w:val="008C1766"/>
    <w:rsid w:val="008C4788"/>
    <w:rsid w:val="008C63EE"/>
    <w:rsid w:val="008C7FC3"/>
    <w:rsid w:val="008D0281"/>
    <w:rsid w:val="008D0CE5"/>
    <w:rsid w:val="008D16DD"/>
    <w:rsid w:val="008D3437"/>
    <w:rsid w:val="008E160E"/>
    <w:rsid w:val="008E3C4E"/>
    <w:rsid w:val="008E41C5"/>
    <w:rsid w:val="008F1F9B"/>
    <w:rsid w:val="008F61BD"/>
    <w:rsid w:val="008F6D45"/>
    <w:rsid w:val="00904825"/>
    <w:rsid w:val="00905E6B"/>
    <w:rsid w:val="00920EC6"/>
    <w:rsid w:val="009212C9"/>
    <w:rsid w:val="00925F48"/>
    <w:rsid w:val="00927AE9"/>
    <w:rsid w:val="00932EEC"/>
    <w:rsid w:val="009417DE"/>
    <w:rsid w:val="00942CF8"/>
    <w:rsid w:val="009447AA"/>
    <w:rsid w:val="0095658D"/>
    <w:rsid w:val="009570DD"/>
    <w:rsid w:val="00957221"/>
    <w:rsid w:val="009613A6"/>
    <w:rsid w:val="00962BE9"/>
    <w:rsid w:val="00963C94"/>
    <w:rsid w:val="0096716A"/>
    <w:rsid w:val="00973B1E"/>
    <w:rsid w:val="009763DE"/>
    <w:rsid w:val="00982CB8"/>
    <w:rsid w:val="0098310D"/>
    <w:rsid w:val="009834C0"/>
    <w:rsid w:val="00984970"/>
    <w:rsid w:val="009850A8"/>
    <w:rsid w:val="00986322"/>
    <w:rsid w:val="00986AAC"/>
    <w:rsid w:val="0099093E"/>
    <w:rsid w:val="00992678"/>
    <w:rsid w:val="00997565"/>
    <w:rsid w:val="009A1DA2"/>
    <w:rsid w:val="009A3704"/>
    <w:rsid w:val="009A4739"/>
    <w:rsid w:val="009A5C91"/>
    <w:rsid w:val="009A6269"/>
    <w:rsid w:val="009A674F"/>
    <w:rsid w:val="009A7832"/>
    <w:rsid w:val="009B199C"/>
    <w:rsid w:val="009B200A"/>
    <w:rsid w:val="009B3899"/>
    <w:rsid w:val="009B392A"/>
    <w:rsid w:val="009B54C8"/>
    <w:rsid w:val="009B61F1"/>
    <w:rsid w:val="009B62E0"/>
    <w:rsid w:val="009C1995"/>
    <w:rsid w:val="009C3D88"/>
    <w:rsid w:val="009C503D"/>
    <w:rsid w:val="009C5EE1"/>
    <w:rsid w:val="009D57C2"/>
    <w:rsid w:val="009E3858"/>
    <w:rsid w:val="009E4B50"/>
    <w:rsid w:val="009E61FD"/>
    <w:rsid w:val="009E70DD"/>
    <w:rsid w:val="009F2ED9"/>
    <w:rsid w:val="009F3231"/>
    <w:rsid w:val="009F4AA9"/>
    <w:rsid w:val="009F4B75"/>
    <w:rsid w:val="009F5C58"/>
    <w:rsid w:val="00A00BCC"/>
    <w:rsid w:val="00A01144"/>
    <w:rsid w:val="00A023A0"/>
    <w:rsid w:val="00A03F5F"/>
    <w:rsid w:val="00A0446B"/>
    <w:rsid w:val="00A07304"/>
    <w:rsid w:val="00A074D9"/>
    <w:rsid w:val="00A1562B"/>
    <w:rsid w:val="00A170F4"/>
    <w:rsid w:val="00A2559E"/>
    <w:rsid w:val="00A25D09"/>
    <w:rsid w:val="00A25FD9"/>
    <w:rsid w:val="00A34961"/>
    <w:rsid w:val="00A449D5"/>
    <w:rsid w:val="00A45286"/>
    <w:rsid w:val="00A46BA8"/>
    <w:rsid w:val="00A47634"/>
    <w:rsid w:val="00A516DE"/>
    <w:rsid w:val="00A517CB"/>
    <w:rsid w:val="00A569F0"/>
    <w:rsid w:val="00A612FE"/>
    <w:rsid w:val="00A631EE"/>
    <w:rsid w:val="00A6792B"/>
    <w:rsid w:val="00A736BE"/>
    <w:rsid w:val="00A73DAC"/>
    <w:rsid w:val="00A7630A"/>
    <w:rsid w:val="00A968AE"/>
    <w:rsid w:val="00AA07A2"/>
    <w:rsid w:val="00AA249D"/>
    <w:rsid w:val="00AA26B8"/>
    <w:rsid w:val="00AA4D53"/>
    <w:rsid w:val="00AA580A"/>
    <w:rsid w:val="00AA6BF2"/>
    <w:rsid w:val="00AB3FE2"/>
    <w:rsid w:val="00AB69CB"/>
    <w:rsid w:val="00AC11CF"/>
    <w:rsid w:val="00AC2942"/>
    <w:rsid w:val="00AC3AB4"/>
    <w:rsid w:val="00AC4B9D"/>
    <w:rsid w:val="00AD3322"/>
    <w:rsid w:val="00AD34CD"/>
    <w:rsid w:val="00AD3FE2"/>
    <w:rsid w:val="00AD5FD9"/>
    <w:rsid w:val="00AD7976"/>
    <w:rsid w:val="00AD7E4E"/>
    <w:rsid w:val="00AE3E25"/>
    <w:rsid w:val="00AF28E9"/>
    <w:rsid w:val="00AF3D47"/>
    <w:rsid w:val="00AF48A0"/>
    <w:rsid w:val="00AF4D58"/>
    <w:rsid w:val="00AF6529"/>
    <w:rsid w:val="00AF6666"/>
    <w:rsid w:val="00B10154"/>
    <w:rsid w:val="00B11626"/>
    <w:rsid w:val="00B2289F"/>
    <w:rsid w:val="00B3274F"/>
    <w:rsid w:val="00B33362"/>
    <w:rsid w:val="00B445F2"/>
    <w:rsid w:val="00B45294"/>
    <w:rsid w:val="00B473C5"/>
    <w:rsid w:val="00B55651"/>
    <w:rsid w:val="00B6366E"/>
    <w:rsid w:val="00B714FC"/>
    <w:rsid w:val="00B75AA5"/>
    <w:rsid w:val="00B81B44"/>
    <w:rsid w:val="00B86E79"/>
    <w:rsid w:val="00B9053B"/>
    <w:rsid w:val="00B93C44"/>
    <w:rsid w:val="00BA2E89"/>
    <w:rsid w:val="00BA3814"/>
    <w:rsid w:val="00BA558A"/>
    <w:rsid w:val="00BA6503"/>
    <w:rsid w:val="00BB0557"/>
    <w:rsid w:val="00BB3979"/>
    <w:rsid w:val="00BC2119"/>
    <w:rsid w:val="00BC26F9"/>
    <w:rsid w:val="00BC3422"/>
    <w:rsid w:val="00BC6691"/>
    <w:rsid w:val="00BC7BDE"/>
    <w:rsid w:val="00BD1A62"/>
    <w:rsid w:val="00BD4DE1"/>
    <w:rsid w:val="00BD5252"/>
    <w:rsid w:val="00BD5F78"/>
    <w:rsid w:val="00BE1CA4"/>
    <w:rsid w:val="00BE71C0"/>
    <w:rsid w:val="00BF28F2"/>
    <w:rsid w:val="00BF6E37"/>
    <w:rsid w:val="00C015B9"/>
    <w:rsid w:val="00C022F9"/>
    <w:rsid w:val="00C0307B"/>
    <w:rsid w:val="00C032EA"/>
    <w:rsid w:val="00C04715"/>
    <w:rsid w:val="00C052F5"/>
    <w:rsid w:val="00C05F41"/>
    <w:rsid w:val="00C06EB5"/>
    <w:rsid w:val="00C1145F"/>
    <w:rsid w:val="00C1162F"/>
    <w:rsid w:val="00C17D25"/>
    <w:rsid w:val="00C319AB"/>
    <w:rsid w:val="00C33CDD"/>
    <w:rsid w:val="00C34249"/>
    <w:rsid w:val="00C402EE"/>
    <w:rsid w:val="00C472D4"/>
    <w:rsid w:val="00C524E6"/>
    <w:rsid w:val="00C57217"/>
    <w:rsid w:val="00C57805"/>
    <w:rsid w:val="00C619A6"/>
    <w:rsid w:val="00C637E1"/>
    <w:rsid w:val="00C70D50"/>
    <w:rsid w:val="00C72A38"/>
    <w:rsid w:val="00C73170"/>
    <w:rsid w:val="00C82CC9"/>
    <w:rsid w:val="00C82DBE"/>
    <w:rsid w:val="00C85E29"/>
    <w:rsid w:val="00C867DD"/>
    <w:rsid w:val="00C907D7"/>
    <w:rsid w:val="00C92338"/>
    <w:rsid w:val="00C9347E"/>
    <w:rsid w:val="00C96F98"/>
    <w:rsid w:val="00C975B3"/>
    <w:rsid w:val="00CA1DC8"/>
    <w:rsid w:val="00CA24BD"/>
    <w:rsid w:val="00CA6B16"/>
    <w:rsid w:val="00CA7C3A"/>
    <w:rsid w:val="00CB1E7E"/>
    <w:rsid w:val="00CB254A"/>
    <w:rsid w:val="00CB40A4"/>
    <w:rsid w:val="00CB4622"/>
    <w:rsid w:val="00CC2DB2"/>
    <w:rsid w:val="00CC39EE"/>
    <w:rsid w:val="00CC7F00"/>
    <w:rsid w:val="00CD0307"/>
    <w:rsid w:val="00CD1220"/>
    <w:rsid w:val="00CD1647"/>
    <w:rsid w:val="00CD3107"/>
    <w:rsid w:val="00CD36B9"/>
    <w:rsid w:val="00CD3D1B"/>
    <w:rsid w:val="00CE0235"/>
    <w:rsid w:val="00CE0C8C"/>
    <w:rsid w:val="00CE38A3"/>
    <w:rsid w:val="00CF0F67"/>
    <w:rsid w:val="00CF7DCA"/>
    <w:rsid w:val="00D02FED"/>
    <w:rsid w:val="00D0364F"/>
    <w:rsid w:val="00D04513"/>
    <w:rsid w:val="00D04BA7"/>
    <w:rsid w:val="00D1006B"/>
    <w:rsid w:val="00D10DC1"/>
    <w:rsid w:val="00D211E9"/>
    <w:rsid w:val="00D21981"/>
    <w:rsid w:val="00D2312F"/>
    <w:rsid w:val="00D2456B"/>
    <w:rsid w:val="00D269C1"/>
    <w:rsid w:val="00D2700A"/>
    <w:rsid w:val="00D27300"/>
    <w:rsid w:val="00D27697"/>
    <w:rsid w:val="00D315AC"/>
    <w:rsid w:val="00D35C69"/>
    <w:rsid w:val="00D37B90"/>
    <w:rsid w:val="00D446B4"/>
    <w:rsid w:val="00D44953"/>
    <w:rsid w:val="00D45E19"/>
    <w:rsid w:val="00D46B3D"/>
    <w:rsid w:val="00D47349"/>
    <w:rsid w:val="00D50D79"/>
    <w:rsid w:val="00D53CCF"/>
    <w:rsid w:val="00D542F3"/>
    <w:rsid w:val="00D5644B"/>
    <w:rsid w:val="00D56D46"/>
    <w:rsid w:val="00D56E25"/>
    <w:rsid w:val="00D63E2C"/>
    <w:rsid w:val="00D640BA"/>
    <w:rsid w:val="00D718D7"/>
    <w:rsid w:val="00D71BC1"/>
    <w:rsid w:val="00D728F7"/>
    <w:rsid w:val="00D8037E"/>
    <w:rsid w:val="00D814B7"/>
    <w:rsid w:val="00D83C61"/>
    <w:rsid w:val="00D871E7"/>
    <w:rsid w:val="00D90688"/>
    <w:rsid w:val="00D906EF"/>
    <w:rsid w:val="00D92EC2"/>
    <w:rsid w:val="00DA2E3D"/>
    <w:rsid w:val="00DA3AAD"/>
    <w:rsid w:val="00DA7832"/>
    <w:rsid w:val="00DB24E2"/>
    <w:rsid w:val="00DB2A65"/>
    <w:rsid w:val="00DB312B"/>
    <w:rsid w:val="00DB41F3"/>
    <w:rsid w:val="00DB4B2A"/>
    <w:rsid w:val="00DC2860"/>
    <w:rsid w:val="00DC5654"/>
    <w:rsid w:val="00DC658F"/>
    <w:rsid w:val="00DC6679"/>
    <w:rsid w:val="00DC6747"/>
    <w:rsid w:val="00DD1E43"/>
    <w:rsid w:val="00DD379C"/>
    <w:rsid w:val="00DD4731"/>
    <w:rsid w:val="00DD57C5"/>
    <w:rsid w:val="00DD5EB6"/>
    <w:rsid w:val="00DE3525"/>
    <w:rsid w:val="00DE3B2F"/>
    <w:rsid w:val="00DE60CC"/>
    <w:rsid w:val="00DF01AD"/>
    <w:rsid w:val="00DF0E4A"/>
    <w:rsid w:val="00DF514A"/>
    <w:rsid w:val="00E00E7C"/>
    <w:rsid w:val="00E018B9"/>
    <w:rsid w:val="00E01E8F"/>
    <w:rsid w:val="00E06E86"/>
    <w:rsid w:val="00E122DB"/>
    <w:rsid w:val="00E1551F"/>
    <w:rsid w:val="00E20142"/>
    <w:rsid w:val="00E211F5"/>
    <w:rsid w:val="00E26B32"/>
    <w:rsid w:val="00E30E0A"/>
    <w:rsid w:val="00E3232B"/>
    <w:rsid w:val="00E407B6"/>
    <w:rsid w:val="00E41EF1"/>
    <w:rsid w:val="00E42942"/>
    <w:rsid w:val="00E42CD7"/>
    <w:rsid w:val="00E468A6"/>
    <w:rsid w:val="00E64678"/>
    <w:rsid w:val="00E67C8B"/>
    <w:rsid w:val="00E70826"/>
    <w:rsid w:val="00E71BDF"/>
    <w:rsid w:val="00E83CA7"/>
    <w:rsid w:val="00E91ECF"/>
    <w:rsid w:val="00EA03A3"/>
    <w:rsid w:val="00EA798F"/>
    <w:rsid w:val="00EB34EB"/>
    <w:rsid w:val="00EB6A8C"/>
    <w:rsid w:val="00EC171D"/>
    <w:rsid w:val="00EC2BD1"/>
    <w:rsid w:val="00EC394D"/>
    <w:rsid w:val="00EC3E8B"/>
    <w:rsid w:val="00ED321D"/>
    <w:rsid w:val="00ED487E"/>
    <w:rsid w:val="00EE0F4D"/>
    <w:rsid w:val="00EE19EE"/>
    <w:rsid w:val="00EE43B4"/>
    <w:rsid w:val="00EE4D5A"/>
    <w:rsid w:val="00EE7A0D"/>
    <w:rsid w:val="00EF109B"/>
    <w:rsid w:val="00F04D13"/>
    <w:rsid w:val="00F0667C"/>
    <w:rsid w:val="00F1182C"/>
    <w:rsid w:val="00F15A21"/>
    <w:rsid w:val="00F17CE1"/>
    <w:rsid w:val="00F2115C"/>
    <w:rsid w:val="00F22ABA"/>
    <w:rsid w:val="00F23366"/>
    <w:rsid w:val="00F36B12"/>
    <w:rsid w:val="00F4026F"/>
    <w:rsid w:val="00F41B56"/>
    <w:rsid w:val="00F47589"/>
    <w:rsid w:val="00F47A79"/>
    <w:rsid w:val="00F5210A"/>
    <w:rsid w:val="00F55AF4"/>
    <w:rsid w:val="00F60F9F"/>
    <w:rsid w:val="00F64157"/>
    <w:rsid w:val="00F64F08"/>
    <w:rsid w:val="00F701CB"/>
    <w:rsid w:val="00F734F5"/>
    <w:rsid w:val="00F7704D"/>
    <w:rsid w:val="00F774DD"/>
    <w:rsid w:val="00F85FC1"/>
    <w:rsid w:val="00F90818"/>
    <w:rsid w:val="00F94245"/>
    <w:rsid w:val="00F966B1"/>
    <w:rsid w:val="00F979CF"/>
    <w:rsid w:val="00F97D48"/>
    <w:rsid w:val="00FA0311"/>
    <w:rsid w:val="00FA089A"/>
    <w:rsid w:val="00FA1680"/>
    <w:rsid w:val="00FA34F0"/>
    <w:rsid w:val="00FA450F"/>
    <w:rsid w:val="00FA5944"/>
    <w:rsid w:val="00FB1E4D"/>
    <w:rsid w:val="00FB1EC9"/>
    <w:rsid w:val="00FB4AA6"/>
    <w:rsid w:val="00FB6FC7"/>
    <w:rsid w:val="00FB7976"/>
    <w:rsid w:val="00FC42E5"/>
    <w:rsid w:val="00FC5090"/>
    <w:rsid w:val="00FD0F88"/>
    <w:rsid w:val="00FD48CA"/>
    <w:rsid w:val="00FD4E13"/>
    <w:rsid w:val="00FD640F"/>
    <w:rsid w:val="00FD6B4C"/>
    <w:rsid w:val="00FE18ED"/>
    <w:rsid w:val="00FE64A9"/>
    <w:rsid w:val="00FE782F"/>
    <w:rsid w:val="00FF051E"/>
    <w:rsid w:val="00FF4548"/>
    <w:rsid w:val="00FF4E99"/>
    <w:rsid w:val="00FF4FDA"/>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1E09"/>
  <w15:docId w15:val="{0A3CD26F-7356-4D67-B6F8-6D079640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customStyle="1" w:styleId="Notestyle">
    <w:name w:val="Note style"/>
    <w:basedOn w:val="Normal"/>
    <w:rsid w:val="00D92EC2"/>
    <w:pPr>
      <w:tabs>
        <w:tab w:val="left" w:pos="357"/>
      </w:tabs>
      <w:spacing w:before="120" w:after="120" w:line="240" w:lineRule="auto"/>
      <w:ind w:left="318"/>
      <w:jc w:val="both"/>
    </w:pPr>
    <w:rPr>
      <w:rFonts w:ascii="Times New Roman" w:eastAsia="Times New Roman" w:hAnsi="Times New Roman" w:cs="Times New Roman"/>
      <w:spacing w:val="0"/>
      <w:lang w:eastAsia="en-US"/>
    </w:rPr>
  </w:style>
  <w:style w:type="paragraph" w:styleId="FootnoteText">
    <w:name w:val="footnote text"/>
    <w:basedOn w:val="Normal"/>
    <w:link w:val="FootnoteTextChar"/>
    <w:uiPriority w:val="99"/>
    <w:semiHidden/>
    <w:rsid w:val="00612AA3"/>
    <w:pPr>
      <w:spacing w:before="0" w:after="0" w:line="240" w:lineRule="auto"/>
    </w:pPr>
    <w:rPr>
      <w:sz w:val="20"/>
    </w:rPr>
  </w:style>
  <w:style w:type="character" w:customStyle="1" w:styleId="FootnoteTextChar">
    <w:name w:val="Footnote Text Char"/>
    <w:basedOn w:val="DefaultParagraphFont"/>
    <w:link w:val="FootnoteText"/>
    <w:uiPriority w:val="99"/>
    <w:semiHidden/>
    <w:rsid w:val="00612AA3"/>
    <w:rPr>
      <w:spacing w:val="2"/>
    </w:rPr>
  </w:style>
  <w:style w:type="character" w:styleId="FootnoteReference">
    <w:name w:val="footnote reference"/>
    <w:basedOn w:val="DefaultParagraphFont"/>
    <w:uiPriority w:val="99"/>
    <w:semiHidden/>
    <w:rsid w:val="00612AA3"/>
    <w:rPr>
      <w:vertAlign w:val="superscript"/>
    </w:rPr>
  </w:style>
  <w:style w:type="character" w:styleId="CommentReference">
    <w:name w:val="annotation reference"/>
    <w:basedOn w:val="DefaultParagraphFont"/>
    <w:uiPriority w:val="99"/>
    <w:semiHidden/>
    <w:rsid w:val="00E91ECF"/>
    <w:rPr>
      <w:sz w:val="16"/>
      <w:szCs w:val="16"/>
    </w:rPr>
  </w:style>
  <w:style w:type="paragraph" w:styleId="CommentText">
    <w:name w:val="annotation text"/>
    <w:basedOn w:val="Normal"/>
    <w:link w:val="CommentTextChar"/>
    <w:uiPriority w:val="99"/>
    <w:semiHidden/>
    <w:rsid w:val="00E91ECF"/>
    <w:pPr>
      <w:spacing w:line="240" w:lineRule="auto"/>
    </w:pPr>
    <w:rPr>
      <w:sz w:val="20"/>
    </w:rPr>
  </w:style>
  <w:style w:type="character" w:customStyle="1" w:styleId="CommentTextChar">
    <w:name w:val="Comment Text Char"/>
    <w:basedOn w:val="DefaultParagraphFont"/>
    <w:link w:val="CommentText"/>
    <w:uiPriority w:val="99"/>
    <w:semiHidden/>
    <w:rsid w:val="00E91ECF"/>
    <w:rPr>
      <w:spacing w:val="2"/>
    </w:rPr>
  </w:style>
  <w:style w:type="paragraph" w:styleId="CommentSubject">
    <w:name w:val="annotation subject"/>
    <w:basedOn w:val="CommentText"/>
    <w:next w:val="CommentText"/>
    <w:link w:val="CommentSubjectChar"/>
    <w:uiPriority w:val="99"/>
    <w:semiHidden/>
    <w:rsid w:val="00E91ECF"/>
    <w:rPr>
      <w:b/>
      <w:bCs/>
    </w:rPr>
  </w:style>
  <w:style w:type="character" w:customStyle="1" w:styleId="CommentSubjectChar">
    <w:name w:val="Comment Subject Char"/>
    <w:basedOn w:val="CommentTextChar"/>
    <w:link w:val="CommentSubject"/>
    <w:uiPriority w:val="99"/>
    <w:semiHidden/>
    <w:rsid w:val="00E91ECF"/>
    <w:rPr>
      <w:b/>
      <w:bCs/>
      <w:spacing w:val="2"/>
    </w:rPr>
  </w:style>
  <w:style w:type="paragraph" w:styleId="Revision">
    <w:name w:val="Revision"/>
    <w:hidden/>
    <w:uiPriority w:val="99"/>
    <w:semiHidden/>
    <w:rsid w:val="00361E0E"/>
    <w:pPr>
      <w:spacing w:after="0" w:line="240" w:lineRule="auto"/>
    </w:pPr>
    <w:rPr>
      <w:spacing w:val="2"/>
      <w:sz w:val="18"/>
    </w:rPr>
  </w:style>
  <w:style w:type="paragraph" w:styleId="ListParagraph">
    <w:name w:val="List Paragraph"/>
    <w:basedOn w:val="Normal"/>
    <w:uiPriority w:val="34"/>
    <w:semiHidden/>
    <w:qFormat/>
    <w:rsid w:val="00D71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41646f-131c-4219-8b7a-c3a1a8569630">
      <Terms xmlns="http://schemas.microsoft.com/office/infopath/2007/PartnerControls"/>
    </lcf76f155ced4ddcb4097134ff3c332f>
    <TaxCatchAll xmlns="40279742-e761-4bc0-874d-91c6c0ed6b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47772D2F5E237D46BB5320B3CAF2DD35" ma:contentTypeVersion="13" ma:contentTypeDescription="Create a new document." ma:contentTypeScope="" ma:versionID="b4d3d2719f46ab181a0fc87fe4e9a937">
  <xsd:schema xmlns:xsd="http://www.w3.org/2001/XMLSchema" xmlns:xs="http://www.w3.org/2001/XMLSchema" xmlns:p="http://schemas.microsoft.com/office/2006/metadata/properties" xmlns:ns2="4541646f-131c-4219-8b7a-c3a1a8569630" xmlns:ns3="40279742-e761-4bc0-874d-91c6c0ed6b0c" targetNamespace="http://schemas.microsoft.com/office/2006/metadata/properties" ma:root="true" ma:fieldsID="f81930cb302bad006a9be4c956e856b5" ns2:_="" ns3:_="">
    <xsd:import namespace="4541646f-131c-4219-8b7a-c3a1a8569630"/>
    <xsd:import namespace="40279742-e761-4bc0-874d-91c6c0ed6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1646f-131c-4219-8b7a-c3a1a856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9742-e761-4bc0-874d-91c6c0ed6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33b967-b30e-4c22-aae5-790ce52e884b}" ma:internalName="TaxCatchAll" ma:showField="CatchAllData" ma:web="40279742-e761-4bc0-874d-91c6c0ed6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C8D0-E07B-4CF4-A330-274E40BC9582}">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41646f-131c-4219-8b7a-c3a1a8569630"/>
    <ds:schemaRef ds:uri="40279742-e761-4bc0-874d-91c6c0ed6b0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10575E-10C8-49C7-B459-2C296CD23F60}">
  <ds:schemaRefs>
    <ds:schemaRef ds:uri="http://schemas.microsoft.com/sharepoint/v3/contenttype/forms"/>
  </ds:schemaRefs>
</ds:datastoreItem>
</file>

<file path=customXml/itemProps3.xml><?xml version="1.0" encoding="utf-8"?>
<ds:datastoreItem xmlns:ds="http://schemas.openxmlformats.org/officeDocument/2006/customXml" ds:itemID="{46079043-21DD-4838-86D1-3A238AF77FFD}">
  <ds:schemaRefs>
    <ds:schemaRef ds:uri="http://www.w3.org/2001/XMLSchema"/>
  </ds:schemaRefs>
</ds:datastoreItem>
</file>

<file path=customXml/itemProps4.xml><?xml version="1.0" encoding="utf-8"?>
<ds:datastoreItem xmlns:ds="http://schemas.openxmlformats.org/officeDocument/2006/customXml" ds:itemID="{F59BFBE1-4CF5-452C-85D4-41B99D46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1646f-131c-4219-8b7a-c3a1a8569630"/>
    <ds:schemaRef ds:uri="40279742-e761-4bc0-874d-91c6c0ed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928EA-91A8-415F-A545-E8653349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Constance Yuan (DTF)</cp:lastModifiedBy>
  <cp:revision>45</cp:revision>
  <cp:lastPrinted>2017-04-06T00:51:00Z</cp:lastPrinted>
  <dcterms:created xsi:type="dcterms:W3CDTF">2024-12-18T03:52:00Z</dcterms:created>
  <dcterms:modified xsi:type="dcterms:W3CDTF">2025-04-09T03:57:00Z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2022-04-28T02:39:04Z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cdad9296-e150-428a-bab4-de0b5f1f011a</vt:lpwstr>
  </property>
  <property fmtid="{D5CDD505-2E9C-101B-9397-08002B2CF9AE}" pid="10" name="MSIP_Label_7158ebbd-6c5e-441f-bfc9-4eb8c11e3978_ContentBits">
    <vt:lpwstr>2</vt:lpwstr>
  </property>
  <property fmtid="{D5CDD505-2E9C-101B-9397-08002B2CF9AE}" pid="11" name="ContentTypeId">
    <vt:lpwstr>0x01010047772D2F5E237D46BB5320B3CAF2DD35</vt:lpwstr>
  </property>
  <property fmtid="{D5CDD505-2E9C-101B-9397-08002B2CF9AE}" pid="12" name="MediaServiceImageTags">
    <vt:lpwstr/>
  </property>
</Properties>
</file>