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DTFtexttable"/>
        <w:tblW w:w="9237" w:type="dxa"/>
        <w:tblLayout w:type="fixed"/>
        <w:tblLook w:val="0620" w:firstRow="1" w:lastRow="0" w:firstColumn="0" w:lastColumn="0" w:noHBand="1" w:noVBand="1"/>
      </w:tblPr>
      <w:tblGrid>
        <w:gridCol w:w="2293"/>
        <w:gridCol w:w="270"/>
        <w:gridCol w:w="540"/>
        <w:gridCol w:w="6134"/>
      </w:tblGrid>
      <w:tr w:rsidR="006C78FB" w:rsidRPr="00231BD3" w14:paraId="1ABBC628" w14:textId="77777777" w:rsidTr="00FF051E">
        <w:trPr>
          <w:cnfStyle w:val="100000000000" w:firstRow="1" w:lastRow="0" w:firstColumn="0" w:lastColumn="0" w:oddVBand="0" w:evenVBand="0" w:oddHBand="0" w:evenHBand="0" w:firstRowFirstColumn="0" w:firstRowLastColumn="0" w:lastRowFirstColumn="0" w:lastRowLastColumn="0"/>
        </w:trPr>
        <w:tc>
          <w:tcPr>
            <w:tcW w:w="2293" w:type="dxa"/>
          </w:tcPr>
          <w:p w14:paraId="68B145CF" w14:textId="2FD40B3F" w:rsidR="006C78FB" w:rsidRPr="00231BD3" w:rsidRDefault="006C78FB" w:rsidP="00D0161F">
            <w:pPr>
              <w:pStyle w:val="FRDNumber"/>
            </w:pPr>
            <w:r w:rsidRPr="00231BD3">
              <w:t xml:space="preserve">FRD </w:t>
            </w:r>
            <w:r w:rsidR="00D0161F">
              <w:t>15</w:t>
            </w:r>
          </w:p>
        </w:tc>
        <w:tc>
          <w:tcPr>
            <w:tcW w:w="270" w:type="dxa"/>
          </w:tcPr>
          <w:p w14:paraId="73D00B9C" w14:textId="77777777" w:rsidR="006C78FB" w:rsidRPr="00231BD3" w:rsidRDefault="006C78FB" w:rsidP="00B8224B"/>
        </w:tc>
        <w:tc>
          <w:tcPr>
            <w:tcW w:w="540" w:type="dxa"/>
          </w:tcPr>
          <w:p w14:paraId="0F5A51B7" w14:textId="77777777" w:rsidR="006C78FB" w:rsidRPr="00231BD3" w:rsidRDefault="006C78FB" w:rsidP="00B8224B"/>
        </w:tc>
        <w:tc>
          <w:tcPr>
            <w:tcW w:w="6134" w:type="dxa"/>
          </w:tcPr>
          <w:p w14:paraId="16FD9EA4" w14:textId="073BCFF3" w:rsidR="006C78FB" w:rsidRPr="00231BD3" w:rsidRDefault="00AA4863" w:rsidP="00522468">
            <w:pPr>
              <w:pStyle w:val="FRDHeader"/>
            </w:pPr>
            <w:r w:rsidRPr="00AA4863">
              <w:t xml:space="preserve">Executive </w:t>
            </w:r>
            <w:r w:rsidR="00671F1C" w:rsidRPr="00AA4863">
              <w:t xml:space="preserve">officer disclosures </w:t>
            </w:r>
            <w:r w:rsidRPr="00AA4863">
              <w:t xml:space="preserve">in the </w:t>
            </w:r>
            <w:r w:rsidR="00877915">
              <w:t>R</w:t>
            </w:r>
            <w:r w:rsidR="00877915" w:rsidRPr="00AA4863">
              <w:t xml:space="preserve">eport </w:t>
            </w:r>
            <w:r w:rsidR="00671F1C" w:rsidRPr="00AA4863">
              <w:t xml:space="preserve">of </w:t>
            </w:r>
            <w:r w:rsidR="00877915">
              <w:t>O</w:t>
            </w:r>
            <w:r w:rsidR="00877915" w:rsidRPr="00AA4863">
              <w:t xml:space="preserve">perations </w:t>
            </w:r>
            <w:r w:rsidRPr="00AA4863">
              <w:t xml:space="preserve">by </w:t>
            </w:r>
            <w:r w:rsidR="00671F1C" w:rsidRPr="00AA4863">
              <w:t xml:space="preserve">departments </w:t>
            </w:r>
            <w:r w:rsidR="00671F1C">
              <w:t>(</w:t>
            </w:r>
            <w:r w:rsidR="00110D4C">
              <w:t>April</w:t>
            </w:r>
            <w:r w:rsidR="00E96B2B">
              <w:t xml:space="preserve"> 202</w:t>
            </w:r>
            <w:r w:rsidR="006277BB">
              <w:t>5</w:t>
            </w:r>
            <w:r w:rsidRPr="00AA4863">
              <w:t>)</w:t>
            </w:r>
          </w:p>
        </w:tc>
      </w:tr>
      <w:tr w:rsidR="006C78FB" w:rsidRPr="00E10ADB" w14:paraId="5B87009F" w14:textId="77777777" w:rsidTr="00B8224B">
        <w:trPr>
          <w:trHeight w:hRule="exact" w:val="120"/>
        </w:trPr>
        <w:tc>
          <w:tcPr>
            <w:tcW w:w="2293" w:type="dxa"/>
          </w:tcPr>
          <w:p w14:paraId="30ADB86F" w14:textId="77777777" w:rsidR="006C78FB" w:rsidRPr="008A601F" w:rsidRDefault="006C78FB" w:rsidP="00B8224B">
            <w:pPr>
              <w:pStyle w:val="Tabletext"/>
            </w:pPr>
          </w:p>
        </w:tc>
        <w:tc>
          <w:tcPr>
            <w:tcW w:w="270" w:type="dxa"/>
          </w:tcPr>
          <w:p w14:paraId="1389543E" w14:textId="77777777" w:rsidR="006C78FB" w:rsidRPr="008A601F" w:rsidRDefault="006C78FB" w:rsidP="00B8224B"/>
        </w:tc>
        <w:tc>
          <w:tcPr>
            <w:tcW w:w="540" w:type="dxa"/>
          </w:tcPr>
          <w:p w14:paraId="167180CE" w14:textId="77777777" w:rsidR="006C78FB" w:rsidRPr="008A601F" w:rsidRDefault="006C78FB" w:rsidP="00B8224B"/>
        </w:tc>
        <w:tc>
          <w:tcPr>
            <w:tcW w:w="6134" w:type="dxa"/>
          </w:tcPr>
          <w:p w14:paraId="1B670DBE" w14:textId="77777777" w:rsidR="006C78FB" w:rsidRPr="008A601F" w:rsidRDefault="006C78FB" w:rsidP="00B8224B"/>
        </w:tc>
      </w:tr>
      <w:tr w:rsidR="00AA4863" w:rsidRPr="005828FE" w14:paraId="0768C862" w14:textId="77777777" w:rsidTr="00B8224B">
        <w:tc>
          <w:tcPr>
            <w:tcW w:w="2293" w:type="dxa"/>
          </w:tcPr>
          <w:p w14:paraId="652FC25B" w14:textId="77777777" w:rsidR="00AA4863" w:rsidRPr="008A601F" w:rsidRDefault="00AA4863" w:rsidP="000569C9">
            <w:pPr>
              <w:pStyle w:val="Normalgrey"/>
            </w:pPr>
            <w:r w:rsidRPr="008A601F">
              <w:t>Purpose</w:t>
            </w:r>
          </w:p>
        </w:tc>
        <w:tc>
          <w:tcPr>
            <w:tcW w:w="270" w:type="dxa"/>
          </w:tcPr>
          <w:p w14:paraId="743FFACB" w14:textId="77777777" w:rsidR="00AA4863" w:rsidRPr="00521483" w:rsidRDefault="00AA4863" w:rsidP="000569C9">
            <w:pPr>
              <w:pStyle w:val="Refnum1"/>
              <w:numPr>
                <w:ilvl w:val="0"/>
                <w:numId w:val="20"/>
              </w:numPr>
              <w:spacing w:before="60" w:after="60"/>
            </w:pPr>
          </w:p>
        </w:tc>
        <w:tc>
          <w:tcPr>
            <w:tcW w:w="540" w:type="dxa"/>
          </w:tcPr>
          <w:p w14:paraId="55852080" w14:textId="77777777" w:rsidR="00AA4863" w:rsidRPr="00AA4863" w:rsidRDefault="00AA4863" w:rsidP="000569C9">
            <w:pPr>
              <w:pStyle w:val="Refnum2"/>
            </w:pPr>
          </w:p>
        </w:tc>
        <w:tc>
          <w:tcPr>
            <w:tcW w:w="6134" w:type="dxa"/>
          </w:tcPr>
          <w:p w14:paraId="6F3CB7EC" w14:textId="77777777" w:rsidR="00AA4863" w:rsidRPr="00E43EFA" w:rsidRDefault="00AA4863" w:rsidP="000569C9">
            <w:pPr>
              <w:pStyle w:val="Normalgrey"/>
            </w:pPr>
            <w:r w:rsidRPr="00E1764E">
              <w:t>To prescribe the executive officer disclosures in a departmental report of operations.</w:t>
            </w:r>
          </w:p>
        </w:tc>
      </w:tr>
      <w:tr w:rsidR="00AA4863" w:rsidRPr="00296FCB" w14:paraId="28D6F79C" w14:textId="77777777" w:rsidTr="00963C94">
        <w:tc>
          <w:tcPr>
            <w:tcW w:w="2293" w:type="dxa"/>
            <w:shd w:val="clear" w:color="auto" w:fill="F2F2F2" w:themeFill="background1" w:themeFillShade="F2"/>
          </w:tcPr>
          <w:p w14:paraId="59DBFD97" w14:textId="77777777" w:rsidR="00AA4863" w:rsidRPr="00296FCB" w:rsidRDefault="00AA4863" w:rsidP="005E2F91">
            <w:pPr>
              <w:rPr>
                <w:b/>
              </w:rPr>
            </w:pPr>
            <w:r w:rsidRPr="00296FCB">
              <w:rPr>
                <w:b/>
              </w:rPr>
              <w:t>Application</w:t>
            </w:r>
          </w:p>
        </w:tc>
        <w:tc>
          <w:tcPr>
            <w:tcW w:w="270" w:type="dxa"/>
            <w:shd w:val="clear" w:color="auto" w:fill="F2F2F2" w:themeFill="background1" w:themeFillShade="F2"/>
          </w:tcPr>
          <w:p w14:paraId="679C6737" w14:textId="77777777" w:rsidR="00AA4863" w:rsidRPr="00687205" w:rsidRDefault="00AA4863" w:rsidP="000F7DEC">
            <w:pPr>
              <w:pStyle w:val="Refnum1grey"/>
            </w:pPr>
          </w:p>
        </w:tc>
        <w:tc>
          <w:tcPr>
            <w:tcW w:w="540" w:type="dxa"/>
            <w:shd w:val="clear" w:color="auto" w:fill="F2F2F2" w:themeFill="background1" w:themeFillShade="F2"/>
          </w:tcPr>
          <w:p w14:paraId="76308F41" w14:textId="77777777" w:rsidR="00AA4863" w:rsidRPr="00296FCB" w:rsidRDefault="00AA4863" w:rsidP="005E2F91">
            <w:pPr>
              <w:pStyle w:val="Refnum2"/>
              <w:rPr>
                <w:b/>
              </w:rPr>
            </w:pPr>
          </w:p>
        </w:tc>
        <w:tc>
          <w:tcPr>
            <w:tcW w:w="6134" w:type="dxa"/>
            <w:shd w:val="clear" w:color="auto" w:fill="F2F2F2" w:themeFill="background1" w:themeFillShade="F2"/>
          </w:tcPr>
          <w:p w14:paraId="3FF4AE7E" w14:textId="77777777" w:rsidR="00AA4863" w:rsidRPr="00296FCB" w:rsidRDefault="00AA4863" w:rsidP="005E2F91">
            <w:pPr>
              <w:rPr>
                <w:b/>
              </w:rPr>
            </w:pPr>
            <w:r w:rsidRPr="00296FCB">
              <w:rPr>
                <w:b/>
              </w:rPr>
              <w:t xml:space="preserve">Applies to all entities defined as a department under section 3 of the </w:t>
            </w:r>
            <w:r w:rsidRPr="00296FCB">
              <w:rPr>
                <w:b/>
                <w:i/>
              </w:rPr>
              <w:t>Financial Management Act 1994</w:t>
            </w:r>
            <w:r w:rsidRPr="00296FCB">
              <w:rPr>
                <w:b/>
              </w:rPr>
              <w:t xml:space="preserve"> (FMA).</w:t>
            </w:r>
          </w:p>
        </w:tc>
      </w:tr>
      <w:tr w:rsidR="00AA4863" w:rsidRPr="00296FCB" w14:paraId="3B73D7DE" w14:textId="77777777" w:rsidTr="00963C94">
        <w:tc>
          <w:tcPr>
            <w:tcW w:w="2293" w:type="dxa"/>
            <w:shd w:val="clear" w:color="auto" w:fill="F2F2F2" w:themeFill="background1" w:themeFillShade="F2"/>
          </w:tcPr>
          <w:p w14:paraId="59E5DB5C" w14:textId="77777777" w:rsidR="00AA4863" w:rsidRPr="00296FCB" w:rsidRDefault="00AA4863" w:rsidP="005E2F91">
            <w:pPr>
              <w:rPr>
                <w:b/>
              </w:rPr>
            </w:pPr>
            <w:r w:rsidRPr="00296FCB">
              <w:rPr>
                <w:b/>
              </w:rPr>
              <w:t>Operative date</w:t>
            </w:r>
          </w:p>
        </w:tc>
        <w:tc>
          <w:tcPr>
            <w:tcW w:w="270" w:type="dxa"/>
            <w:shd w:val="clear" w:color="auto" w:fill="F2F2F2" w:themeFill="background1" w:themeFillShade="F2"/>
          </w:tcPr>
          <w:p w14:paraId="621D4165" w14:textId="77777777" w:rsidR="00AA4863" w:rsidRPr="00687205" w:rsidRDefault="00AA4863" w:rsidP="000F7DEC">
            <w:pPr>
              <w:pStyle w:val="Refnum1grey"/>
            </w:pPr>
          </w:p>
        </w:tc>
        <w:tc>
          <w:tcPr>
            <w:tcW w:w="540" w:type="dxa"/>
            <w:shd w:val="clear" w:color="auto" w:fill="F2F2F2" w:themeFill="background1" w:themeFillShade="F2"/>
          </w:tcPr>
          <w:p w14:paraId="1762ABE4" w14:textId="77777777" w:rsidR="00AA4863" w:rsidRPr="00296FCB" w:rsidRDefault="00AA4863" w:rsidP="005E2F91">
            <w:pPr>
              <w:pStyle w:val="Refnum2"/>
              <w:rPr>
                <w:b/>
              </w:rPr>
            </w:pPr>
          </w:p>
        </w:tc>
        <w:tc>
          <w:tcPr>
            <w:tcW w:w="6134" w:type="dxa"/>
            <w:shd w:val="clear" w:color="auto" w:fill="F2F2F2" w:themeFill="background1" w:themeFillShade="F2"/>
          </w:tcPr>
          <w:p w14:paraId="3F690865" w14:textId="0B4BE27B" w:rsidR="00AA4863" w:rsidRPr="00296FCB" w:rsidRDefault="00AA4863">
            <w:pPr>
              <w:rPr>
                <w:b/>
              </w:rPr>
            </w:pPr>
            <w:r w:rsidRPr="00296FCB">
              <w:rPr>
                <w:b/>
              </w:rPr>
              <w:t>Reporting periods commencing</w:t>
            </w:r>
            <w:r w:rsidR="00C45839">
              <w:rPr>
                <w:b/>
              </w:rPr>
              <w:t xml:space="preserve"> on or after</w:t>
            </w:r>
            <w:r w:rsidRPr="00296FCB">
              <w:rPr>
                <w:b/>
              </w:rPr>
              <w:t xml:space="preserve"> 1 July </w:t>
            </w:r>
            <w:r w:rsidR="00445DBC" w:rsidRPr="00296FCB">
              <w:rPr>
                <w:b/>
              </w:rPr>
              <w:t>20</w:t>
            </w:r>
            <w:r w:rsidR="0073783D">
              <w:rPr>
                <w:b/>
              </w:rPr>
              <w:t>24</w:t>
            </w:r>
            <w:r w:rsidRPr="00296FCB">
              <w:rPr>
                <w:b/>
              </w:rPr>
              <w:t>.</w:t>
            </w:r>
          </w:p>
        </w:tc>
      </w:tr>
      <w:tr w:rsidR="00AA4863" w:rsidRPr="00296FCB" w14:paraId="146B1B99" w14:textId="77777777" w:rsidTr="00963C94">
        <w:tc>
          <w:tcPr>
            <w:tcW w:w="2293" w:type="dxa"/>
            <w:shd w:val="clear" w:color="auto" w:fill="F2F2F2" w:themeFill="background1" w:themeFillShade="F2"/>
          </w:tcPr>
          <w:p w14:paraId="662D3CEF" w14:textId="77777777" w:rsidR="00AA4863" w:rsidRPr="00296FCB" w:rsidRDefault="00AA4863" w:rsidP="005E2F91">
            <w:pPr>
              <w:rPr>
                <w:b/>
              </w:rPr>
            </w:pPr>
          </w:p>
        </w:tc>
        <w:tc>
          <w:tcPr>
            <w:tcW w:w="270" w:type="dxa"/>
            <w:shd w:val="clear" w:color="auto" w:fill="F2F2F2" w:themeFill="background1" w:themeFillShade="F2"/>
          </w:tcPr>
          <w:p w14:paraId="70877C21" w14:textId="77777777" w:rsidR="00AA4863" w:rsidRPr="00687205" w:rsidRDefault="00AA4863" w:rsidP="005E2F91">
            <w:pPr>
              <w:pStyle w:val="Refnum1"/>
              <w:numPr>
                <w:ilvl w:val="0"/>
                <w:numId w:val="0"/>
              </w:numPr>
              <w:rPr>
                <w:b/>
                <w:color w:val="F2F2F2" w:themeColor="background1" w:themeShade="F2"/>
              </w:rPr>
            </w:pPr>
          </w:p>
        </w:tc>
        <w:tc>
          <w:tcPr>
            <w:tcW w:w="540" w:type="dxa"/>
            <w:shd w:val="clear" w:color="auto" w:fill="F2F2F2" w:themeFill="background1" w:themeFillShade="F2"/>
          </w:tcPr>
          <w:p w14:paraId="18B1FFFE" w14:textId="77777777" w:rsidR="00AA4863" w:rsidRPr="00296FCB" w:rsidRDefault="00AA4863" w:rsidP="005E2F91">
            <w:pPr>
              <w:pStyle w:val="Refnum2"/>
              <w:rPr>
                <w:b/>
              </w:rPr>
            </w:pPr>
          </w:p>
        </w:tc>
        <w:tc>
          <w:tcPr>
            <w:tcW w:w="6134" w:type="dxa"/>
            <w:shd w:val="clear" w:color="auto" w:fill="F2F2F2" w:themeFill="background1" w:themeFillShade="F2"/>
          </w:tcPr>
          <w:p w14:paraId="7FB66C71" w14:textId="000270C4" w:rsidR="00E96B2B" w:rsidRPr="00296FCB" w:rsidRDefault="00E96B2B" w:rsidP="00EC4B64">
            <w:pPr>
              <w:rPr>
                <w:b/>
              </w:rPr>
            </w:pPr>
            <w:r w:rsidRPr="00296FCB">
              <w:rPr>
                <w:b/>
              </w:rPr>
              <w:t>FRD 15</w:t>
            </w:r>
            <w:r>
              <w:rPr>
                <w:b/>
              </w:rPr>
              <w:t>E</w:t>
            </w:r>
            <w:r w:rsidRPr="00296FCB">
              <w:rPr>
                <w:b/>
              </w:rPr>
              <w:t xml:space="preserve"> </w:t>
            </w:r>
            <w:r w:rsidRPr="00296FCB">
              <w:rPr>
                <w:b/>
                <w:i/>
              </w:rPr>
              <w:t xml:space="preserve">Executive Officer Disclosures in the Report of Operations by </w:t>
            </w:r>
            <w:r>
              <w:rPr>
                <w:b/>
                <w:i/>
              </w:rPr>
              <w:t>d</w:t>
            </w:r>
            <w:r w:rsidRPr="00296FCB">
              <w:rPr>
                <w:b/>
                <w:i/>
              </w:rPr>
              <w:t>epartments</w:t>
            </w:r>
            <w:r w:rsidRPr="00296FCB">
              <w:rPr>
                <w:b/>
              </w:rPr>
              <w:t xml:space="preserve"> </w:t>
            </w:r>
            <w:r>
              <w:rPr>
                <w:b/>
              </w:rPr>
              <w:t xml:space="preserve">is renamed to </w:t>
            </w:r>
            <w:r w:rsidRPr="00296FCB">
              <w:rPr>
                <w:b/>
              </w:rPr>
              <w:t xml:space="preserve">FRD 15 </w:t>
            </w:r>
            <w:r w:rsidRPr="00296FCB">
              <w:rPr>
                <w:b/>
                <w:i/>
              </w:rPr>
              <w:t xml:space="preserve">Executive Officer Disclosures in the Report of Operations by </w:t>
            </w:r>
            <w:r>
              <w:rPr>
                <w:b/>
                <w:i/>
              </w:rPr>
              <w:t>d</w:t>
            </w:r>
            <w:r w:rsidRPr="00296FCB">
              <w:rPr>
                <w:b/>
                <w:i/>
              </w:rPr>
              <w:t>epartments</w:t>
            </w:r>
            <w:r w:rsidRPr="00296FCB">
              <w:rPr>
                <w:b/>
              </w:rPr>
              <w:t xml:space="preserve"> effective 1</w:t>
            </w:r>
            <w:r>
              <w:rPr>
                <w:b/>
              </w:rPr>
              <w:t> </w:t>
            </w:r>
            <w:r w:rsidR="00353DB3">
              <w:rPr>
                <w:b/>
              </w:rPr>
              <w:t>April</w:t>
            </w:r>
            <w:r>
              <w:rPr>
                <w:b/>
              </w:rPr>
              <w:t xml:space="preserve"> </w:t>
            </w:r>
            <w:r w:rsidRPr="00296FCB">
              <w:rPr>
                <w:b/>
              </w:rPr>
              <w:t>20</w:t>
            </w:r>
            <w:r>
              <w:rPr>
                <w:b/>
              </w:rPr>
              <w:t>2</w:t>
            </w:r>
            <w:r w:rsidR="00353DB3">
              <w:rPr>
                <w:b/>
              </w:rPr>
              <w:t>2</w:t>
            </w:r>
            <w:r w:rsidRPr="00296FCB">
              <w:rPr>
                <w:b/>
              </w:rPr>
              <w:t>.</w:t>
            </w:r>
          </w:p>
        </w:tc>
      </w:tr>
      <w:tr w:rsidR="00AA4863" w:rsidRPr="00296FCB" w14:paraId="643DEB95" w14:textId="77777777" w:rsidTr="00963C94">
        <w:tc>
          <w:tcPr>
            <w:tcW w:w="2293" w:type="dxa"/>
            <w:shd w:val="clear" w:color="auto" w:fill="F2F2F2" w:themeFill="background1" w:themeFillShade="F2"/>
          </w:tcPr>
          <w:p w14:paraId="6C0E6976" w14:textId="77777777" w:rsidR="00AA4863" w:rsidRPr="00296FCB" w:rsidRDefault="00AA4863" w:rsidP="005E2F91">
            <w:pPr>
              <w:rPr>
                <w:b/>
              </w:rPr>
            </w:pPr>
            <w:r w:rsidRPr="00296FCB">
              <w:rPr>
                <w:b/>
              </w:rPr>
              <w:t>Requirements</w:t>
            </w:r>
          </w:p>
        </w:tc>
        <w:tc>
          <w:tcPr>
            <w:tcW w:w="270" w:type="dxa"/>
            <w:shd w:val="clear" w:color="auto" w:fill="F2F2F2" w:themeFill="background1" w:themeFillShade="F2"/>
          </w:tcPr>
          <w:p w14:paraId="7FF0CC80" w14:textId="77777777" w:rsidR="00AA4863" w:rsidRPr="00687205" w:rsidRDefault="00AA4863" w:rsidP="000F7DEC">
            <w:pPr>
              <w:pStyle w:val="Refnum1grey"/>
            </w:pPr>
          </w:p>
        </w:tc>
        <w:tc>
          <w:tcPr>
            <w:tcW w:w="540" w:type="dxa"/>
            <w:shd w:val="clear" w:color="auto" w:fill="F2F2F2" w:themeFill="background1" w:themeFillShade="F2"/>
          </w:tcPr>
          <w:p w14:paraId="53E2356C" w14:textId="77777777" w:rsidR="00AA4863" w:rsidRPr="00296FCB" w:rsidRDefault="00AA4863" w:rsidP="005E2F91">
            <w:pPr>
              <w:pStyle w:val="Refnum2"/>
              <w:rPr>
                <w:b/>
              </w:rPr>
            </w:pPr>
          </w:p>
        </w:tc>
        <w:tc>
          <w:tcPr>
            <w:tcW w:w="6134" w:type="dxa"/>
            <w:shd w:val="clear" w:color="auto" w:fill="F2F2F2" w:themeFill="background1" w:themeFillShade="F2"/>
          </w:tcPr>
          <w:p w14:paraId="282851DE" w14:textId="0CDDDD8A" w:rsidR="00AA4863" w:rsidRPr="002B60C7" w:rsidRDefault="00AA4863" w:rsidP="005E2F91">
            <w:pPr>
              <w:rPr>
                <w:b/>
              </w:rPr>
            </w:pPr>
            <w:r w:rsidRPr="002B60C7">
              <w:rPr>
                <w:b/>
              </w:rPr>
              <w:t xml:space="preserve">A department’s </w:t>
            </w:r>
            <w:r w:rsidR="00660912" w:rsidRPr="002B60C7">
              <w:rPr>
                <w:b/>
              </w:rPr>
              <w:t>R</w:t>
            </w:r>
            <w:r w:rsidRPr="002B60C7">
              <w:rPr>
                <w:b/>
              </w:rPr>
              <w:t xml:space="preserve">eport of </w:t>
            </w:r>
            <w:r w:rsidR="00660912" w:rsidRPr="002B60C7">
              <w:rPr>
                <w:b/>
              </w:rPr>
              <w:t>O</w:t>
            </w:r>
            <w:r w:rsidRPr="002B60C7">
              <w:rPr>
                <w:b/>
              </w:rPr>
              <w:t xml:space="preserve">perations must disclose the following disaggregated information on </w:t>
            </w:r>
            <w:r w:rsidR="00E67903">
              <w:rPr>
                <w:b/>
              </w:rPr>
              <w:t xml:space="preserve">active </w:t>
            </w:r>
            <w:r w:rsidRPr="002B60C7">
              <w:rPr>
                <w:b/>
              </w:rPr>
              <w:t>executive officer numbers:</w:t>
            </w:r>
          </w:p>
          <w:p w14:paraId="2DD97F20" w14:textId="77777777" w:rsidR="00AA4863" w:rsidRPr="002B60C7" w:rsidRDefault="00AA4863" w:rsidP="005E2F91">
            <w:pPr>
              <w:pStyle w:val="Bullet1"/>
              <w:rPr>
                <w:b/>
              </w:rPr>
            </w:pPr>
            <w:r w:rsidRPr="002B60C7">
              <w:rPr>
                <w:b/>
              </w:rPr>
              <w:t>executive classifications;</w:t>
            </w:r>
          </w:p>
          <w:p w14:paraId="0BEEC16D" w14:textId="77777777" w:rsidR="00AA4863" w:rsidRPr="002B60C7" w:rsidRDefault="00AA4863" w:rsidP="005E2F91">
            <w:pPr>
              <w:pStyle w:val="Bullet1"/>
              <w:rPr>
                <w:b/>
              </w:rPr>
            </w:pPr>
            <w:r w:rsidRPr="002B60C7">
              <w:rPr>
                <w:b/>
              </w:rPr>
              <w:t>gender split across classifications;</w:t>
            </w:r>
            <w:r w:rsidR="00BC6C14" w:rsidRPr="002B60C7">
              <w:rPr>
                <w:b/>
              </w:rPr>
              <w:t xml:space="preserve"> and</w:t>
            </w:r>
          </w:p>
          <w:p w14:paraId="617F1B0F" w14:textId="77777777" w:rsidR="00AA4863" w:rsidRPr="002B60C7" w:rsidRDefault="00894382">
            <w:pPr>
              <w:pStyle w:val="Bullet1"/>
              <w:rPr>
                <w:b/>
              </w:rPr>
            </w:pPr>
            <w:r w:rsidRPr="002B60C7">
              <w:rPr>
                <w:b/>
              </w:rPr>
              <w:t xml:space="preserve">a </w:t>
            </w:r>
            <w:r w:rsidR="00AA4863" w:rsidRPr="002B60C7">
              <w:rPr>
                <w:b/>
              </w:rPr>
              <w:t>comparison to the previous reporting period</w:t>
            </w:r>
            <w:r w:rsidR="00BC6C14" w:rsidRPr="002B60C7">
              <w:rPr>
                <w:b/>
              </w:rPr>
              <w:t>.</w:t>
            </w:r>
          </w:p>
        </w:tc>
      </w:tr>
      <w:tr w:rsidR="00706A83" w:rsidRPr="00296FCB" w14:paraId="3F21D965" w14:textId="77777777" w:rsidTr="00963C94">
        <w:tc>
          <w:tcPr>
            <w:tcW w:w="2293" w:type="dxa"/>
            <w:shd w:val="clear" w:color="auto" w:fill="F2F2F2" w:themeFill="background1" w:themeFillShade="F2"/>
          </w:tcPr>
          <w:p w14:paraId="3683AADD" w14:textId="77777777" w:rsidR="00706A83" w:rsidRPr="00296FCB" w:rsidRDefault="00706A83" w:rsidP="005E2F91">
            <w:pPr>
              <w:rPr>
                <w:b/>
              </w:rPr>
            </w:pPr>
          </w:p>
        </w:tc>
        <w:tc>
          <w:tcPr>
            <w:tcW w:w="270" w:type="dxa"/>
            <w:shd w:val="clear" w:color="auto" w:fill="F2F2F2" w:themeFill="background1" w:themeFillShade="F2"/>
          </w:tcPr>
          <w:p w14:paraId="743EC429" w14:textId="77777777" w:rsidR="00706A83" w:rsidRPr="00687205" w:rsidRDefault="00706A83" w:rsidP="003707A8">
            <w:pPr>
              <w:pStyle w:val="Refnum1grey"/>
              <w:numPr>
                <w:ilvl w:val="0"/>
                <w:numId w:val="0"/>
              </w:numPr>
            </w:pPr>
          </w:p>
        </w:tc>
        <w:tc>
          <w:tcPr>
            <w:tcW w:w="540" w:type="dxa"/>
            <w:shd w:val="clear" w:color="auto" w:fill="F2F2F2" w:themeFill="background1" w:themeFillShade="F2"/>
          </w:tcPr>
          <w:p w14:paraId="26F85DF8" w14:textId="77777777" w:rsidR="00706A83" w:rsidRPr="00296FCB" w:rsidRDefault="00706A83" w:rsidP="003707A8">
            <w:pPr>
              <w:pStyle w:val="Refnum2"/>
              <w:numPr>
                <w:ilvl w:val="0"/>
                <w:numId w:val="0"/>
              </w:numPr>
              <w:ind w:left="504"/>
              <w:rPr>
                <w:b/>
              </w:rPr>
            </w:pPr>
          </w:p>
        </w:tc>
        <w:tc>
          <w:tcPr>
            <w:tcW w:w="6134" w:type="dxa"/>
            <w:shd w:val="clear" w:color="auto" w:fill="F2F2F2" w:themeFill="background1" w:themeFillShade="F2"/>
          </w:tcPr>
          <w:p w14:paraId="2139BD5A" w14:textId="77777777" w:rsidR="000273AD" w:rsidRPr="00D67536" w:rsidRDefault="00357EC7" w:rsidP="003E1A44">
            <w:pPr>
              <w:rPr>
                <w:b/>
                <w:i/>
              </w:rPr>
            </w:pPr>
            <w:r w:rsidRPr="00357EC7">
              <w:rPr>
                <w:b/>
              </w:rPr>
              <w:t>The disclosure of gender</w:t>
            </w:r>
            <w:r w:rsidR="003E1A44">
              <w:rPr>
                <w:b/>
              </w:rPr>
              <w:t xml:space="preserve"> may</w:t>
            </w:r>
            <w:r w:rsidRPr="00357EC7">
              <w:rPr>
                <w:b/>
              </w:rPr>
              <w:t xml:space="preserve"> include three categories: women, men and self-described. The privacy and confidentiality of all employees must be strictly protected at all times.</w:t>
            </w:r>
            <w:r w:rsidRPr="00357EC7">
              <w:rPr>
                <w:b/>
                <w:i/>
              </w:rPr>
              <w:t xml:space="preserve">  </w:t>
            </w:r>
          </w:p>
        </w:tc>
      </w:tr>
      <w:tr w:rsidR="00AA4863" w:rsidRPr="00296FCB" w14:paraId="4C491B75" w14:textId="77777777" w:rsidTr="00963C94">
        <w:tc>
          <w:tcPr>
            <w:tcW w:w="2293" w:type="dxa"/>
            <w:shd w:val="clear" w:color="auto" w:fill="F2F2F2" w:themeFill="background1" w:themeFillShade="F2"/>
          </w:tcPr>
          <w:p w14:paraId="109DDE45" w14:textId="77777777" w:rsidR="00AA4863" w:rsidRPr="00296FCB" w:rsidRDefault="00AA4863" w:rsidP="005E2F91">
            <w:pPr>
              <w:rPr>
                <w:b/>
              </w:rPr>
            </w:pPr>
          </w:p>
        </w:tc>
        <w:tc>
          <w:tcPr>
            <w:tcW w:w="270" w:type="dxa"/>
            <w:shd w:val="clear" w:color="auto" w:fill="F2F2F2" w:themeFill="background1" w:themeFillShade="F2"/>
          </w:tcPr>
          <w:p w14:paraId="1364CA19" w14:textId="77777777" w:rsidR="00AA4863" w:rsidRPr="00296FCB" w:rsidRDefault="00AA4863" w:rsidP="005E2F91">
            <w:pPr>
              <w:pStyle w:val="Refnum1"/>
              <w:numPr>
                <w:ilvl w:val="0"/>
                <w:numId w:val="0"/>
              </w:numPr>
              <w:rPr>
                <w:b/>
              </w:rPr>
            </w:pPr>
          </w:p>
        </w:tc>
        <w:tc>
          <w:tcPr>
            <w:tcW w:w="540" w:type="dxa"/>
            <w:shd w:val="clear" w:color="auto" w:fill="F2F2F2" w:themeFill="background1" w:themeFillShade="F2"/>
          </w:tcPr>
          <w:p w14:paraId="1CA9CA12" w14:textId="77777777" w:rsidR="00AA4863" w:rsidRPr="00296FCB" w:rsidRDefault="00AA4863" w:rsidP="005E2F91">
            <w:pPr>
              <w:pStyle w:val="Refnum2"/>
              <w:rPr>
                <w:b/>
              </w:rPr>
            </w:pPr>
          </w:p>
        </w:tc>
        <w:tc>
          <w:tcPr>
            <w:tcW w:w="6134" w:type="dxa"/>
            <w:shd w:val="clear" w:color="auto" w:fill="F2F2F2" w:themeFill="background1" w:themeFillShade="F2"/>
          </w:tcPr>
          <w:p w14:paraId="38B9D5BA" w14:textId="77777777" w:rsidR="00AA4863" w:rsidRPr="00296FCB" w:rsidRDefault="00AA4863" w:rsidP="005E2F91">
            <w:pPr>
              <w:rPr>
                <w:b/>
              </w:rPr>
            </w:pPr>
            <w:r w:rsidRPr="00296FCB">
              <w:rPr>
                <w:b/>
              </w:rPr>
              <w:t>A department must reconcile the executive officer numbers that appear in the report of operations to those disclosed in the notes to the financial statements.</w:t>
            </w:r>
          </w:p>
        </w:tc>
      </w:tr>
      <w:tr w:rsidR="00AA4863" w:rsidRPr="00296FCB" w14:paraId="3E69ECA5" w14:textId="77777777" w:rsidTr="00963C94">
        <w:tc>
          <w:tcPr>
            <w:tcW w:w="2293" w:type="dxa"/>
            <w:shd w:val="clear" w:color="auto" w:fill="F2F2F2" w:themeFill="background1" w:themeFillShade="F2"/>
          </w:tcPr>
          <w:p w14:paraId="2BAF3E02" w14:textId="77777777" w:rsidR="00AA4863" w:rsidRPr="00296FCB" w:rsidRDefault="00AA4863" w:rsidP="005E2F91">
            <w:pPr>
              <w:rPr>
                <w:b/>
              </w:rPr>
            </w:pPr>
          </w:p>
        </w:tc>
        <w:tc>
          <w:tcPr>
            <w:tcW w:w="270" w:type="dxa"/>
            <w:shd w:val="clear" w:color="auto" w:fill="F2F2F2" w:themeFill="background1" w:themeFillShade="F2"/>
          </w:tcPr>
          <w:p w14:paraId="7CEA98C8" w14:textId="77777777" w:rsidR="00AA4863" w:rsidRPr="00296FCB" w:rsidRDefault="00AA4863" w:rsidP="005E2F91">
            <w:pPr>
              <w:pStyle w:val="Refnum1"/>
              <w:numPr>
                <w:ilvl w:val="0"/>
                <w:numId w:val="0"/>
              </w:numPr>
              <w:rPr>
                <w:b/>
              </w:rPr>
            </w:pPr>
          </w:p>
        </w:tc>
        <w:tc>
          <w:tcPr>
            <w:tcW w:w="540" w:type="dxa"/>
            <w:shd w:val="clear" w:color="auto" w:fill="F2F2F2" w:themeFill="background1" w:themeFillShade="F2"/>
          </w:tcPr>
          <w:p w14:paraId="4EF42A7D" w14:textId="77777777" w:rsidR="00AA4863" w:rsidRPr="00296FCB" w:rsidRDefault="00AA4863" w:rsidP="005E2F91">
            <w:pPr>
              <w:pStyle w:val="Refnum2"/>
              <w:rPr>
                <w:b/>
              </w:rPr>
            </w:pPr>
          </w:p>
        </w:tc>
        <w:tc>
          <w:tcPr>
            <w:tcW w:w="6134" w:type="dxa"/>
            <w:shd w:val="clear" w:color="auto" w:fill="F2F2F2" w:themeFill="background1" w:themeFillShade="F2"/>
          </w:tcPr>
          <w:p w14:paraId="080EE4BD" w14:textId="77777777" w:rsidR="00AA4863" w:rsidRPr="00296FCB" w:rsidRDefault="00AA4863" w:rsidP="005E2F91">
            <w:pPr>
              <w:rPr>
                <w:b/>
              </w:rPr>
            </w:pPr>
            <w:r w:rsidRPr="00296FCB">
              <w:rPr>
                <w:b/>
              </w:rPr>
              <w:t>A department must also disclose executive officer numbers for all its portfolio entities.</w:t>
            </w:r>
          </w:p>
        </w:tc>
      </w:tr>
      <w:tr w:rsidR="00AA4863" w:rsidRPr="00296FCB" w14:paraId="64B8F582" w14:textId="77777777" w:rsidTr="00963C94">
        <w:tc>
          <w:tcPr>
            <w:tcW w:w="2293" w:type="dxa"/>
            <w:shd w:val="clear" w:color="auto" w:fill="F2F2F2" w:themeFill="background1" w:themeFillShade="F2"/>
          </w:tcPr>
          <w:p w14:paraId="00A84273" w14:textId="77777777" w:rsidR="00AA4863" w:rsidRPr="00296FCB" w:rsidRDefault="00AA4863" w:rsidP="005E2F91">
            <w:pPr>
              <w:rPr>
                <w:b/>
              </w:rPr>
            </w:pPr>
          </w:p>
        </w:tc>
        <w:tc>
          <w:tcPr>
            <w:tcW w:w="270" w:type="dxa"/>
            <w:shd w:val="clear" w:color="auto" w:fill="F2F2F2" w:themeFill="background1" w:themeFillShade="F2"/>
          </w:tcPr>
          <w:p w14:paraId="5209D459" w14:textId="77777777" w:rsidR="00AA4863" w:rsidRPr="00296FCB" w:rsidRDefault="00AA4863" w:rsidP="005E2F91">
            <w:pPr>
              <w:pStyle w:val="Refnum1"/>
              <w:numPr>
                <w:ilvl w:val="0"/>
                <w:numId w:val="0"/>
              </w:numPr>
              <w:rPr>
                <w:b/>
              </w:rPr>
            </w:pPr>
          </w:p>
        </w:tc>
        <w:tc>
          <w:tcPr>
            <w:tcW w:w="540" w:type="dxa"/>
            <w:shd w:val="clear" w:color="auto" w:fill="F2F2F2" w:themeFill="background1" w:themeFillShade="F2"/>
          </w:tcPr>
          <w:p w14:paraId="5E24385E" w14:textId="77777777" w:rsidR="00AA4863" w:rsidRPr="00296FCB" w:rsidRDefault="00AA4863" w:rsidP="005E2F91">
            <w:pPr>
              <w:pStyle w:val="Refnum2"/>
              <w:rPr>
                <w:b/>
              </w:rPr>
            </w:pPr>
          </w:p>
        </w:tc>
        <w:tc>
          <w:tcPr>
            <w:tcW w:w="6134" w:type="dxa"/>
            <w:shd w:val="clear" w:color="auto" w:fill="F2F2F2" w:themeFill="background1" w:themeFillShade="F2"/>
          </w:tcPr>
          <w:p w14:paraId="2E9351E1" w14:textId="77777777" w:rsidR="00AA4863" w:rsidRPr="00296FCB" w:rsidRDefault="00AA4863" w:rsidP="005E2F91">
            <w:pPr>
              <w:rPr>
                <w:b/>
              </w:rPr>
            </w:pPr>
            <w:r w:rsidRPr="00296FCB">
              <w:rPr>
                <w:b/>
              </w:rPr>
              <w:t>A department must report executive numbers as at the last full pay period in June of the reporting year and in the corresponding pay period in June of the previous reporting year.</w:t>
            </w:r>
          </w:p>
        </w:tc>
      </w:tr>
      <w:tr w:rsidR="00296FCB" w:rsidRPr="005828FE" w14:paraId="5BD6B457" w14:textId="77777777" w:rsidTr="00B8224B">
        <w:tc>
          <w:tcPr>
            <w:tcW w:w="2293" w:type="dxa"/>
          </w:tcPr>
          <w:p w14:paraId="26AF7516" w14:textId="77777777" w:rsidR="00296FCB" w:rsidRPr="00E2009B" w:rsidRDefault="00296FCB" w:rsidP="00925F86">
            <w:pPr>
              <w:pStyle w:val="Normalgrey"/>
            </w:pPr>
            <w:r w:rsidRPr="00E2009B">
              <w:t>Definitions</w:t>
            </w:r>
          </w:p>
        </w:tc>
        <w:tc>
          <w:tcPr>
            <w:tcW w:w="270" w:type="dxa"/>
          </w:tcPr>
          <w:p w14:paraId="342BA64F" w14:textId="77777777" w:rsidR="00296FCB" w:rsidRPr="00521483" w:rsidRDefault="00296FCB" w:rsidP="000F7DEC">
            <w:pPr>
              <w:pStyle w:val="Refnum1"/>
            </w:pPr>
          </w:p>
        </w:tc>
        <w:tc>
          <w:tcPr>
            <w:tcW w:w="540" w:type="dxa"/>
          </w:tcPr>
          <w:p w14:paraId="0997EBF6" w14:textId="77777777" w:rsidR="00296FCB" w:rsidRPr="00AA4863" w:rsidRDefault="00296FCB" w:rsidP="00925F86">
            <w:pPr>
              <w:pStyle w:val="Refnum2"/>
            </w:pPr>
          </w:p>
        </w:tc>
        <w:tc>
          <w:tcPr>
            <w:tcW w:w="6134" w:type="dxa"/>
          </w:tcPr>
          <w:p w14:paraId="2443E5E1" w14:textId="1708BB23" w:rsidR="009A2C54" w:rsidRPr="007F61E7" w:rsidRDefault="00296FCB" w:rsidP="00E279EF">
            <w:pPr>
              <w:pStyle w:val="Normalgrey"/>
            </w:pPr>
            <w:r w:rsidRPr="008D268E">
              <w:rPr>
                <w:b/>
              </w:rPr>
              <w:t>Accountable Officer</w:t>
            </w:r>
            <w:r w:rsidR="0021497C">
              <w:rPr>
                <w:iCs/>
              </w:rPr>
              <w:t xml:space="preserve"> </w:t>
            </w:r>
            <w:r w:rsidR="0021497C">
              <w:t>–</w:t>
            </w:r>
            <w:r w:rsidR="0021497C" w:rsidRPr="004A576E">
              <w:rPr>
                <w:iCs/>
              </w:rPr>
              <w:t xml:space="preserve"> </w:t>
            </w:r>
            <w:r w:rsidRPr="007F61E7">
              <w:t xml:space="preserve">as defined in section </w:t>
            </w:r>
            <w:r w:rsidR="00BB1AF5" w:rsidRPr="008D268E">
              <w:t>42</w:t>
            </w:r>
            <w:r w:rsidR="00BB1AF5" w:rsidRPr="007F61E7">
              <w:t xml:space="preserve"> </w:t>
            </w:r>
            <w:r w:rsidRPr="007F61E7">
              <w:t>of the FM</w:t>
            </w:r>
            <w:r w:rsidR="007F61E7" w:rsidRPr="008D268E">
              <w:t xml:space="preserve">A is the </w:t>
            </w:r>
            <w:r w:rsidR="002F3B49">
              <w:t>D</w:t>
            </w:r>
            <w:r w:rsidR="007F61E7" w:rsidRPr="008D268E">
              <w:t>epartment Head</w:t>
            </w:r>
            <w:r w:rsidR="00C605FF">
              <w:t xml:space="preserve"> </w:t>
            </w:r>
            <w:r w:rsidR="00C11334">
              <w:t xml:space="preserve">of a department </w:t>
            </w:r>
            <w:r w:rsidR="00C605FF">
              <w:t xml:space="preserve">or </w:t>
            </w:r>
            <w:r w:rsidR="007F61E7" w:rsidRPr="008D268E">
              <w:t>the Chief Executive Officer (CEO) or equivalent</w:t>
            </w:r>
            <w:r w:rsidR="00412038">
              <w:t xml:space="preserve"> of a public body</w:t>
            </w:r>
            <w:r w:rsidR="002F3B49">
              <w:t xml:space="preserve"> unless the Minister determines otherwise. </w:t>
            </w:r>
            <w:r w:rsidR="007F61E7" w:rsidRPr="008D268E">
              <w:t xml:space="preserve"> </w:t>
            </w:r>
          </w:p>
        </w:tc>
      </w:tr>
      <w:tr w:rsidR="00E67903" w:rsidRPr="005828FE" w14:paraId="35BA0B48" w14:textId="77777777" w:rsidTr="00B8224B">
        <w:tc>
          <w:tcPr>
            <w:tcW w:w="2293" w:type="dxa"/>
          </w:tcPr>
          <w:p w14:paraId="0E98234B" w14:textId="17F0AF4E" w:rsidR="00E67903" w:rsidRPr="00E2009B" w:rsidRDefault="00E67903" w:rsidP="00925F86">
            <w:pPr>
              <w:pStyle w:val="Normalgrey"/>
            </w:pPr>
          </w:p>
        </w:tc>
        <w:tc>
          <w:tcPr>
            <w:tcW w:w="270" w:type="dxa"/>
          </w:tcPr>
          <w:p w14:paraId="7D8EA240" w14:textId="77777777" w:rsidR="00E67903" w:rsidRPr="00521483" w:rsidRDefault="00E67903" w:rsidP="00925F86"/>
        </w:tc>
        <w:tc>
          <w:tcPr>
            <w:tcW w:w="540" w:type="dxa"/>
          </w:tcPr>
          <w:p w14:paraId="63F35F51" w14:textId="77777777" w:rsidR="00E67903" w:rsidRPr="00AA4863" w:rsidRDefault="00E67903" w:rsidP="00925F86">
            <w:pPr>
              <w:pStyle w:val="Refnum2"/>
            </w:pPr>
          </w:p>
        </w:tc>
        <w:tc>
          <w:tcPr>
            <w:tcW w:w="6134" w:type="dxa"/>
          </w:tcPr>
          <w:p w14:paraId="0A9CA030" w14:textId="28C7D6F5" w:rsidR="00E67903" w:rsidRPr="00E67903" w:rsidRDefault="00E67903" w:rsidP="00925F86">
            <w:pPr>
              <w:pStyle w:val="Normalgrey"/>
              <w:rPr>
                <w:bCs/>
              </w:rPr>
            </w:pPr>
            <w:r>
              <w:rPr>
                <w:b/>
              </w:rPr>
              <w:t>Active</w:t>
            </w:r>
            <w:r w:rsidR="0021497C">
              <w:rPr>
                <w:iCs/>
              </w:rPr>
              <w:t xml:space="preserve"> </w:t>
            </w:r>
            <w:r w:rsidR="0021497C">
              <w:t>–</w:t>
            </w:r>
            <w:r w:rsidR="0021497C" w:rsidRPr="004A576E">
              <w:rPr>
                <w:iCs/>
              </w:rPr>
              <w:t xml:space="preserve"> </w:t>
            </w:r>
            <w:r w:rsidRPr="009F209D">
              <w:t xml:space="preserve">in relation to </w:t>
            </w:r>
            <w:r>
              <w:t>an executive</w:t>
            </w:r>
            <w:r w:rsidRPr="009F209D">
              <w:t xml:space="preserve"> </w:t>
            </w:r>
            <w:r>
              <w:t xml:space="preserve">has the same meaning as </w:t>
            </w:r>
            <w:r w:rsidR="00CE5787">
              <w:t>in clause 6.1 of FRD 29</w:t>
            </w:r>
            <w:r w:rsidR="00266419">
              <w:rPr>
                <w:b/>
              </w:rPr>
              <w:t>.</w:t>
            </w:r>
          </w:p>
        </w:tc>
      </w:tr>
      <w:tr w:rsidR="00296FCB" w:rsidRPr="00D55BAD" w14:paraId="1E32663F" w14:textId="77777777" w:rsidTr="00B8224B">
        <w:tc>
          <w:tcPr>
            <w:tcW w:w="2293" w:type="dxa"/>
          </w:tcPr>
          <w:p w14:paraId="56D15202" w14:textId="77777777" w:rsidR="00296FCB" w:rsidRPr="00E2009B" w:rsidRDefault="00296FCB" w:rsidP="00925F86">
            <w:pPr>
              <w:pStyle w:val="Normalgrey"/>
            </w:pPr>
          </w:p>
        </w:tc>
        <w:tc>
          <w:tcPr>
            <w:tcW w:w="270" w:type="dxa"/>
          </w:tcPr>
          <w:p w14:paraId="3743FFDA" w14:textId="77777777" w:rsidR="00296FCB" w:rsidRPr="00521483" w:rsidRDefault="00296FCB" w:rsidP="00925F86"/>
        </w:tc>
        <w:tc>
          <w:tcPr>
            <w:tcW w:w="540" w:type="dxa"/>
          </w:tcPr>
          <w:p w14:paraId="46BB21F7" w14:textId="77777777" w:rsidR="00296FCB" w:rsidRPr="002B5747" w:rsidRDefault="00296FCB" w:rsidP="00925F86">
            <w:pPr>
              <w:pStyle w:val="Refnum2"/>
            </w:pPr>
          </w:p>
        </w:tc>
        <w:tc>
          <w:tcPr>
            <w:tcW w:w="6134" w:type="dxa"/>
          </w:tcPr>
          <w:p w14:paraId="1412DD6B" w14:textId="243E4FAA" w:rsidR="00296FCB" w:rsidRPr="00D55BAD" w:rsidRDefault="00296FCB" w:rsidP="00925F86">
            <w:pPr>
              <w:pStyle w:val="Normalgrey"/>
            </w:pPr>
            <w:r w:rsidRPr="00D55BAD">
              <w:rPr>
                <w:b/>
              </w:rPr>
              <w:t>Executive Officer</w:t>
            </w:r>
            <w:r w:rsidR="0021497C" w:rsidRPr="00D55BAD">
              <w:rPr>
                <w:iCs/>
              </w:rPr>
              <w:t xml:space="preserve"> </w:t>
            </w:r>
            <w:r w:rsidR="0021497C" w:rsidRPr="00D55BAD">
              <w:t>–</w:t>
            </w:r>
            <w:r w:rsidR="0068486A" w:rsidRPr="00D55BAD">
              <w:t xml:space="preserve"> </w:t>
            </w:r>
            <w:r w:rsidRPr="00D55BAD">
              <w:t>a person</w:t>
            </w:r>
            <w:r w:rsidR="00E25368" w:rsidRPr="00D55BAD">
              <w:t>, other than a statutory office h</w:t>
            </w:r>
            <w:r w:rsidR="00207BC0" w:rsidRPr="00D55BAD">
              <w:t>older or an accountable officer</w:t>
            </w:r>
            <w:r w:rsidR="00E25368" w:rsidRPr="00D55BAD">
              <w:t xml:space="preserve">: </w:t>
            </w:r>
            <w:r w:rsidRPr="00D55BAD">
              <w:t xml:space="preserve"> </w:t>
            </w:r>
          </w:p>
          <w:p w14:paraId="1B8678D4" w14:textId="72E24839" w:rsidR="00347634" w:rsidRPr="00D55BAD" w:rsidRDefault="00F25E3D" w:rsidP="00925F86">
            <w:pPr>
              <w:pStyle w:val="Bullet1grey"/>
            </w:pPr>
            <w:r w:rsidRPr="00D55BAD">
              <w:t xml:space="preserve">for </w:t>
            </w:r>
            <w:r w:rsidR="00296FCB" w:rsidRPr="00D55BAD">
              <w:t>a department,</w:t>
            </w:r>
            <w:r w:rsidR="00C17E43" w:rsidRPr="00D55BAD">
              <w:t xml:space="preserve"> </w:t>
            </w:r>
            <w:r w:rsidR="00C11334" w:rsidRPr="00D55BAD">
              <w:t xml:space="preserve">who </w:t>
            </w:r>
            <w:r w:rsidR="00207BC0" w:rsidRPr="00D55BAD">
              <w:t xml:space="preserve">is employed as an executive under </w:t>
            </w:r>
            <w:r w:rsidR="00825BA8" w:rsidRPr="00D55BAD">
              <w:t>P</w:t>
            </w:r>
            <w:r w:rsidR="00207BC0" w:rsidRPr="00D55BAD">
              <w:t xml:space="preserve">art 3 of the </w:t>
            </w:r>
            <w:r w:rsidR="00207BC0" w:rsidRPr="00D55BAD">
              <w:rPr>
                <w:i/>
              </w:rPr>
              <w:t>Public Administration Act 2004</w:t>
            </w:r>
            <w:r w:rsidR="00207BC0" w:rsidRPr="00D55BAD">
              <w:t xml:space="preserve"> (PAA)</w:t>
            </w:r>
          </w:p>
          <w:p w14:paraId="6E5B4C52" w14:textId="60539925" w:rsidR="00347634" w:rsidRPr="00D55BAD" w:rsidRDefault="00F25E3D" w:rsidP="00347634">
            <w:pPr>
              <w:pStyle w:val="Bullet1grey"/>
              <w:rPr>
                <w:szCs w:val="21"/>
              </w:rPr>
            </w:pPr>
            <w:r w:rsidRPr="00D55BAD">
              <w:rPr>
                <w:szCs w:val="21"/>
              </w:rPr>
              <w:t xml:space="preserve">for </w:t>
            </w:r>
            <w:r w:rsidR="00296FCB" w:rsidRPr="00D55BAD">
              <w:rPr>
                <w:szCs w:val="21"/>
              </w:rPr>
              <w:t>a public body,</w:t>
            </w:r>
            <w:r w:rsidR="00C17E43" w:rsidRPr="00D55BAD">
              <w:rPr>
                <w:szCs w:val="21"/>
              </w:rPr>
              <w:t xml:space="preserve"> </w:t>
            </w:r>
            <w:r w:rsidR="00C11334" w:rsidRPr="00D55BAD" w:rsidDel="00A04A2F">
              <w:rPr>
                <w:szCs w:val="21"/>
              </w:rPr>
              <w:t xml:space="preserve">who </w:t>
            </w:r>
            <w:r w:rsidR="00207BC0" w:rsidRPr="00D55BAD" w:rsidDel="005926B8">
              <w:rPr>
                <w:szCs w:val="21"/>
              </w:rPr>
              <w:t xml:space="preserve">is employed as an executive under </w:t>
            </w:r>
            <w:r w:rsidR="000369D8" w:rsidRPr="00D55BAD">
              <w:rPr>
                <w:szCs w:val="21"/>
              </w:rPr>
              <w:t>P</w:t>
            </w:r>
            <w:r w:rsidR="00207BC0" w:rsidRPr="00D55BAD" w:rsidDel="005926B8">
              <w:rPr>
                <w:szCs w:val="21"/>
              </w:rPr>
              <w:t>art 3 of the PAA</w:t>
            </w:r>
            <w:r w:rsidR="00A84638" w:rsidRPr="00D55BAD" w:rsidDel="005926B8">
              <w:rPr>
                <w:szCs w:val="21"/>
              </w:rPr>
              <w:t xml:space="preserve">, or </w:t>
            </w:r>
            <w:r w:rsidR="00A84638" w:rsidRPr="00D55BAD" w:rsidDel="0051130C">
              <w:rPr>
                <w:szCs w:val="21"/>
              </w:rPr>
              <w:t>is a person</w:t>
            </w:r>
            <w:r w:rsidR="0024772C" w:rsidRPr="00D55BAD">
              <w:rPr>
                <w:szCs w:val="21"/>
              </w:rPr>
              <w:t xml:space="preserve"> to</w:t>
            </w:r>
            <w:r w:rsidR="00A84638" w:rsidRPr="00D55BAD" w:rsidDel="0051130C">
              <w:rPr>
                <w:szCs w:val="21"/>
              </w:rPr>
              <w:t xml:space="preserve"> </w:t>
            </w:r>
            <w:r w:rsidR="00A84638" w:rsidRPr="00D55BAD">
              <w:rPr>
                <w:szCs w:val="21"/>
              </w:rPr>
              <w:t>who</w:t>
            </w:r>
            <w:r w:rsidR="0068486A" w:rsidRPr="00D55BAD">
              <w:rPr>
                <w:szCs w:val="21"/>
              </w:rPr>
              <w:t>m</w:t>
            </w:r>
            <w:r w:rsidR="00207BC0" w:rsidRPr="00D55BAD">
              <w:rPr>
                <w:szCs w:val="21"/>
              </w:rPr>
              <w:t xml:space="preserve"> the Victorian Government’s </w:t>
            </w:r>
            <w:r w:rsidR="0051130C" w:rsidRPr="00D55BAD">
              <w:rPr>
                <w:szCs w:val="21"/>
              </w:rPr>
              <w:t>Public Entity Executive Remuneration (PEER) Policy</w:t>
            </w:r>
            <w:r w:rsidR="000758E1" w:rsidRPr="00D55BAD">
              <w:rPr>
                <w:szCs w:val="21"/>
              </w:rPr>
              <w:t xml:space="preserve"> </w:t>
            </w:r>
            <w:r w:rsidR="00207BC0" w:rsidRPr="00D55BAD">
              <w:rPr>
                <w:szCs w:val="21"/>
              </w:rPr>
              <w:t>applies</w:t>
            </w:r>
          </w:p>
          <w:p w14:paraId="70F77827" w14:textId="1D1A2689" w:rsidR="00C07FE8" w:rsidRPr="00D55BAD" w:rsidRDefault="004C74D5" w:rsidP="00347634">
            <w:pPr>
              <w:pStyle w:val="Bullet1grey"/>
            </w:pPr>
            <w:r w:rsidRPr="00D55BAD">
              <w:t xml:space="preserve">for a public health </w:t>
            </w:r>
            <w:r w:rsidR="00D150D8" w:rsidRPr="00D55BAD">
              <w:t>se</w:t>
            </w:r>
            <w:r w:rsidR="000369D8" w:rsidRPr="00D55BAD">
              <w:t>rvice</w:t>
            </w:r>
            <w:r w:rsidRPr="00D55BAD">
              <w:t xml:space="preserve">, </w:t>
            </w:r>
            <w:r w:rsidR="000369D8" w:rsidRPr="00D55BAD">
              <w:t xml:space="preserve">is a person </w:t>
            </w:r>
            <w:r w:rsidR="000D7F8F" w:rsidRPr="00D55BAD">
              <w:t xml:space="preserve">to </w:t>
            </w:r>
            <w:r w:rsidRPr="00D55BAD">
              <w:t>whom the Victorian Government’s Health Entity Executive Remuneration Policy applies.</w:t>
            </w:r>
          </w:p>
          <w:p w14:paraId="2BBD74B1" w14:textId="3CC3D823" w:rsidR="00296FCB" w:rsidRPr="00D55BAD" w:rsidRDefault="00C07FE8" w:rsidP="0021497C">
            <w:pPr>
              <w:pStyle w:val="Normalgrey"/>
            </w:pPr>
            <w:r w:rsidRPr="00D55BAD">
              <w:t xml:space="preserve">The Victorian Government’s </w:t>
            </w:r>
            <w:r w:rsidR="004C3DB4" w:rsidRPr="00D55BAD">
              <w:t>PEER P</w:t>
            </w:r>
            <w:r w:rsidR="00FA467E" w:rsidRPr="00D55BAD">
              <w:t>olicy</w:t>
            </w:r>
            <w:r w:rsidRPr="00D55BAD">
              <w:t xml:space="preserve"> can be found on the Victorian </w:t>
            </w:r>
            <w:r w:rsidR="00C84141" w:rsidRPr="00D55BAD">
              <w:t>Government</w:t>
            </w:r>
            <w:r w:rsidRPr="00D55BAD">
              <w:t xml:space="preserve"> website at </w:t>
            </w:r>
            <w:r w:rsidR="00C84141" w:rsidRPr="00D55BAD">
              <w:t>www.vic.gov.au/public-entity-executive-remuneration-policy</w:t>
            </w:r>
            <w:r w:rsidRPr="00D55BAD">
              <w:t xml:space="preserve">. </w:t>
            </w:r>
          </w:p>
        </w:tc>
      </w:tr>
      <w:tr w:rsidR="00F44719" w:rsidRPr="005828FE" w14:paraId="084072AB" w14:textId="77777777" w:rsidTr="00B8224B">
        <w:tc>
          <w:tcPr>
            <w:tcW w:w="2293" w:type="dxa"/>
          </w:tcPr>
          <w:p w14:paraId="0E893E5B" w14:textId="77777777" w:rsidR="00F44719" w:rsidRPr="00E2009B" w:rsidRDefault="00F44719" w:rsidP="00925F86">
            <w:pPr>
              <w:pStyle w:val="Normalgrey"/>
            </w:pPr>
          </w:p>
        </w:tc>
        <w:tc>
          <w:tcPr>
            <w:tcW w:w="270" w:type="dxa"/>
          </w:tcPr>
          <w:p w14:paraId="4229D6C4" w14:textId="77777777" w:rsidR="00F44719" w:rsidRPr="00521483" w:rsidRDefault="00F44719" w:rsidP="00925F86"/>
        </w:tc>
        <w:tc>
          <w:tcPr>
            <w:tcW w:w="540" w:type="dxa"/>
          </w:tcPr>
          <w:p w14:paraId="5A20EF66" w14:textId="77777777" w:rsidR="00F44719" w:rsidRPr="00AA4863" w:rsidRDefault="00F44719" w:rsidP="00925F86">
            <w:pPr>
              <w:pStyle w:val="Refnum2"/>
            </w:pPr>
          </w:p>
        </w:tc>
        <w:tc>
          <w:tcPr>
            <w:tcW w:w="6134" w:type="dxa"/>
          </w:tcPr>
          <w:p w14:paraId="3C8CFFDC" w14:textId="6603D19C" w:rsidR="00F44719" w:rsidRPr="00F44719" w:rsidRDefault="00F44719" w:rsidP="00353DB3">
            <w:pPr>
              <w:pStyle w:val="Normalgrey"/>
            </w:pPr>
            <w:r>
              <w:rPr>
                <w:b/>
              </w:rPr>
              <w:t>Gender</w:t>
            </w:r>
            <w:r w:rsidR="0021497C">
              <w:rPr>
                <w:iCs/>
              </w:rPr>
              <w:t xml:space="preserve"> </w:t>
            </w:r>
            <w:r w:rsidR="0021497C">
              <w:t>–</w:t>
            </w:r>
            <w:r w:rsidR="0021497C" w:rsidRPr="004A576E">
              <w:rPr>
                <w:iCs/>
              </w:rPr>
              <w:t xml:space="preserve"> </w:t>
            </w:r>
            <w:r w:rsidRPr="00353DB3">
              <w:t>refers</w:t>
            </w:r>
            <w:r>
              <w:t xml:space="preserve"> to how an employee de</w:t>
            </w:r>
            <w:r w:rsidR="00D863EB">
              <w:t xml:space="preserve">scribes their own gender </w:t>
            </w:r>
            <w:r w:rsidR="00E27210">
              <w:t>as ‘man’, ‘woman’ or a ‘self-described’ form</w:t>
            </w:r>
            <w:r>
              <w:t>.</w:t>
            </w:r>
            <w:r w:rsidR="00E27210">
              <w:t xml:space="preserve"> Gender is part of a person’s personal and social identity. It refers to a way a person feels and sees themselves. It can be about differences in identity, expression and experience as a woman, man or gender diverse person.</w:t>
            </w:r>
            <w:r>
              <w:t xml:space="preserve">  </w:t>
            </w:r>
          </w:p>
        </w:tc>
      </w:tr>
      <w:tr w:rsidR="00296FCB" w:rsidRPr="005828FE" w14:paraId="4B21F027" w14:textId="77777777" w:rsidTr="00B8224B">
        <w:tc>
          <w:tcPr>
            <w:tcW w:w="2293" w:type="dxa"/>
          </w:tcPr>
          <w:p w14:paraId="2B7BB222" w14:textId="77777777" w:rsidR="00296FCB" w:rsidRPr="00E2009B" w:rsidRDefault="00296FCB" w:rsidP="00925F86">
            <w:pPr>
              <w:pStyle w:val="Normalgrey"/>
            </w:pPr>
          </w:p>
        </w:tc>
        <w:tc>
          <w:tcPr>
            <w:tcW w:w="270" w:type="dxa"/>
          </w:tcPr>
          <w:p w14:paraId="436D9C0A" w14:textId="77777777" w:rsidR="00296FCB" w:rsidRPr="00521483" w:rsidRDefault="00296FCB" w:rsidP="00925F86"/>
        </w:tc>
        <w:tc>
          <w:tcPr>
            <w:tcW w:w="540" w:type="dxa"/>
          </w:tcPr>
          <w:p w14:paraId="5F0815BB" w14:textId="77777777" w:rsidR="00296FCB" w:rsidRPr="00AA4863" w:rsidRDefault="00296FCB" w:rsidP="00925F86">
            <w:pPr>
              <w:pStyle w:val="Refnum2"/>
            </w:pPr>
          </w:p>
        </w:tc>
        <w:tc>
          <w:tcPr>
            <w:tcW w:w="6134" w:type="dxa"/>
          </w:tcPr>
          <w:p w14:paraId="54368890" w14:textId="188A8B4A" w:rsidR="00296FCB" w:rsidRPr="00860449" w:rsidRDefault="00296FCB" w:rsidP="0068486A">
            <w:pPr>
              <w:pStyle w:val="Normalgrey"/>
            </w:pPr>
            <w:r w:rsidRPr="008D268E">
              <w:rPr>
                <w:b/>
              </w:rPr>
              <w:t>Portfolio Entity</w:t>
            </w:r>
            <w:r w:rsidR="0021497C">
              <w:rPr>
                <w:iCs/>
              </w:rPr>
              <w:t xml:space="preserve"> </w:t>
            </w:r>
            <w:r w:rsidR="0021497C">
              <w:t>–</w:t>
            </w:r>
            <w:r w:rsidR="0021497C" w:rsidRPr="004A576E">
              <w:rPr>
                <w:iCs/>
              </w:rPr>
              <w:t xml:space="preserve"> </w:t>
            </w:r>
            <w:r w:rsidRPr="00860449">
              <w:t xml:space="preserve">a public entity under </w:t>
            </w:r>
            <w:r w:rsidR="009D0089">
              <w:t xml:space="preserve">section 5 </w:t>
            </w:r>
            <w:r w:rsidRPr="00860449">
              <w:t>the PAA, being a body, whether corporate or unincorporated, that is established by or under an Act for a public purpose.</w:t>
            </w:r>
          </w:p>
        </w:tc>
      </w:tr>
      <w:tr w:rsidR="00B424A6" w:rsidRPr="005828FE" w14:paraId="5D128BA5" w14:textId="77777777" w:rsidTr="00B8224B">
        <w:tc>
          <w:tcPr>
            <w:tcW w:w="2293" w:type="dxa"/>
          </w:tcPr>
          <w:p w14:paraId="7006DAF6" w14:textId="77777777" w:rsidR="00B424A6" w:rsidRPr="00E2009B" w:rsidRDefault="00B424A6" w:rsidP="00925F86">
            <w:pPr>
              <w:pStyle w:val="Normalgrey"/>
            </w:pPr>
          </w:p>
        </w:tc>
        <w:tc>
          <w:tcPr>
            <w:tcW w:w="270" w:type="dxa"/>
          </w:tcPr>
          <w:p w14:paraId="520B048E" w14:textId="77777777" w:rsidR="00B424A6" w:rsidRPr="00521483" w:rsidRDefault="00B424A6" w:rsidP="00925F86"/>
        </w:tc>
        <w:tc>
          <w:tcPr>
            <w:tcW w:w="540" w:type="dxa"/>
          </w:tcPr>
          <w:p w14:paraId="0BBA98BA" w14:textId="77777777" w:rsidR="00B424A6" w:rsidRPr="00AA4863" w:rsidRDefault="00B424A6" w:rsidP="00925F86">
            <w:pPr>
              <w:pStyle w:val="Refnum2"/>
            </w:pPr>
          </w:p>
        </w:tc>
        <w:tc>
          <w:tcPr>
            <w:tcW w:w="6134" w:type="dxa"/>
          </w:tcPr>
          <w:p w14:paraId="1081C295" w14:textId="3B8D2DE1" w:rsidR="00B424A6" w:rsidRPr="00F44719" w:rsidRDefault="00F44719" w:rsidP="00F44719">
            <w:pPr>
              <w:pStyle w:val="Normalgrey"/>
            </w:pPr>
            <w:r w:rsidRPr="00F44719">
              <w:rPr>
                <w:b/>
              </w:rPr>
              <w:t>Self-described</w:t>
            </w:r>
            <w:r>
              <w:t xml:space="preserve"> </w:t>
            </w:r>
            <w:r w:rsidR="0021497C">
              <w:t>–</w:t>
            </w:r>
            <w:r w:rsidR="0021497C" w:rsidRPr="004A576E">
              <w:rPr>
                <w:iCs/>
              </w:rPr>
              <w:t xml:space="preserve"> </w:t>
            </w:r>
            <w:r>
              <w:t xml:space="preserve">a gender category that includes staff who do not identify as a woman or man and use different terms to describe their gender. </w:t>
            </w:r>
          </w:p>
        </w:tc>
      </w:tr>
      <w:tr w:rsidR="00296FCB" w:rsidRPr="005828FE" w14:paraId="125614F4" w14:textId="77777777" w:rsidTr="00B8224B">
        <w:tc>
          <w:tcPr>
            <w:tcW w:w="2293" w:type="dxa"/>
          </w:tcPr>
          <w:p w14:paraId="2B8417A7" w14:textId="77777777" w:rsidR="00296FCB" w:rsidRPr="00E2009B" w:rsidRDefault="00296FCB" w:rsidP="00925F86">
            <w:pPr>
              <w:pStyle w:val="Normalgrey"/>
            </w:pPr>
            <w:r w:rsidRPr="00E2009B">
              <w:t>Guidance</w:t>
            </w:r>
          </w:p>
        </w:tc>
        <w:tc>
          <w:tcPr>
            <w:tcW w:w="270" w:type="dxa"/>
          </w:tcPr>
          <w:p w14:paraId="058C2BED" w14:textId="77777777" w:rsidR="00296FCB" w:rsidRPr="00521483" w:rsidRDefault="00296FCB" w:rsidP="00925F86">
            <w:pPr>
              <w:pStyle w:val="Refnum1"/>
              <w:numPr>
                <w:ilvl w:val="0"/>
                <w:numId w:val="20"/>
              </w:numPr>
              <w:spacing w:before="60" w:after="60"/>
            </w:pPr>
          </w:p>
        </w:tc>
        <w:tc>
          <w:tcPr>
            <w:tcW w:w="540" w:type="dxa"/>
          </w:tcPr>
          <w:p w14:paraId="6D7DD6CC" w14:textId="77777777" w:rsidR="00296FCB" w:rsidRDefault="00EE6FC4" w:rsidP="00F81032">
            <w:pPr>
              <w:pStyle w:val="Refnum2"/>
              <w:numPr>
                <w:ilvl w:val="0"/>
                <w:numId w:val="0"/>
              </w:numPr>
            </w:pPr>
            <w:r>
              <w:t>6.1</w:t>
            </w:r>
          </w:p>
          <w:p w14:paraId="0FA636B1" w14:textId="77777777" w:rsidR="00AC6D3B" w:rsidRPr="00AA4863" w:rsidRDefault="00AC6D3B" w:rsidP="00F81032">
            <w:pPr>
              <w:pStyle w:val="Refnum2"/>
              <w:numPr>
                <w:ilvl w:val="0"/>
                <w:numId w:val="0"/>
              </w:numPr>
            </w:pPr>
          </w:p>
        </w:tc>
        <w:tc>
          <w:tcPr>
            <w:tcW w:w="6134" w:type="dxa"/>
          </w:tcPr>
          <w:p w14:paraId="768CCB09" w14:textId="77777777" w:rsidR="00AC6D3B" w:rsidRPr="003C67E6" w:rsidRDefault="00296FCB" w:rsidP="003C67E6">
            <w:pPr>
              <w:pStyle w:val="Normalgrey"/>
            </w:pPr>
            <w:r w:rsidRPr="00860449">
              <w:t xml:space="preserve">Presentation of the requirements should be in a similar format to the example disclosures illustrated in </w:t>
            </w:r>
            <w:r w:rsidR="00E84A9D">
              <w:t xml:space="preserve">the </w:t>
            </w:r>
            <w:r w:rsidR="00E84A9D">
              <w:rPr>
                <w:i/>
              </w:rPr>
              <w:t>Model Report for Victorian Government Departments - Report of Operations</w:t>
            </w:r>
            <w:r w:rsidRPr="00860449">
              <w:t xml:space="preserve">. </w:t>
            </w:r>
          </w:p>
        </w:tc>
      </w:tr>
      <w:tr w:rsidR="00296FCB" w:rsidRPr="005828FE" w14:paraId="422CC6F2" w14:textId="77777777" w:rsidTr="00B8224B">
        <w:tc>
          <w:tcPr>
            <w:tcW w:w="2293" w:type="dxa"/>
          </w:tcPr>
          <w:p w14:paraId="0B6E91B6" w14:textId="77777777" w:rsidR="00296FCB" w:rsidRPr="00E2009B" w:rsidRDefault="00296FCB" w:rsidP="00925F86">
            <w:pPr>
              <w:pStyle w:val="Normalgrey"/>
            </w:pPr>
          </w:p>
        </w:tc>
        <w:tc>
          <w:tcPr>
            <w:tcW w:w="270" w:type="dxa"/>
          </w:tcPr>
          <w:p w14:paraId="2BD8A805" w14:textId="77777777" w:rsidR="00296FCB" w:rsidRPr="00521483" w:rsidRDefault="00296FCB" w:rsidP="00925F86">
            <w:pPr>
              <w:pStyle w:val="Normalgrey"/>
            </w:pPr>
          </w:p>
        </w:tc>
        <w:tc>
          <w:tcPr>
            <w:tcW w:w="540" w:type="dxa"/>
          </w:tcPr>
          <w:p w14:paraId="31B2846F" w14:textId="77777777" w:rsidR="00296FCB" w:rsidRPr="00AA4863" w:rsidRDefault="00EE6FC4" w:rsidP="00F81032">
            <w:pPr>
              <w:pStyle w:val="Refnum2"/>
              <w:numPr>
                <w:ilvl w:val="0"/>
                <w:numId w:val="0"/>
              </w:numPr>
              <w:ind w:left="504" w:hanging="504"/>
            </w:pPr>
            <w:r>
              <w:t>6.2</w:t>
            </w:r>
          </w:p>
        </w:tc>
        <w:tc>
          <w:tcPr>
            <w:tcW w:w="6134" w:type="dxa"/>
          </w:tcPr>
          <w:p w14:paraId="288F6E24" w14:textId="77777777" w:rsidR="00296FCB" w:rsidRPr="00860449" w:rsidRDefault="00296FCB" w:rsidP="00925F86">
            <w:pPr>
              <w:pStyle w:val="Normalgrey"/>
            </w:pPr>
            <w:r w:rsidRPr="00860449">
              <w:t>The reconciliation between executive officer numbers disclosed in the financial statements to those in the report of operations should include, where applicable, the following information separately:</w:t>
            </w:r>
          </w:p>
          <w:p w14:paraId="2181306C" w14:textId="77777777" w:rsidR="00296FCB" w:rsidRPr="00860449" w:rsidRDefault="00296FCB" w:rsidP="00687205">
            <w:pPr>
              <w:pStyle w:val="Listnumgrey"/>
            </w:pPr>
            <w:r w:rsidRPr="00860449">
              <w:t>accountable officers</w:t>
            </w:r>
            <w:r>
              <w:t>;</w:t>
            </w:r>
            <w:r w:rsidRPr="00860449">
              <w:t xml:space="preserve"> and</w:t>
            </w:r>
          </w:p>
          <w:p w14:paraId="742B74CD" w14:textId="77777777" w:rsidR="00296FCB" w:rsidRPr="00860449" w:rsidRDefault="00296FCB" w:rsidP="00687205">
            <w:pPr>
              <w:pStyle w:val="Listnumgrey"/>
            </w:pPr>
            <w:r w:rsidRPr="00860449">
              <w:t>separations (executives who have left).</w:t>
            </w:r>
          </w:p>
        </w:tc>
      </w:tr>
      <w:tr w:rsidR="00296FCB" w:rsidRPr="005828FE" w14:paraId="005259AC" w14:textId="77777777" w:rsidTr="00B8224B">
        <w:tc>
          <w:tcPr>
            <w:tcW w:w="2293" w:type="dxa"/>
          </w:tcPr>
          <w:p w14:paraId="4AD91019" w14:textId="77777777" w:rsidR="00296FCB" w:rsidRPr="00E2009B" w:rsidRDefault="00296FCB" w:rsidP="00925F86">
            <w:pPr>
              <w:pStyle w:val="Normalgrey"/>
            </w:pPr>
          </w:p>
        </w:tc>
        <w:tc>
          <w:tcPr>
            <w:tcW w:w="270" w:type="dxa"/>
          </w:tcPr>
          <w:p w14:paraId="044B754A" w14:textId="77777777" w:rsidR="00296FCB" w:rsidRPr="00521483" w:rsidRDefault="00296FCB" w:rsidP="00925F86">
            <w:pPr>
              <w:pStyle w:val="Normalgrey"/>
            </w:pPr>
          </w:p>
        </w:tc>
        <w:tc>
          <w:tcPr>
            <w:tcW w:w="540" w:type="dxa"/>
          </w:tcPr>
          <w:p w14:paraId="5DDF4211" w14:textId="77777777" w:rsidR="00296FCB" w:rsidRPr="00AA4863" w:rsidRDefault="00EE6FC4" w:rsidP="00AC6D3B">
            <w:pPr>
              <w:pStyle w:val="Refnum2"/>
              <w:numPr>
                <w:ilvl w:val="0"/>
                <w:numId w:val="0"/>
              </w:numPr>
            </w:pPr>
            <w:r>
              <w:t>6.3</w:t>
            </w:r>
          </w:p>
        </w:tc>
        <w:tc>
          <w:tcPr>
            <w:tcW w:w="6134" w:type="dxa"/>
          </w:tcPr>
          <w:p w14:paraId="58F66A21" w14:textId="77777777" w:rsidR="001D52DE" w:rsidRPr="00860449" w:rsidRDefault="00296FCB" w:rsidP="004B3FFF">
            <w:pPr>
              <w:pStyle w:val="Normalgrey"/>
            </w:pPr>
            <w:r w:rsidRPr="00860449">
              <w:t>Information for the disclosure of executive officer numbers for portfolio entities should be sourced from the Government Sector Executive Remuneration Database maintained by the</w:t>
            </w:r>
            <w:r>
              <w:t xml:space="preserve"> </w:t>
            </w:r>
            <w:r w:rsidR="0068486A">
              <w:t>VPSC</w:t>
            </w:r>
            <w:r w:rsidRPr="00860449">
              <w:t>. The database lists all public authorities and provides</w:t>
            </w:r>
            <w:r w:rsidR="000D61F2">
              <w:t xml:space="preserve"> </w:t>
            </w:r>
            <w:r w:rsidR="00D37A3B">
              <w:t xml:space="preserve">relevant information </w:t>
            </w:r>
            <w:r>
              <w:t>required for the disclosure.</w:t>
            </w:r>
          </w:p>
        </w:tc>
      </w:tr>
      <w:tr w:rsidR="00296FCB" w:rsidRPr="005828FE" w14:paraId="77A413DC" w14:textId="77777777" w:rsidTr="00B8224B">
        <w:tc>
          <w:tcPr>
            <w:tcW w:w="2293" w:type="dxa"/>
          </w:tcPr>
          <w:p w14:paraId="7246BB40" w14:textId="77777777" w:rsidR="00296FCB" w:rsidRPr="00E2009B" w:rsidRDefault="00296FCB" w:rsidP="00925F86">
            <w:pPr>
              <w:pStyle w:val="Normalgrey"/>
            </w:pPr>
            <w:r w:rsidRPr="00E2009B">
              <w:t>Relevan</w:t>
            </w:r>
            <w:r w:rsidRPr="00AA4863">
              <w:t>t</w:t>
            </w:r>
            <w:r w:rsidRPr="00E2009B">
              <w:t xml:space="preserve"> </w:t>
            </w:r>
            <w:r>
              <w:t>p</w:t>
            </w:r>
            <w:r w:rsidRPr="00E2009B">
              <w:t>ronouncements</w:t>
            </w:r>
          </w:p>
        </w:tc>
        <w:tc>
          <w:tcPr>
            <w:tcW w:w="270" w:type="dxa"/>
          </w:tcPr>
          <w:p w14:paraId="1E8A870E" w14:textId="77777777" w:rsidR="00296FCB" w:rsidRPr="00521483" w:rsidRDefault="00296FCB" w:rsidP="00925F86">
            <w:pPr>
              <w:pStyle w:val="Refnum1"/>
              <w:numPr>
                <w:ilvl w:val="0"/>
                <w:numId w:val="0"/>
              </w:numPr>
            </w:pPr>
          </w:p>
        </w:tc>
        <w:tc>
          <w:tcPr>
            <w:tcW w:w="540" w:type="dxa"/>
          </w:tcPr>
          <w:p w14:paraId="436BEF3D" w14:textId="77777777" w:rsidR="00296FCB" w:rsidRPr="00A955A6" w:rsidRDefault="00EE6FC4" w:rsidP="00925F86">
            <w:pPr>
              <w:pStyle w:val="Normalgrey"/>
            </w:pPr>
            <w:r>
              <w:t>7</w:t>
            </w:r>
            <w:r w:rsidR="00984978">
              <w:t>.1</w:t>
            </w:r>
          </w:p>
        </w:tc>
        <w:tc>
          <w:tcPr>
            <w:tcW w:w="6134" w:type="dxa"/>
          </w:tcPr>
          <w:p w14:paraId="1EC5D81F" w14:textId="1A081082" w:rsidR="00EE6FC4" w:rsidRDefault="00EE6FC4" w:rsidP="0021497C">
            <w:pPr>
              <w:pStyle w:val="Bullet1grey"/>
            </w:pPr>
            <w:r>
              <w:t>FRD 21 Disc</w:t>
            </w:r>
            <w:r w:rsidR="00C17737">
              <w:t xml:space="preserve">losures of responsible persons and </w:t>
            </w:r>
            <w:r>
              <w:t xml:space="preserve">executive officers in the financial report </w:t>
            </w:r>
          </w:p>
          <w:p w14:paraId="2700D263" w14:textId="426E0898" w:rsidR="00296FCB" w:rsidRPr="00A955A6" w:rsidRDefault="00296FCB" w:rsidP="0021497C">
            <w:pPr>
              <w:pStyle w:val="Bullet1grey"/>
            </w:pPr>
            <w:r w:rsidRPr="009932F2">
              <w:t xml:space="preserve">FRD </w:t>
            </w:r>
            <w:r w:rsidR="004D6ABA" w:rsidRPr="009932F2">
              <w:t xml:space="preserve">22 </w:t>
            </w:r>
            <w:r w:rsidRPr="00AA4863">
              <w:t xml:space="preserve">Standard </w:t>
            </w:r>
            <w:r w:rsidR="00EE6FC4">
              <w:t>d</w:t>
            </w:r>
            <w:r w:rsidR="00EE6FC4" w:rsidRPr="00AA4863">
              <w:t xml:space="preserve">isclosures </w:t>
            </w:r>
            <w:r w:rsidRPr="00AA4863">
              <w:t>in the Report of Operations</w:t>
            </w:r>
            <w:r w:rsidRPr="009932F2">
              <w:t>.</w:t>
            </w:r>
          </w:p>
          <w:p w14:paraId="6593F17C" w14:textId="124C7FFF" w:rsidR="00984978" w:rsidRPr="00A955A6" w:rsidRDefault="00296FCB" w:rsidP="0021497C">
            <w:pPr>
              <w:pStyle w:val="Bullet1grey"/>
            </w:pPr>
            <w:r w:rsidRPr="009932F2">
              <w:t xml:space="preserve">FRD </w:t>
            </w:r>
            <w:r w:rsidR="004D6ABA" w:rsidRPr="009932F2">
              <w:t xml:space="preserve">29 </w:t>
            </w:r>
            <w:r w:rsidRPr="00AA4863">
              <w:t xml:space="preserve">Workforce </w:t>
            </w:r>
            <w:r w:rsidR="00EE6FC4">
              <w:t>d</w:t>
            </w:r>
            <w:r w:rsidR="00EE6FC4" w:rsidRPr="00AA4863">
              <w:t xml:space="preserve">ata </w:t>
            </w:r>
            <w:r w:rsidR="00EE6FC4">
              <w:t>d</w:t>
            </w:r>
            <w:r w:rsidR="00EE6FC4" w:rsidRPr="00AA4863">
              <w:t xml:space="preserve">isclosures </w:t>
            </w:r>
            <w:r w:rsidRPr="00AA4863">
              <w:t xml:space="preserve">in the Report of Operations – </w:t>
            </w:r>
            <w:r w:rsidR="00EE6FC4">
              <w:t>p</w:t>
            </w:r>
            <w:r w:rsidR="00EE6FC4" w:rsidRPr="00AA4863">
              <w:t xml:space="preserve">ublic </w:t>
            </w:r>
            <w:r w:rsidR="00EE6FC4">
              <w:t>s</w:t>
            </w:r>
            <w:r w:rsidR="00EE6FC4" w:rsidRPr="00AA4863">
              <w:t>ervice</w:t>
            </w:r>
            <w:r w:rsidR="00557599">
              <w:t xml:space="preserve"> </w:t>
            </w:r>
            <w:r w:rsidR="00EE6FC4">
              <w:t>e</w:t>
            </w:r>
            <w:r w:rsidR="00EE6FC4" w:rsidRPr="00AA4863">
              <w:t>mployees</w:t>
            </w:r>
            <w:r w:rsidRPr="009932F2">
              <w:t>.</w:t>
            </w:r>
          </w:p>
        </w:tc>
      </w:tr>
      <w:tr w:rsidR="00814198" w:rsidRPr="005828FE" w14:paraId="22B3CCCD" w14:textId="77777777" w:rsidTr="00B8224B">
        <w:tc>
          <w:tcPr>
            <w:tcW w:w="2293" w:type="dxa"/>
          </w:tcPr>
          <w:p w14:paraId="6C9ADBC0" w14:textId="77777777" w:rsidR="00814198" w:rsidRPr="00E2009B" w:rsidRDefault="00814198" w:rsidP="00925F86">
            <w:pPr>
              <w:pStyle w:val="Normalgrey"/>
            </w:pPr>
            <w:r>
              <w:lastRenderedPageBreak/>
              <w:t xml:space="preserve">Other information </w:t>
            </w:r>
          </w:p>
        </w:tc>
        <w:tc>
          <w:tcPr>
            <w:tcW w:w="270" w:type="dxa"/>
          </w:tcPr>
          <w:p w14:paraId="0BED4645" w14:textId="77777777" w:rsidR="00814198" w:rsidRPr="00521483" w:rsidRDefault="00814198" w:rsidP="00925F86">
            <w:pPr>
              <w:pStyle w:val="Refnum1"/>
              <w:numPr>
                <w:ilvl w:val="0"/>
                <w:numId w:val="0"/>
              </w:numPr>
            </w:pPr>
          </w:p>
        </w:tc>
        <w:tc>
          <w:tcPr>
            <w:tcW w:w="540" w:type="dxa"/>
          </w:tcPr>
          <w:p w14:paraId="28AD7FBD" w14:textId="77777777" w:rsidR="00814198" w:rsidRDefault="00814198" w:rsidP="00925F86">
            <w:pPr>
              <w:pStyle w:val="Normalgrey"/>
            </w:pPr>
            <w:r>
              <w:t>8.1</w:t>
            </w:r>
          </w:p>
        </w:tc>
        <w:tc>
          <w:tcPr>
            <w:tcW w:w="6134" w:type="dxa"/>
          </w:tcPr>
          <w:p w14:paraId="230A31C1" w14:textId="77777777" w:rsidR="00814198" w:rsidRDefault="00814198" w:rsidP="00786716">
            <w:pPr>
              <w:pStyle w:val="Normalgrey"/>
            </w:pPr>
            <w:r>
              <w:t xml:space="preserve">The following guidance information is available on the DTF website and may provide further assistance with gender reporting: </w:t>
            </w:r>
          </w:p>
          <w:p w14:paraId="59238683" w14:textId="77777777" w:rsidR="00814198" w:rsidRDefault="007A2BFB" w:rsidP="00353DB3">
            <w:pPr>
              <w:pStyle w:val="Bullet1grey"/>
            </w:pPr>
            <w:r>
              <w:t xml:space="preserve">Policy on Standard Model for Collecting Staff Gender </w:t>
            </w:r>
            <w:r w:rsidRPr="00353DB3">
              <w:t>Information</w:t>
            </w:r>
            <w:r>
              <w:t xml:space="preserve"> </w:t>
            </w:r>
            <w:r w:rsidR="000F06ED">
              <w:t>in</w:t>
            </w:r>
            <w:r>
              <w:t xml:space="preserve"> the Victorian Public Sector</w:t>
            </w:r>
            <w:r w:rsidR="00814198" w:rsidRPr="009D671A">
              <w:t>.</w:t>
            </w:r>
          </w:p>
          <w:p w14:paraId="42EC41C8" w14:textId="77777777" w:rsidR="0082352B" w:rsidRDefault="0082352B" w:rsidP="007A2BFB">
            <w:pPr>
              <w:pStyle w:val="Bullet1grey"/>
              <w:numPr>
                <w:ilvl w:val="0"/>
                <w:numId w:val="0"/>
              </w:numPr>
              <w:ind w:left="288" w:hanging="288"/>
            </w:pPr>
          </w:p>
          <w:p w14:paraId="4A4DB8B5" w14:textId="500ED433" w:rsidR="00814198" w:rsidRDefault="007A2BFB" w:rsidP="005F0E5B">
            <w:pPr>
              <w:pStyle w:val="Bullet1grey"/>
              <w:numPr>
                <w:ilvl w:val="0"/>
                <w:numId w:val="0"/>
              </w:numPr>
              <w:ind w:left="16" w:hanging="16"/>
            </w:pPr>
            <w:r>
              <w:t xml:space="preserve">Further enquiries can be directed to the </w:t>
            </w:r>
            <w:r w:rsidR="00483AF8">
              <w:t>Victorian Public Sector Commission</w:t>
            </w:r>
            <w:r>
              <w:t xml:space="preserve"> by emailing </w:t>
            </w:r>
            <w:hyperlink r:id="rId12" w:history="1">
              <w:r w:rsidR="00483AF8" w:rsidRPr="00483AF8">
                <w:rPr>
                  <w:rStyle w:val="Hyperlink"/>
                </w:rPr>
                <w:t>workforce.data@vpsc.vic.gov.au</w:t>
              </w:r>
            </w:hyperlink>
            <w:r>
              <w:t xml:space="preserve">. </w:t>
            </w:r>
          </w:p>
        </w:tc>
      </w:tr>
      <w:tr w:rsidR="00984978" w:rsidRPr="005828FE" w14:paraId="10730BE0" w14:textId="77777777" w:rsidTr="00B8224B">
        <w:tc>
          <w:tcPr>
            <w:tcW w:w="2293" w:type="dxa"/>
          </w:tcPr>
          <w:p w14:paraId="66C48E2A" w14:textId="77777777" w:rsidR="00984978" w:rsidRPr="00E2009B" w:rsidRDefault="00984978" w:rsidP="00925F86">
            <w:pPr>
              <w:pStyle w:val="Normalgrey"/>
            </w:pPr>
            <w:r w:rsidRPr="00E2009B">
              <w:t>Background</w:t>
            </w:r>
          </w:p>
        </w:tc>
        <w:tc>
          <w:tcPr>
            <w:tcW w:w="270" w:type="dxa"/>
          </w:tcPr>
          <w:p w14:paraId="1D8EDC38" w14:textId="77777777" w:rsidR="00984978" w:rsidRPr="00521483" w:rsidRDefault="00984978" w:rsidP="00925F86">
            <w:pPr>
              <w:pStyle w:val="Refnum1"/>
              <w:numPr>
                <w:ilvl w:val="0"/>
                <w:numId w:val="0"/>
              </w:numPr>
            </w:pPr>
          </w:p>
        </w:tc>
        <w:tc>
          <w:tcPr>
            <w:tcW w:w="540" w:type="dxa"/>
          </w:tcPr>
          <w:p w14:paraId="0CA30698" w14:textId="77777777" w:rsidR="00984978" w:rsidRPr="00F81032" w:rsidRDefault="00814198" w:rsidP="00925F86">
            <w:pPr>
              <w:pStyle w:val="Normalgrey"/>
            </w:pPr>
            <w:r>
              <w:t>9</w:t>
            </w:r>
            <w:r w:rsidR="00984978" w:rsidRPr="00F81032">
              <w:t>.1</w:t>
            </w:r>
          </w:p>
        </w:tc>
        <w:tc>
          <w:tcPr>
            <w:tcW w:w="6134" w:type="dxa"/>
          </w:tcPr>
          <w:p w14:paraId="6540BC2D" w14:textId="4B4F714C" w:rsidR="00984978" w:rsidRPr="00F81032" w:rsidRDefault="00984978" w:rsidP="00353DB3">
            <w:pPr>
              <w:pStyle w:val="Normalgrey"/>
            </w:pPr>
            <w:r w:rsidRPr="00F81032">
              <w:t xml:space="preserve">The remuneration of executive officers note in the financial statements (in accordance with FRD 21 </w:t>
            </w:r>
            <w:r w:rsidRPr="00F81032">
              <w:rPr>
                <w:i/>
              </w:rPr>
              <w:t>Disclosures of responsible persons</w:t>
            </w:r>
            <w:r w:rsidR="00C17737">
              <w:rPr>
                <w:i/>
              </w:rPr>
              <w:t xml:space="preserve"> and</w:t>
            </w:r>
            <w:r w:rsidRPr="00F81032">
              <w:rPr>
                <w:i/>
              </w:rPr>
              <w:t xml:space="preserve"> executive officers </w:t>
            </w:r>
            <w:r w:rsidR="00C17737">
              <w:rPr>
                <w:i/>
              </w:rPr>
              <w:t>i</w:t>
            </w:r>
            <w:r w:rsidRPr="00F81032">
              <w:rPr>
                <w:i/>
              </w:rPr>
              <w:t xml:space="preserve">n the financial report </w:t>
            </w:r>
            <w:r w:rsidRPr="00F81032">
              <w:t xml:space="preserve">discloses the total remuneration of </w:t>
            </w:r>
            <w:r w:rsidR="00F81032" w:rsidRPr="00F81032">
              <w:t xml:space="preserve">responsible persons and </w:t>
            </w:r>
            <w:r w:rsidRPr="00F81032">
              <w:t>executive officers</w:t>
            </w:r>
            <w:r w:rsidR="00F81032" w:rsidRPr="00F81032">
              <w:t xml:space="preserve"> separately</w:t>
            </w:r>
            <w:r w:rsidRPr="00F81032">
              <w:t xml:space="preserve"> for the reporting period, </w:t>
            </w:r>
            <w:r w:rsidR="00F81032" w:rsidRPr="00F81032">
              <w:t>by remuneration</w:t>
            </w:r>
            <w:r w:rsidR="000A223D" w:rsidRPr="00F81032">
              <w:t xml:space="preserve"> categories </w:t>
            </w:r>
            <w:r w:rsidRPr="00F81032">
              <w:t xml:space="preserve">as defined by AASB 124 </w:t>
            </w:r>
            <w:r w:rsidRPr="00F81032">
              <w:rPr>
                <w:i/>
              </w:rPr>
              <w:t>Related Party Disclosures</w:t>
            </w:r>
            <w:r w:rsidRPr="00F81032">
              <w:t xml:space="preserve">. </w:t>
            </w:r>
            <w:r w:rsidR="000A223D" w:rsidRPr="00F81032">
              <w:t xml:space="preserve">FRD 21 does not require </w:t>
            </w:r>
            <w:r w:rsidRPr="00F81032">
              <w:t xml:space="preserve">disaggregated </w:t>
            </w:r>
            <w:r w:rsidR="000A223D" w:rsidRPr="00F81032">
              <w:t>disclosure</w:t>
            </w:r>
            <w:r w:rsidR="00F81032" w:rsidRPr="00F81032">
              <w:t>s</w:t>
            </w:r>
            <w:r w:rsidR="000A223D" w:rsidRPr="00F81032">
              <w:t xml:space="preserve"> of </w:t>
            </w:r>
            <w:r w:rsidRPr="00F81032">
              <w:t>executive</w:t>
            </w:r>
            <w:r w:rsidR="00F81032" w:rsidRPr="00F81032">
              <w:t xml:space="preserve"> o</w:t>
            </w:r>
            <w:r w:rsidRPr="00F81032">
              <w:t xml:space="preserve">fficer </w:t>
            </w:r>
            <w:r w:rsidR="00F81032" w:rsidRPr="00F81032">
              <w:t>numbers by gender and classification</w:t>
            </w:r>
            <w:r w:rsidRPr="00F81032">
              <w:t xml:space="preserve">.  </w:t>
            </w:r>
          </w:p>
          <w:p w14:paraId="6875F634" w14:textId="41BA3C36" w:rsidR="00984978" w:rsidRPr="00F81032" w:rsidRDefault="00984978" w:rsidP="00353DB3">
            <w:pPr>
              <w:pStyle w:val="Normalgrey"/>
            </w:pPr>
            <w:r w:rsidRPr="00F81032">
              <w:t xml:space="preserve">The information required by FRD 15, including the reconciliation between the disclosures in the </w:t>
            </w:r>
            <w:r w:rsidR="0081285B">
              <w:t>R</w:t>
            </w:r>
            <w:r w:rsidRPr="00F81032">
              <w:t xml:space="preserve">eport of </w:t>
            </w:r>
            <w:r w:rsidR="0081285B">
              <w:t>O</w:t>
            </w:r>
            <w:r w:rsidRPr="00F81032">
              <w:t>perations and the financial statements, is required to improve the transparency and completeness of information presented.</w:t>
            </w:r>
          </w:p>
        </w:tc>
      </w:tr>
      <w:tr w:rsidR="00984978" w:rsidRPr="005828FE" w14:paraId="62BFAA15" w14:textId="77777777" w:rsidTr="00B8224B">
        <w:tc>
          <w:tcPr>
            <w:tcW w:w="2293" w:type="dxa"/>
          </w:tcPr>
          <w:p w14:paraId="289B41D4" w14:textId="77777777" w:rsidR="00984978" w:rsidRPr="00E2009B" w:rsidRDefault="00984978" w:rsidP="00925F86">
            <w:pPr>
              <w:pStyle w:val="Normalgrey"/>
            </w:pPr>
          </w:p>
        </w:tc>
        <w:tc>
          <w:tcPr>
            <w:tcW w:w="270" w:type="dxa"/>
          </w:tcPr>
          <w:p w14:paraId="6739375B" w14:textId="77777777" w:rsidR="00984978" w:rsidRPr="00521483" w:rsidRDefault="00984978" w:rsidP="00925F86">
            <w:pPr>
              <w:pStyle w:val="Refnum1"/>
              <w:numPr>
                <w:ilvl w:val="0"/>
                <w:numId w:val="0"/>
              </w:numPr>
            </w:pPr>
          </w:p>
        </w:tc>
        <w:tc>
          <w:tcPr>
            <w:tcW w:w="540" w:type="dxa"/>
          </w:tcPr>
          <w:p w14:paraId="190D99FE" w14:textId="77777777" w:rsidR="00984978" w:rsidRDefault="00814198" w:rsidP="00925F86">
            <w:pPr>
              <w:pStyle w:val="Normalgrey"/>
            </w:pPr>
            <w:r>
              <w:t>9</w:t>
            </w:r>
            <w:r w:rsidR="00984978">
              <w:t>.2</w:t>
            </w:r>
          </w:p>
        </w:tc>
        <w:tc>
          <w:tcPr>
            <w:tcW w:w="6134" w:type="dxa"/>
          </w:tcPr>
          <w:p w14:paraId="39D96962" w14:textId="1C036338" w:rsidR="00984978" w:rsidRDefault="00984978" w:rsidP="00984978">
            <w:pPr>
              <w:pStyle w:val="Bullet1grey"/>
              <w:numPr>
                <w:ilvl w:val="0"/>
                <w:numId w:val="0"/>
              </w:numPr>
              <w:ind w:left="288" w:hanging="288"/>
            </w:pPr>
            <w:r>
              <w:t>This FRD was revised</w:t>
            </w:r>
            <w:r w:rsidR="00B96F1B">
              <w:t xml:space="preserve"> in</w:t>
            </w:r>
            <w:r>
              <w:t xml:space="preserve">: </w:t>
            </w:r>
          </w:p>
          <w:p w14:paraId="64ACB2B6" w14:textId="77777777" w:rsidR="00984978" w:rsidRDefault="00984978" w:rsidP="00984978">
            <w:pPr>
              <w:pStyle w:val="Bullet1grey"/>
              <w:numPr>
                <w:ilvl w:val="0"/>
                <w:numId w:val="0"/>
              </w:numPr>
              <w:ind w:left="288" w:hanging="288"/>
            </w:pPr>
          </w:p>
          <w:p w14:paraId="5050CF5A" w14:textId="77200151" w:rsidR="004127D5" w:rsidRDefault="00984978" w:rsidP="008779AA">
            <w:pPr>
              <w:pStyle w:val="Bullet1grey"/>
            </w:pPr>
            <w:r w:rsidRPr="00233CE6">
              <w:t xml:space="preserve">June 2007, to include a requirement that departments must report executive numbers as at the last full pay period in June of the reporting year and in the corresponding pay period in June of the previous reporting year.  This amendment is to ensure that executive numbers disclosed in this FRD are consistent with those </w:t>
            </w:r>
            <w:r w:rsidR="00F81032">
              <w:t>under</w:t>
            </w:r>
            <w:r w:rsidRPr="00233CE6">
              <w:t xml:space="preserve"> FRD </w:t>
            </w:r>
            <w:r w:rsidR="00546888">
              <w:t> </w:t>
            </w:r>
            <w:r w:rsidRPr="00233CE6">
              <w:t xml:space="preserve">29 </w:t>
            </w:r>
            <w:r w:rsidRPr="00233CE6">
              <w:rPr>
                <w:i/>
              </w:rPr>
              <w:t xml:space="preserve">Workforce </w:t>
            </w:r>
            <w:r w:rsidR="00F81032">
              <w:rPr>
                <w:i/>
              </w:rPr>
              <w:t>d</w:t>
            </w:r>
            <w:r w:rsidR="00F81032" w:rsidRPr="00233CE6">
              <w:rPr>
                <w:i/>
              </w:rPr>
              <w:t xml:space="preserve">ata </w:t>
            </w:r>
            <w:r w:rsidR="00F81032">
              <w:rPr>
                <w:i/>
              </w:rPr>
              <w:t>d</w:t>
            </w:r>
            <w:r w:rsidR="00F81032" w:rsidRPr="00233CE6">
              <w:rPr>
                <w:i/>
              </w:rPr>
              <w:t xml:space="preserve">isclosures </w:t>
            </w:r>
            <w:r w:rsidRPr="00233CE6">
              <w:rPr>
                <w:i/>
              </w:rPr>
              <w:t xml:space="preserve">in the Report of Operations – </w:t>
            </w:r>
            <w:r w:rsidR="00F81032">
              <w:rPr>
                <w:i/>
              </w:rPr>
              <w:t>p</w:t>
            </w:r>
            <w:r w:rsidR="00F81032" w:rsidRPr="00233CE6">
              <w:rPr>
                <w:i/>
              </w:rPr>
              <w:t xml:space="preserve">ublic </w:t>
            </w:r>
            <w:r w:rsidR="00F81032">
              <w:rPr>
                <w:i/>
              </w:rPr>
              <w:t>s</w:t>
            </w:r>
            <w:r w:rsidR="00F81032" w:rsidRPr="00233CE6">
              <w:rPr>
                <w:i/>
              </w:rPr>
              <w:t xml:space="preserve">ervice </w:t>
            </w:r>
            <w:r w:rsidR="00F81032">
              <w:rPr>
                <w:i/>
              </w:rPr>
              <w:t>e</w:t>
            </w:r>
            <w:r w:rsidR="00F81032" w:rsidRPr="00233CE6">
              <w:rPr>
                <w:i/>
              </w:rPr>
              <w:t>mployees</w:t>
            </w:r>
            <w:r w:rsidRPr="00233CE6">
              <w:rPr>
                <w:i/>
              </w:rPr>
              <w:t>.</w:t>
            </w:r>
          </w:p>
          <w:p w14:paraId="472F845D" w14:textId="16C96D11" w:rsidR="00A1006B" w:rsidRDefault="00984978" w:rsidP="008779AA">
            <w:pPr>
              <w:pStyle w:val="Bullet1grey"/>
            </w:pPr>
            <w:r w:rsidRPr="00233CE6">
              <w:t xml:space="preserve">January 2016, to align the definition of executive officer with that in FRD 21, which clarified the remuneration rate for determining an executive officer. </w:t>
            </w:r>
            <w:r w:rsidRPr="008779AA">
              <w:rPr>
                <w:color w:val="5E5E56"/>
              </w:rPr>
              <w:t xml:space="preserve">Appendix A </w:t>
            </w:r>
            <w:r w:rsidRPr="00233CE6">
              <w:t xml:space="preserve">was removed to reduce duplication, as the same information is included in the Model Report for Victorian Government Departments. A reference to the location of this disclosure in the Model Report has been provided in the FRD. </w:t>
            </w:r>
          </w:p>
          <w:p w14:paraId="04F5C75E" w14:textId="4869D3C8" w:rsidR="00984978" w:rsidRDefault="0085145A" w:rsidP="008779AA">
            <w:pPr>
              <w:pStyle w:val="Bullet1grey"/>
            </w:pPr>
            <w:r>
              <w:t>May</w:t>
            </w:r>
            <w:r w:rsidR="004D6ABA">
              <w:t xml:space="preserve"> </w:t>
            </w:r>
            <w:r w:rsidR="00386927" w:rsidRPr="00233CE6">
              <w:t xml:space="preserve">2017, to improve </w:t>
            </w:r>
            <w:r w:rsidR="00386927">
              <w:t xml:space="preserve">the </w:t>
            </w:r>
            <w:r w:rsidR="00386927" w:rsidRPr="00233CE6">
              <w:t xml:space="preserve">clarity </w:t>
            </w:r>
            <w:r w:rsidR="00386927">
              <w:t>of</w:t>
            </w:r>
            <w:r w:rsidR="00386927" w:rsidRPr="00233CE6">
              <w:t xml:space="preserve"> the definition of </w:t>
            </w:r>
            <w:r w:rsidR="00386927">
              <w:t xml:space="preserve">accountable officers and </w:t>
            </w:r>
            <w:r w:rsidR="00386927" w:rsidRPr="00233CE6">
              <w:t>executive officers in departments and public bodies</w:t>
            </w:r>
            <w:r w:rsidR="00386927">
              <w:t>, and to reflect the new reporting requirements for executive officers. Requirements to disclose the number of executive officer vacancies, and ongoing or special project executives were removed to simpl</w:t>
            </w:r>
            <w:r w:rsidR="00354845">
              <w:t>if</w:t>
            </w:r>
            <w:r w:rsidR="00386927">
              <w:t>y reporting requirements.</w:t>
            </w:r>
          </w:p>
          <w:p w14:paraId="63EE23FC" w14:textId="1EEE78C0" w:rsidR="00B424A6" w:rsidRDefault="00B5429C" w:rsidP="008779AA">
            <w:pPr>
              <w:pStyle w:val="Bullet1grey"/>
            </w:pPr>
            <w:r>
              <w:t>February</w:t>
            </w:r>
            <w:r w:rsidR="001C25E8">
              <w:t xml:space="preserve"> 2018</w:t>
            </w:r>
            <w:r>
              <w:t>,</w:t>
            </w:r>
            <w:r w:rsidR="00B424A6">
              <w:t xml:space="preserve"> </w:t>
            </w:r>
            <w:r w:rsidR="00FE2CF5">
              <w:t xml:space="preserve">to include </w:t>
            </w:r>
            <w:r w:rsidR="002B4251">
              <w:t>a</w:t>
            </w:r>
            <w:r w:rsidR="00107E5F">
              <w:t xml:space="preserve"> third category, </w:t>
            </w:r>
            <w:r w:rsidR="002B4251">
              <w:t xml:space="preserve">‘self-described’, </w:t>
            </w:r>
            <w:r w:rsidR="00FE2CF5">
              <w:t>for reporting on gender split across executive officer classifications</w:t>
            </w:r>
            <w:r w:rsidR="002B4251">
              <w:t xml:space="preserve">. This change </w:t>
            </w:r>
            <w:r w:rsidR="00107E5F">
              <w:t>was made</w:t>
            </w:r>
            <w:r w:rsidR="002B4251">
              <w:t xml:space="preserve"> to </w:t>
            </w:r>
            <w:r w:rsidR="00FE2CF5">
              <w:t xml:space="preserve">implement a new inclusive model for collecting and reporting on staff gender information in the Victorian Public Sector (VPS).  </w:t>
            </w:r>
          </w:p>
          <w:p w14:paraId="267FD578" w14:textId="77777777" w:rsidR="00386927" w:rsidRPr="006C2AEE" w:rsidRDefault="00353DB3" w:rsidP="005F0E5B">
            <w:pPr>
              <w:pStyle w:val="Bullet1grey"/>
            </w:pPr>
            <w:r>
              <w:t>April</w:t>
            </w:r>
            <w:r w:rsidR="00EE521D">
              <w:t xml:space="preserve"> 202</w:t>
            </w:r>
            <w:r>
              <w:t>2</w:t>
            </w:r>
            <w:r w:rsidR="00EE521D">
              <w:t xml:space="preserve">, </w:t>
            </w:r>
            <w:r w:rsidR="00266419">
              <w:t xml:space="preserve">to </w:t>
            </w:r>
            <w:bookmarkStart w:id="0" w:name="_Hlk97305360"/>
            <w:r w:rsidR="00266419">
              <w:t xml:space="preserve">clarify </w:t>
            </w:r>
            <w:r w:rsidR="00036295">
              <w:t xml:space="preserve">in that </w:t>
            </w:r>
            <w:r w:rsidR="00266419">
              <w:t xml:space="preserve">the </w:t>
            </w:r>
            <w:r w:rsidR="005C4F77" w:rsidRPr="005C4F77">
              <w:t xml:space="preserve">requirement </w:t>
            </w:r>
            <w:r w:rsidR="00036295">
              <w:t xml:space="preserve">is to report </w:t>
            </w:r>
            <w:r w:rsidR="005C4F77" w:rsidRPr="005C4F77">
              <w:t xml:space="preserve">“active” executives </w:t>
            </w:r>
            <w:r w:rsidR="00036295">
              <w:t xml:space="preserve">and provide a </w:t>
            </w:r>
            <w:r w:rsidR="005C4F77" w:rsidRPr="005C4F77">
              <w:t>definition of active.</w:t>
            </w:r>
            <w:r w:rsidR="00266419">
              <w:t xml:space="preserve"> </w:t>
            </w:r>
            <w:r w:rsidR="00EE521D" w:rsidRPr="00EE521D">
              <w:t xml:space="preserve">This does not change the intent of the FRD but </w:t>
            </w:r>
            <w:r w:rsidR="00036295">
              <w:t xml:space="preserve">aims </w:t>
            </w:r>
            <w:r w:rsidR="00EE521D" w:rsidRPr="00EE521D">
              <w:t xml:space="preserve">to </w:t>
            </w:r>
            <w:r>
              <w:t xml:space="preserve">provide clearer guidance on who is captured by the </w:t>
            </w:r>
            <w:r w:rsidRPr="006C2AEE">
              <w:t>disclosures</w:t>
            </w:r>
            <w:r w:rsidR="00EE521D" w:rsidRPr="006C2AEE">
              <w:t>.</w:t>
            </w:r>
            <w:bookmarkEnd w:id="0"/>
          </w:p>
          <w:p w14:paraId="1759A826" w14:textId="77B692D1" w:rsidR="00BC59D6" w:rsidRPr="006C2AEE" w:rsidRDefault="00960E27" w:rsidP="005F0E5B">
            <w:pPr>
              <w:pStyle w:val="Bullet1grey"/>
            </w:pPr>
            <w:r w:rsidRPr="006C2AEE">
              <w:t>April</w:t>
            </w:r>
            <w:r w:rsidR="00BC59D6" w:rsidRPr="006C2AEE">
              <w:t xml:space="preserve"> 202</w:t>
            </w:r>
            <w:r w:rsidRPr="006C2AEE">
              <w:t>5</w:t>
            </w:r>
            <w:r w:rsidR="001F4BBF" w:rsidRPr="006C2AEE">
              <w:t xml:space="preserve">, to clarify </w:t>
            </w:r>
            <w:r w:rsidR="00397332" w:rsidRPr="006C2AEE">
              <w:t xml:space="preserve">the </w:t>
            </w:r>
            <w:r w:rsidR="001F4BBF" w:rsidRPr="006C2AEE">
              <w:t xml:space="preserve">definition of </w:t>
            </w:r>
            <w:r w:rsidR="00AE15BF" w:rsidRPr="006C2AEE">
              <w:t>‘</w:t>
            </w:r>
            <w:r w:rsidR="001F4BBF" w:rsidRPr="006C2AEE">
              <w:t>executive</w:t>
            </w:r>
            <w:r w:rsidR="000952CB" w:rsidRPr="006C2AEE">
              <w:t xml:space="preserve"> officer</w:t>
            </w:r>
            <w:r w:rsidR="00AE15BF" w:rsidRPr="006C2AEE">
              <w:t>’</w:t>
            </w:r>
            <w:r w:rsidR="006F5F2C" w:rsidRPr="006C2AEE">
              <w:t xml:space="preserve">, update the definition of </w:t>
            </w:r>
            <w:r w:rsidR="00AE15BF" w:rsidRPr="006C2AEE">
              <w:t>‘</w:t>
            </w:r>
            <w:r w:rsidR="00642B27" w:rsidRPr="006C2AEE">
              <w:t>gender</w:t>
            </w:r>
            <w:r w:rsidR="00AE15BF" w:rsidRPr="006C2AEE">
              <w:t>’</w:t>
            </w:r>
            <w:r w:rsidR="006F5F2C" w:rsidRPr="006C2AEE">
              <w:t xml:space="preserve"> to </w:t>
            </w:r>
            <w:r w:rsidR="00D05CF6" w:rsidRPr="006C2AEE">
              <w:t>align with</w:t>
            </w:r>
            <w:r w:rsidR="006F5F2C" w:rsidRPr="006C2AEE">
              <w:t xml:space="preserve"> the public sector inclusive language guide</w:t>
            </w:r>
            <w:r w:rsidR="00483AF8" w:rsidRPr="006C2AEE">
              <w:t xml:space="preserve">, </w:t>
            </w:r>
            <w:r w:rsidR="001F4BBF" w:rsidRPr="006C2AEE">
              <w:t>update references to the PEER Policy</w:t>
            </w:r>
            <w:r w:rsidR="00483AF8" w:rsidRPr="006C2AEE">
              <w:t xml:space="preserve"> and </w:t>
            </w:r>
            <w:r w:rsidR="006F5F2C" w:rsidRPr="006C2AEE">
              <w:t xml:space="preserve">update </w:t>
            </w:r>
            <w:r w:rsidR="00483AF8" w:rsidRPr="006C2AEE">
              <w:t>contact details for further enquiries in relation to gender reporting</w:t>
            </w:r>
            <w:r w:rsidR="001F4BBF" w:rsidRPr="006C2AEE">
              <w:t xml:space="preserve">. </w:t>
            </w:r>
          </w:p>
          <w:p w14:paraId="41E75549" w14:textId="49F7F0A6" w:rsidR="00713804" w:rsidRPr="009932F2" w:rsidRDefault="00713804" w:rsidP="00C80AF5">
            <w:pPr>
              <w:pStyle w:val="Bullet1grey"/>
              <w:numPr>
                <w:ilvl w:val="0"/>
                <w:numId w:val="0"/>
              </w:numPr>
              <w:ind w:left="288"/>
            </w:pPr>
          </w:p>
        </w:tc>
      </w:tr>
      <w:tr w:rsidR="00984978" w:rsidRPr="005828FE" w14:paraId="1062B7C5" w14:textId="77777777" w:rsidTr="00B8224B">
        <w:tc>
          <w:tcPr>
            <w:tcW w:w="2293" w:type="dxa"/>
          </w:tcPr>
          <w:p w14:paraId="6DECDC4A" w14:textId="0AF6DDDE" w:rsidR="00984978" w:rsidRPr="003410CC" w:rsidRDefault="00984978" w:rsidP="00925F86">
            <w:pPr>
              <w:pStyle w:val="Normalgrey"/>
              <w:rPr>
                <w:highlight w:val="yellow"/>
              </w:rPr>
            </w:pPr>
            <w:r w:rsidRPr="009932F2">
              <w:lastRenderedPageBreak/>
              <w:t xml:space="preserve">Model for Disclosure </w:t>
            </w:r>
          </w:p>
        </w:tc>
        <w:tc>
          <w:tcPr>
            <w:tcW w:w="270" w:type="dxa"/>
          </w:tcPr>
          <w:p w14:paraId="32CBFBF8" w14:textId="77777777" w:rsidR="00984978" w:rsidRPr="003410CC" w:rsidRDefault="00984978" w:rsidP="00925F86">
            <w:pPr>
              <w:pStyle w:val="Refnum1"/>
              <w:numPr>
                <w:ilvl w:val="0"/>
                <w:numId w:val="0"/>
              </w:numPr>
              <w:rPr>
                <w:highlight w:val="yellow"/>
              </w:rPr>
            </w:pPr>
          </w:p>
        </w:tc>
        <w:tc>
          <w:tcPr>
            <w:tcW w:w="540" w:type="dxa"/>
          </w:tcPr>
          <w:p w14:paraId="568E20F3" w14:textId="76420F57" w:rsidR="00984978" w:rsidRPr="003410CC" w:rsidRDefault="005F0E5B" w:rsidP="00925F86">
            <w:pPr>
              <w:pStyle w:val="Normalgrey"/>
              <w:rPr>
                <w:highlight w:val="yellow"/>
              </w:rPr>
            </w:pPr>
            <w:r w:rsidRPr="005F0E5B">
              <w:t>10.1</w:t>
            </w:r>
          </w:p>
        </w:tc>
        <w:tc>
          <w:tcPr>
            <w:tcW w:w="6134" w:type="dxa"/>
          </w:tcPr>
          <w:p w14:paraId="2592EB89" w14:textId="77777777" w:rsidR="00984978" w:rsidRPr="003410CC" w:rsidRDefault="004D6ABA" w:rsidP="00F81032">
            <w:pPr>
              <w:pStyle w:val="Normalgrey"/>
              <w:rPr>
                <w:highlight w:val="yellow"/>
              </w:rPr>
            </w:pPr>
            <w:r w:rsidRPr="001B6CA3">
              <w:rPr>
                <w:i/>
              </w:rPr>
              <w:t>Model Report for Victorian Government Departments</w:t>
            </w:r>
            <w:r>
              <w:t xml:space="preserve"> - </w:t>
            </w:r>
            <w:r w:rsidR="00984978">
              <w:t>Report of Operations</w:t>
            </w:r>
            <w:r>
              <w:t xml:space="preserve"> -</w:t>
            </w:r>
            <w:r w:rsidR="00984978">
              <w:t xml:space="preserve"> Section 3: Workforce data</w:t>
            </w:r>
          </w:p>
        </w:tc>
      </w:tr>
    </w:tbl>
    <w:p w14:paraId="07802444" w14:textId="77777777" w:rsidR="00AA4863" w:rsidRPr="006C78FB" w:rsidRDefault="00AA4863" w:rsidP="00786716"/>
    <w:sectPr w:rsidR="00AA4863" w:rsidRPr="006C78FB" w:rsidSect="005828FE">
      <w:headerReference w:type="even" r:id="rId13"/>
      <w:headerReference w:type="default" r:id="rId14"/>
      <w:footerReference w:type="even" r:id="rId15"/>
      <w:footerReference w:type="default" r:id="rId16"/>
      <w:headerReference w:type="first" r:id="rId17"/>
      <w:footerReference w:type="first" r:id="rId18"/>
      <w:pgSz w:w="11906" w:h="16838" w:code="9"/>
      <w:pgMar w:top="1802" w:right="1440" w:bottom="1350" w:left="1440" w:header="450"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6B7BF" w14:textId="77777777" w:rsidR="0023296F" w:rsidRDefault="0023296F" w:rsidP="002D711A">
      <w:pPr>
        <w:spacing w:after="0" w:line="240" w:lineRule="auto"/>
      </w:pPr>
      <w:r>
        <w:separator/>
      </w:r>
    </w:p>
    <w:p w14:paraId="06F3DCC7" w14:textId="77777777" w:rsidR="0023296F" w:rsidRDefault="0023296F"/>
  </w:endnote>
  <w:endnote w:type="continuationSeparator" w:id="0">
    <w:p w14:paraId="6BDCA8A2" w14:textId="77777777" w:rsidR="0023296F" w:rsidRDefault="0023296F" w:rsidP="002D711A">
      <w:pPr>
        <w:spacing w:after="0" w:line="240" w:lineRule="auto"/>
      </w:pPr>
      <w:r>
        <w:continuationSeparator/>
      </w:r>
    </w:p>
    <w:p w14:paraId="0B3E4145" w14:textId="77777777" w:rsidR="0023296F" w:rsidRDefault="0023296F"/>
  </w:endnote>
  <w:endnote w:type="continuationNotice" w:id="1">
    <w:p w14:paraId="28F6B8DB" w14:textId="77777777" w:rsidR="0023296F" w:rsidRDefault="0023296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5C79E" w14:textId="77777777" w:rsidR="00014213" w:rsidRPr="00014213" w:rsidRDefault="00014213" w:rsidP="00C022F9">
    <w:pPr>
      <w:pStyle w:val="Footer"/>
    </w:pPr>
    <w:r>
      <w:drawing>
        <wp:anchor distT="0" distB="0" distL="114300" distR="114300" simplePos="0" relativeHeight="251658240" behindDoc="0" locked="0" layoutInCell="1" allowOverlap="1" wp14:anchorId="7E313B24" wp14:editId="41B6D8ED">
          <wp:simplePos x="0" y="0"/>
          <wp:positionH relativeFrom="column">
            <wp:posOffset>4240861</wp:posOffset>
          </wp:positionH>
          <wp:positionV relativeFrom="page">
            <wp:posOffset>9493250</wp:posOffset>
          </wp:positionV>
          <wp:extent cx="1956435" cy="582930"/>
          <wp:effectExtent l="0" t="0" r="5715" b="7620"/>
          <wp:wrapNone/>
          <wp:docPr id="3"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p w14:paraId="2977A223" w14:textId="77777777" w:rsidR="0057703D" w:rsidRDefault="005770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D19F6" w14:textId="6497BA79" w:rsidR="00A516DE" w:rsidRDefault="00D069FB" w:rsidP="00A516DE">
    <w:pPr>
      <w:pStyle w:val="Spacer"/>
    </w:pPr>
    <w:r>
      <w:rPr>
        <w:noProof/>
      </w:rPr>
      <mc:AlternateContent>
        <mc:Choice Requires="wps">
          <w:drawing>
            <wp:anchor distT="0" distB="0" distL="114300" distR="114300" simplePos="0" relativeHeight="251658241" behindDoc="0" locked="0" layoutInCell="0" allowOverlap="1" wp14:anchorId="2BD9918B" wp14:editId="17D38599">
              <wp:simplePos x="0" y="0"/>
              <wp:positionH relativeFrom="page">
                <wp:posOffset>0</wp:posOffset>
              </wp:positionH>
              <wp:positionV relativeFrom="page">
                <wp:posOffset>10227945</wp:posOffset>
              </wp:positionV>
              <wp:extent cx="7560310" cy="273050"/>
              <wp:effectExtent l="0" t="0" r="0" b="12700"/>
              <wp:wrapNone/>
              <wp:docPr id="1" name="MSIPCM4d0f4380a7de7c929e94f0a2"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D4F2BC" w14:textId="257BCE39" w:rsidR="00D069FB" w:rsidRPr="00D069FB" w:rsidRDefault="00D069FB" w:rsidP="00D069FB">
                          <w:pPr>
                            <w:spacing w:before="0" w:after="0"/>
                            <w:rPr>
                              <w:rFonts w:ascii="Calibri" w:hAnsi="Calibri" w:cs="Calibri"/>
                              <w:color w:val="000000"/>
                              <w:sz w:val="22"/>
                            </w:rPr>
                          </w:pPr>
                          <w:r w:rsidRPr="00D069FB">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BD9918B" id="_x0000_t202" coordsize="21600,21600" o:spt="202" path="m,l,21600r21600,l21600,xe">
              <v:stroke joinstyle="miter"/>
              <v:path gradientshapeok="t" o:connecttype="rect"/>
            </v:shapetype>
            <v:shape id="MSIPCM4d0f4380a7de7c929e94f0a2" o:spid="_x0000_s1026" type="#_x0000_t202" alt="{&quot;HashCode&quot;:-1267603503,&quot;Height&quot;:841.0,&quot;Width&quot;:595.0,&quot;Placement&quot;:&quot;Footer&quot;,&quot;Index&quot;:&quot;Primary&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08D4F2BC" w14:textId="257BCE39" w:rsidR="00D069FB" w:rsidRPr="00D069FB" w:rsidRDefault="00D069FB" w:rsidP="00D069FB">
                    <w:pPr>
                      <w:spacing w:before="0" w:after="0"/>
                      <w:rPr>
                        <w:rFonts w:ascii="Calibri" w:hAnsi="Calibri" w:cs="Calibri"/>
                        <w:color w:val="000000"/>
                        <w:sz w:val="22"/>
                      </w:rPr>
                    </w:pPr>
                    <w:r w:rsidRPr="00D069FB">
                      <w:rPr>
                        <w:rFonts w:ascii="Calibri" w:hAnsi="Calibri" w:cs="Calibri"/>
                        <w:color w:val="000000"/>
                        <w:sz w:val="22"/>
                      </w:rPr>
                      <w:t>OFFICIAL</w:t>
                    </w:r>
                  </w:p>
                </w:txbxContent>
              </v:textbox>
              <w10:wrap anchorx="page" anchory="page"/>
            </v:shape>
          </w:pict>
        </mc:Fallback>
      </mc:AlternateContent>
    </w:r>
  </w:p>
  <w:p w14:paraId="20A9DCB1" w14:textId="59C8320E" w:rsidR="0041689E" w:rsidRPr="005828FE" w:rsidRDefault="0041689E" w:rsidP="0041689E">
    <w:pPr>
      <w:pStyle w:val="Footer"/>
      <w:spacing w:before="0"/>
    </w:pPr>
    <w:r w:rsidRPr="005828FE">
      <w:rPr>
        <w:b/>
        <w:noProof w:val="0"/>
      </w:rPr>
      <w:fldChar w:fldCharType="begin"/>
    </w:r>
    <w:r w:rsidRPr="005828FE">
      <w:rPr>
        <w:b/>
      </w:rPr>
      <w:instrText xml:space="preserve"> StyleRef “</w:instrText>
    </w:r>
    <w:r w:rsidR="006C78FB" w:rsidRPr="005828FE">
      <w:rPr>
        <w:b/>
      </w:rPr>
      <w:instrText>FRD number</w:instrText>
    </w:r>
    <w:r w:rsidRPr="005828FE">
      <w:rPr>
        <w:b/>
      </w:rPr>
      <w:instrText xml:space="preserve">” </w:instrText>
    </w:r>
    <w:r w:rsidRPr="005828FE">
      <w:rPr>
        <w:b/>
        <w:noProof w:val="0"/>
      </w:rPr>
      <w:fldChar w:fldCharType="separate"/>
    </w:r>
    <w:r w:rsidR="000F6272">
      <w:rPr>
        <w:b/>
      </w:rPr>
      <w:t>FRD 15</w:t>
    </w:r>
    <w:r w:rsidRPr="005828FE">
      <w:rPr>
        <w:b/>
      </w:rPr>
      <w:fldChar w:fldCharType="end"/>
    </w:r>
    <w:r w:rsidR="006C78FB" w:rsidRPr="005828FE">
      <w:rPr>
        <w:b/>
      </w:rPr>
      <w:t xml:space="preserve"> </w:t>
    </w:r>
    <w:r w:rsidR="006C78FB" w:rsidRPr="006C78FB">
      <w:fldChar w:fldCharType="begin"/>
    </w:r>
    <w:r w:rsidR="006C78FB" w:rsidRPr="006C78FB">
      <w:instrText xml:space="preserve"> StyleRef “FRD Header” </w:instrText>
    </w:r>
    <w:r w:rsidR="006C78FB" w:rsidRPr="006C78FB">
      <w:fldChar w:fldCharType="separate"/>
    </w:r>
    <w:r w:rsidR="000F6272">
      <w:t>Executive officer disclosures in the Report of Operations by departments (April 2025)</w:t>
    </w:r>
    <w:r w:rsidR="006C78FB" w:rsidRPr="006C78FB">
      <w:fldChar w:fldCharType="end"/>
    </w:r>
    <w:r w:rsidRPr="00C022F9">
      <w:tab/>
    </w:r>
    <w:r w:rsidRPr="005828FE">
      <w:t xml:space="preserve">Page </w:t>
    </w:r>
    <w:r w:rsidRPr="005828FE">
      <w:rPr>
        <w:rStyle w:val="PageNumber"/>
        <w:color w:val="auto"/>
      </w:rPr>
      <w:fldChar w:fldCharType="begin"/>
    </w:r>
    <w:r w:rsidRPr="005828FE">
      <w:rPr>
        <w:rStyle w:val="PageNumber"/>
        <w:color w:val="auto"/>
      </w:rPr>
      <w:instrText xml:space="preserve"> Page </w:instrText>
    </w:r>
    <w:r w:rsidRPr="005828FE">
      <w:rPr>
        <w:rStyle w:val="PageNumber"/>
        <w:color w:val="auto"/>
      </w:rPr>
      <w:fldChar w:fldCharType="separate"/>
    </w:r>
    <w:r w:rsidR="0025559E">
      <w:rPr>
        <w:rStyle w:val="PageNumber"/>
        <w:color w:val="auto"/>
      </w:rPr>
      <w:t>2</w:t>
    </w:r>
    <w:r w:rsidRPr="005828FE">
      <w:rPr>
        <w:rStyle w:val="PageNumber"/>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E56EB" w14:textId="77777777" w:rsidR="000F6272" w:rsidRDefault="000F6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30637" w14:textId="77777777" w:rsidR="0023296F" w:rsidRDefault="0023296F" w:rsidP="002D711A">
      <w:pPr>
        <w:spacing w:after="0" w:line="240" w:lineRule="auto"/>
      </w:pPr>
      <w:r>
        <w:separator/>
      </w:r>
    </w:p>
    <w:p w14:paraId="6E225122" w14:textId="77777777" w:rsidR="0023296F" w:rsidRDefault="0023296F"/>
  </w:footnote>
  <w:footnote w:type="continuationSeparator" w:id="0">
    <w:p w14:paraId="597FDE52" w14:textId="77777777" w:rsidR="0023296F" w:rsidRDefault="0023296F" w:rsidP="002D711A">
      <w:pPr>
        <w:spacing w:after="0" w:line="240" w:lineRule="auto"/>
      </w:pPr>
      <w:r>
        <w:continuationSeparator/>
      </w:r>
    </w:p>
    <w:p w14:paraId="1980D731" w14:textId="77777777" w:rsidR="0023296F" w:rsidRDefault="0023296F"/>
  </w:footnote>
  <w:footnote w:type="continuationNotice" w:id="1">
    <w:p w14:paraId="7CB6977E" w14:textId="77777777" w:rsidR="0023296F" w:rsidRDefault="0023296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2A657" w14:textId="77777777" w:rsidR="000F6272" w:rsidRDefault="000F62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0DDB1" w14:textId="48ABCC2A" w:rsidR="0041689E" w:rsidRPr="0041689E" w:rsidRDefault="005828FE" w:rsidP="005828FE">
    <w:pPr>
      <w:pStyle w:val="Header"/>
      <w:tabs>
        <w:tab w:val="clear" w:pos="9026"/>
      </w:tabs>
      <w:ind w:right="-694"/>
      <w:jc w:val="right"/>
    </w:pPr>
    <w:r>
      <w:rPr>
        <w:noProof/>
      </w:rPr>
      <w:drawing>
        <wp:inline distT="0" distB="0" distL="0" distR="0" wp14:anchorId="06DAE3D7" wp14:editId="01C4303E">
          <wp:extent cx="813816" cy="466344"/>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a:extLst>
                      <a:ext uri="{28A0092B-C50C-407E-A947-70E740481C1C}">
                        <a14:useLocalDpi xmlns:a14="http://schemas.microsoft.com/office/drawing/2010/main" val="0"/>
                      </a:ext>
                    </a:extLst>
                  </a:blip>
                  <a:stretch>
                    <a:fillRect/>
                  </a:stretch>
                </pic:blipFill>
                <pic:spPr>
                  <a:xfrm>
                    <a:off x="0" y="0"/>
                    <a:ext cx="813816" cy="466344"/>
                  </a:xfrm>
                  <a:prstGeom prst="rect">
                    <a:avLst/>
                  </a:prstGeom>
                </pic:spPr>
              </pic:pic>
            </a:graphicData>
          </a:graphic>
        </wp:inline>
      </w:drawing>
    </w:r>
  </w:p>
  <w:p w14:paraId="5445CFE0" w14:textId="77777777" w:rsidR="0057703D" w:rsidRDefault="005770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92726" w14:textId="77777777" w:rsidR="000F6272" w:rsidRDefault="000F62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1FDD"/>
    <w:multiLevelType w:val="hybridMultilevel"/>
    <w:tmpl w:val="3F201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1C1C99"/>
    <w:multiLevelType w:val="hybridMultilevel"/>
    <w:tmpl w:val="85DA8F92"/>
    <w:lvl w:ilvl="0" w:tplc="695C59FE">
      <w:start w:val="1"/>
      <w:numFmt w:val="bullet"/>
      <w:lvlText w:val="·"/>
      <w:lvlJc w:val="left"/>
      <w:pPr>
        <w:ind w:left="1286" w:hanging="360"/>
      </w:pPr>
      <w:rPr>
        <w:rFonts w:ascii="Symbol" w:hAnsi="Symbol" w:hint="default"/>
      </w:rPr>
    </w:lvl>
    <w:lvl w:ilvl="1" w:tplc="0C090003" w:tentative="1">
      <w:start w:val="1"/>
      <w:numFmt w:val="bullet"/>
      <w:lvlText w:val="o"/>
      <w:lvlJc w:val="left"/>
      <w:pPr>
        <w:ind w:left="2006" w:hanging="360"/>
      </w:pPr>
      <w:rPr>
        <w:rFonts w:ascii="Courier New" w:hAnsi="Courier New" w:cs="Courier New" w:hint="default"/>
      </w:rPr>
    </w:lvl>
    <w:lvl w:ilvl="2" w:tplc="0C090005" w:tentative="1">
      <w:start w:val="1"/>
      <w:numFmt w:val="bullet"/>
      <w:lvlText w:val=""/>
      <w:lvlJc w:val="left"/>
      <w:pPr>
        <w:ind w:left="2726" w:hanging="360"/>
      </w:pPr>
      <w:rPr>
        <w:rFonts w:ascii="Wingdings" w:hAnsi="Wingdings" w:hint="default"/>
      </w:rPr>
    </w:lvl>
    <w:lvl w:ilvl="3" w:tplc="0C090001" w:tentative="1">
      <w:start w:val="1"/>
      <w:numFmt w:val="bullet"/>
      <w:lvlText w:val=""/>
      <w:lvlJc w:val="left"/>
      <w:pPr>
        <w:ind w:left="3446" w:hanging="360"/>
      </w:pPr>
      <w:rPr>
        <w:rFonts w:ascii="Symbol" w:hAnsi="Symbol" w:hint="default"/>
      </w:rPr>
    </w:lvl>
    <w:lvl w:ilvl="4" w:tplc="0C090003" w:tentative="1">
      <w:start w:val="1"/>
      <w:numFmt w:val="bullet"/>
      <w:lvlText w:val="o"/>
      <w:lvlJc w:val="left"/>
      <w:pPr>
        <w:ind w:left="4166" w:hanging="360"/>
      </w:pPr>
      <w:rPr>
        <w:rFonts w:ascii="Courier New" w:hAnsi="Courier New" w:cs="Courier New" w:hint="default"/>
      </w:rPr>
    </w:lvl>
    <w:lvl w:ilvl="5" w:tplc="0C090005" w:tentative="1">
      <w:start w:val="1"/>
      <w:numFmt w:val="bullet"/>
      <w:lvlText w:val=""/>
      <w:lvlJc w:val="left"/>
      <w:pPr>
        <w:ind w:left="4886" w:hanging="360"/>
      </w:pPr>
      <w:rPr>
        <w:rFonts w:ascii="Wingdings" w:hAnsi="Wingdings" w:hint="default"/>
      </w:rPr>
    </w:lvl>
    <w:lvl w:ilvl="6" w:tplc="0C090001" w:tentative="1">
      <w:start w:val="1"/>
      <w:numFmt w:val="bullet"/>
      <w:lvlText w:val=""/>
      <w:lvlJc w:val="left"/>
      <w:pPr>
        <w:ind w:left="5606" w:hanging="360"/>
      </w:pPr>
      <w:rPr>
        <w:rFonts w:ascii="Symbol" w:hAnsi="Symbol" w:hint="default"/>
      </w:rPr>
    </w:lvl>
    <w:lvl w:ilvl="7" w:tplc="0C090003" w:tentative="1">
      <w:start w:val="1"/>
      <w:numFmt w:val="bullet"/>
      <w:lvlText w:val="o"/>
      <w:lvlJc w:val="left"/>
      <w:pPr>
        <w:ind w:left="6326" w:hanging="360"/>
      </w:pPr>
      <w:rPr>
        <w:rFonts w:ascii="Courier New" w:hAnsi="Courier New" w:cs="Courier New" w:hint="default"/>
      </w:rPr>
    </w:lvl>
    <w:lvl w:ilvl="8" w:tplc="0C090005" w:tentative="1">
      <w:start w:val="1"/>
      <w:numFmt w:val="bullet"/>
      <w:lvlText w:val=""/>
      <w:lvlJc w:val="left"/>
      <w:pPr>
        <w:ind w:left="7046" w:hanging="360"/>
      </w:pPr>
      <w:rPr>
        <w:rFonts w:ascii="Wingdings" w:hAnsi="Wingdings" w:hint="default"/>
      </w:rPr>
    </w:lvl>
  </w:abstractNum>
  <w:abstractNum w:abstractNumId="2" w15:restartNumberingAfterBreak="0">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9AF564A"/>
    <w:multiLevelType w:val="hybridMultilevel"/>
    <w:tmpl w:val="25046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7279A4"/>
    <w:multiLevelType w:val="hybridMultilevel"/>
    <w:tmpl w:val="990CCF68"/>
    <w:lvl w:ilvl="0" w:tplc="4D5630D6">
      <w:start w:val="1"/>
      <w:numFmt w:val="bullet"/>
      <w:lvlText w:val=""/>
      <w:lvlJc w:val="left"/>
      <w:pPr>
        <w:ind w:left="720" w:hanging="360"/>
      </w:pPr>
      <w:rPr>
        <w:rFonts w:ascii="Wingdings" w:hAnsi="Wingdings"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8E6D64"/>
    <w:multiLevelType w:val="hybridMultilevel"/>
    <w:tmpl w:val="A2ECBC74"/>
    <w:lvl w:ilvl="0" w:tplc="0C090001">
      <w:start w:val="1"/>
      <w:numFmt w:val="bullet"/>
      <w:lvlText w:val=""/>
      <w:lvlJc w:val="left"/>
      <w:pPr>
        <w:ind w:left="1008" w:hanging="360"/>
      </w:pPr>
      <w:rPr>
        <w:rFonts w:ascii="Symbol" w:hAnsi="Symbol"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6" w15:restartNumberingAfterBreak="0">
    <w:nsid w:val="430F5DA6"/>
    <w:multiLevelType w:val="hybridMultilevel"/>
    <w:tmpl w:val="C2F82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6D3A6A"/>
    <w:multiLevelType w:val="multilevel"/>
    <w:tmpl w:val="7B804CF0"/>
    <w:lvl w:ilvl="0">
      <w:start w:val="1"/>
      <w:numFmt w:val="bullet"/>
      <w:pStyle w:val="Bullet1"/>
      <w:lvlText w:val=""/>
      <w:lvlJc w:val="left"/>
      <w:pPr>
        <w:tabs>
          <w:tab w:val="num" w:pos="288"/>
        </w:tabs>
        <w:ind w:left="288" w:hanging="288"/>
      </w:pPr>
      <w:rPr>
        <w:rFonts w:ascii="Symbol" w:hAnsi="Symbol" w:hint="default"/>
        <w:b w:val="0"/>
        <w:i w:val="0"/>
        <w:vanish w:val="0"/>
        <w:color w:val="auto"/>
        <w:sz w:val="18"/>
        <w:szCs w:val="18"/>
      </w:rPr>
    </w:lvl>
    <w:lvl w:ilvl="1">
      <w:start w:val="1"/>
      <w:numFmt w:val="bullet"/>
      <w:pStyle w:val="Bullet2"/>
      <w:lvlText w:val="–"/>
      <w:lvlJc w:val="left"/>
      <w:pPr>
        <w:tabs>
          <w:tab w:val="num" w:pos="576"/>
        </w:tabs>
        <w:ind w:left="576" w:hanging="288"/>
      </w:pPr>
      <w:rPr>
        <w:rFonts w:ascii="Calibri" w:hAnsi="Calibri" w:hint="default"/>
        <w:b w:val="0"/>
        <w:i w:val="0"/>
        <w:vanish w:val="0"/>
        <w:color w:val="auto"/>
        <w:sz w:val="22"/>
      </w:rPr>
    </w:lvl>
    <w:lvl w:ilvl="2">
      <w:start w:val="1"/>
      <w:numFmt w:val="bullet"/>
      <w:pStyle w:val="Bulletindent"/>
      <w:lvlText w:val=""/>
      <w:lvlJc w:val="left"/>
      <w:pPr>
        <w:tabs>
          <w:tab w:val="num" w:pos="864"/>
        </w:tabs>
        <w:ind w:left="864" w:hanging="288"/>
      </w:pPr>
      <w:rPr>
        <w:rFonts w:ascii="Symbol" w:hAnsi="Symbol" w:hint="default"/>
        <w:b w:val="0"/>
        <w:i w:val="0"/>
        <w:vanish w:val="0"/>
        <w:color w:val="4D4D4D"/>
        <w:sz w:val="22"/>
      </w:rPr>
    </w:lvl>
    <w:lvl w:ilvl="3">
      <w:start w:val="1"/>
      <w:numFmt w:val="bullet"/>
      <w:pStyle w:val="Bulletindent2"/>
      <w:lvlText w:val="–"/>
      <w:lvlJc w:val="left"/>
      <w:pPr>
        <w:tabs>
          <w:tab w:val="num" w:pos="1152"/>
        </w:tabs>
        <w:ind w:left="1152" w:hanging="288"/>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8" w15:restartNumberingAfterBreak="0">
    <w:nsid w:val="4AC35A9B"/>
    <w:multiLevelType w:val="multilevel"/>
    <w:tmpl w:val="0392528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A65301E"/>
    <w:multiLevelType w:val="hybridMultilevel"/>
    <w:tmpl w:val="5F9E9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C550F8"/>
    <w:multiLevelType w:val="multilevel"/>
    <w:tmpl w:val="65CA5EC4"/>
    <w:lvl w:ilvl="0">
      <w:start w:val="1"/>
      <w:numFmt w:val="lowerLetter"/>
      <w:pStyle w:val="List1"/>
      <w:lvlText w:val="(%1)"/>
      <w:lvlJc w:val="left"/>
      <w:pPr>
        <w:ind w:left="360" w:hanging="360"/>
      </w:pPr>
      <w:rPr>
        <w:rFonts w:hint="default"/>
      </w:rPr>
    </w:lvl>
    <w:lvl w:ilvl="1">
      <w:start w:val="1"/>
      <w:numFmt w:val="lowerRoman"/>
      <w:pStyle w:val="List2"/>
      <w:lvlText w:val="(%2)"/>
      <w:lvlJc w:val="left"/>
      <w:pPr>
        <w:ind w:left="72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pStyle w:val="List3"/>
      <w:lvlText w:val="·"/>
      <w:lvlJc w:val="left"/>
      <w:pPr>
        <w:ind w:left="1080" w:hanging="360"/>
      </w:pPr>
      <w:rPr>
        <w:rFonts w:ascii="Symbol" w:hAnsi="Symbol" w:hint="default"/>
      </w:rPr>
    </w:lvl>
    <w:lvl w:ilvl="3">
      <w:start w:val="1"/>
      <w:numFmt w:val="lowerLetter"/>
      <w:lvlRestart w:val="1"/>
      <w:lvlText w:val="(%4)"/>
      <w:lvlJc w:val="left"/>
      <w:pPr>
        <w:ind w:left="360" w:hanging="360"/>
      </w:pPr>
      <w:rPr>
        <w:rFonts w:hint="default"/>
        <w:color w:val="5E5E5E"/>
      </w:rPr>
    </w:lvl>
    <w:lvl w:ilvl="4">
      <w:start w:val="1"/>
      <w:numFmt w:val="lowerRoman"/>
      <w:lvlText w:val="(%5)"/>
      <w:lvlJc w:val="left"/>
      <w:pPr>
        <w:ind w:left="720" w:hanging="360"/>
      </w:pPr>
      <w:rPr>
        <w:rFonts w:hint="default"/>
        <w:color w:val="5E5E5E"/>
      </w:rPr>
    </w:lvl>
    <w:lvl w:ilvl="5">
      <w:start w:val="1"/>
      <w:numFmt w:val="bullet"/>
      <w:lvlText w:val="·"/>
      <w:lvlJc w:val="left"/>
      <w:pPr>
        <w:ind w:left="1080" w:hanging="360"/>
      </w:pPr>
      <w:rPr>
        <w:rFonts w:ascii="Symbol" w:hAnsi="Symbol" w:hint="default"/>
        <w:color w:val="5E5E5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1" w15:restartNumberingAfterBreak="0">
    <w:nsid w:val="6C0124D7"/>
    <w:multiLevelType w:val="multilevel"/>
    <w:tmpl w:val="8368CEA0"/>
    <w:lvl w:ilvl="0">
      <w:start w:val="1"/>
      <w:numFmt w:val="decimal"/>
      <w:pStyle w:val="Refnum1"/>
      <w:suff w:val="nothing"/>
      <w:lvlText w:val="%1."/>
      <w:lvlJc w:val="left"/>
      <w:pPr>
        <w:ind w:left="0" w:firstLine="0"/>
      </w:pPr>
      <w:rPr>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 w:ilvl="2">
      <w:start w:val="1"/>
      <w:numFmt w:val="decimal"/>
      <w:pStyle w:val="Refnum2"/>
      <w:lvlText w:val="%1.%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7FC334F7"/>
    <w:multiLevelType w:val="multilevel"/>
    <w:tmpl w:val="E9D8919E"/>
    <w:lvl w:ilvl="0">
      <w:start w:val="1"/>
      <w:numFmt w:val="decimal"/>
      <w:suff w:val="nothing"/>
      <w:lvlText w:val="%1."/>
      <w:lvlJc w:val="left"/>
      <w:pPr>
        <w:ind w:left="0" w:firstLine="0"/>
      </w:pPr>
      <w:rPr>
        <w:rFonts w:hint="default"/>
        <w:color w:val="FFFFFF" w:themeColor="background1"/>
      </w:rPr>
    </w:lvl>
    <w:lvl w:ilvl="1">
      <w:start w:val="1"/>
      <w:numFmt w:val="decimal"/>
      <w:suff w:val="nothing"/>
      <w:lvlText w:val="%1.%2"/>
      <w:lvlJc w:val="left"/>
      <w:pPr>
        <w:ind w:left="0" w:firstLine="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7FD44514"/>
    <w:multiLevelType w:val="multilevel"/>
    <w:tmpl w:val="827E8410"/>
    <w:lvl w:ilvl="0">
      <w:start w:val="1"/>
      <w:numFmt w:val="lowerLetter"/>
      <w:pStyle w:val="Listnum"/>
      <w:lvlText w:val="(%1)"/>
      <w:lvlJc w:val="left"/>
      <w:pPr>
        <w:tabs>
          <w:tab w:val="num" w:pos="504"/>
        </w:tabs>
        <w:ind w:left="504" w:hanging="504"/>
      </w:pPr>
      <w:rPr>
        <w:rFonts w:hint="default"/>
      </w:rPr>
    </w:lvl>
    <w:lvl w:ilvl="1">
      <w:start w:val="1"/>
      <w:numFmt w:val="lowerRoman"/>
      <w:pStyle w:val="Listnum2"/>
      <w:lvlText w:val="(%2)"/>
      <w:lvlJc w:val="left"/>
      <w:pPr>
        <w:tabs>
          <w:tab w:val="num" w:pos="1008"/>
        </w:tabs>
        <w:ind w:left="1008" w:hanging="504"/>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16cid:durableId="317226579">
    <w:abstractNumId w:val="7"/>
  </w:num>
  <w:num w:numId="2" w16cid:durableId="394475628">
    <w:abstractNumId w:val="7"/>
  </w:num>
  <w:num w:numId="3" w16cid:durableId="870453301">
    <w:abstractNumId w:val="7"/>
  </w:num>
  <w:num w:numId="4" w16cid:durableId="695157861">
    <w:abstractNumId w:val="13"/>
  </w:num>
  <w:num w:numId="5" w16cid:durableId="426461829">
    <w:abstractNumId w:val="7"/>
  </w:num>
  <w:num w:numId="6" w16cid:durableId="399520505">
    <w:abstractNumId w:val="7"/>
  </w:num>
  <w:num w:numId="7" w16cid:durableId="1031153159">
    <w:abstractNumId w:val="7"/>
  </w:num>
  <w:num w:numId="8" w16cid:durableId="1623488731">
    <w:abstractNumId w:val="7"/>
  </w:num>
  <w:num w:numId="9" w16cid:durableId="1546596880">
    <w:abstractNumId w:val="13"/>
  </w:num>
  <w:num w:numId="10" w16cid:durableId="1632664406">
    <w:abstractNumId w:val="13"/>
  </w:num>
  <w:num w:numId="11" w16cid:durableId="28532601">
    <w:abstractNumId w:val="13"/>
  </w:num>
  <w:num w:numId="12" w16cid:durableId="1347174253">
    <w:abstractNumId w:val="13"/>
  </w:num>
  <w:num w:numId="13" w16cid:durableId="1350184213">
    <w:abstractNumId w:val="13"/>
  </w:num>
  <w:num w:numId="14" w16cid:durableId="1938554912">
    <w:abstractNumId w:val="13"/>
  </w:num>
  <w:num w:numId="15" w16cid:durableId="1361903626">
    <w:abstractNumId w:val="13"/>
  </w:num>
  <w:num w:numId="16" w16cid:durableId="139352822">
    <w:abstractNumId w:val="13"/>
  </w:num>
  <w:num w:numId="17" w16cid:durableId="301424214">
    <w:abstractNumId w:val="2"/>
  </w:num>
  <w:num w:numId="18" w16cid:durableId="808941014">
    <w:abstractNumId w:val="2"/>
  </w:num>
  <w:num w:numId="19" w16cid:durableId="687021372">
    <w:abstractNumId w:val="8"/>
  </w:num>
  <w:num w:numId="20" w16cid:durableId="152721477">
    <w:abstractNumId w:val="12"/>
  </w:num>
  <w:num w:numId="21" w16cid:durableId="620040030">
    <w:abstractNumId w:val="12"/>
  </w:num>
  <w:num w:numId="22" w16cid:durableId="1885947865">
    <w:abstractNumId w:val="10"/>
  </w:num>
  <w:num w:numId="23" w16cid:durableId="1220509565">
    <w:abstractNumId w:val="1"/>
  </w:num>
  <w:num w:numId="24" w16cid:durableId="1062169765">
    <w:abstractNumId w:val="0"/>
  </w:num>
  <w:num w:numId="25" w16cid:durableId="802119286">
    <w:abstractNumId w:val="11"/>
  </w:num>
  <w:num w:numId="26" w16cid:durableId="72439910">
    <w:abstractNumId w:val="11"/>
    <w:lvlOverride w:ilvl="0">
      <w:lvl w:ilvl="0">
        <w:start w:val="1"/>
        <w:numFmt w:val="decimal"/>
        <w:pStyle w:val="Refnum1"/>
        <w:suff w:val="nothing"/>
        <w:lvlText w:val="%1."/>
        <w:lvlJc w:val="left"/>
        <w:pPr>
          <w:ind w:left="0" w:firstLine="0"/>
        </w:pPr>
        <w:rPr>
          <w:rFonts w:cs="Times New Roman" w:hint="default"/>
          <w:b w:val="0"/>
          <w:bCs w:val="0"/>
          <w:i w:val="0"/>
          <w:iCs w:val="0"/>
          <w:caps w:val="0"/>
          <w:small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7" w16cid:durableId="683827383">
    <w:abstractNumId w:val="11"/>
    <w:lvlOverride w:ilvl="0">
      <w:lvl w:ilvl="0">
        <w:start w:val="1"/>
        <w:numFmt w:val="decimal"/>
        <w:pStyle w:val="Refnum1"/>
        <w:suff w:val="nothing"/>
        <w:lvlText w:val="%1."/>
        <w:lvlJc w:val="left"/>
        <w:pPr>
          <w:ind w:left="0" w:firstLine="0"/>
        </w:pPr>
        <w:rPr>
          <w:rFonts w:cs="Times New Roman" w:hint="default"/>
          <w:b w:val="0"/>
          <w:bCs w:val="0"/>
          <w:i w:val="0"/>
          <w:iCs w:val="0"/>
          <w: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8" w16cid:durableId="12251440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73034357">
    <w:abstractNumId w:val="6"/>
  </w:num>
  <w:num w:numId="30" w16cid:durableId="577445108">
    <w:abstractNumId w:val="5"/>
  </w:num>
  <w:num w:numId="31" w16cid:durableId="1521045770">
    <w:abstractNumId w:val="7"/>
  </w:num>
  <w:num w:numId="32" w16cid:durableId="2019893146">
    <w:abstractNumId w:val="9"/>
  </w:num>
  <w:num w:numId="33" w16cid:durableId="250159778">
    <w:abstractNumId w:val="4"/>
  </w:num>
  <w:num w:numId="34" w16cid:durableId="1002127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4863"/>
    <w:rsid w:val="00007755"/>
    <w:rsid w:val="00012F6F"/>
    <w:rsid w:val="00014213"/>
    <w:rsid w:val="00014B55"/>
    <w:rsid w:val="00016DB7"/>
    <w:rsid w:val="0002052A"/>
    <w:rsid w:val="00020E3E"/>
    <w:rsid w:val="00023BF3"/>
    <w:rsid w:val="00026811"/>
    <w:rsid w:val="000273AD"/>
    <w:rsid w:val="0003004B"/>
    <w:rsid w:val="00031D04"/>
    <w:rsid w:val="000343D3"/>
    <w:rsid w:val="00036295"/>
    <w:rsid w:val="000369D8"/>
    <w:rsid w:val="000373BD"/>
    <w:rsid w:val="00042BA5"/>
    <w:rsid w:val="0004356D"/>
    <w:rsid w:val="00043929"/>
    <w:rsid w:val="00045296"/>
    <w:rsid w:val="00047C9F"/>
    <w:rsid w:val="00050667"/>
    <w:rsid w:val="000509C4"/>
    <w:rsid w:val="00054312"/>
    <w:rsid w:val="000641AF"/>
    <w:rsid w:val="00065305"/>
    <w:rsid w:val="0006664E"/>
    <w:rsid w:val="000758E1"/>
    <w:rsid w:val="00075E6C"/>
    <w:rsid w:val="00075F3D"/>
    <w:rsid w:val="0009006E"/>
    <w:rsid w:val="00092F05"/>
    <w:rsid w:val="000952CB"/>
    <w:rsid w:val="000977A4"/>
    <w:rsid w:val="000A223D"/>
    <w:rsid w:val="000B2289"/>
    <w:rsid w:val="000B29AD"/>
    <w:rsid w:val="000B5437"/>
    <w:rsid w:val="000B5A3E"/>
    <w:rsid w:val="000B6622"/>
    <w:rsid w:val="000B7A59"/>
    <w:rsid w:val="000C42AB"/>
    <w:rsid w:val="000C6372"/>
    <w:rsid w:val="000C6932"/>
    <w:rsid w:val="000D31A6"/>
    <w:rsid w:val="000D61F2"/>
    <w:rsid w:val="000D7F8F"/>
    <w:rsid w:val="000E0F1F"/>
    <w:rsid w:val="000E1AC6"/>
    <w:rsid w:val="000E392D"/>
    <w:rsid w:val="000F06ED"/>
    <w:rsid w:val="000F2B63"/>
    <w:rsid w:val="000F4288"/>
    <w:rsid w:val="000F6272"/>
    <w:rsid w:val="000F7165"/>
    <w:rsid w:val="000F7DEC"/>
    <w:rsid w:val="00102379"/>
    <w:rsid w:val="00106218"/>
    <w:rsid w:val="001065D6"/>
    <w:rsid w:val="00106E44"/>
    <w:rsid w:val="00107E5F"/>
    <w:rsid w:val="00110D4C"/>
    <w:rsid w:val="001128C9"/>
    <w:rsid w:val="00115E80"/>
    <w:rsid w:val="00117C6B"/>
    <w:rsid w:val="00121252"/>
    <w:rsid w:val="00124329"/>
    <w:rsid w:val="00124609"/>
    <w:rsid w:val="001254CE"/>
    <w:rsid w:val="00126C81"/>
    <w:rsid w:val="00127BBC"/>
    <w:rsid w:val="001302DE"/>
    <w:rsid w:val="00134A28"/>
    <w:rsid w:val="00134CEA"/>
    <w:rsid w:val="001422CC"/>
    <w:rsid w:val="0014580D"/>
    <w:rsid w:val="001548C0"/>
    <w:rsid w:val="00154FDB"/>
    <w:rsid w:val="001579F0"/>
    <w:rsid w:val="001617B6"/>
    <w:rsid w:val="00165793"/>
    <w:rsid w:val="00165B30"/>
    <w:rsid w:val="00165E66"/>
    <w:rsid w:val="00166561"/>
    <w:rsid w:val="00166B25"/>
    <w:rsid w:val="0017166F"/>
    <w:rsid w:val="00182F62"/>
    <w:rsid w:val="0018684B"/>
    <w:rsid w:val="001A6ADC"/>
    <w:rsid w:val="001A7961"/>
    <w:rsid w:val="001B46D0"/>
    <w:rsid w:val="001B66E0"/>
    <w:rsid w:val="001B6CA3"/>
    <w:rsid w:val="001C06AB"/>
    <w:rsid w:val="001C1D34"/>
    <w:rsid w:val="001C25E8"/>
    <w:rsid w:val="001C3B92"/>
    <w:rsid w:val="001C457E"/>
    <w:rsid w:val="001C6609"/>
    <w:rsid w:val="001C7BAE"/>
    <w:rsid w:val="001D4CF9"/>
    <w:rsid w:val="001D52DE"/>
    <w:rsid w:val="001E31FA"/>
    <w:rsid w:val="001E34B7"/>
    <w:rsid w:val="001E64F6"/>
    <w:rsid w:val="001E73A7"/>
    <w:rsid w:val="001F4BBF"/>
    <w:rsid w:val="00204CB9"/>
    <w:rsid w:val="00205EDA"/>
    <w:rsid w:val="00207BC0"/>
    <w:rsid w:val="00210729"/>
    <w:rsid w:val="00212602"/>
    <w:rsid w:val="0021497C"/>
    <w:rsid w:val="00222BEB"/>
    <w:rsid w:val="00224F37"/>
    <w:rsid w:val="00225E60"/>
    <w:rsid w:val="0023035D"/>
    <w:rsid w:val="00231BD3"/>
    <w:rsid w:val="0023202C"/>
    <w:rsid w:val="0023296F"/>
    <w:rsid w:val="00233CE6"/>
    <w:rsid w:val="00235A46"/>
    <w:rsid w:val="00236203"/>
    <w:rsid w:val="00245043"/>
    <w:rsid w:val="0024569D"/>
    <w:rsid w:val="0024598E"/>
    <w:rsid w:val="002464D3"/>
    <w:rsid w:val="00246C56"/>
    <w:rsid w:val="0024772C"/>
    <w:rsid w:val="0025559E"/>
    <w:rsid w:val="00255A3D"/>
    <w:rsid w:val="00257760"/>
    <w:rsid w:val="002630F8"/>
    <w:rsid w:val="002641EF"/>
    <w:rsid w:val="00266419"/>
    <w:rsid w:val="002725C6"/>
    <w:rsid w:val="0027449F"/>
    <w:rsid w:val="00274823"/>
    <w:rsid w:val="0027508F"/>
    <w:rsid w:val="00285148"/>
    <w:rsid w:val="00287A71"/>
    <w:rsid w:val="00287E0F"/>
    <w:rsid w:val="00292D36"/>
    <w:rsid w:val="002937C9"/>
    <w:rsid w:val="00295111"/>
    <w:rsid w:val="00296FCB"/>
    <w:rsid w:val="00297281"/>
    <w:rsid w:val="00297E5E"/>
    <w:rsid w:val="002B4251"/>
    <w:rsid w:val="002B5747"/>
    <w:rsid w:val="002B60C7"/>
    <w:rsid w:val="002B60D4"/>
    <w:rsid w:val="002B71DF"/>
    <w:rsid w:val="002C0727"/>
    <w:rsid w:val="002C54E0"/>
    <w:rsid w:val="002D0C35"/>
    <w:rsid w:val="002D4EDF"/>
    <w:rsid w:val="002D711A"/>
    <w:rsid w:val="002D7336"/>
    <w:rsid w:val="002E21A3"/>
    <w:rsid w:val="002E2977"/>
    <w:rsid w:val="002E3396"/>
    <w:rsid w:val="002E4698"/>
    <w:rsid w:val="002E7B96"/>
    <w:rsid w:val="002F3B49"/>
    <w:rsid w:val="002F59DA"/>
    <w:rsid w:val="003033C2"/>
    <w:rsid w:val="00303F0E"/>
    <w:rsid w:val="0031147B"/>
    <w:rsid w:val="0031149C"/>
    <w:rsid w:val="00311D12"/>
    <w:rsid w:val="00311FCF"/>
    <w:rsid w:val="0031378B"/>
    <w:rsid w:val="003225E4"/>
    <w:rsid w:val="00334473"/>
    <w:rsid w:val="0033483F"/>
    <w:rsid w:val="00344DF6"/>
    <w:rsid w:val="00346EFD"/>
    <w:rsid w:val="00347634"/>
    <w:rsid w:val="00353DB3"/>
    <w:rsid w:val="00354845"/>
    <w:rsid w:val="003550B2"/>
    <w:rsid w:val="00355CD6"/>
    <w:rsid w:val="00356674"/>
    <w:rsid w:val="00357EC7"/>
    <w:rsid w:val="00365FC7"/>
    <w:rsid w:val="003707A8"/>
    <w:rsid w:val="00373D0E"/>
    <w:rsid w:val="00382EE1"/>
    <w:rsid w:val="00386927"/>
    <w:rsid w:val="003873FC"/>
    <w:rsid w:val="0038771C"/>
    <w:rsid w:val="00390534"/>
    <w:rsid w:val="0039405B"/>
    <w:rsid w:val="0039637E"/>
    <w:rsid w:val="00397332"/>
    <w:rsid w:val="003A0A6E"/>
    <w:rsid w:val="003A1C92"/>
    <w:rsid w:val="003A2B12"/>
    <w:rsid w:val="003A541A"/>
    <w:rsid w:val="003A6923"/>
    <w:rsid w:val="003B2080"/>
    <w:rsid w:val="003B4C56"/>
    <w:rsid w:val="003C2C67"/>
    <w:rsid w:val="003C4A83"/>
    <w:rsid w:val="003C5BA4"/>
    <w:rsid w:val="003C67E6"/>
    <w:rsid w:val="003D726B"/>
    <w:rsid w:val="003E1A44"/>
    <w:rsid w:val="003E3CA7"/>
    <w:rsid w:val="003E3E26"/>
    <w:rsid w:val="003E7A47"/>
    <w:rsid w:val="003F1295"/>
    <w:rsid w:val="003F76FC"/>
    <w:rsid w:val="004002EB"/>
    <w:rsid w:val="0040263B"/>
    <w:rsid w:val="00405BEC"/>
    <w:rsid w:val="00412038"/>
    <w:rsid w:val="004127D5"/>
    <w:rsid w:val="004165BE"/>
    <w:rsid w:val="0041689E"/>
    <w:rsid w:val="00421F2E"/>
    <w:rsid w:val="004236C8"/>
    <w:rsid w:val="00427681"/>
    <w:rsid w:val="00433DB7"/>
    <w:rsid w:val="00436454"/>
    <w:rsid w:val="00436B27"/>
    <w:rsid w:val="00445DBC"/>
    <w:rsid w:val="00450D65"/>
    <w:rsid w:val="00450F2A"/>
    <w:rsid w:val="00453750"/>
    <w:rsid w:val="00455E88"/>
    <w:rsid w:val="00456941"/>
    <w:rsid w:val="004624BC"/>
    <w:rsid w:val="004702EA"/>
    <w:rsid w:val="004810DB"/>
    <w:rsid w:val="00482D02"/>
    <w:rsid w:val="00483AF8"/>
    <w:rsid w:val="00484EA3"/>
    <w:rsid w:val="00490784"/>
    <w:rsid w:val="004A7519"/>
    <w:rsid w:val="004B3FFF"/>
    <w:rsid w:val="004B78F7"/>
    <w:rsid w:val="004C3DB4"/>
    <w:rsid w:val="004C5A43"/>
    <w:rsid w:val="004C74D5"/>
    <w:rsid w:val="004C7CAD"/>
    <w:rsid w:val="004D01C5"/>
    <w:rsid w:val="004D1F57"/>
    <w:rsid w:val="004D2A03"/>
    <w:rsid w:val="004D3518"/>
    <w:rsid w:val="004D62D6"/>
    <w:rsid w:val="004D63C6"/>
    <w:rsid w:val="004D6ABA"/>
    <w:rsid w:val="004E6543"/>
    <w:rsid w:val="00510764"/>
    <w:rsid w:val="00510C3E"/>
    <w:rsid w:val="0051130C"/>
    <w:rsid w:val="00522468"/>
    <w:rsid w:val="0053416C"/>
    <w:rsid w:val="00541ABF"/>
    <w:rsid w:val="00541C2F"/>
    <w:rsid w:val="00546888"/>
    <w:rsid w:val="0054771C"/>
    <w:rsid w:val="00550332"/>
    <w:rsid w:val="00557599"/>
    <w:rsid w:val="00563527"/>
    <w:rsid w:val="00565CF3"/>
    <w:rsid w:val="0056665E"/>
    <w:rsid w:val="00567F80"/>
    <w:rsid w:val="0057703D"/>
    <w:rsid w:val="0058124E"/>
    <w:rsid w:val="005828FE"/>
    <w:rsid w:val="0058403B"/>
    <w:rsid w:val="005875A3"/>
    <w:rsid w:val="005926B8"/>
    <w:rsid w:val="00592ABD"/>
    <w:rsid w:val="00592E2B"/>
    <w:rsid w:val="005970AC"/>
    <w:rsid w:val="005A2826"/>
    <w:rsid w:val="005A3416"/>
    <w:rsid w:val="005B1345"/>
    <w:rsid w:val="005B27FE"/>
    <w:rsid w:val="005B3B98"/>
    <w:rsid w:val="005C3E6D"/>
    <w:rsid w:val="005C4F77"/>
    <w:rsid w:val="005E0283"/>
    <w:rsid w:val="005E66C2"/>
    <w:rsid w:val="005E75B9"/>
    <w:rsid w:val="005F0E5B"/>
    <w:rsid w:val="005F61DF"/>
    <w:rsid w:val="00600CBB"/>
    <w:rsid w:val="006023F9"/>
    <w:rsid w:val="00602DDF"/>
    <w:rsid w:val="00603F9C"/>
    <w:rsid w:val="00607B72"/>
    <w:rsid w:val="00610559"/>
    <w:rsid w:val="00610B7B"/>
    <w:rsid w:val="006166DD"/>
    <w:rsid w:val="00620583"/>
    <w:rsid w:val="006277BB"/>
    <w:rsid w:val="00631623"/>
    <w:rsid w:val="006332F6"/>
    <w:rsid w:val="00637FDF"/>
    <w:rsid w:val="00642B27"/>
    <w:rsid w:val="00646113"/>
    <w:rsid w:val="0065051B"/>
    <w:rsid w:val="00652625"/>
    <w:rsid w:val="006534B2"/>
    <w:rsid w:val="0065615D"/>
    <w:rsid w:val="00657011"/>
    <w:rsid w:val="00660912"/>
    <w:rsid w:val="00663B24"/>
    <w:rsid w:val="006650B5"/>
    <w:rsid w:val="006651B1"/>
    <w:rsid w:val="00665778"/>
    <w:rsid w:val="00671F1C"/>
    <w:rsid w:val="0067708F"/>
    <w:rsid w:val="0068486A"/>
    <w:rsid w:val="00685346"/>
    <w:rsid w:val="0068620B"/>
    <w:rsid w:val="00687205"/>
    <w:rsid w:val="006A107F"/>
    <w:rsid w:val="006A1707"/>
    <w:rsid w:val="006A5B34"/>
    <w:rsid w:val="006A5F5B"/>
    <w:rsid w:val="006B566C"/>
    <w:rsid w:val="006B7F1E"/>
    <w:rsid w:val="006B7FDE"/>
    <w:rsid w:val="006C174F"/>
    <w:rsid w:val="006C2AEE"/>
    <w:rsid w:val="006C77A9"/>
    <w:rsid w:val="006C78FB"/>
    <w:rsid w:val="006D176B"/>
    <w:rsid w:val="006E270A"/>
    <w:rsid w:val="006E3280"/>
    <w:rsid w:val="006E463D"/>
    <w:rsid w:val="006E5C95"/>
    <w:rsid w:val="006E6C7E"/>
    <w:rsid w:val="006F5F2C"/>
    <w:rsid w:val="006F6693"/>
    <w:rsid w:val="006F6D49"/>
    <w:rsid w:val="0070695A"/>
    <w:rsid w:val="00706A83"/>
    <w:rsid w:val="00707FE8"/>
    <w:rsid w:val="00711831"/>
    <w:rsid w:val="00713804"/>
    <w:rsid w:val="00713F75"/>
    <w:rsid w:val="00715DB4"/>
    <w:rsid w:val="007244FE"/>
    <w:rsid w:val="00724962"/>
    <w:rsid w:val="00724A0F"/>
    <w:rsid w:val="00732162"/>
    <w:rsid w:val="007349DD"/>
    <w:rsid w:val="00736732"/>
    <w:rsid w:val="0073783D"/>
    <w:rsid w:val="00740302"/>
    <w:rsid w:val="00746E9A"/>
    <w:rsid w:val="00747077"/>
    <w:rsid w:val="00750CBE"/>
    <w:rsid w:val="00764D35"/>
    <w:rsid w:val="00766B5A"/>
    <w:rsid w:val="00770815"/>
    <w:rsid w:val="007738D7"/>
    <w:rsid w:val="007771FA"/>
    <w:rsid w:val="00781A91"/>
    <w:rsid w:val="007834F2"/>
    <w:rsid w:val="00786716"/>
    <w:rsid w:val="00791020"/>
    <w:rsid w:val="00793D3D"/>
    <w:rsid w:val="007A2BFB"/>
    <w:rsid w:val="007A5F82"/>
    <w:rsid w:val="007A6D0B"/>
    <w:rsid w:val="007B0193"/>
    <w:rsid w:val="007B0AA5"/>
    <w:rsid w:val="007B1DC6"/>
    <w:rsid w:val="007B437D"/>
    <w:rsid w:val="007B66CE"/>
    <w:rsid w:val="007B6CBA"/>
    <w:rsid w:val="007C2611"/>
    <w:rsid w:val="007C6BB3"/>
    <w:rsid w:val="007D097E"/>
    <w:rsid w:val="007D3388"/>
    <w:rsid w:val="007F1A4C"/>
    <w:rsid w:val="007F20E1"/>
    <w:rsid w:val="007F61E7"/>
    <w:rsid w:val="0080157D"/>
    <w:rsid w:val="00802251"/>
    <w:rsid w:val="008022C3"/>
    <w:rsid w:val="008041E6"/>
    <w:rsid w:val="008065D2"/>
    <w:rsid w:val="008071D8"/>
    <w:rsid w:val="0081285B"/>
    <w:rsid w:val="00814198"/>
    <w:rsid w:val="0082194C"/>
    <w:rsid w:val="008220C4"/>
    <w:rsid w:val="008222FF"/>
    <w:rsid w:val="0082352B"/>
    <w:rsid w:val="008241FF"/>
    <w:rsid w:val="00824E1E"/>
    <w:rsid w:val="00825BA8"/>
    <w:rsid w:val="008403CD"/>
    <w:rsid w:val="008411E9"/>
    <w:rsid w:val="0084200F"/>
    <w:rsid w:val="008425BD"/>
    <w:rsid w:val="00843B2C"/>
    <w:rsid w:val="00846A61"/>
    <w:rsid w:val="008513A6"/>
    <w:rsid w:val="0085145A"/>
    <w:rsid w:val="008544A6"/>
    <w:rsid w:val="0085780F"/>
    <w:rsid w:val="00857DEE"/>
    <w:rsid w:val="00862946"/>
    <w:rsid w:val="00862FBB"/>
    <w:rsid w:val="00863669"/>
    <w:rsid w:val="0086739C"/>
    <w:rsid w:val="008679E8"/>
    <w:rsid w:val="00877915"/>
    <w:rsid w:val="008779AA"/>
    <w:rsid w:val="00884CE3"/>
    <w:rsid w:val="00894382"/>
    <w:rsid w:val="008966AD"/>
    <w:rsid w:val="008A2678"/>
    <w:rsid w:val="008A4900"/>
    <w:rsid w:val="008A4E31"/>
    <w:rsid w:val="008B510C"/>
    <w:rsid w:val="008C26DE"/>
    <w:rsid w:val="008C7B06"/>
    <w:rsid w:val="008D0281"/>
    <w:rsid w:val="008D268E"/>
    <w:rsid w:val="008D78BD"/>
    <w:rsid w:val="008D7D5D"/>
    <w:rsid w:val="008E3C4E"/>
    <w:rsid w:val="008E61EB"/>
    <w:rsid w:val="008F6D45"/>
    <w:rsid w:val="00906F41"/>
    <w:rsid w:val="00922AEA"/>
    <w:rsid w:val="009316AF"/>
    <w:rsid w:val="00934519"/>
    <w:rsid w:val="00943989"/>
    <w:rsid w:val="00947694"/>
    <w:rsid w:val="00950C2B"/>
    <w:rsid w:val="00952D36"/>
    <w:rsid w:val="00953774"/>
    <w:rsid w:val="00955F27"/>
    <w:rsid w:val="00960E27"/>
    <w:rsid w:val="00963C94"/>
    <w:rsid w:val="00965D28"/>
    <w:rsid w:val="009737B3"/>
    <w:rsid w:val="00981124"/>
    <w:rsid w:val="009834C0"/>
    <w:rsid w:val="00984978"/>
    <w:rsid w:val="00986AAC"/>
    <w:rsid w:val="00986E68"/>
    <w:rsid w:val="0099093E"/>
    <w:rsid w:val="009A0291"/>
    <w:rsid w:val="009A1DA2"/>
    <w:rsid w:val="009A2C54"/>
    <w:rsid w:val="009A3704"/>
    <w:rsid w:val="009A465E"/>
    <w:rsid w:val="009A4739"/>
    <w:rsid w:val="009A5212"/>
    <w:rsid w:val="009A674F"/>
    <w:rsid w:val="009A7F09"/>
    <w:rsid w:val="009B199C"/>
    <w:rsid w:val="009B392A"/>
    <w:rsid w:val="009B54C8"/>
    <w:rsid w:val="009B61F1"/>
    <w:rsid w:val="009B62E0"/>
    <w:rsid w:val="009C05C8"/>
    <w:rsid w:val="009C3D88"/>
    <w:rsid w:val="009C666B"/>
    <w:rsid w:val="009D0089"/>
    <w:rsid w:val="009D1B0E"/>
    <w:rsid w:val="009D671A"/>
    <w:rsid w:val="009E3858"/>
    <w:rsid w:val="009E533E"/>
    <w:rsid w:val="009E70DD"/>
    <w:rsid w:val="009F12B6"/>
    <w:rsid w:val="009F2863"/>
    <w:rsid w:val="009F2ED9"/>
    <w:rsid w:val="009F3231"/>
    <w:rsid w:val="009F5C58"/>
    <w:rsid w:val="009F7F32"/>
    <w:rsid w:val="00A023A0"/>
    <w:rsid w:val="00A04A2F"/>
    <w:rsid w:val="00A1006B"/>
    <w:rsid w:val="00A11A38"/>
    <w:rsid w:val="00A11C4C"/>
    <w:rsid w:val="00A11CB4"/>
    <w:rsid w:val="00A14580"/>
    <w:rsid w:val="00A1562B"/>
    <w:rsid w:val="00A16A40"/>
    <w:rsid w:val="00A170F4"/>
    <w:rsid w:val="00A17800"/>
    <w:rsid w:val="00A23E7C"/>
    <w:rsid w:val="00A24A34"/>
    <w:rsid w:val="00A2559E"/>
    <w:rsid w:val="00A25FD9"/>
    <w:rsid w:val="00A31A6F"/>
    <w:rsid w:val="00A41575"/>
    <w:rsid w:val="00A46BA8"/>
    <w:rsid w:val="00A47634"/>
    <w:rsid w:val="00A516DE"/>
    <w:rsid w:val="00A5464B"/>
    <w:rsid w:val="00A612FE"/>
    <w:rsid w:val="00A67A77"/>
    <w:rsid w:val="00A731D7"/>
    <w:rsid w:val="00A77598"/>
    <w:rsid w:val="00A83359"/>
    <w:rsid w:val="00A83A51"/>
    <w:rsid w:val="00A842B7"/>
    <w:rsid w:val="00A84638"/>
    <w:rsid w:val="00AA17C6"/>
    <w:rsid w:val="00AA26B8"/>
    <w:rsid w:val="00AA4863"/>
    <w:rsid w:val="00AA4D53"/>
    <w:rsid w:val="00AA54EC"/>
    <w:rsid w:val="00AB3F4B"/>
    <w:rsid w:val="00AB3FE2"/>
    <w:rsid w:val="00AB531F"/>
    <w:rsid w:val="00AB7695"/>
    <w:rsid w:val="00AC2D64"/>
    <w:rsid w:val="00AC4B9D"/>
    <w:rsid w:val="00AC4C11"/>
    <w:rsid w:val="00AC5D7A"/>
    <w:rsid w:val="00AC6D3B"/>
    <w:rsid w:val="00AD3322"/>
    <w:rsid w:val="00AD5FD9"/>
    <w:rsid w:val="00AD7E4E"/>
    <w:rsid w:val="00AE02EC"/>
    <w:rsid w:val="00AE15BF"/>
    <w:rsid w:val="00AF3D47"/>
    <w:rsid w:val="00AF4D58"/>
    <w:rsid w:val="00AF6666"/>
    <w:rsid w:val="00B00855"/>
    <w:rsid w:val="00B02D4D"/>
    <w:rsid w:val="00B10154"/>
    <w:rsid w:val="00B20AD2"/>
    <w:rsid w:val="00B21307"/>
    <w:rsid w:val="00B243CE"/>
    <w:rsid w:val="00B40346"/>
    <w:rsid w:val="00B4055E"/>
    <w:rsid w:val="00B424A6"/>
    <w:rsid w:val="00B45B8E"/>
    <w:rsid w:val="00B5429C"/>
    <w:rsid w:val="00B71078"/>
    <w:rsid w:val="00B722C9"/>
    <w:rsid w:val="00B76102"/>
    <w:rsid w:val="00B80207"/>
    <w:rsid w:val="00B81B44"/>
    <w:rsid w:val="00B9053B"/>
    <w:rsid w:val="00B94B23"/>
    <w:rsid w:val="00B96F1B"/>
    <w:rsid w:val="00BB1AF5"/>
    <w:rsid w:val="00BB2C88"/>
    <w:rsid w:val="00BC3422"/>
    <w:rsid w:val="00BC59D6"/>
    <w:rsid w:val="00BC6691"/>
    <w:rsid w:val="00BC6C14"/>
    <w:rsid w:val="00BD2876"/>
    <w:rsid w:val="00BF34CB"/>
    <w:rsid w:val="00C00A4E"/>
    <w:rsid w:val="00C015B9"/>
    <w:rsid w:val="00C022F9"/>
    <w:rsid w:val="00C032EA"/>
    <w:rsid w:val="00C03F87"/>
    <w:rsid w:val="00C04715"/>
    <w:rsid w:val="00C06EB5"/>
    <w:rsid w:val="00C07FE8"/>
    <w:rsid w:val="00C11334"/>
    <w:rsid w:val="00C1145F"/>
    <w:rsid w:val="00C16D1B"/>
    <w:rsid w:val="00C17737"/>
    <w:rsid w:val="00C17E43"/>
    <w:rsid w:val="00C23341"/>
    <w:rsid w:val="00C402EE"/>
    <w:rsid w:val="00C41E0F"/>
    <w:rsid w:val="00C45839"/>
    <w:rsid w:val="00C60430"/>
    <w:rsid w:val="00C605FF"/>
    <w:rsid w:val="00C61CC9"/>
    <w:rsid w:val="00C637E1"/>
    <w:rsid w:val="00C65301"/>
    <w:rsid w:val="00C661D2"/>
    <w:rsid w:val="00C70D50"/>
    <w:rsid w:val="00C8065A"/>
    <w:rsid w:val="00C80AF5"/>
    <w:rsid w:val="00C82CC9"/>
    <w:rsid w:val="00C84141"/>
    <w:rsid w:val="00C865B2"/>
    <w:rsid w:val="00C87E23"/>
    <w:rsid w:val="00C905B7"/>
    <w:rsid w:val="00C907D7"/>
    <w:rsid w:val="00C92338"/>
    <w:rsid w:val="00C941BE"/>
    <w:rsid w:val="00CA34E7"/>
    <w:rsid w:val="00CA417B"/>
    <w:rsid w:val="00CA7C3A"/>
    <w:rsid w:val="00CB4622"/>
    <w:rsid w:val="00CB6E22"/>
    <w:rsid w:val="00CC2796"/>
    <w:rsid w:val="00CC2DB2"/>
    <w:rsid w:val="00CD0307"/>
    <w:rsid w:val="00CD1220"/>
    <w:rsid w:val="00CD3D1B"/>
    <w:rsid w:val="00CE0235"/>
    <w:rsid w:val="00CE1037"/>
    <w:rsid w:val="00CE1825"/>
    <w:rsid w:val="00CE1887"/>
    <w:rsid w:val="00CE1E5F"/>
    <w:rsid w:val="00CE3039"/>
    <w:rsid w:val="00CE5787"/>
    <w:rsid w:val="00CE78B1"/>
    <w:rsid w:val="00CF7DCA"/>
    <w:rsid w:val="00D0161F"/>
    <w:rsid w:val="00D03038"/>
    <w:rsid w:val="00D0342F"/>
    <w:rsid w:val="00D05CF6"/>
    <w:rsid w:val="00D069FB"/>
    <w:rsid w:val="00D1041B"/>
    <w:rsid w:val="00D12D6A"/>
    <w:rsid w:val="00D150D8"/>
    <w:rsid w:val="00D211E9"/>
    <w:rsid w:val="00D2312F"/>
    <w:rsid w:val="00D2525D"/>
    <w:rsid w:val="00D25A0C"/>
    <w:rsid w:val="00D269C1"/>
    <w:rsid w:val="00D27510"/>
    <w:rsid w:val="00D3651D"/>
    <w:rsid w:val="00D37A3B"/>
    <w:rsid w:val="00D44953"/>
    <w:rsid w:val="00D542F3"/>
    <w:rsid w:val="00D55B42"/>
    <w:rsid w:val="00D55BAD"/>
    <w:rsid w:val="00D5644B"/>
    <w:rsid w:val="00D56E25"/>
    <w:rsid w:val="00D6134C"/>
    <w:rsid w:val="00D64357"/>
    <w:rsid w:val="00D67536"/>
    <w:rsid w:val="00D718D7"/>
    <w:rsid w:val="00D74D85"/>
    <w:rsid w:val="00D814B7"/>
    <w:rsid w:val="00D81B38"/>
    <w:rsid w:val="00D86118"/>
    <w:rsid w:val="00D863EB"/>
    <w:rsid w:val="00D90688"/>
    <w:rsid w:val="00D91153"/>
    <w:rsid w:val="00D970FB"/>
    <w:rsid w:val="00DA1876"/>
    <w:rsid w:val="00DA3AAD"/>
    <w:rsid w:val="00DA6D6C"/>
    <w:rsid w:val="00DB312B"/>
    <w:rsid w:val="00DB79B3"/>
    <w:rsid w:val="00DC26BA"/>
    <w:rsid w:val="00DC5654"/>
    <w:rsid w:val="00DC658F"/>
    <w:rsid w:val="00DC7E7C"/>
    <w:rsid w:val="00DE60CC"/>
    <w:rsid w:val="00DE67A0"/>
    <w:rsid w:val="00E03BB5"/>
    <w:rsid w:val="00E119C4"/>
    <w:rsid w:val="00E122DB"/>
    <w:rsid w:val="00E21830"/>
    <w:rsid w:val="00E25368"/>
    <w:rsid w:val="00E26B32"/>
    <w:rsid w:val="00E27210"/>
    <w:rsid w:val="00E279EF"/>
    <w:rsid w:val="00E3232B"/>
    <w:rsid w:val="00E335F4"/>
    <w:rsid w:val="00E407B6"/>
    <w:rsid w:val="00E41EF1"/>
    <w:rsid w:val="00E42942"/>
    <w:rsid w:val="00E45576"/>
    <w:rsid w:val="00E468A6"/>
    <w:rsid w:val="00E53B63"/>
    <w:rsid w:val="00E56AC7"/>
    <w:rsid w:val="00E64786"/>
    <w:rsid w:val="00E67903"/>
    <w:rsid w:val="00E70826"/>
    <w:rsid w:val="00E71BDF"/>
    <w:rsid w:val="00E73518"/>
    <w:rsid w:val="00E828D8"/>
    <w:rsid w:val="00E83CA7"/>
    <w:rsid w:val="00E84A9D"/>
    <w:rsid w:val="00E854A4"/>
    <w:rsid w:val="00E90F7D"/>
    <w:rsid w:val="00E96B2B"/>
    <w:rsid w:val="00EA0D06"/>
    <w:rsid w:val="00EA6C95"/>
    <w:rsid w:val="00EC02E2"/>
    <w:rsid w:val="00EC171D"/>
    <w:rsid w:val="00EC4B64"/>
    <w:rsid w:val="00EC6E59"/>
    <w:rsid w:val="00ED239A"/>
    <w:rsid w:val="00ED487E"/>
    <w:rsid w:val="00EE521D"/>
    <w:rsid w:val="00EE6FC4"/>
    <w:rsid w:val="00EE7A0D"/>
    <w:rsid w:val="00EF0531"/>
    <w:rsid w:val="00EF0D41"/>
    <w:rsid w:val="00EF185B"/>
    <w:rsid w:val="00F00F67"/>
    <w:rsid w:val="00F064EE"/>
    <w:rsid w:val="00F10C14"/>
    <w:rsid w:val="00F14D91"/>
    <w:rsid w:val="00F17CE1"/>
    <w:rsid w:val="00F2115C"/>
    <w:rsid w:val="00F22652"/>
    <w:rsid w:val="00F22ABA"/>
    <w:rsid w:val="00F23366"/>
    <w:rsid w:val="00F25E3D"/>
    <w:rsid w:val="00F34397"/>
    <w:rsid w:val="00F36B12"/>
    <w:rsid w:val="00F4166E"/>
    <w:rsid w:val="00F44719"/>
    <w:rsid w:val="00F5531A"/>
    <w:rsid w:val="00F57648"/>
    <w:rsid w:val="00F579BD"/>
    <w:rsid w:val="00F60F9F"/>
    <w:rsid w:val="00F64F08"/>
    <w:rsid w:val="00F67D88"/>
    <w:rsid w:val="00F71F1E"/>
    <w:rsid w:val="00F734F5"/>
    <w:rsid w:val="00F75164"/>
    <w:rsid w:val="00F75CE5"/>
    <w:rsid w:val="00F801F9"/>
    <w:rsid w:val="00F81032"/>
    <w:rsid w:val="00F823C6"/>
    <w:rsid w:val="00F85F6E"/>
    <w:rsid w:val="00F861E6"/>
    <w:rsid w:val="00F9545F"/>
    <w:rsid w:val="00F966B1"/>
    <w:rsid w:val="00F97D48"/>
    <w:rsid w:val="00FA0311"/>
    <w:rsid w:val="00FA089A"/>
    <w:rsid w:val="00FA1F7F"/>
    <w:rsid w:val="00FA467E"/>
    <w:rsid w:val="00FA50DD"/>
    <w:rsid w:val="00FC42E5"/>
    <w:rsid w:val="00FC579D"/>
    <w:rsid w:val="00FD640F"/>
    <w:rsid w:val="00FD6B4C"/>
    <w:rsid w:val="00FE2CF5"/>
    <w:rsid w:val="00FF051E"/>
    <w:rsid w:val="00FF4E99"/>
    <w:rsid w:val="15CD1B5A"/>
    <w:rsid w:val="6864BAA1"/>
    <w:rsid w:val="6D7028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2E67F"/>
  <w15:docId w15:val="{14716E4D-6C11-480B-9582-C2901C846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iPriority="2" w:unhideWhenUsed="1"/>
    <w:lsdException w:name="List 3" w:semiHidden="1" w:uiPriority="2"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DEC"/>
    <w:pPr>
      <w:spacing w:before="160" w:after="100"/>
    </w:pPr>
    <w:rPr>
      <w:spacing w:val="2"/>
    </w:rPr>
  </w:style>
  <w:style w:type="paragraph" w:styleId="Heading1">
    <w:name w:val="heading 1"/>
    <w:next w:val="Normal"/>
    <w:link w:val="Heading1Char"/>
    <w:semiHidden/>
    <w:qFormat/>
    <w:rsid w:val="000F7DEC"/>
    <w:pPr>
      <w:keepNext/>
      <w:keepLines/>
      <w:spacing w:before="600" w:after="88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semiHidden/>
    <w:qFormat/>
    <w:rsid w:val="000F7DEC"/>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semiHidden/>
    <w:qFormat/>
    <w:rsid w:val="000F7DEC"/>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semiHidden/>
    <w:qFormat/>
    <w:rsid w:val="000F7DEC"/>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0F7DE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0F7DEC"/>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0F7DEC"/>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0F7DEC"/>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0F7DEC"/>
    <w:pPr>
      <w:tabs>
        <w:tab w:val="right" w:leader="dot" w:pos="9000"/>
      </w:tabs>
      <w:ind w:right="432"/>
    </w:pPr>
    <w:rPr>
      <w:sz w:val="24"/>
      <w:szCs w:val="24"/>
    </w:rPr>
  </w:style>
  <w:style w:type="paragraph" w:styleId="TOC2">
    <w:name w:val="toc 2"/>
    <w:next w:val="Normal"/>
    <w:uiPriority w:val="39"/>
    <w:rsid w:val="000F7DEC"/>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0F7DEC"/>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0F7DEC"/>
    <w:pPr>
      <w:spacing w:after="60" w:line="240" w:lineRule="auto"/>
    </w:pPr>
    <w:rPr>
      <w:sz w:val="16"/>
    </w:rPr>
  </w:style>
  <w:style w:type="paragraph" w:styleId="Index2">
    <w:name w:val="index 2"/>
    <w:basedOn w:val="Normal"/>
    <w:next w:val="Normal"/>
    <w:uiPriority w:val="99"/>
    <w:semiHidden/>
    <w:rsid w:val="000F7DEC"/>
    <w:pPr>
      <w:spacing w:after="0" w:line="240" w:lineRule="auto"/>
      <w:ind w:left="216"/>
    </w:pPr>
    <w:rPr>
      <w:sz w:val="16"/>
      <w:szCs w:val="16"/>
    </w:rPr>
  </w:style>
  <w:style w:type="character" w:styleId="Hyperlink">
    <w:name w:val="Hyperlink"/>
    <w:basedOn w:val="DefaultParagraphFont"/>
    <w:uiPriority w:val="99"/>
    <w:rsid w:val="000F7DEC"/>
    <w:rPr>
      <w:color w:val="53565A" w:themeColor="hyperlink"/>
      <w:u w:val="none"/>
    </w:rPr>
  </w:style>
  <w:style w:type="character" w:customStyle="1" w:styleId="Heading1Char">
    <w:name w:val="Heading 1 Char"/>
    <w:basedOn w:val="DefaultParagraphFont"/>
    <w:link w:val="Heading1"/>
    <w:semiHidden/>
    <w:rsid w:val="000F7DEC"/>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semiHidden/>
    <w:rsid w:val="000F7DEC"/>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2"/>
    <w:qFormat/>
    <w:rsid w:val="000F7DEC"/>
    <w:pPr>
      <w:numPr>
        <w:numId w:val="1"/>
      </w:numPr>
      <w:spacing w:before="160" w:after="0" w:line="240" w:lineRule="auto"/>
      <w:contextualSpacing/>
    </w:pPr>
    <w:rPr>
      <w:rFonts w:eastAsia="Times New Roman" w:cs="Calibri"/>
      <w:spacing w:val="2"/>
    </w:rPr>
  </w:style>
  <w:style w:type="paragraph" w:customStyle="1" w:styleId="Bullet2">
    <w:name w:val="Bullet 2"/>
    <w:basedOn w:val="Bullet1"/>
    <w:uiPriority w:val="2"/>
    <w:qFormat/>
    <w:rsid w:val="000F7DEC"/>
    <w:pPr>
      <w:numPr>
        <w:ilvl w:val="1"/>
      </w:numPr>
      <w:spacing w:before="0"/>
    </w:pPr>
  </w:style>
  <w:style w:type="paragraph" w:customStyle="1" w:styleId="Bulletindent">
    <w:name w:val="Bullet indent"/>
    <w:basedOn w:val="Bullet2"/>
    <w:uiPriority w:val="7"/>
    <w:qFormat/>
    <w:rsid w:val="000F7DEC"/>
    <w:pPr>
      <w:numPr>
        <w:ilvl w:val="2"/>
      </w:numPr>
    </w:pPr>
  </w:style>
  <w:style w:type="paragraph" w:customStyle="1" w:styleId="Heading1numbered">
    <w:name w:val="Heading 1 numbered"/>
    <w:basedOn w:val="Heading1"/>
    <w:next w:val="NormalIndent"/>
    <w:uiPriority w:val="4"/>
    <w:semiHidden/>
    <w:qFormat/>
    <w:rsid w:val="000F7DEC"/>
    <w:pPr>
      <w:numPr>
        <w:ilvl w:val="2"/>
        <w:numId w:val="4"/>
      </w:numPr>
    </w:pPr>
  </w:style>
  <w:style w:type="paragraph" w:customStyle="1" w:styleId="Heading2numbered">
    <w:name w:val="Heading 2 numbered"/>
    <w:basedOn w:val="Heading2"/>
    <w:next w:val="NormalIndent"/>
    <w:uiPriority w:val="4"/>
    <w:semiHidden/>
    <w:qFormat/>
    <w:rsid w:val="000F7DEC"/>
    <w:pPr>
      <w:numPr>
        <w:ilvl w:val="3"/>
        <w:numId w:val="4"/>
      </w:numPr>
    </w:pPr>
  </w:style>
  <w:style w:type="paragraph" w:customStyle="1" w:styleId="Heading3numbered">
    <w:name w:val="Heading 3 numbered"/>
    <w:basedOn w:val="Heading3"/>
    <w:next w:val="NormalIndent"/>
    <w:uiPriority w:val="4"/>
    <w:semiHidden/>
    <w:qFormat/>
    <w:rsid w:val="000F7DEC"/>
    <w:pPr>
      <w:numPr>
        <w:ilvl w:val="4"/>
        <w:numId w:val="4"/>
      </w:numPr>
    </w:pPr>
  </w:style>
  <w:style w:type="character" w:customStyle="1" w:styleId="Heading3Char">
    <w:name w:val="Heading 3 Char"/>
    <w:basedOn w:val="DefaultParagraphFont"/>
    <w:link w:val="Heading3"/>
    <w:semiHidden/>
    <w:rsid w:val="000F7DEC"/>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4"/>
    <w:semiHidden/>
    <w:qFormat/>
    <w:rsid w:val="000F7DEC"/>
    <w:pPr>
      <w:numPr>
        <w:ilvl w:val="5"/>
        <w:numId w:val="4"/>
      </w:numPr>
    </w:pPr>
  </w:style>
  <w:style w:type="character" w:customStyle="1" w:styleId="Heading4Char">
    <w:name w:val="Heading 4 Char"/>
    <w:basedOn w:val="DefaultParagraphFont"/>
    <w:link w:val="Heading4"/>
    <w:semiHidden/>
    <w:rsid w:val="000F7DEC"/>
    <w:rPr>
      <w:rFonts w:asciiTheme="majorHAnsi" w:eastAsiaTheme="majorEastAsia" w:hAnsiTheme="majorHAnsi" w:cstheme="majorBidi"/>
      <w:b/>
      <w:bCs/>
      <w:iCs/>
      <w:color w:val="53565A"/>
      <w:spacing w:val="2"/>
    </w:rPr>
  </w:style>
  <w:style w:type="paragraph" w:styleId="NormalIndent">
    <w:name w:val="Normal Indent"/>
    <w:basedOn w:val="Normal"/>
    <w:qFormat/>
    <w:rsid w:val="000F7DEC"/>
    <w:pPr>
      <w:spacing w:line="252" w:lineRule="auto"/>
      <w:ind w:left="792"/>
    </w:pPr>
  </w:style>
  <w:style w:type="paragraph" w:customStyle="1" w:styleId="NoteNormal">
    <w:name w:val="Note Normal"/>
    <w:basedOn w:val="Normal"/>
    <w:uiPriority w:val="49"/>
    <w:rsid w:val="000F7DEC"/>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0F7DEC"/>
    <w:pPr>
      <w:spacing w:before="0" w:after="0" w:line="120" w:lineRule="atLeast"/>
    </w:pPr>
    <w:rPr>
      <w:rFonts w:eastAsia="Times New Roman" w:cs="Calibri"/>
      <w:spacing w:val="0"/>
      <w:sz w:val="10"/>
      <w:szCs w:val="22"/>
    </w:rPr>
  </w:style>
  <w:style w:type="paragraph" w:styleId="Subtitle">
    <w:name w:val="Subtitle"/>
    <w:link w:val="SubtitleChar"/>
    <w:uiPriority w:val="99"/>
    <w:semiHidden/>
    <w:rsid w:val="000F7DEC"/>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semiHidden/>
    <w:rsid w:val="000F7DEC"/>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semiHidden/>
    <w:rsid w:val="000F7DEC"/>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semiHidden/>
    <w:rsid w:val="000F7DEC"/>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9"/>
    <w:semiHidden/>
    <w:rsid w:val="000F7DEC"/>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0F7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DEC"/>
    <w:rPr>
      <w:rFonts w:ascii="Tahoma" w:hAnsi="Tahoma" w:cs="Tahoma"/>
      <w:spacing w:val="2"/>
      <w:sz w:val="16"/>
      <w:szCs w:val="16"/>
    </w:rPr>
  </w:style>
  <w:style w:type="paragraph" w:customStyle="1" w:styleId="Bulletindent2">
    <w:name w:val="Bullet indent 2"/>
    <w:basedOn w:val="Normal"/>
    <w:uiPriority w:val="7"/>
    <w:qFormat/>
    <w:rsid w:val="000F7DEC"/>
    <w:pPr>
      <w:numPr>
        <w:ilvl w:val="3"/>
        <w:numId w:val="1"/>
      </w:numPr>
      <w:spacing w:before="100"/>
      <w:contextualSpacing/>
    </w:pPr>
  </w:style>
  <w:style w:type="paragraph" w:styleId="IndexHeading">
    <w:name w:val="index heading"/>
    <w:basedOn w:val="Normal"/>
    <w:next w:val="Index1"/>
    <w:uiPriority w:val="99"/>
    <w:semiHidden/>
    <w:rsid w:val="000F7DEC"/>
    <w:rPr>
      <w:rFonts w:asciiTheme="majorHAnsi" w:eastAsiaTheme="majorEastAsia" w:hAnsiTheme="majorHAnsi" w:cstheme="majorBidi"/>
      <w:b/>
      <w:bCs/>
    </w:rPr>
  </w:style>
  <w:style w:type="paragraph" w:styleId="Header">
    <w:name w:val="header"/>
    <w:basedOn w:val="Normal"/>
    <w:link w:val="HeaderChar"/>
    <w:uiPriority w:val="99"/>
    <w:semiHidden/>
    <w:rsid w:val="000F7DE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7DEC"/>
    <w:rPr>
      <w:spacing w:val="2"/>
    </w:rPr>
  </w:style>
  <w:style w:type="paragraph" w:styleId="Footer">
    <w:name w:val="footer"/>
    <w:basedOn w:val="Normal"/>
    <w:link w:val="FooterChar"/>
    <w:uiPriority w:val="24"/>
    <w:rsid w:val="000F7DEC"/>
    <w:pPr>
      <w:tabs>
        <w:tab w:val="right" w:pos="9026"/>
      </w:tabs>
      <w:spacing w:after="0" w:line="240" w:lineRule="auto"/>
    </w:pPr>
    <w:rPr>
      <w:noProof/>
      <w:sz w:val="18"/>
      <w:szCs w:val="18"/>
    </w:rPr>
  </w:style>
  <w:style w:type="character" w:customStyle="1" w:styleId="FooterChar">
    <w:name w:val="Footer Char"/>
    <w:basedOn w:val="DefaultParagraphFont"/>
    <w:link w:val="Footer"/>
    <w:uiPriority w:val="24"/>
    <w:rsid w:val="000F7DEC"/>
    <w:rPr>
      <w:noProof/>
      <w:spacing w:val="2"/>
      <w:sz w:val="18"/>
      <w:szCs w:val="18"/>
    </w:rPr>
  </w:style>
  <w:style w:type="character" w:styleId="PageNumber">
    <w:name w:val="page number"/>
    <w:uiPriority w:val="49"/>
    <w:semiHidden/>
    <w:rsid w:val="000F7DEC"/>
    <w:rPr>
      <w:b w:val="0"/>
      <w:color w:val="4C4C4C"/>
    </w:rPr>
  </w:style>
  <w:style w:type="paragraph" w:styleId="TOCHeading">
    <w:name w:val="TOC Heading"/>
    <w:basedOn w:val="Heading1"/>
    <w:next w:val="Normal"/>
    <w:uiPriority w:val="39"/>
    <w:semiHidden/>
    <w:rsid w:val="000F7DEC"/>
    <w:pPr>
      <w:spacing w:before="480" w:after="720"/>
      <w:outlineLvl w:val="9"/>
    </w:pPr>
    <w:rPr>
      <w:spacing w:val="2"/>
    </w:rPr>
  </w:style>
  <w:style w:type="paragraph" w:customStyle="1" w:styleId="NormalTight">
    <w:name w:val="Normal Tight"/>
    <w:uiPriority w:val="99"/>
    <w:semiHidden/>
    <w:rsid w:val="000F7DEC"/>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0F7DEC"/>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0F7DEC"/>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0F7DEC"/>
    <w:pPr>
      <w:spacing w:before="5800"/>
      <w:ind w:right="1382"/>
    </w:pPr>
  </w:style>
  <w:style w:type="paragraph" w:styleId="TOC4">
    <w:name w:val="toc 4"/>
    <w:basedOn w:val="TOC1"/>
    <w:next w:val="Normal"/>
    <w:uiPriority w:val="39"/>
    <w:rsid w:val="000F7DEC"/>
    <w:pPr>
      <w:ind w:left="450" w:hanging="450"/>
    </w:pPr>
    <w:rPr>
      <w:noProof/>
      <w:lang w:eastAsia="en-US"/>
    </w:rPr>
  </w:style>
  <w:style w:type="paragraph" w:styleId="TOC5">
    <w:name w:val="toc 5"/>
    <w:basedOn w:val="TOC2"/>
    <w:next w:val="Normal"/>
    <w:uiPriority w:val="39"/>
    <w:rsid w:val="000F7DEC"/>
    <w:pPr>
      <w:ind w:left="1080" w:hanging="634"/>
    </w:pPr>
    <w:rPr>
      <w:lang w:eastAsia="en-US"/>
    </w:rPr>
  </w:style>
  <w:style w:type="paragraph" w:styleId="TOC6">
    <w:name w:val="toc 6"/>
    <w:basedOn w:val="TOC3"/>
    <w:next w:val="Normal"/>
    <w:uiPriority w:val="39"/>
    <w:rsid w:val="000F7DEC"/>
    <w:pPr>
      <w:ind w:left="1800" w:hanging="720"/>
    </w:pPr>
    <w:rPr>
      <w:lang w:eastAsia="en-US"/>
    </w:rPr>
  </w:style>
  <w:style w:type="table" w:customStyle="1" w:styleId="DTFtexttable">
    <w:name w:val="DTF text table"/>
    <w:basedOn w:val="TableGrid"/>
    <w:uiPriority w:val="99"/>
    <w:rsid w:val="000F7DEC"/>
    <w:pPr>
      <w:spacing w:before="30" w:after="30" w:line="264" w:lineRule="auto"/>
      <w:jc w:val="left"/>
    </w:pPr>
    <w:rPr>
      <w:sz w:val="18"/>
    </w:rPr>
    <w:tblPr>
      <w:tblBorders>
        <w:bottom w:val="single" w:sz="12" w:space="0" w:color="auto"/>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0000" w:themeFill="tex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FFFFFF" w:themeFill="background1"/>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0F7DEC"/>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9"/>
    <w:qFormat/>
    <w:rsid w:val="000F7DEC"/>
    <w:pPr>
      <w:spacing w:before="60" w:after="60" w:line="264" w:lineRule="auto"/>
    </w:pPr>
    <w:rPr>
      <w:sz w:val="17"/>
    </w:rPr>
  </w:style>
  <w:style w:type="paragraph" w:customStyle="1" w:styleId="Tabletextright">
    <w:name w:val="Table text right"/>
    <w:basedOn w:val="Tabletext"/>
    <w:uiPriority w:val="8"/>
    <w:qFormat/>
    <w:rsid w:val="000F7DEC"/>
    <w:pPr>
      <w:jc w:val="right"/>
    </w:pPr>
  </w:style>
  <w:style w:type="paragraph" w:customStyle="1" w:styleId="Listnumindent2">
    <w:name w:val="List num indent 2"/>
    <w:basedOn w:val="Normal"/>
    <w:uiPriority w:val="7"/>
    <w:qFormat/>
    <w:rsid w:val="000F7DEC"/>
    <w:pPr>
      <w:numPr>
        <w:ilvl w:val="7"/>
        <w:numId w:val="4"/>
      </w:numPr>
      <w:spacing w:before="100"/>
      <w:contextualSpacing/>
    </w:pPr>
  </w:style>
  <w:style w:type="paragraph" w:customStyle="1" w:styleId="Listnumindent">
    <w:name w:val="List num indent"/>
    <w:basedOn w:val="Normal"/>
    <w:uiPriority w:val="7"/>
    <w:qFormat/>
    <w:rsid w:val="000F7DEC"/>
    <w:pPr>
      <w:numPr>
        <w:ilvl w:val="6"/>
        <w:numId w:val="4"/>
      </w:numPr>
      <w:spacing w:before="100"/>
    </w:pPr>
  </w:style>
  <w:style w:type="paragraph" w:customStyle="1" w:styleId="Listnum">
    <w:name w:val="List num"/>
    <w:basedOn w:val="Normal"/>
    <w:uiPriority w:val="1"/>
    <w:qFormat/>
    <w:rsid w:val="000F7DEC"/>
    <w:pPr>
      <w:numPr>
        <w:numId w:val="4"/>
      </w:numPr>
      <w:contextualSpacing/>
    </w:pPr>
    <w:rPr>
      <w:sz w:val="18"/>
    </w:rPr>
  </w:style>
  <w:style w:type="paragraph" w:customStyle="1" w:styleId="Listnum2">
    <w:name w:val="List num 2"/>
    <w:basedOn w:val="Normal"/>
    <w:uiPriority w:val="1"/>
    <w:qFormat/>
    <w:rsid w:val="000F7DEC"/>
    <w:pPr>
      <w:numPr>
        <w:ilvl w:val="1"/>
        <w:numId w:val="4"/>
      </w:numPr>
      <w:contextualSpacing/>
    </w:pPr>
    <w:rPr>
      <w:sz w:val="18"/>
    </w:rPr>
  </w:style>
  <w:style w:type="paragraph" w:customStyle="1" w:styleId="Tabletextcentred">
    <w:name w:val="Table text centred"/>
    <w:basedOn w:val="Tabletext"/>
    <w:uiPriority w:val="8"/>
    <w:qFormat/>
    <w:rsid w:val="000F7DEC"/>
    <w:pPr>
      <w:jc w:val="center"/>
    </w:pPr>
  </w:style>
  <w:style w:type="paragraph" w:customStyle="1" w:styleId="Tableheader">
    <w:name w:val="Table header"/>
    <w:basedOn w:val="Tabletext"/>
    <w:uiPriority w:val="8"/>
    <w:qFormat/>
    <w:rsid w:val="000F7DEC"/>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9"/>
    <w:rsid w:val="000F7DEC"/>
    <w:pPr>
      <w:numPr>
        <w:numId w:val="17"/>
      </w:numPr>
    </w:pPr>
  </w:style>
  <w:style w:type="paragraph" w:customStyle="1" w:styleId="Tabledash">
    <w:name w:val="Table dash"/>
    <w:basedOn w:val="Tablebullet"/>
    <w:uiPriority w:val="9"/>
    <w:rsid w:val="000F7DEC"/>
    <w:pPr>
      <w:numPr>
        <w:ilvl w:val="1"/>
      </w:numPr>
    </w:pPr>
  </w:style>
  <w:style w:type="paragraph" w:customStyle="1" w:styleId="Tabletextindent">
    <w:name w:val="Table text indent"/>
    <w:basedOn w:val="Tabletext"/>
    <w:uiPriority w:val="8"/>
    <w:qFormat/>
    <w:rsid w:val="000F7DEC"/>
    <w:pPr>
      <w:ind w:left="288"/>
    </w:pPr>
  </w:style>
  <w:style w:type="paragraph" w:customStyle="1" w:styleId="FRDHeader">
    <w:name w:val="FRD Header"/>
    <w:basedOn w:val="Normal"/>
    <w:semiHidden/>
    <w:rsid w:val="000F7DEC"/>
    <w:pPr>
      <w:spacing w:before="40" w:after="40" w:line="240" w:lineRule="auto"/>
    </w:pPr>
    <w:rPr>
      <w:rFonts w:eastAsia="Calibri" w:cs="Times New Roman"/>
      <w:color w:val="FFFFFF" w:themeColor="background1"/>
      <w:spacing w:val="0"/>
      <w:sz w:val="30"/>
      <w:szCs w:val="36"/>
      <w:lang w:eastAsia="en-US"/>
    </w:rPr>
  </w:style>
  <w:style w:type="paragraph" w:customStyle="1" w:styleId="FRDNumber">
    <w:name w:val="FRD Number"/>
    <w:basedOn w:val="FRDHeader"/>
    <w:semiHidden/>
    <w:rsid w:val="000F7DEC"/>
  </w:style>
  <w:style w:type="paragraph" w:customStyle="1" w:styleId="Normalgrey">
    <w:name w:val="Normal grey"/>
    <w:basedOn w:val="Normal"/>
    <w:uiPriority w:val="2"/>
    <w:unhideWhenUsed/>
    <w:qFormat/>
    <w:rsid w:val="000F7DEC"/>
    <w:pPr>
      <w:spacing w:line="264" w:lineRule="auto"/>
    </w:pPr>
    <w:rPr>
      <w:rFonts w:eastAsiaTheme="minorHAnsi"/>
      <w:color w:val="4D4D4D"/>
      <w:sz w:val="18"/>
      <w:szCs w:val="18"/>
      <w:lang w:eastAsia="en-US"/>
    </w:rPr>
  </w:style>
  <w:style w:type="paragraph" w:customStyle="1" w:styleId="Bullet1grey">
    <w:name w:val="Bullet 1 grey"/>
    <w:basedOn w:val="Bullet1"/>
    <w:uiPriority w:val="3"/>
    <w:unhideWhenUsed/>
    <w:qFormat/>
    <w:rsid w:val="000F7DEC"/>
    <w:rPr>
      <w:color w:val="4D4D4D"/>
      <w:sz w:val="18"/>
      <w:szCs w:val="18"/>
      <w:lang w:eastAsia="en-US"/>
    </w:rPr>
  </w:style>
  <w:style w:type="paragraph" w:customStyle="1" w:styleId="Normalbold">
    <w:name w:val="Normal bold"/>
    <w:basedOn w:val="Normal"/>
    <w:qFormat/>
    <w:rsid w:val="000F7DEC"/>
    <w:pPr>
      <w:spacing w:line="264" w:lineRule="auto"/>
    </w:pPr>
    <w:rPr>
      <w:rFonts w:eastAsiaTheme="minorHAnsi"/>
      <w:b/>
      <w:sz w:val="18"/>
      <w:szCs w:val="18"/>
      <w:lang w:eastAsia="en-US"/>
    </w:rPr>
  </w:style>
  <w:style w:type="paragraph" w:customStyle="1" w:styleId="Refnum1">
    <w:name w:val="Ref num 1"/>
    <w:basedOn w:val="Normal"/>
    <w:uiPriority w:val="7"/>
    <w:rsid w:val="000F7DEC"/>
    <w:pPr>
      <w:numPr>
        <w:numId w:val="25"/>
      </w:numPr>
      <w:spacing w:line="240" w:lineRule="auto"/>
    </w:pPr>
    <w:rPr>
      <w:rFonts w:eastAsia="Calibri" w:cs="Times New Roman"/>
      <w:color w:val="FFFFFF" w:themeColor="background1"/>
      <w:spacing w:val="0"/>
      <w:sz w:val="18"/>
      <w:szCs w:val="21"/>
      <w:lang w:eastAsia="en-US"/>
    </w:rPr>
  </w:style>
  <w:style w:type="paragraph" w:customStyle="1" w:styleId="Refnum2">
    <w:name w:val="Ref num 2"/>
    <w:basedOn w:val="Refnum1"/>
    <w:uiPriority w:val="7"/>
    <w:rsid w:val="000F7DEC"/>
    <w:pPr>
      <w:numPr>
        <w:ilvl w:val="2"/>
      </w:numPr>
    </w:pPr>
    <w:rPr>
      <w:color w:val="auto"/>
    </w:rPr>
  </w:style>
  <w:style w:type="paragraph" w:customStyle="1" w:styleId="Bullet2grey">
    <w:name w:val="Bullet 2 grey"/>
    <w:basedOn w:val="Bullet2"/>
    <w:uiPriority w:val="3"/>
    <w:qFormat/>
    <w:rsid w:val="000F7DEC"/>
    <w:rPr>
      <w:color w:val="4D4D4D"/>
      <w:sz w:val="18"/>
      <w:szCs w:val="21"/>
      <w:lang w:eastAsia="en-US"/>
    </w:rPr>
  </w:style>
  <w:style w:type="paragraph" w:customStyle="1" w:styleId="Listnumgrey">
    <w:name w:val="List num grey"/>
    <w:basedOn w:val="Listnum"/>
    <w:uiPriority w:val="3"/>
    <w:qFormat/>
    <w:rsid w:val="000F7DEC"/>
    <w:pPr>
      <w:spacing w:line="264" w:lineRule="auto"/>
    </w:pPr>
    <w:rPr>
      <w:rFonts w:eastAsiaTheme="minorHAnsi"/>
      <w:color w:val="4D4D4D"/>
      <w:szCs w:val="21"/>
      <w:lang w:eastAsia="en-US"/>
    </w:rPr>
  </w:style>
  <w:style w:type="paragraph" w:customStyle="1" w:styleId="Listnum2grey">
    <w:name w:val="List num 2 grey"/>
    <w:basedOn w:val="Listnum2"/>
    <w:uiPriority w:val="4"/>
    <w:qFormat/>
    <w:rsid w:val="000F7DEC"/>
    <w:pPr>
      <w:spacing w:line="264" w:lineRule="auto"/>
    </w:pPr>
    <w:rPr>
      <w:rFonts w:eastAsiaTheme="minorHAnsi"/>
      <w:color w:val="4D4D4D"/>
      <w:szCs w:val="21"/>
      <w:lang w:eastAsia="en-US"/>
    </w:rPr>
  </w:style>
  <w:style w:type="paragraph" w:customStyle="1" w:styleId="Bullet3">
    <w:name w:val="Bullet 3"/>
    <w:basedOn w:val="Normal"/>
    <w:uiPriority w:val="2"/>
    <w:qFormat/>
    <w:rsid w:val="00AA4863"/>
    <w:pPr>
      <w:spacing w:before="60" w:after="60" w:line="240" w:lineRule="auto"/>
      <w:ind w:left="1080" w:hanging="360"/>
    </w:pPr>
    <w:rPr>
      <w:rFonts w:ascii="Calibri" w:eastAsia="Calibri" w:hAnsi="Calibri" w:cs="Times New Roman"/>
      <w:color w:val="000000" w:themeColor="text1"/>
      <w:spacing w:val="0"/>
      <w:sz w:val="22"/>
      <w:szCs w:val="21"/>
      <w:lang w:eastAsia="en-US"/>
    </w:rPr>
  </w:style>
  <w:style w:type="paragraph" w:customStyle="1" w:styleId="List1">
    <w:name w:val="List 1"/>
    <w:basedOn w:val="Normal"/>
    <w:uiPriority w:val="2"/>
    <w:qFormat/>
    <w:rsid w:val="00AA4863"/>
    <w:pPr>
      <w:numPr>
        <w:numId w:val="22"/>
      </w:numPr>
      <w:spacing w:before="60" w:after="60" w:line="240" w:lineRule="auto"/>
    </w:pPr>
    <w:rPr>
      <w:rFonts w:ascii="Calibri" w:eastAsia="Calibri" w:hAnsi="Calibri" w:cs="Times New Roman"/>
      <w:color w:val="000000" w:themeColor="text1"/>
      <w:spacing w:val="0"/>
      <w:sz w:val="22"/>
      <w:szCs w:val="21"/>
      <w:lang w:eastAsia="en-US"/>
    </w:rPr>
  </w:style>
  <w:style w:type="paragraph" w:styleId="List2">
    <w:name w:val="List 2"/>
    <w:basedOn w:val="List1"/>
    <w:uiPriority w:val="2"/>
    <w:rsid w:val="00AA4863"/>
    <w:pPr>
      <w:numPr>
        <w:ilvl w:val="1"/>
      </w:numPr>
    </w:pPr>
  </w:style>
  <w:style w:type="paragraph" w:styleId="List3">
    <w:name w:val="List 3"/>
    <w:basedOn w:val="List2"/>
    <w:uiPriority w:val="2"/>
    <w:rsid w:val="00AA4863"/>
    <w:pPr>
      <w:numPr>
        <w:ilvl w:val="2"/>
      </w:numPr>
    </w:pPr>
  </w:style>
  <w:style w:type="paragraph" w:customStyle="1" w:styleId="Refnum1grey">
    <w:name w:val="Ref num 1 grey"/>
    <w:basedOn w:val="Refnum1"/>
    <w:uiPriority w:val="7"/>
    <w:qFormat/>
    <w:rsid w:val="000F7DEC"/>
    <w:rPr>
      <w:color w:val="F2F2F2" w:themeColor="background1" w:themeShade="F2"/>
    </w:rPr>
  </w:style>
  <w:style w:type="paragraph" w:customStyle="1" w:styleId="Refnum2grey">
    <w:name w:val="Ref num 2 grey"/>
    <w:basedOn w:val="Normal"/>
    <w:rsid w:val="000F7DEC"/>
    <w:pPr>
      <w:numPr>
        <w:ilvl w:val="1"/>
        <w:numId w:val="25"/>
      </w:numPr>
    </w:pPr>
  </w:style>
  <w:style w:type="character" w:styleId="CommentReference">
    <w:name w:val="annotation reference"/>
    <w:basedOn w:val="DefaultParagraphFont"/>
    <w:uiPriority w:val="99"/>
    <w:semiHidden/>
    <w:rsid w:val="003E3CA7"/>
    <w:rPr>
      <w:sz w:val="16"/>
      <w:szCs w:val="16"/>
    </w:rPr>
  </w:style>
  <w:style w:type="paragraph" w:styleId="CommentText">
    <w:name w:val="annotation text"/>
    <w:basedOn w:val="Normal"/>
    <w:link w:val="CommentTextChar"/>
    <w:uiPriority w:val="99"/>
    <w:semiHidden/>
    <w:rsid w:val="003E3CA7"/>
    <w:pPr>
      <w:spacing w:line="240" w:lineRule="auto"/>
    </w:pPr>
  </w:style>
  <w:style w:type="character" w:customStyle="1" w:styleId="CommentTextChar">
    <w:name w:val="Comment Text Char"/>
    <w:basedOn w:val="DefaultParagraphFont"/>
    <w:link w:val="CommentText"/>
    <w:uiPriority w:val="99"/>
    <w:semiHidden/>
    <w:rsid w:val="003E3CA7"/>
    <w:rPr>
      <w:spacing w:val="2"/>
    </w:rPr>
  </w:style>
  <w:style w:type="paragraph" w:styleId="CommentSubject">
    <w:name w:val="annotation subject"/>
    <w:basedOn w:val="CommentText"/>
    <w:next w:val="CommentText"/>
    <w:link w:val="CommentSubjectChar"/>
    <w:uiPriority w:val="99"/>
    <w:semiHidden/>
    <w:rsid w:val="003E3CA7"/>
    <w:rPr>
      <w:b/>
      <w:bCs/>
    </w:rPr>
  </w:style>
  <w:style w:type="character" w:customStyle="1" w:styleId="CommentSubjectChar">
    <w:name w:val="Comment Subject Char"/>
    <w:basedOn w:val="CommentTextChar"/>
    <w:link w:val="CommentSubject"/>
    <w:uiPriority w:val="99"/>
    <w:semiHidden/>
    <w:rsid w:val="003E3CA7"/>
    <w:rPr>
      <w:b/>
      <w:bCs/>
      <w:spacing w:val="2"/>
    </w:rPr>
  </w:style>
  <w:style w:type="paragraph" w:customStyle="1" w:styleId="Guidanceheading2">
    <w:name w:val="Guidance heading 2"/>
    <w:basedOn w:val="Normal"/>
    <w:uiPriority w:val="4"/>
    <w:qFormat/>
    <w:rsid w:val="001D52DE"/>
    <w:pPr>
      <w:keepNext/>
      <w:pBdr>
        <w:left w:val="single" w:sz="4" w:space="4" w:color="0072CE"/>
        <w:bottom w:val="single" w:sz="4" w:space="1" w:color="0072CE" w:themeColor="accent4"/>
        <w:right w:val="single" w:sz="4" w:space="4" w:color="0072CE"/>
      </w:pBdr>
      <w:spacing w:after="0" w:line="240" w:lineRule="auto"/>
      <w:ind w:left="360" w:hanging="360"/>
    </w:pPr>
    <w:rPr>
      <w:rFonts w:ascii="Arial" w:eastAsiaTheme="minorHAnsi" w:hAnsi="Arial"/>
      <w:b/>
      <w:i/>
      <w:color w:val="0072CE"/>
      <w:spacing w:val="6"/>
      <w:sz w:val="18"/>
      <w:szCs w:val="22"/>
      <w:lang w:eastAsia="en-US"/>
    </w:rPr>
  </w:style>
  <w:style w:type="paragraph" w:styleId="Revision">
    <w:name w:val="Revision"/>
    <w:hidden/>
    <w:uiPriority w:val="99"/>
    <w:semiHidden/>
    <w:rsid w:val="004C74D5"/>
    <w:pPr>
      <w:spacing w:after="0" w:line="240" w:lineRule="auto"/>
    </w:pPr>
    <w:rPr>
      <w:spacing w:val="2"/>
    </w:rPr>
  </w:style>
  <w:style w:type="character" w:styleId="UnresolvedMention">
    <w:name w:val="Unresolved Mention"/>
    <w:basedOn w:val="DefaultParagraphFont"/>
    <w:uiPriority w:val="99"/>
    <w:semiHidden/>
    <w:unhideWhenUsed/>
    <w:rsid w:val="00483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orkforce.data@vpsc.vic.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41646f-131c-4219-8b7a-c3a1a8569630">
      <Terms xmlns="http://schemas.microsoft.com/office/infopath/2007/PartnerControls"/>
    </lcf76f155ced4ddcb4097134ff3c332f>
    <TaxCatchAll xmlns="40279742-e761-4bc0-874d-91c6c0ed6b0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K a p i s h F i l e n a m e T o U r i M a p p i n g s   x m l n s : x s i = " h t t p : / / w w w . w 3 . o r g / 2 0 0 1 / X M L S c h e m a - i n s t a n c e "   x m l n s : x s d = " h t t p : / / w w w . w 3 . o r g / 2 0 0 1 / X M L S c h e m a " / > 
</file>

<file path=customXml/item4.xml><?xml version="1.0" encoding="utf-8"?>
<ct:contentTypeSchema xmlns:ct="http://schemas.microsoft.com/office/2006/metadata/contentType" xmlns:ma="http://schemas.microsoft.com/office/2006/metadata/properties/metaAttributes" ct:_="" ma:_="" ma:contentTypeName="Document" ma:contentTypeID="0x01010047772D2F5E237D46BB5320B3CAF2DD35" ma:contentTypeVersion="13" ma:contentTypeDescription="Create a new document." ma:contentTypeScope="" ma:versionID="b4d3d2719f46ab181a0fc87fe4e9a937">
  <xsd:schema xmlns:xsd="http://www.w3.org/2001/XMLSchema" xmlns:xs="http://www.w3.org/2001/XMLSchema" xmlns:p="http://schemas.microsoft.com/office/2006/metadata/properties" xmlns:ns2="4541646f-131c-4219-8b7a-c3a1a8569630" xmlns:ns3="40279742-e761-4bc0-874d-91c6c0ed6b0c" targetNamespace="http://schemas.microsoft.com/office/2006/metadata/properties" ma:root="true" ma:fieldsID="f81930cb302bad006a9be4c956e856b5" ns2:_="" ns3:_="">
    <xsd:import namespace="4541646f-131c-4219-8b7a-c3a1a8569630"/>
    <xsd:import namespace="40279742-e761-4bc0-874d-91c6c0ed6b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1646f-131c-4219-8b7a-c3a1a8569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279742-e761-4bc0-874d-91c6c0ed6b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233b967-b30e-4c22-aae5-790ce52e884b}" ma:internalName="TaxCatchAll" ma:showField="CatchAllData" ma:web="40279742-e761-4bc0-874d-91c6c0ed6b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19811F-3E23-4DC4-988A-D33A6D014826}">
  <ds:schemaRefs>
    <ds:schemaRef ds:uri="http://schemas.microsoft.com/office/2006/metadata/properties"/>
    <ds:schemaRef ds:uri="http://schemas.microsoft.com/office/infopath/2007/PartnerControls"/>
    <ds:schemaRef ds:uri="4541646f-131c-4219-8b7a-c3a1a8569630"/>
    <ds:schemaRef ds:uri="40279742-e761-4bc0-874d-91c6c0ed6b0c"/>
  </ds:schemaRefs>
</ds:datastoreItem>
</file>

<file path=customXml/itemProps2.xml><?xml version="1.0" encoding="utf-8"?>
<ds:datastoreItem xmlns:ds="http://schemas.openxmlformats.org/officeDocument/2006/customXml" ds:itemID="{926F100B-DF37-4D63-ADDA-8C34CFF0FABA}">
  <ds:schemaRefs>
    <ds:schemaRef ds:uri="http://schemas.openxmlformats.org/officeDocument/2006/bibliography"/>
  </ds:schemaRefs>
</ds:datastoreItem>
</file>

<file path=customXml/itemProps3.xml><?xml version="1.0" encoding="utf-8"?>
<ds:datastoreItem xmlns:ds="http://schemas.openxmlformats.org/officeDocument/2006/customXml" ds:itemID="{1373AD30-AC0E-47A5-8D2A-82C092106CF1}">
  <ds:schemaRefs>
    <ds:schemaRef ds:uri="http://www.w3.org/2001/XMLSchema"/>
  </ds:schemaRefs>
</ds:datastoreItem>
</file>

<file path=customXml/itemProps4.xml><?xml version="1.0" encoding="utf-8"?>
<ds:datastoreItem xmlns:ds="http://schemas.openxmlformats.org/officeDocument/2006/customXml" ds:itemID="{CF83A125-4A06-41DC-8F20-90D7AC08D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1646f-131c-4219-8b7a-c3a1a8569630"/>
    <ds:schemaRef ds:uri="40279742-e761-4bc0-874d-91c6c0ed6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C472BC-C2B1-48B8-92E8-7162D7EE0A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4</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7437</CharactersWithSpaces>
  <SharedDoc>false</SharedDoc>
  <HLinks>
    <vt:vector size="6" baseType="variant">
      <vt:variant>
        <vt:i4>458792</vt:i4>
      </vt:variant>
      <vt:variant>
        <vt:i4>3</vt:i4>
      </vt:variant>
      <vt:variant>
        <vt:i4>0</vt:i4>
      </vt:variant>
      <vt:variant>
        <vt:i4>5</vt:i4>
      </vt:variant>
      <vt:variant>
        <vt:lpwstr>mailto:equality@dpc.vic.gov.au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Marsal</dc:creator>
  <cp:lastModifiedBy>Constance Yuan (DTF)</cp:lastModifiedBy>
  <cp:revision>54</cp:revision>
  <cp:lastPrinted>2018-01-30T21:42:00Z</cp:lastPrinted>
  <dcterms:created xsi:type="dcterms:W3CDTF">2024-12-18T03:50:00Z</dcterms:created>
  <dcterms:modified xsi:type="dcterms:W3CDTF">2025-04-09T03:57:00Z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438fa019-933e-4035-bad8-523925b4110a</vt:lpwstr>
  </property>
  <property fmtid="{D5CDD505-2E9C-101B-9397-08002B2CF9AE}" pid="3" name="_DocHome">
    <vt:i4>-1529054440</vt:i4>
  </property>
  <property fmtid="{D5CDD505-2E9C-101B-9397-08002B2CF9AE}" pid="4" name="PSPFClassification">
    <vt:lpwstr>Do Not Mark</vt:lpwstr>
  </property>
  <property fmtid="{D5CDD505-2E9C-101B-9397-08002B2CF9AE}" pid="5" name="ContentTypeId">
    <vt:lpwstr>0x01010047772D2F5E237D46BB5320B3CAF2DD35</vt:lpwstr>
  </property>
  <property fmtid="{D5CDD505-2E9C-101B-9397-08002B2CF9AE}" pid="6" name="MSIP_Label_7158ebbd-6c5e-441f-bfc9-4eb8c11e3978_Enabled">
    <vt:lpwstr>true</vt:lpwstr>
  </property>
  <property fmtid="{D5CDD505-2E9C-101B-9397-08002B2CF9AE}" pid="7" name="MSIP_Label_7158ebbd-6c5e-441f-bfc9-4eb8c11e3978_SetDate">
    <vt:lpwstr>2022-04-28T02:37:32Z</vt:lpwstr>
  </property>
  <property fmtid="{D5CDD505-2E9C-101B-9397-08002B2CF9AE}" pid="8" name="MSIP_Label_7158ebbd-6c5e-441f-bfc9-4eb8c11e3978_Method">
    <vt:lpwstr>Privileged</vt:lpwstr>
  </property>
  <property fmtid="{D5CDD505-2E9C-101B-9397-08002B2CF9AE}" pid="9" name="MSIP_Label_7158ebbd-6c5e-441f-bfc9-4eb8c11e3978_Name">
    <vt:lpwstr>7158ebbd-6c5e-441f-bfc9-4eb8c11e3978</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ActionId">
    <vt:lpwstr>ddcb15e9-04c4-4b32-bf4a-94c75cca5748</vt:lpwstr>
  </property>
  <property fmtid="{D5CDD505-2E9C-101B-9397-08002B2CF9AE}" pid="12" name="MSIP_Label_7158ebbd-6c5e-441f-bfc9-4eb8c11e3978_ContentBits">
    <vt:lpwstr>2</vt:lpwstr>
  </property>
  <property fmtid="{D5CDD505-2E9C-101B-9397-08002B2CF9AE}" pid="13" name="MediaServiceImageTags">
    <vt:lpwstr/>
  </property>
</Properties>
</file>