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DTFtexttable"/>
        <w:tblW w:w="9237" w:type="dxa"/>
        <w:tblLayout w:type="fixed"/>
        <w:tblLook w:val="0620" w:firstRow="1" w:lastRow="0" w:firstColumn="0" w:lastColumn="0" w:noHBand="1" w:noVBand="1"/>
      </w:tblPr>
      <w:tblGrid>
        <w:gridCol w:w="2293"/>
        <w:gridCol w:w="270"/>
        <w:gridCol w:w="540"/>
        <w:gridCol w:w="6134"/>
      </w:tblGrid>
      <w:tr w:rsidR="006C78FB" w:rsidRPr="00231BD3" w14:paraId="7AB5252E" w14:textId="77777777" w:rsidTr="00FF051E">
        <w:trPr>
          <w:cnfStyle w:val="100000000000" w:firstRow="1" w:lastRow="0" w:firstColumn="0" w:lastColumn="0" w:oddVBand="0" w:evenVBand="0" w:oddHBand="0" w:evenHBand="0" w:firstRowFirstColumn="0" w:firstRowLastColumn="0" w:lastRowFirstColumn="0" w:lastRowLastColumn="0"/>
        </w:trPr>
        <w:tc>
          <w:tcPr>
            <w:tcW w:w="2293" w:type="dxa"/>
          </w:tcPr>
          <w:p w14:paraId="09D14F81" w14:textId="1298D768" w:rsidR="006C78FB" w:rsidRPr="00231BD3" w:rsidRDefault="006C78FB" w:rsidP="00737B05">
            <w:pPr>
              <w:pStyle w:val="FRDNumber"/>
            </w:pPr>
            <w:r w:rsidRPr="00231BD3">
              <w:t xml:space="preserve">FRD </w:t>
            </w:r>
            <w:r w:rsidR="005E7724">
              <w:t>103</w:t>
            </w:r>
          </w:p>
        </w:tc>
        <w:tc>
          <w:tcPr>
            <w:tcW w:w="270" w:type="dxa"/>
          </w:tcPr>
          <w:p w14:paraId="3DE3B2CC" w14:textId="77777777" w:rsidR="006C78FB" w:rsidRPr="00231BD3" w:rsidRDefault="006C78FB" w:rsidP="00737B05"/>
        </w:tc>
        <w:tc>
          <w:tcPr>
            <w:tcW w:w="540" w:type="dxa"/>
          </w:tcPr>
          <w:p w14:paraId="634F1905" w14:textId="77777777" w:rsidR="006C78FB" w:rsidRPr="00231BD3" w:rsidRDefault="006C78FB" w:rsidP="00737B05"/>
        </w:tc>
        <w:tc>
          <w:tcPr>
            <w:tcW w:w="6134" w:type="dxa"/>
          </w:tcPr>
          <w:p w14:paraId="6C7FB7A5" w14:textId="3AE6FC22" w:rsidR="006C78FB" w:rsidRPr="00231BD3" w:rsidRDefault="005E7724" w:rsidP="00737B05">
            <w:pPr>
              <w:pStyle w:val="FRDHeader"/>
            </w:pPr>
            <w:r w:rsidRPr="005E7724">
              <w:t>Non-financial physical assets (</w:t>
            </w:r>
            <w:r w:rsidR="00F402AF">
              <w:t>April 2025</w:t>
            </w:r>
            <w:r w:rsidRPr="005E7724">
              <w:t>)</w:t>
            </w:r>
          </w:p>
        </w:tc>
      </w:tr>
      <w:tr w:rsidR="006C78FB" w:rsidRPr="00E10ADB" w14:paraId="61C3A833" w14:textId="77777777" w:rsidTr="00737B05">
        <w:trPr>
          <w:trHeight w:hRule="exact" w:val="120"/>
        </w:trPr>
        <w:tc>
          <w:tcPr>
            <w:tcW w:w="2293" w:type="dxa"/>
          </w:tcPr>
          <w:p w14:paraId="126059D0" w14:textId="77777777" w:rsidR="006C78FB" w:rsidRPr="008A601F" w:rsidRDefault="006C78FB" w:rsidP="00737B05">
            <w:pPr>
              <w:pStyle w:val="Tabletext"/>
            </w:pPr>
          </w:p>
        </w:tc>
        <w:tc>
          <w:tcPr>
            <w:tcW w:w="270" w:type="dxa"/>
          </w:tcPr>
          <w:p w14:paraId="15623D08" w14:textId="77777777" w:rsidR="006C78FB" w:rsidRPr="008A601F" w:rsidRDefault="006C78FB" w:rsidP="006D66F9">
            <w:pPr>
              <w:pStyle w:val="Normalgrey"/>
            </w:pPr>
          </w:p>
        </w:tc>
        <w:tc>
          <w:tcPr>
            <w:tcW w:w="540" w:type="dxa"/>
          </w:tcPr>
          <w:p w14:paraId="74CC25C8" w14:textId="77777777" w:rsidR="006C78FB" w:rsidRPr="008A601F" w:rsidRDefault="006C78FB" w:rsidP="00737B05"/>
        </w:tc>
        <w:tc>
          <w:tcPr>
            <w:tcW w:w="6134" w:type="dxa"/>
          </w:tcPr>
          <w:p w14:paraId="56D26D9B" w14:textId="77777777" w:rsidR="006C78FB" w:rsidRPr="008A601F" w:rsidRDefault="006C78FB" w:rsidP="00737B05"/>
        </w:tc>
      </w:tr>
      <w:tr w:rsidR="005828FE" w:rsidRPr="005828FE" w14:paraId="3E21E95C" w14:textId="77777777" w:rsidTr="00737B05">
        <w:tc>
          <w:tcPr>
            <w:tcW w:w="2293" w:type="dxa"/>
          </w:tcPr>
          <w:p w14:paraId="2A18A504" w14:textId="77777777" w:rsidR="006C78FB" w:rsidRPr="005828FE" w:rsidRDefault="006C78FB" w:rsidP="00382EE1">
            <w:pPr>
              <w:pStyle w:val="Normalgrey"/>
            </w:pPr>
            <w:r w:rsidRPr="005828FE">
              <w:t>Purpose</w:t>
            </w:r>
          </w:p>
        </w:tc>
        <w:tc>
          <w:tcPr>
            <w:tcW w:w="270" w:type="dxa"/>
          </w:tcPr>
          <w:p w14:paraId="0E7F40EE" w14:textId="77777777" w:rsidR="006C78FB" w:rsidRPr="005828FE" w:rsidRDefault="006C78FB" w:rsidP="00286F9A">
            <w:pPr>
              <w:pStyle w:val="Normalgrey"/>
            </w:pPr>
          </w:p>
        </w:tc>
        <w:tc>
          <w:tcPr>
            <w:tcW w:w="540" w:type="dxa"/>
          </w:tcPr>
          <w:p w14:paraId="42EA9FF6" w14:textId="77777777" w:rsidR="006C78FB" w:rsidRPr="005828FE" w:rsidRDefault="005E7724" w:rsidP="00347699">
            <w:pPr>
              <w:pStyle w:val="Normalgrey"/>
            </w:pPr>
            <w:r>
              <w:t>1.1</w:t>
            </w:r>
          </w:p>
        </w:tc>
        <w:tc>
          <w:tcPr>
            <w:tcW w:w="6134" w:type="dxa"/>
          </w:tcPr>
          <w:p w14:paraId="3E076E5E" w14:textId="535B893E" w:rsidR="006C78FB" w:rsidRPr="005828FE" w:rsidRDefault="005E7724" w:rsidP="00382EE1">
            <w:pPr>
              <w:pStyle w:val="Normalgrey"/>
            </w:pPr>
            <w:r w:rsidRPr="005E7724">
              <w:t>To prescribe the ongoing requirements for the classification and subsequent revaluation of non-financial physical assets</w:t>
            </w:r>
            <w:r w:rsidR="00004C99">
              <w:t>, including Right-of-Use Assets</w:t>
            </w:r>
            <w:r w:rsidRPr="005E7724">
              <w:t>.</w:t>
            </w:r>
          </w:p>
        </w:tc>
      </w:tr>
      <w:tr w:rsidR="006C78FB" w:rsidRPr="005828FE" w14:paraId="0316D4E8" w14:textId="77777777" w:rsidTr="00963C94">
        <w:tc>
          <w:tcPr>
            <w:tcW w:w="2293" w:type="dxa"/>
            <w:shd w:val="clear" w:color="auto" w:fill="F2F2F2" w:themeFill="background1" w:themeFillShade="F2"/>
          </w:tcPr>
          <w:p w14:paraId="360246C3" w14:textId="77777777" w:rsidR="006C78FB" w:rsidRPr="005828FE" w:rsidRDefault="006C78FB" w:rsidP="005910B6">
            <w:pPr>
              <w:pStyle w:val="Normalbold"/>
            </w:pPr>
            <w:r w:rsidRPr="005828FE">
              <w:t>Application</w:t>
            </w:r>
          </w:p>
        </w:tc>
        <w:tc>
          <w:tcPr>
            <w:tcW w:w="270" w:type="dxa"/>
            <w:shd w:val="clear" w:color="auto" w:fill="F2F2F2" w:themeFill="background1" w:themeFillShade="F2"/>
          </w:tcPr>
          <w:p w14:paraId="1061869A" w14:textId="77777777" w:rsidR="006C78FB" w:rsidRPr="008B2A17" w:rsidRDefault="006C78FB" w:rsidP="00AB34F2">
            <w:pPr>
              <w:pStyle w:val="Normalbold"/>
            </w:pPr>
          </w:p>
        </w:tc>
        <w:tc>
          <w:tcPr>
            <w:tcW w:w="540" w:type="dxa"/>
            <w:shd w:val="clear" w:color="auto" w:fill="F2F2F2" w:themeFill="background1" w:themeFillShade="F2"/>
          </w:tcPr>
          <w:p w14:paraId="08757AAB" w14:textId="77777777" w:rsidR="006C78FB" w:rsidRPr="005828FE" w:rsidRDefault="005E7724" w:rsidP="00AB34F2">
            <w:pPr>
              <w:pStyle w:val="Normalbold"/>
            </w:pPr>
            <w:r>
              <w:t>2.1</w:t>
            </w:r>
          </w:p>
        </w:tc>
        <w:tc>
          <w:tcPr>
            <w:tcW w:w="6134" w:type="dxa"/>
            <w:shd w:val="clear" w:color="auto" w:fill="F2F2F2" w:themeFill="background1" w:themeFillShade="F2"/>
          </w:tcPr>
          <w:p w14:paraId="1DEFB8DB" w14:textId="77777777" w:rsidR="005E7724" w:rsidRPr="004A7840" w:rsidRDefault="005E7724">
            <w:pPr>
              <w:pStyle w:val="Normalbold"/>
            </w:pPr>
            <w:r w:rsidRPr="004A7840">
              <w:t xml:space="preserve">Applies to all entities defined as either a public body or a department under section 3 of the </w:t>
            </w:r>
            <w:r w:rsidRPr="004A7840">
              <w:rPr>
                <w:i/>
              </w:rPr>
              <w:t>Financial Management Act 1994</w:t>
            </w:r>
            <w:r w:rsidRPr="004A7840">
              <w:t xml:space="preserve"> (FMA) except universities. </w:t>
            </w:r>
          </w:p>
          <w:p w14:paraId="10936F05" w14:textId="77777777" w:rsidR="006C78FB" w:rsidRPr="004A7840" w:rsidRDefault="005E7724">
            <w:pPr>
              <w:pStyle w:val="Normalbold"/>
            </w:pPr>
            <w:r w:rsidRPr="004A7840">
              <w:t>State-controlled education providers whose physical assets are consolidated within the State of Victoria economic entity (such as Technical and Further Education Institutes) are also required to apply this Direction, even if they are allied with a university.</w:t>
            </w:r>
          </w:p>
        </w:tc>
      </w:tr>
      <w:tr w:rsidR="005E7724" w:rsidRPr="005828FE" w14:paraId="70EB353F" w14:textId="77777777" w:rsidTr="00963C94">
        <w:tc>
          <w:tcPr>
            <w:tcW w:w="2293" w:type="dxa"/>
            <w:shd w:val="clear" w:color="auto" w:fill="F2F2F2" w:themeFill="background1" w:themeFillShade="F2"/>
          </w:tcPr>
          <w:p w14:paraId="1DF283B4" w14:textId="77777777" w:rsidR="005E7724" w:rsidRPr="005828FE" w:rsidRDefault="005E7724" w:rsidP="005910B6">
            <w:pPr>
              <w:pStyle w:val="Normalbold"/>
            </w:pPr>
          </w:p>
        </w:tc>
        <w:tc>
          <w:tcPr>
            <w:tcW w:w="270" w:type="dxa"/>
            <w:shd w:val="clear" w:color="auto" w:fill="F2F2F2" w:themeFill="background1" w:themeFillShade="F2"/>
          </w:tcPr>
          <w:p w14:paraId="7BB34570" w14:textId="77777777" w:rsidR="005E7724" w:rsidRPr="008B2A17" w:rsidRDefault="005E7724" w:rsidP="00AB34F2">
            <w:pPr>
              <w:pStyle w:val="Normalbold"/>
            </w:pPr>
          </w:p>
        </w:tc>
        <w:tc>
          <w:tcPr>
            <w:tcW w:w="540" w:type="dxa"/>
            <w:shd w:val="clear" w:color="auto" w:fill="F2F2F2" w:themeFill="background1" w:themeFillShade="F2"/>
          </w:tcPr>
          <w:p w14:paraId="277BE19C" w14:textId="1A33C955" w:rsidR="00157CA1" w:rsidRPr="005828FE" w:rsidRDefault="00157CA1" w:rsidP="00AB34F2">
            <w:pPr>
              <w:pStyle w:val="Normalbold"/>
            </w:pPr>
            <w:r>
              <w:t>2.</w:t>
            </w:r>
            <w:r w:rsidR="0077144F">
              <w:t>2</w:t>
            </w:r>
          </w:p>
        </w:tc>
        <w:tc>
          <w:tcPr>
            <w:tcW w:w="6134" w:type="dxa"/>
            <w:shd w:val="clear" w:color="auto" w:fill="F2F2F2" w:themeFill="background1" w:themeFillShade="F2"/>
          </w:tcPr>
          <w:p w14:paraId="568AE454" w14:textId="17A6F608" w:rsidR="005E7724" w:rsidRPr="004A7840" w:rsidRDefault="005E7724" w:rsidP="005910B6">
            <w:pPr>
              <w:pStyle w:val="Normalbold"/>
            </w:pPr>
            <w:r w:rsidRPr="004A7840">
              <w:t>This Direction does not apply to:</w:t>
            </w:r>
          </w:p>
          <w:p w14:paraId="29664F5F" w14:textId="320E9A6A" w:rsidR="005E7724" w:rsidRPr="00AB34F2" w:rsidRDefault="005E7724" w:rsidP="00AB34F2">
            <w:pPr>
              <w:pStyle w:val="Bullet1"/>
              <w:rPr>
                <w:b/>
                <w:bCs/>
              </w:rPr>
            </w:pPr>
            <w:r w:rsidRPr="00AB34F2">
              <w:rPr>
                <w:b/>
                <w:bCs/>
              </w:rPr>
              <w:t xml:space="preserve">investment properties, as this class of asset is covered by FRD 107 </w:t>
            </w:r>
            <w:r w:rsidRPr="00AB34F2">
              <w:rPr>
                <w:b/>
                <w:bCs/>
                <w:i/>
              </w:rPr>
              <w:t>Investment Properties</w:t>
            </w:r>
            <w:r w:rsidRPr="00AB34F2">
              <w:rPr>
                <w:b/>
                <w:bCs/>
              </w:rPr>
              <w:t>; and</w:t>
            </w:r>
          </w:p>
          <w:p w14:paraId="54FFB5B8" w14:textId="77777777" w:rsidR="005E7724" w:rsidRPr="004A7840" w:rsidRDefault="005E7724" w:rsidP="0051558C">
            <w:pPr>
              <w:pStyle w:val="Bullet1"/>
            </w:pPr>
            <w:r w:rsidRPr="00AB34F2">
              <w:rPr>
                <w:b/>
                <w:bCs/>
              </w:rPr>
              <w:t xml:space="preserve">biological assets which are accounted under AASB 141 </w:t>
            </w:r>
            <w:r w:rsidRPr="00AB34F2">
              <w:rPr>
                <w:b/>
                <w:bCs/>
                <w:i/>
              </w:rPr>
              <w:t>Agriculture</w:t>
            </w:r>
            <w:r w:rsidRPr="00AB34F2">
              <w:rPr>
                <w:b/>
                <w:bCs/>
              </w:rPr>
              <w:t xml:space="preserve"> and AASB 13 </w:t>
            </w:r>
            <w:r w:rsidRPr="00AB34F2">
              <w:rPr>
                <w:b/>
                <w:bCs/>
                <w:i/>
              </w:rPr>
              <w:t>Fair Value Measurement</w:t>
            </w:r>
            <w:r w:rsidRPr="00AB34F2">
              <w:rPr>
                <w:b/>
                <w:bCs/>
              </w:rPr>
              <w:t>.</w:t>
            </w:r>
          </w:p>
        </w:tc>
      </w:tr>
      <w:tr w:rsidR="005E7724" w:rsidRPr="005828FE" w14:paraId="2C3879D9" w14:textId="77777777" w:rsidTr="00963C94">
        <w:tc>
          <w:tcPr>
            <w:tcW w:w="2293" w:type="dxa"/>
            <w:shd w:val="clear" w:color="auto" w:fill="F2F2F2" w:themeFill="background1" w:themeFillShade="F2"/>
          </w:tcPr>
          <w:p w14:paraId="0A66B730" w14:textId="77777777" w:rsidR="005E7724" w:rsidRPr="005828FE" w:rsidRDefault="005E7724" w:rsidP="005910B6">
            <w:pPr>
              <w:pStyle w:val="Normalbold"/>
            </w:pPr>
          </w:p>
        </w:tc>
        <w:tc>
          <w:tcPr>
            <w:tcW w:w="270" w:type="dxa"/>
            <w:shd w:val="clear" w:color="auto" w:fill="F2F2F2" w:themeFill="background1" w:themeFillShade="F2"/>
          </w:tcPr>
          <w:p w14:paraId="218E654F" w14:textId="77777777" w:rsidR="005E7724" w:rsidRPr="008B2A17" w:rsidRDefault="005E7724" w:rsidP="00AB34F2">
            <w:pPr>
              <w:pStyle w:val="Normalbold"/>
            </w:pPr>
          </w:p>
        </w:tc>
        <w:tc>
          <w:tcPr>
            <w:tcW w:w="540" w:type="dxa"/>
            <w:shd w:val="clear" w:color="auto" w:fill="F2F2F2" w:themeFill="background1" w:themeFillShade="F2"/>
          </w:tcPr>
          <w:p w14:paraId="6ED15C5E" w14:textId="77777777" w:rsidR="005E7724" w:rsidRPr="005828FE" w:rsidRDefault="005E7724" w:rsidP="00AB34F2">
            <w:pPr>
              <w:pStyle w:val="Normalbold"/>
            </w:pPr>
            <w:r>
              <w:t>2.3</w:t>
            </w:r>
          </w:p>
        </w:tc>
        <w:tc>
          <w:tcPr>
            <w:tcW w:w="6134" w:type="dxa"/>
            <w:shd w:val="clear" w:color="auto" w:fill="F2F2F2" w:themeFill="background1" w:themeFillShade="F2"/>
          </w:tcPr>
          <w:p w14:paraId="70D165BA" w14:textId="7546A068" w:rsidR="005E7724" w:rsidRPr="004A7840" w:rsidRDefault="005E7724">
            <w:pPr>
              <w:pStyle w:val="Normalbold"/>
            </w:pPr>
            <w:r w:rsidRPr="004A7840">
              <w:t xml:space="preserve">Assets (or shares of assets) that are recognised as joint venture arrangements </w:t>
            </w:r>
            <w:r w:rsidR="00BB73BA">
              <w:t xml:space="preserve">in accordance with AASB 11 </w:t>
            </w:r>
            <w:r w:rsidR="00BB73BA" w:rsidRPr="00490386">
              <w:rPr>
                <w:i/>
                <w:iCs/>
              </w:rPr>
              <w:t>Joint Arrangements</w:t>
            </w:r>
            <w:r w:rsidR="00BB73BA">
              <w:t xml:space="preserve"> (AASB 11) </w:t>
            </w:r>
            <w:r w:rsidRPr="004A7840">
              <w:t>are excluded from the requirements of this Direction.</w:t>
            </w:r>
            <w:r w:rsidR="00BB73BA">
              <w:t xml:space="preserve"> </w:t>
            </w:r>
            <w:r w:rsidR="00004C99">
              <w:t>However, t</w:t>
            </w:r>
            <w:r w:rsidR="00BB73BA">
              <w:t xml:space="preserve">his Direction applies to the assets (or shares of assets) that are recognised as joint operations in accordance with AASB 11. </w:t>
            </w:r>
          </w:p>
        </w:tc>
      </w:tr>
      <w:tr w:rsidR="005E7724" w:rsidRPr="005828FE" w14:paraId="01044276" w14:textId="77777777" w:rsidTr="00963C94">
        <w:tc>
          <w:tcPr>
            <w:tcW w:w="2293" w:type="dxa"/>
            <w:shd w:val="clear" w:color="auto" w:fill="F2F2F2" w:themeFill="background1" w:themeFillShade="F2"/>
          </w:tcPr>
          <w:p w14:paraId="0DA73541" w14:textId="77777777" w:rsidR="005E7724" w:rsidRPr="005828FE" w:rsidRDefault="005E7724" w:rsidP="005910B6">
            <w:pPr>
              <w:pStyle w:val="Normalbold"/>
            </w:pPr>
          </w:p>
        </w:tc>
        <w:tc>
          <w:tcPr>
            <w:tcW w:w="270" w:type="dxa"/>
            <w:shd w:val="clear" w:color="auto" w:fill="F2F2F2" w:themeFill="background1" w:themeFillShade="F2"/>
          </w:tcPr>
          <w:p w14:paraId="62B2B3A9" w14:textId="77777777" w:rsidR="005E7724" w:rsidRPr="008B2A17" w:rsidRDefault="005E7724" w:rsidP="00AB34F2">
            <w:pPr>
              <w:pStyle w:val="Normalbold"/>
            </w:pPr>
          </w:p>
        </w:tc>
        <w:tc>
          <w:tcPr>
            <w:tcW w:w="540" w:type="dxa"/>
            <w:shd w:val="clear" w:color="auto" w:fill="F2F2F2" w:themeFill="background1" w:themeFillShade="F2"/>
          </w:tcPr>
          <w:p w14:paraId="7CA34B4F" w14:textId="77777777" w:rsidR="005E7724" w:rsidRPr="005828FE" w:rsidRDefault="005E7724" w:rsidP="00AB34F2">
            <w:pPr>
              <w:pStyle w:val="Normalbold"/>
            </w:pPr>
            <w:r>
              <w:t>2.4</w:t>
            </w:r>
          </w:p>
        </w:tc>
        <w:tc>
          <w:tcPr>
            <w:tcW w:w="6134" w:type="dxa"/>
            <w:shd w:val="clear" w:color="auto" w:fill="F2F2F2" w:themeFill="background1" w:themeFillShade="F2"/>
          </w:tcPr>
          <w:p w14:paraId="1F8D0BA3" w14:textId="77777777" w:rsidR="005E7724" w:rsidRPr="004A7840" w:rsidRDefault="005E7724" w:rsidP="00AB34F2">
            <w:pPr>
              <w:pStyle w:val="Normalbold"/>
            </w:pPr>
            <w:r w:rsidRPr="004A7840">
              <w:t>Application by State-owned companies is encouraged.</w:t>
            </w:r>
          </w:p>
        </w:tc>
      </w:tr>
      <w:tr w:rsidR="005E7724" w:rsidRPr="005828FE" w14:paraId="29530ACA" w14:textId="77777777" w:rsidTr="00963C94">
        <w:tc>
          <w:tcPr>
            <w:tcW w:w="2293" w:type="dxa"/>
            <w:shd w:val="clear" w:color="auto" w:fill="F2F2F2" w:themeFill="background1" w:themeFillShade="F2"/>
          </w:tcPr>
          <w:p w14:paraId="1B765EF8" w14:textId="77777777" w:rsidR="005E7724" w:rsidRPr="005828FE" w:rsidRDefault="005E7724" w:rsidP="005910B6">
            <w:pPr>
              <w:pStyle w:val="Normalbold"/>
            </w:pPr>
            <w:r w:rsidRPr="005828FE">
              <w:t>Operative date</w:t>
            </w:r>
          </w:p>
        </w:tc>
        <w:tc>
          <w:tcPr>
            <w:tcW w:w="270" w:type="dxa"/>
            <w:shd w:val="clear" w:color="auto" w:fill="F2F2F2" w:themeFill="background1" w:themeFillShade="F2"/>
          </w:tcPr>
          <w:p w14:paraId="2726091E" w14:textId="77777777" w:rsidR="005E7724" w:rsidRPr="008B2A17" w:rsidRDefault="005E7724" w:rsidP="00AB34F2">
            <w:pPr>
              <w:pStyle w:val="Normalbold"/>
            </w:pPr>
          </w:p>
        </w:tc>
        <w:tc>
          <w:tcPr>
            <w:tcW w:w="540" w:type="dxa"/>
            <w:shd w:val="clear" w:color="auto" w:fill="F2F2F2" w:themeFill="background1" w:themeFillShade="F2"/>
          </w:tcPr>
          <w:p w14:paraId="79388BA4" w14:textId="77777777" w:rsidR="005E7724" w:rsidRPr="005828FE" w:rsidRDefault="005E7724" w:rsidP="00AB34F2">
            <w:pPr>
              <w:pStyle w:val="Normalbold"/>
            </w:pPr>
            <w:r>
              <w:t>3.1</w:t>
            </w:r>
          </w:p>
        </w:tc>
        <w:tc>
          <w:tcPr>
            <w:tcW w:w="6134" w:type="dxa"/>
            <w:shd w:val="clear" w:color="auto" w:fill="F2F2F2" w:themeFill="background1" w:themeFillShade="F2"/>
          </w:tcPr>
          <w:p w14:paraId="0951FC91" w14:textId="0D4971F0" w:rsidR="005E7724" w:rsidRPr="004A7840" w:rsidRDefault="00CE6036">
            <w:pPr>
              <w:pStyle w:val="Normalbold"/>
            </w:pPr>
            <w:r>
              <w:t>Annual reporting</w:t>
            </w:r>
            <w:r w:rsidRPr="004A7840">
              <w:t xml:space="preserve"> </w:t>
            </w:r>
            <w:r w:rsidR="005E7724" w:rsidRPr="004A7840">
              <w:t xml:space="preserve">periods commencing on or after 1 </w:t>
            </w:r>
            <w:r>
              <w:t>January</w:t>
            </w:r>
            <w:r w:rsidRPr="004A7840">
              <w:t xml:space="preserve"> </w:t>
            </w:r>
            <w:r w:rsidR="005E7724" w:rsidRPr="004A7840">
              <w:t>20</w:t>
            </w:r>
            <w:r w:rsidR="00E06E17">
              <w:t>2</w:t>
            </w:r>
            <w:r>
              <w:t>4</w:t>
            </w:r>
            <w:r>
              <w:rPr>
                <w:rStyle w:val="FootnoteReference"/>
              </w:rPr>
              <w:footnoteReference w:id="1"/>
            </w:r>
            <w:r w:rsidR="005E7724" w:rsidRPr="004A7840">
              <w:t>.</w:t>
            </w:r>
          </w:p>
        </w:tc>
      </w:tr>
      <w:tr w:rsidR="005E7724" w:rsidRPr="005828FE" w14:paraId="29666CA9" w14:textId="77777777" w:rsidTr="00963C94">
        <w:tc>
          <w:tcPr>
            <w:tcW w:w="2293" w:type="dxa"/>
            <w:shd w:val="clear" w:color="auto" w:fill="F2F2F2" w:themeFill="background1" w:themeFillShade="F2"/>
          </w:tcPr>
          <w:p w14:paraId="1D774E8D" w14:textId="780F06ED" w:rsidR="005E7724" w:rsidRPr="005828FE" w:rsidRDefault="00022808" w:rsidP="00AB34F2">
            <w:pPr>
              <w:pStyle w:val="Normalbold"/>
            </w:pPr>
            <w:r>
              <w:t>Requirements</w:t>
            </w:r>
          </w:p>
        </w:tc>
        <w:tc>
          <w:tcPr>
            <w:tcW w:w="270" w:type="dxa"/>
            <w:shd w:val="clear" w:color="auto" w:fill="F2F2F2" w:themeFill="background1" w:themeFillShade="F2"/>
          </w:tcPr>
          <w:p w14:paraId="050D283B" w14:textId="77777777" w:rsidR="005E7724" w:rsidRPr="008B2A17" w:rsidRDefault="005E7724" w:rsidP="00AB34F2">
            <w:pPr>
              <w:pStyle w:val="Normalbold"/>
            </w:pPr>
          </w:p>
        </w:tc>
        <w:tc>
          <w:tcPr>
            <w:tcW w:w="540" w:type="dxa"/>
            <w:shd w:val="clear" w:color="auto" w:fill="F2F2F2" w:themeFill="background1" w:themeFillShade="F2"/>
          </w:tcPr>
          <w:p w14:paraId="64CD0AF7" w14:textId="77777777" w:rsidR="005E7724" w:rsidRPr="005828FE" w:rsidRDefault="004A7840" w:rsidP="00AB34F2">
            <w:pPr>
              <w:pStyle w:val="Normalbold"/>
            </w:pPr>
            <w:r>
              <w:t>4.1</w:t>
            </w:r>
          </w:p>
        </w:tc>
        <w:tc>
          <w:tcPr>
            <w:tcW w:w="6134" w:type="dxa"/>
            <w:shd w:val="clear" w:color="auto" w:fill="F2F2F2" w:themeFill="background1" w:themeFillShade="F2"/>
          </w:tcPr>
          <w:p w14:paraId="292A9407" w14:textId="77777777" w:rsidR="005E7724" w:rsidRDefault="005E7724" w:rsidP="00AB34F2">
            <w:pPr>
              <w:pStyle w:val="Normalbold"/>
            </w:pPr>
            <w:r w:rsidRPr="004A7840">
              <w:t>Asset classification</w:t>
            </w:r>
          </w:p>
          <w:p w14:paraId="617D9267" w14:textId="77777777" w:rsidR="004A7840" w:rsidRPr="004A7840" w:rsidRDefault="004A7840" w:rsidP="00AB34F2">
            <w:pPr>
              <w:pStyle w:val="Normalbold"/>
            </w:pPr>
            <w:r w:rsidRPr="004A7840">
              <w:t>For external reporting purposes, non-financial physical assets shall be primarily classified by the ‘purpose’ for which the assets are used, based upon the Classification of the functions of government (COFOG) (refer to Appendix A).</w:t>
            </w:r>
          </w:p>
        </w:tc>
      </w:tr>
      <w:tr w:rsidR="005E7724" w:rsidRPr="005828FE" w14:paraId="6BC85CC0" w14:textId="77777777" w:rsidTr="00963C94">
        <w:tc>
          <w:tcPr>
            <w:tcW w:w="2293" w:type="dxa"/>
            <w:shd w:val="clear" w:color="auto" w:fill="F2F2F2" w:themeFill="background1" w:themeFillShade="F2"/>
          </w:tcPr>
          <w:p w14:paraId="0CBB36D1" w14:textId="77777777" w:rsidR="005E7724" w:rsidRDefault="005E7724" w:rsidP="005910B6">
            <w:pPr>
              <w:pStyle w:val="Normalbold"/>
            </w:pPr>
          </w:p>
          <w:p w14:paraId="03F5699C" w14:textId="77777777" w:rsidR="00022808" w:rsidRPr="00022808" w:rsidRDefault="00022808" w:rsidP="00AB34F2">
            <w:pPr>
              <w:pStyle w:val="Normalbold"/>
            </w:pPr>
          </w:p>
          <w:p w14:paraId="5F294F01" w14:textId="77777777" w:rsidR="00022808" w:rsidRPr="007258CA" w:rsidRDefault="00022808" w:rsidP="00AB34F2">
            <w:pPr>
              <w:pStyle w:val="Normalbold"/>
            </w:pPr>
          </w:p>
          <w:p w14:paraId="04A0E2CA" w14:textId="77777777" w:rsidR="00022808" w:rsidRPr="00EB2C6A" w:rsidRDefault="00022808" w:rsidP="00AB34F2">
            <w:pPr>
              <w:pStyle w:val="Normalbold"/>
            </w:pPr>
          </w:p>
          <w:p w14:paraId="596350CE" w14:textId="4EC8B3A7" w:rsidR="00022808" w:rsidRPr="003373BE" w:rsidRDefault="00022808" w:rsidP="00AB34F2">
            <w:pPr>
              <w:pStyle w:val="Normalbold"/>
            </w:pPr>
          </w:p>
        </w:tc>
        <w:tc>
          <w:tcPr>
            <w:tcW w:w="270" w:type="dxa"/>
            <w:shd w:val="clear" w:color="auto" w:fill="F2F2F2" w:themeFill="background1" w:themeFillShade="F2"/>
          </w:tcPr>
          <w:p w14:paraId="521FDEA1" w14:textId="77777777" w:rsidR="005E7724" w:rsidRPr="008B2A17" w:rsidRDefault="005E7724" w:rsidP="00AB34F2">
            <w:pPr>
              <w:pStyle w:val="Normalbold"/>
            </w:pPr>
          </w:p>
        </w:tc>
        <w:tc>
          <w:tcPr>
            <w:tcW w:w="540" w:type="dxa"/>
            <w:shd w:val="clear" w:color="auto" w:fill="F2F2F2" w:themeFill="background1" w:themeFillShade="F2"/>
          </w:tcPr>
          <w:p w14:paraId="2BACA0A1" w14:textId="77777777" w:rsidR="005E7724" w:rsidRPr="005828FE" w:rsidRDefault="00CF7F52" w:rsidP="00AB34F2">
            <w:pPr>
              <w:pStyle w:val="Normalbold"/>
            </w:pPr>
            <w:r>
              <w:t>4.2</w:t>
            </w:r>
          </w:p>
        </w:tc>
        <w:tc>
          <w:tcPr>
            <w:tcW w:w="6134" w:type="dxa"/>
            <w:shd w:val="clear" w:color="auto" w:fill="F2F2F2" w:themeFill="background1" w:themeFillShade="F2"/>
          </w:tcPr>
          <w:p w14:paraId="189B07AC" w14:textId="77777777" w:rsidR="005E7724" w:rsidRPr="004A7840" w:rsidRDefault="005E7724">
            <w:pPr>
              <w:pStyle w:val="Normalbold"/>
            </w:pPr>
            <w:r w:rsidRPr="004A7840">
              <w:t>Measurement subsequent to initial recognition</w:t>
            </w:r>
          </w:p>
          <w:p w14:paraId="0A624E59" w14:textId="261222F0" w:rsidR="003373BE" w:rsidRDefault="005E7724">
            <w:pPr>
              <w:pStyle w:val="Normalbold"/>
            </w:pPr>
            <w:r w:rsidRPr="004A7840">
              <w:t xml:space="preserve">All non-financial physical assets shall be measured using the revaluation model (as defined in this Direction), </w:t>
            </w:r>
            <w:r w:rsidR="003373BE">
              <w:t>with the following exceptions:</w:t>
            </w:r>
            <w:r w:rsidRPr="004A7840">
              <w:t xml:space="preserve"> </w:t>
            </w:r>
          </w:p>
          <w:p w14:paraId="0E821A65" w14:textId="0A524BEE" w:rsidR="005E7724" w:rsidRPr="00D63B00" w:rsidRDefault="007258CA" w:rsidP="00AB34F2">
            <w:pPr>
              <w:pStyle w:val="Bullet1"/>
              <w:rPr>
                <w:bCs/>
              </w:rPr>
            </w:pPr>
            <w:r w:rsidRPr="00AB34F2">
              <w:rPr>
                <w:b/>
                <w:bCs/>
                <w:szCs w:val="20"/>
                <w:lang w:eastAsia="en-AU"/>
              </w:rPr>
              <w:t xml:space="preserve">if </w:t>
            </w:r>
            <w:r w:rsidR="005E7724" w:rsidRPr="00AB34F2">
              <w:rPr>
                <w:b/>
                <w:bCs/>
                <w:szCs w:val="20"/>
                <w:lang w:eastAsia="en-AU"/>
              </w:rPr>
              <w:t xml:space="preserve">the entity has received the prior written approval of the </w:t>
            </w:r>
            <w:r w:rsidR="00F402AF">
              <w:rPr>
                <w:b/>
                <w:bCs/>
                <w:szCs w:val="20"/>
                <w:lang w:eastAsia="en-AU"/>
              </w:rPr>
              <w:t>Minister for Finance</w:t>
            </w:r>
            <w:r w:rsidRPr="00AB34F2">
              <w:rPr>
                <w:b/>
                <w:bCs/>
                <w:szCs w:val="20"/>
                <w:lang w:eastAsia="en-AU"/>
              </w:rPr>
              <w:t>,</w:t>
            </w:r>
            <w:r w:rsidR="008F6234" w:rsidRPr="00AB34F2">
              <w:rPr>
                <w:b/>
                <w:bCs/>
                <w:szCs w:val="20"/>
                <w:lang w:eastAsia="en-AU"/>
              </w:rPr>
              <w:t xml:space="preserve"> </w:t>
            </w:r>
            <w:r w:rsidR="003373BE" w:rsidRPr="00AB34F2">
              <w:rPr>
                <w:b/>
                <w:bCs/>
                <w:szCs w:val="20"/>
                <w:lang w:eastAsia="en-AU"/>
              </w:rPr>
              <w:t>the relevant assets</w:t>
            </w:r>
            <w:r w:rsidR="005E7724" w:rsidRPr="00AB34F2">
              <w:rPr>
                <w:b/>
                <w:bCs/>
                <w:szCs w:val="20"/>
                <w:lang w:eastAsia="en-AU"/>
              </w:rPr>
              <w:t xml:space="preserve"> </w:t>
            </w:r>
            <w:r w:rsidRPr="00AB34F2">
              <w:rPr>
                <w:b/>
                <w:bCs/>
                <w:szCs w:val="20"/>
                <w:lang w:eastAsia="en-AU"/>
              </w:rPr>
              <w:t xml:space="preserve">may be measured </w:t>
            </w:r>
            <w:r w:rsidR="005E7724" w:rsidRPr="00AB34F2">
              <w:rPr>
                <w:b/>
                <w:bCs/>
                <w:szCs w:val="20"/>
                <w:lang w:eastAsia="en-AU"/>
              </w:rPr>
              <w:t>at cost</w:t>
            </w:r>
            <w:r w:rsidR="003373BE" w:rsidRPr="00AB34F2">
              <w:rPr>
                <w:b/>
                <w:bCs/>
                <w:szCs w:val="20"/>
                <w:lang w:eastAsia="en-AU"/>
              </w:rPr>
              <w:t>; or</w:t>
            </w:r>
          </w:p>
          <w:p w14:paraId="286C6C4F" w14:textId="3BA98286" w:rsidR="003373BE" w:rsidRPr="00D63B00" w:rsidRDefault="003373BE" w:rsidP="00AB34F2">
            <w:pPr>
              <w:pStyle w:val="Bullet1"/>
              <w:rPr>
                <w:bCs/>
              </w:rPr>
            </w:pPr>
            <w:r w:rsidRPr="00AB34F2">
              <w:rPr>
                <w:b/>
                <w:bCs/>
                <w:szCs w:val="20"/>
                <w:lang w:eastAsia="en-AU"/>
              </w:rPr>
              <w:t xml:space="preserve">Right-of-Use (RoU) assets that arise from below market (including peppercorn) </w:t>
            </w:r>
            <w:r w:rsidR="007258CA" w:rsidRPr="00AB34F2">
              <w:rPr>
                <w:b/>
                <w:bCs/>
                <w:szCs w:val="20"/>
                <w:lang w:eastAsia="en-AU"/>
              </w:rPr>
              <w:t>leases</w:t>
            </w:r>
            <w:r w:rsidRPr="00AB34F2">
              <w:rPr>
                <w:b/>
                <w:bCs/>
                <w:szCs w:val="20"/>
                <w:lang w:eastAsia="en-AU"/>
              </w:rPr>
              <w:t>, which shall be measured at cost</w:t>
            </w:r>
            <w:r w:rsidR="009A4B31">
              <w:rPr>
                <w:b/>
                <w:bCs/>
                <w:szCs w:val="20"/>
                <w:lang w:eastAsia="en-AU"/>
              </w:rPr>
              <w:t>.</w:t>
            </w:r>
            <w:r w:rsidRPr="00AB34F2">
              <w:rPr>
                <w:b/>
                <w:bCs/>
                <w:szCs w:val="20"/>
                <w:lang w:eastAsia="en-AU"/>
              </w:rPr>
              <w:t xml:space="preserve"> </w:t>
            </w:r>
          </w:p>
          <w:p w14:paraId="2AC8C5BD" w14:textId="0EFA34D0" w:rsidR="00F45304" w:rsidRDefault="00F45304" w:rsidP="005910B6">
            <w:pPr>
              <w:pStyle w:val="Normalbold"/>
            </w:pPr>
            <w:r>
              <w:t>Service concession arrangement assets (whether tangible or intangible) shall be measured at current replacement cost in accordance with AASB</w:t>
            </w:r>
            <w:r w:rsidR="00231236">
              <w:t> </w:t>
            </w:r>
            <w:r>
              <w:t xml:space="preserve">1059: </w:t>
            </w:r>
            <w:r w:rsidRPr="00490386">
              <w:rPr>
                <w:i/>
                <w:iCs/>
              </w:rPr>
              <w:t>Service Concession Arrangements: Grantors.</w:t>
            </w:r>
          </w:p>
          <w:p w14:paraId="303B3E0E" w14:textId="47813F2E" w:rsidR="005E7724" w:rsidRPr="004A7840" w:rsidRDefault="005E7724" w:rsidP="00E66757">
            <w:pPr>
              <w:pStyle w:val="Normalbold"/>
            </w:pPr>
            <w:r w:rsidRPr="004A7840">
              <w:t>For leasehold improvements, additions or modifications made to ‘fit</w:t>
            </w:r>
            <w:r w:rsidR="00DB30AF" w:rsidRPr="004A7840">
              <w:t> </w:t>
            </w:r>
            <w:r w:rsidRPr="004A7840">
              <w:t xml:space="preserve">out’ buildings that are leased by government entities (and such buildings that will not revert to the State at the end of the lease agreement), </w:t>
            </w:r>
            <w:r w:rsidR="00004C99">
              <w:t>current replacement</w:t>
            </w:r>
            <w:r w:rsidR="00004C99" w:rsidRPr="004A7840">
              <w:t xml:space="preserve"> </w:t>
            </w:r>
            <w:r w:rsidRPr="004A7840">
              <w:t>cost shall be used for the</w:t>
            </w:r>
            <w:r w:rsidR="00004C99">
              <w:t>ir</w:t>
            </w:r>
            <w:r w:rsidRPr="004A7840">
              <w:t xml:space="preserve"> subsequent measurement.</w:t>
            </w:r>
          </w:p>
        </w:tc>
      </w:tr>
      <w:tr w:rsidR="005E7724" w:rsidRPr="005828FE" w14:paraId="72AAE510" w14:textId="77777777" w:rsidTr="00963C94">
        <w:tc>
          <w:tcPr>
            <w:tcW w:w="2293" w:type="dxa"/>
            <w:shd w:val="clear" w:color="auto" w:fill="F2F2F2" w:themeFill="background1" w:themeFillShade="F2"/>
          </w:tcPr>
          <w:p w14:paraId="009B1E66" w14:textId="77777777" w:rsidR="005E7724" w:rsidRPr="005828FE" w:rsidRDefault="005E7724" w:rsidP="00AB34F2">
            <w:pPr>
              <w:pStyle w:val="Normalbold"/>
            </w:pPr>
          </w:p>
        </w:tc>
        <w:tc>
          <w:tcPr>
            <w:tcW w:w="270" w:type="dxa"/>
            <w:shd w:val="clear" w:color="auto" w:fill="F2F2F2" w:themeFill="background1" w:themeFillShade="F2"/>
          </w:tcPr>
          <w:p w14:paraId="59E9F137" w14:textId="77777777" w:rsidR="005E7724" w:rsidRPr="008B2A17" w:rsidRDefault="005E7724" w:rsidP="00AB34F2">
            <w:pPr>
              <w:pStyle w:val="Normalbold"/>
            </w:pPr>
          </w:p>
        </w:tc>
        <w:tc>
          <w:tcPr>
            <w:tcW w:w="540" w:type="dxa"/>
            <w:shd w:val="clear" w:color="auto" w:fill="F2F2F2" w:themeFill="background1" w:themeFillShade="F2"/>
          </w:tcPr>
          <w:p w14:paraId="7ED7B3BA" w14:textId="77777777" w:rsidR="005E7724" w:rsidRPr="005828FE" w:rsidRDefault="004A7840" w:rsidP="00AB34F2">
            <w:pPr>
              <w:pStyle w:val="Normalbold"/>
            </w:pPr>
            <w:r>
              <w:t>4.3</w:t>
            </w:r>
          </w:p>
        </w:tc>
        <w:tc>
          <w:tcPr>
            <w:tcW w:w="6134" w:type="dxa"/>
            <w:shd w:val="clear" w:color="auto" w:fill="F2F2F2" w:themeFill="background1" w:themeFillShade="F2"/>
          </w:tcPr>
          <w:p w14:paraId="3416EFB1" w14:textId="657C8A27" w:rsidR="005E7724" w:rsidRDefault="00CF7F52" w:rsidP="00AB34F2">
            <w:pPr>
              <w:pStyle w:val="Normalbold"/>
            </w:pPr>
            <w:r w:rsidRPr="004A7840">
              <w:t xml:space="preserve">Assets </w:t>
            </w:r>
            <w:r w:rsidR="00EA6C0B">
              <w:t>under construction/development</w:t>
            </w:r>
            <w:r w:rsidR="00811F8F">
              <w:rPr>
                <w:rStyle w:val="FootnoteReference"/>
                <w:b w:val="0"/>
              </w:rPr>
              <w:footnoteReference w:id="2"/>
            </w:r>
          </w:p>
          <w:p w14:paraId="6EF61C5C" w14:textId="3D96868E" w:rsidR="004A7840" w:rsidRPr="004A7840" w:rsidRDefault="004A7840" w:rsidP="00AB34F2">
            <w:pPr>
              <w:pStyle w:val="Normalbold"/>
            </w:pPr>
            <w:r w:rsidRPr="004A7840">
              <w:t>Assets under construction/development shall be measured at cost</w:t>
            </w:r>
            <w:r w:rsidR="00EA6C0B">
              <w:t xml:space="preserve"> unless those assets relate to service concession </w:t>
            </w:r>
            <w:r w:rsidR="00F45304">
              <w:t xml:space="preserve">arrangement </w:t>
            </w:r>
            <w:r w:rsidR="00EA6C0B">
              <w:t>assets (or equivalent</w:t>
            </w:r>
            <w:r w:rsidR="00811F8F">
              <w:t xml:space="preserve"> infrastructure projects</w:t>
            </w:r>
            <w:r w:rsidR="00EA6C0B">
              <w:t>) which shall be measured at current replacement cost</w:t>
            </w:r>
            <w:r w:rsidRPr="004A7840">
              <w:t>.</w:t>
            </w:r>
          </w:p>
        </w:tc>
      </w:tr>
      <w:tr w:rsidR="00CF7F52" w:rsidRPr="005828FE" w14:paraId="65CA2EBD" w14:textId="77777777" w:rsidTr="00737B05">
        <w:tc>
          <w:tcPr>
            <w:tcW w:w="2293" w:type="dxa"/>
            <w:shd w:val="clear" w:color="auto" w:fill="F2F2F2" w:themeFill="background1" w:themeFillShade="F2"/>
          </w:tcPr>
          <w:p w14:paraId="21228988" w14:textId="77777777" w:rsidR="00CF7F52" w:rsidRPr="005828FE" w:rsidRDefault="00CF7F52" w:rsidP="00AB34F2">
            <w:pPr>
              <w:pStyle w:val="Normalbold"/>
            </w:pPr>
          </w:p>
        </w:tc>
        <w:tc>
          <w:tcPr>
            <w:tcW w:w="270" w:type="dxa"/>
            <w:shd w:val="clear" w:color="auto" w:fill="F2F2F2" w:themeFill="background1" w:themeFillShade="F2"/>
          </w:tcPr>
          <w:p w14:paraId="4502DD7B" w14:textId="77777777" w:rsidR="00CF7F52" w:rsidRPr="008B2A17" w:rsidRDefault="00CF7F52" w:rsidP="00AB34F2">
            <w:pPr>
              <w:pStyle w:val="Normalbold"/>
            </w:pPr>
          </w:p>
        </w:tc>
        <w:tc>
          <w:tcPr>
            <w:tcW w:w="540" w:type="dxa"/>
            <w:shd w:val="clear" w:color="auto" w:fill="F2F2F2" w:themeFill="background1" w:themeFillShade="F2"/>
          </w:tcPr>
          <w:p w14:paraId="19F77E92" w14:textId="1017A20D" w:rsidR="00157CA1" w:rsidRPr="005828FE" w:rsidRDefault="004A7840" w:rsidP="00AB34F2">
            <w:pPr>
              <w:pStyle w:val="Normalbold"/>
            </w:pPr>
            <w:r>
              <w:t>4.4</w:t>
            </w:r>
          </w:p>
        </w:tc>
        <w:tc>
          <w:tcPr>
            <w:tcW w:w="6134" w:type="dxa"/>
            <w:shd w:val="clear" w:color="auto" w:fill="F2F2F2" w:themeFill="background1" w:themeFillShade="F2"/>
          </w:tcPr>
          <w:p w14:paraId="46BF5412" w14:textId="77777777" w:rsidR="00CF7F52" w:rsidRDefault="00CF7F52" w:rsidP="00AB34F2">
            <w:pPr>
              <w:pStyle w:val="Normalbold"/>
            </w:pPr>
            <w:r w:rsidRPr="004A7840">
              <w:t>Fair value measurement</w:t>
            </w:r>
          </w:p>
          <w:p w14:paraId="38BA7FEB" w14:textId="2CA2B951" w:rsidR="00B813F8" w:rsidRPr="00B813F8" w:rsidRDefault="006A6E2C" w:rsidP="00AB34F2">
            <w:pPr>
              <w:pStyle w:val="Normalbold"/>
            </w:pPr>
            <w:r>
              <w:t>In accordance with AASB 13, n</w:t>
            </w:r>
            <w:r w:rsidR="004A7840" w:rsidRPr="004A7840">
              <w:t>on-financial physical assets shall be measured at fair value with regard to an asset’s highest and best use (HBU) from the perspective of the market participant, taking into account any legal, financial or physical restrictions imposed on the use or sale of the asset.</w:t>
            </w:r>
          </w:p>
        </w:tc>
      </w:tr>
      <w:tr w:rsidR="00CB2FBD" w:rsidRPr="005828FE" w14:paraId="700E840B" w14:textId="77777777" w:rsidTr="00737B05">
        <w:tc>
          <w:tcPr>
            <w:tcW w:w="2293" w:type="dxa"/>
            <w:shd w:val="clear" w:color="auto" w:fill="F2F2F2" w:themeFill="background1" w:themeFillShade="F2"/>
          </w:tcPr>
          <w:p w14:paraId="2F4058FB" w14:textId="77777777" w:rsidR="00CB2FBD" w:rsidRPr="005828FE" w:rsidRDefault="00CB2FBD" w:rsidP="00CB2FBD">
            <w:pPr>
              <w:pStyle w:val="Normalbold"/>
            </w:pPr>
          </w:p>
        </w:tc>
        <w:tc>
          <w:tcPr>
            <w:tcW w:w="270" w:type="dxa"/>
            <w:shd w:val="clear" w:color="auto" w:fill="F2F2F2" w:themeFill="background1" w:themeFillShade="F2"/>
          </w:tcPr>
          <w:p w14:paraId="52A26236" w14:textId="77777777" w:rsidR="00CB2FBD" w:rsidRPr="008B2A17" w:rsidRDefault="00CB2FBD" w:rsidP="00CB2FBD">
            <w:pPr>
              <w:pStyle w:val="Normalbold"/>
            </w:pPr>
          </w:p>
        </w:tc>
        <w:tc>
          <w:tcPr>
            <w:tcW w:w="540" w:type="dxa"/>
            <w:shd w:val="clear" w:color="auto" w:fill="F2F2F2" w:themeFill="background1" w:themeFillShade="F2"/>
          </w:tcPr>
          <w:p w14:paraId="3A9E80F8" w14:textId="01B64D67" w:rsidR="00CB2FBD" w:rsidRDefault="00CB2FBD" w:rsidP="00CB2FBD">
            <w:pPr>
              <w:pStyle w:val="Normalbold"/>
            </w:pPr>
            <w:r>
              <w:t>4.4A</w:t>
            </w:r>
          </w:p>
        </w:tc>
        <w:tc>
          <w:tcPr>
            <w:tcW w:w="6134" w:type="dxa"/>
            <w:shd w:val="clear" w:color="auto" w:fill="F2F2F2" w:themeFill="background1" w:themeFillShade="F2"/>
          </w:tcPr>
          <w:p w14:paraId="6DC66B47" w14:textId="1BFBE155" w:rsidR="00CB2FBD" w:rsidRPr="004A7840" w:rsidRDefault="00CB2FBD" w:rsidP="00CB2FBD">
            <w:pPr>
              <w:pStyle w:val="Normalbold"/>
            </w:pPr>
            <w:r w:rsidRPr="000C4EA6">
              <w:t>An entity’s current use of a non-financial physical asset will be its HBU unless the HBU indicators</w:t>
            </w:r>
            <w:r w:rsidR="00312F4D">
              <w:rPr>
                <w:rStyle w:val="FootnoteReference"/>
              </w:rPr>
              <w:footnoteReference w:id="3"/>
            </w:r>
            <w:r w:rsidRPr="000C4EA6">
              <w:t xml:space="preserve"> suggest that a different use by market participants would maximise the value of the asset</w:t>
            </w:r>
            <w:r w:rsidRPr="00196D03">
              <w:t>.</w:t>
            </w:r>
          </w:p>
        </w:tc>
      </w:tr>
      <w:tr w:rsidR="00CB2FBD" w:rsidRPr="005828FE" w14:paraId="0C55225B" w14:textId="77777777" w:rsidTr="00737B05">
        <w:tc>
          <w:tcPr>
            <w:tcW w:w="2293" w:type="dxa"/>
            <w:shd w:val="clear" w:color="auto" w:fill="F2F2F2" w:themeFill="background1" w:themeFillShade="F2"/>
          </w:tcPr>
          <w:p w14:paraId="23789F0C" w14:textId="77777777" w:rsidR="00CB2FBD" w:rsidRPr="005828FE" w:rsidRDefault="00CB2FBD" w:rsidP="00CB2FBD">
            <w:pPr>
              <w:pStyle w:val="Normalbold"/>
            </w:pPr>
          </w:p>
        </w:tc>
        <w:tc>
          <w:tcPr>
            <w:tcW w:w="270" w:type="dxa"/>
            <w:shd w:val="clear" w:color="auto" w:fill="F2F2F2" w:themeFill="background1" w:themeFillShade="F2"/>
          </w:tcPr>
          <w:p w14:paraId="657A57BD" w14:textId="77777777" w:rsidR="00CB2FBD" w:rsidRPr="008B2A17" w:rsidRDefault="00CB2FBD" w:rsidP="00CB2FBD">
            <w:pPr>
              <w:pStyle w:val="Normalbold"/>
            </w:pPr>
          </w:p>
        </w:tc>
        <w:tc>
          <w:tcPr>
            <w:tcW w:w="540" w:type="dxa"/>
            <w:shd w:val="clear" w:color="auto" w:fill="F2F2F2" w:themeFill="background1" w:themeFillShade="F2"/>
          </w:tcPr>
          <w:p w14:paraId="2184D956" w14:textId="03945030" w:rsidR="00CB2FBD" w:rsidRDefault="00CB2FBD" w:rsidP="00CB2FBD">
            <w:pPr>
              <w:pStyle w:val="Normalbold"/>
            </w:pPr>
            <w:r>
              <w:t>4.4B</w:t>
            </w:r>
          </w:p>
        </w:tc>
        <w:tc>
          <w:tcPr>
            <w:tcW w:w="6134" w:type="dxa"/>
            <w:shd w:val="clear" w:color="auto" w:fill="F2F2F2" w:themeFill="background1" w:themeFillShade="F2"/>
          </w:tcPr>
          <w:p w14:paraId="6BD4FC41" w14:textId="77777777" w:rsidR="00CB2FBD" w:rsidRDefault="00CB2FBD" w:rsidP="00CB2FBD">
            <w:pPr>
              <w:pStyle w:val="Normalbold"/>
            </w:pPr>
            <w:r w:rsidRPr="004C384E">
              <w:t>Notwithstanding para</w:t>
            </w:r>
            <w:r w:rsidRPr="0010138E">
              <w:t>graph</w:t>
            </w:r>
            <w:r w:rsidRPr="004C384E">
              <w:t xml:space="preserve"> 4.4</w:t>
            </w:r>
            <w:r w:rsidRPr="0010138E">
              <w:t>A</w:t>
            </w:r>
            <w:r w:rsidRPr="004C384E">
              <w:t xml:space="preserve">, </w:t>
            </w:r>
            <w:r w:rsidRPr="0010138E">
              <w:t xml:space="preserve">a not-for-profit public sector entity is required to consider whether, for a non-financial asset not held primarily for its ability to generate net cash inflows, the asset’s </w:t>
            </w:r>
            <w:r>
              <w:t>HBU</w:t>
            </w:r>
            <w:r w:rsidRPr="0010138E">
              <w:t xml:space="preserve"> differs from its current use only when, at the measurement date, it is</w:t>
            </w:r>
            <w:r w:rsidRPr="004C384E">
              <w:t>:</w:t>
            </w:r>
          </w:p>
          <w:p w14:paraId="64DE3A01" w14:textId="77777777" w:rsidR="00CB2FBD" w:rsidRDefault="00CB2FBD" w:rsidP="00CB2FBD">
            <w:pPr>
              <w:pStyle w:val="Normalbold"/>
              <w:numPr>
                <w:ilvl w:val="0"/>
                <w:numId w:val="29"/>
              </w:numPr>
            </w:pPr>
            <w:r w:rsidRPr="004C384E">
              <w:t xml:space="preserve">classified as held for sale or held for distribution to owners in accordance with AASB 5 </w:t>
            </w:r>
            <w:r w:rsidRPr="0010138E">
              <w:rPr>
                <w:i/>
                <w:iCs/>
              </w:rPr>
              <w:t>Non-current Assets Held for Sale and Discontinued Operations</w:t>
            </w:r>
            <w:r w:rsidRPr="004C384E">
              <w:t>; or</w:t>
            </w:r>
          </w:p>
          <w:p w14:paraId="00926C65" w14:textId="463D4E8C" w:rsidR="00CB2FBD" w:rsidRPr="004A7840" w:rsidRDefault="00CB2FBD" w:rsidP="003E4291">
            <w:pPr>
              <w:pStyle w:val="Normalbold"/>
              <w:numPr>
                <w:ilvl w:val="0"/>
                <w:numId w:val="29"/>
              </w:numPr>
            </w:pPr>
            <w:r w:rsidRPr="004C384E">
              <w:t xml:space="preserve">highly probable that the asset will be used for an alternative purpose to its current use, in accordance with paragraph </w:t>
            </w:r>
            <w:r>
              <w:t>4.4C</w:t>
            </w:r>
            <w:r w:rsidRPr="004C384E">
              <w:t>.</w:t>
            </w:r>
          </w:p>
        </w:tc>
      </w:tr>
      <w:tr w:rsidR="00CB2FBD" w:rsidRPr="005828FE" w14:paraId="1F0F88F1" w14:textId="77777777" w:rsidTr="00737B05">
        <w:tc>
          <w:tcPr>
            <w:tcW w:w="2293" w:type="dxa"/>
            <w:shd w:val="clear" w:color="auto" w:fill="F2F2F2" w:themeFill="background1" w:themeFillShade="F2"/>
          </w:tcPr>
          <w:p w14:paraId="45B3F556" w14:textId="77777777" w:rsidR="00CB2FBD" w:rsidRPr="005828FE" w:rsidRDefault="00CB2FBD" w:rsidP="00CB2FBD">
            <w:pPr>
              <w:pStyle w:val="Normalbold"/>
            </w:pPr>
          </w:p>
        </w:tc>
        <w:tc>
          <w:tcPr>
            <w:tcW w:w="270" w:type="dxa"/>
            <w:shd w:val="clear" w:color="auto" w:fill="F2F2F2" w:themeFill="background1" w:themeFillShade="F2"/>
          </w:tcPr>
          <w:p w14:paraId="23D7ABF3" w14:textId="77777777" w:rsidR="00CB2FBD" w:rsidRPr="008B2A17" w:rsidRDefault="00CB2FBD" w:rsidP="00CB2FBD">
            <w:pPr>
              <w:pStyle w:val="Normalbold"/>
            </w:pPr>
          </w:p>
        </w:tc>
        <w:tc>
          <w:tcPr>
            <w:tcW w:w="540" w:type="dxa"/>
            <w:shd w:val="clear" w:color="auto" w:fill="F2F2F2" w:themeFill="background1" w:themeFillShade="F2"/>
          </w:tcPr>
          <w:p w14:paraId="23EC5C9A" w14:textId="68C1880A" w:rsidR="00CB2FBD" w:rsidRDefault="00CB2FBD" w:rsidP="00CB2FBD">
            <w:pPr>
              <w:pStyle w:val="Normalbold"/>
            </w:pPr>
            <w:r w:rsidRPr="004C384E">
              <w:t>4.4C</w:t>
            </w:r>
          </w:p>
        </w:tc>
        <w:tc>
          <w:tcPr>
            <w:tcW w:w="6134" w:type="dxa"/>
            <w:shd w:val="clear" w:color="auto" w:fill="F2F2F2" w:themeFill="background1" w:themeFillShade="F2"/>
          </w:tcPr>
          <w:p w14:paraId="638CD9E6" w14:textId="66BD3CA3" w:rsidR="00CB2FBD" w:rsidRPr="0010138E" w:rsidRDefault="00CB2FBD" w:rsidP="00CB2FBD">
            <w:pPr>
              <w:pStyle w:val="Normalbold"/>
            </w:pPr>
            <w:r w:rsidRPr="0010138E">
              <w:t>For the purposes of paragraph 4.4B(ii), it is highly probable that the asset will be used for an alternative purpose to its current use when, at the measurement date, all the following conditions are met</w:t>
            </w:r>
            <w:r w:rsidR="00A52B66">
              <w:t>:</w:t>
            </w:r>
          </w:p>
          <w:p w14:paraId="2D902678" w14:textId="264BAEEB" w:rsidR="00CB2FBD" w:rsidRPr="0010138E" w:rsidRDefault="00CB2FBD" w:rsidP="00CB2FBD">
            <w:pPr>
              <w:pStyle w:val="Normalbold"/>
              <w:numPr>
                <w:ilvl w:val="0"/>
                <w:numId w:val="30"/>
              </w:numPr>
            </w:pPr>
            <w:r w:rsidRPr="0010138E">
              <w:t xml:space="preserve">the alternative purpose for the asset is physically possible, legally permissible and financially feasible in accordance with paragraph </w:t>
            </w:r>
            <w:r>
              <w:t>4.4</w:t>
            </w:r>
            <w:r w:rsidR="00365772">
              <w:t xml:space="preserve"> and 4.4D</w:t>
            </w:r>
            <w:r w:rsidRPr="0010138E">
              <w:t xml:space="preserve">; </w:t>
            </w:r>
          </w:p>
          <w:p w14:paraId="0E20A23D" w14:textId="77777777" w:rsidR="00CB2FBD" w:rsidRPr="0010138E" w:rsidRDefault="00CB2FBD" w:rsidP="00CB2FBD">
            <w:pPr>
              <w:pStyle w:val="Normalbold"/>
              <w:numPr>
                <w:ilvl w:val="0"/>
                <w:numId w:val="30"/>
              </w:numPr>
            </w:pPr>
            <w:r w:rsidRPr="0010138E">
              <w:t xml:space="preserve">the appropriate level of management is committed to a plan to change the use of the asset to that alternative purpose, and an active programme to complete the plan has been initiated; </w:t>
            </w:r>
          </w:p>
          <w:p w14:paraId="14FCAD11" w14:textId="77777777" w:rsidR="00CB2FBD" w:rsidRPr="0010138E" w:rsidRDefault="00CB2FBD" w:rsidP="00CB2FBD">
            <w:pPr>
              <w:pStyle w:val="Normalbold"/>
              <w:numPr>
                <w:ilvl w:val="0"/>
                <w:numId w:val="30"/>
              </w:numPr>
            </w:pPr>
            <w:r w:rsidRPr="0010138E">
              <w:t xml:space="preserve">any approvals required to change the asset’s use have been obtained; and </w:t>
            </w:r>
          </w:p>
          <w:p w14:paraId="3DA932D2" w14:textId="65CA59D5" w:rsidR="00CB2FBD" w:rsidRPr="004A7840" w:rsidRDefault="00CB2FBD" w:rsidP="003E4291">
            <w:pPr>
              <w:pStyle w:val="Normalbold"/>
              <w:numPr>
                <w:ilvl w:val="0"/>
                <w:numId w:val="30"/>
              </w:numPr>
            </w:pPr>
            <w:r w:rsidRPr="0010138E">
              <w:t>based on reasonably available information, it is highly probable that the current use of the asset will cease under the plan within one year.</w:t>
            </w:r>
          </w:p>
        </w:tc>
      </w:tr>
      <w:tr w:rsidR="00365772" w:rsidRPr="005828FE" w14:paraId="3C46F252" w14:textId="77777777" w:rsidTr="00737B05">
        <w:tc>
          <w:tcPr>
            <w:tcW w:w="2293" w:type="dxa"/>
            <w:shd w:val="clear" w:color="auto" w:fill="F2F2F2" w:themeFill="background1" w:themeFillShade="F2"/>
          </w:tcPr>
          <w:p w14:paraId="049B3951" w14:textId="77777777" w:rsidR="00365772" w:rsidRPr="005828FE" w:rsidRDefault="00365772" w:rsidP="00CB2FBD">
            <w:pPr>
              <w:pStyle w:val="Normalbold"/>
            </w:pPr>
          </w:p>
        </w:tc>
        <w:tc>
          <w:tcPr>
            <w:tcW w:w="270" w:type="dxa"/>
            <w:shd w:val="clear" w:color="auto" w:fill="F2F2F2" w:themeFill="background1" w:themeFillShade="F2"/>
          </w:tcPr>
          <w:p w14:paraId="51F28143" w14:textId="77777777" w:rsidR="00365772" w:rsidRPr="008B2A17" w:rsidRDefault="00365772" w:rsidP="00CB2FBD">
            <w:pPr>
              <w:pStyle w:val="Normalbold"/>
            </w:pPr>
          </w:p>
        </w:tc>
        <w:tc>
          <w:tcPr>
            <w:tcW w:w="540" w:type="dxa"/>
            <w:shd w:val="clear" w:color="auto" w:fill="F2F2F2" w:themeFill="background1" w:themeFillShade="F2"/>
          </w:tcPr>
          <w:p w14:paraId="5F55C0F4" w14:textId="576E1B8B" w:rsidR="00365772" w:rsidRPr="004C384E" w:rsidRDefault="00365772" w:rsidP="00CB2FBD">
            <w:pPr>
              <w:pStyle w:val="Normalbold"/>
            </w:pPr>
            <w:r>
              <w:t>4.4D</w:t>
            </w:r>
          </w:p>
        </w:tc>
        <w:tc>
          <w:tcPr>
            <w:tcW w:w="6134" w:type="dxa"/>
            <w:shd w:val="clear" w:color="auto" w:fill="F2F2F2" w:themeFill="background1" w:themeFillShade="F2"/>
          </w:tcPr>
          <w:p w14:paraId="77D833C5" w14:textId="4E106B85" w:rsidR="00365772" w:rsidRPr="0010138E" w:rsidRDefault="00365772" w:rsidP="00CB2FBD">
            <w:pPr>
              <w:pStyle w:val="Normalbold"/>
            </w:pPr>
            <w:r>
              <w:t>F</w:t>
            </w:r>
            <w:r w:rsidRPr="004C384E">
              <w:t>or a non-financial asset of a not-for-profit public sector entity not held primarily for its ability to generate net cash inflows, an asset’s use is financially feasible if market participants (including, but not limited to, other not-f</w:t>
            </w:r>
            <w:r>
              <w:t>or-</w:t>
            </w:r>
            <w:r w:rsidRPr="004C384E">
              <w:t>profit public sector entities) would be willing to invest in the asset’s service capacity,</w:t>
            </w:r>
            <w:r>
              <w:t xml:space="preserve"> </w:t>
            </w:r>
            <w:r w:rsidRPr="004C384E">
              <w:t>considering both the capability of the asset to be used to provide needed goods or services to beneficiaries and the resulting cost of those goods or services.</w:t>
            </w:r>
          </w:p>
        </w:tc>
      </w:tr>
      <w:tr w:rsidR="00CB2FBD" w:rsidRPr="005828FE" w14:paraId="77A0853D" w14:textId="77777777" w:rsidTr="00737B05">
        <w:tc>
          <w:tcPr>
            <w:tcW w:w="2293" w:type="dxa"/>
            <w:shd w:val="clear" w:color="auto" w:fill="F2F2F2" w:themeFill="background1" w:themeFillShade="F2"/>
          </w:tcPr>
          <w:p w14:paraId="186FF6BC" w14:textId="77777777" w:rsidR="00CB2FBD" w:rsidRPr="005828FE" w:rsidRDefault="00CB2FBD" w:rsidP="00CB2FBD">
            <w:pPr>
              <w:pStyle w:val="Normalbold"/>
            </w:pPr>
          </w:p>
        </w:tc>
        <w:tc>
          <w:tcPr>
            <w:tcW w:w="270" w:type="dxa"/>
            <w:shd w:val="clear" w:color="auto" w:fill="F2F2F2" w:themeFill="background1" w:themeFillShade="F2"/>
          </w:tcPr>
          <w:p w14:paraId="1A593742" w14:textId="77777777" w:rsidR="00CB2FBD" w:rsidRPr="008B2A17" w:rsidRDefault="00CB2FBD" w:rsidP="00CB2FBD">
            <w:pPr>
              <w:pStyle w:val="Normalbold"/>
            </w:pPr>
          </w:p>
        </w:tc>
        <w:tc>
          <w:tcPr>
            <w:tcW w:w="540" w:type="dxa"/>
            <w:shd w:val="clear" w:color="auto" w:fill="F2F2F2" w:themeFill="background1" w:themeFillShade="F2"/>
          </w:tcPr>
          <w:p w14:paraId="6BA991DA" w14:textId="010EEC08" w:rsidR="00CB2FBD" w:rsidRPr="005828FE" w:rsidRDefault="00CB2FBD" w:rsidP="00CB2FBD">
            <w:pPr>
              <w:pStyle w:val="Normalbold"/>
            </w:pPr>
            <w:r>
              <w:t>4.5</w:t>
            </w:r>
          </w:p>
        </w:tc>
        <w:tc>
          <w:tcPr>
            <w:tcW w:w="6134" w:type="dxa"/>
            <w:shd w:val="clear" w:color="auto" w:fill="F2F2F2" w:themeFill="background1" w:themeFillShade="F2"/>
          </w:tcPr>
          <w:p w14:paraId="634D3ED8" w14:textId="77777777" w:rsidR="00CB2FBD" w:rsidRPr="004A7840" w:rsidRDefault="00CB2FBD" w:rsidP="00CB2FBD">
            <w:pPr>
              <w:pStyle w:val="Normalbold"/>
            </w:pPr>
            <w:r w:rsidRPr="00004C99">
              <w:t>Timing of revaluation</w:t>
            </w:r>
          </w:p>
          <w:p w14:paraId="2570DEFA" w14:textId="77777777" w:rsidR="00CB2FBD" w:rsidRPr="004A7840" w:rsidRDefault="00CB2FBD" w:rsidP="00CB2FBD">
            <w:pPr>
              <w:pStyle w:val="Normalbold"/>
            </w:pPr>
            <w:r w:rsidRPr="004A7840">
              <w:t>For each class of assets which is subject to the revaluation model, the following requirements exist:</w:t>
            </w:r>
          </w:p>
          <w:p w14:paraId="7BF7498F" w14:textId="7CC7B75C" w:rsidR="00CB2FBD" w:rsidRDefault="00CB2FBD" w:rsidP="00CB2FBD">
            <w:pPr>
              <w:pStyle w:val="Bullet1"/>
              <w:rPr>
                <w:b/>
                <w:bCs/>
              </w:rPr>
            </w:pPr>
            <w:r w:rsidRPr="00AB34F2">
              <w:rPr>
                <w:b/>
                <w:bCs/>
                <w:i/>
              </w:rPr>
              <w:t>Fair value assessments</w:t>
            </w:r>
            <w:r w:rsidRPr="00AB34F2">
              <w:rPr>
                <w:b/>
                <w:bCs/>
              </w:rPr>
              <w:t xml:space="preserve"> shall be conducted annually to ensure such that the assets’ carrying amounts approximate their fair values at the end of the annual reporting period, after taking into consideration all fair value indicators, which include the Valuer-General Victoria (VGV) Land and Building indices, the HBU and other relevant indicators. For clarification, management are free to source the information to determine the fair value of right-of-use assets from any source deemed appropriate in the circumstances and are not limited to using indices. </w:t>
            </w:r>
          </w:p>
          <w:p w14:paraId="14D23B7C" w14:textId="77777777" w:rsidR="00CB2FBD" w:rsidRPr="00AB34F2" w:rsidRDefault="00CB2FBD" w:rsidP="00CB2FBD">
            <w:pPr>
              <w:pStyle w:val="Bullet1"/>
              <w:numPr>
                <w:ilvl w:val="0"/>
                <w:numId w:val="0"/>
              </w:numPr>
              <w:ind w:left="289"/>
              <w:rPr>
                <w:b/>
                <w:bCs/>
              </w:rPr>
            </w:pPr>
          </w:p>
          <w:p w14:paraId="4FB7A43B" w14:textId="0DD6F86C" w:rsidR="00CB2FBD" w:rsidRDefault="00CB2FBD" w:rsidP="00CB2FBD">
            <w:pPr>
              <w:pStyle w:val="Bullet1"/>
              <w:rPr>
                <w:b/>
                <w:bCs/>
              </w:rPr>
            </w:pPr>
            <w:r w:rsidRPr="00AB34F2">
              <w:rPr>
                <w:b/>
                <w:bCs/>
              </w:rPr>
              <w:t>In the event of a change in the HBU or an impairment indicator being identified, the entity should consider and document the assessment of the implications on fair value and consult with VGV as appropriate.</w:t>
            </w:r>
          </w:p>
          <w:p w14:paraId="48CF8A20" w14:textId="77777777" w:rsidR="00CB2FBD" w:rsidRPr="00AB34F2" w:rsidRDefault="00CB2FBD" w:rsidP="00CB2FBD">
            <w:pPr>
              <w:pStyle w:val="Bullet1"/>
              <w:numPr>
                <w:ilvl w:val="0"/>
                <w:numId w:val="0"/>
              </w:numPr>
              <w:ind w:left="289"/>
              <w:rPr>
                <w:b/>
                <w:bCs/>
              </w:rPr>
            </w:pPr>
          </w:p>
          <w:p w14:paraId="532443A0" w14:textId="56C581A6" w:rsidR="00CB2FBD" w:rsidRPr="00AB34F2" w:rsidRDefault="00CB2FBD" w:rsidP="00CB2FBD">
            <w:pPr>
              <w:pStyle w:val="Bullet1"/>
              <w:rPr>
                <w:b/>
                <w:bCs/>
              </w:rPr>
            </w:pPr>
            <w:r w:rsidRPr="00AB34F2">
              <w:rPr>
                <w:b/>
                <w:bCs/>
                <w:i/>
              </w:rPr>
              <w:t>Scheduled revaluations</w:t>
            </w:r>
            <w:r w:rsidRPr="00AB34F2">
              <w:rPr>
                <w:b/>
                <w:bCs/>
              </w:rPr>
              <w:t xml:space="preserve"> shall be performed every five years</w:t>
            </w:r>
            <w:r w:rsidR="00F60E0F">
              <w:rPr>
                <w:rStyle w:val="FootnoteReference"/>
                <w:b/>
                <w:bCs/>
              </w:rPr>
              <w:footnoteReference w:id="4"/>
            </w:r>
            <w:r w:rsidRPr="00AB34F2">
              <w:rPr>
                <w:b/>
                <w:bCs/>
              </w:rPr>
              <w:t>, with timing based upon the relevant ‘COFOG</w:t>
            </w:r>
            <w:r>
              <w:rPr>
                <w:b/>
                <w:bCs/>
              </w:rPr>
              <w:t>’</w:t>
            </w:r>
            <w:r w:rsidRPr="00AB34F2">
              <w:rPr>
                <w:b/>
                <w:bCs/>
              </w:rPr>
              <w:t xml:space="preserve"> category.</w:t>
            </w:r>
            <w:r w:rsidR="00F402AF">
              <w:rPr>
                <w:b/>
                <w:bCs/>
              </w:rPr>
              <w:t xml:space="preserve"> </w:t>
            </w:r>
            <w:r>
              <w:rPr>
                <w:b/>
                <w:bCs/>
              </w:rPr>
              <w:br/>
            </w:r>
          </w:p>
          <w:p w14:paraId="42020B1E" w14:textId="77777777" w:rsidR="00CB2FBD" w:rsidRPr="003E4291" w:rsidRDefault="00CB2FBD" w:rsidP="00CB2FBD">
            <w:pPr>
              <w:pStyle w:val="Bullet1"/>
            </w:pPr>
            <w:r w:rsidRPr="00AB34F2">
              <w:rPr>
                <w:b/>
                <w:bCs/>
                <w:i/>
                <w:szCs w:val="20"/>
                <w:lang w:eastAsia="en-AU"/>
              </w:rPr>
              <w:t>Interim Revaluations</w:t>
            </w:r>
            <w:r w:rsidRPr="00AB34F2">
              <w:rPr>
                <w:b/>
                <w:bCs/>
                <w:szCs w:val="20"/>
                <w:lang w:eastAsia="en-AU"/>
              </w:rPr>
              <w:t xml:space="preserve"> and </w:t>
            </w:r>
            <w:r w:rsidRPr="00AB34F2">
              <w:rPr>
                <w:b/>
                <w:bCs/>
                <w:i/>
                <w:szCs w:val="20"/>
                <w:lang w:eastAsia="en-AU"/>
              </w:rPr>
              <w:t>Managerial Revaluations</w:t>
            </w:r>
            <w:r w:rsidRPr="00AB34F2">
              <w:rPr>
                <w:b/>
                <w:bCs/>
                <w:szCs w:val="20"/>
                <w:lang w:eastAsia="en-AU"/>
              </w:rPr>
              <w:t xml:space="preserve"> may arise as a result of annual </w:t>
            </w:r>
            <w:r w:rsidRPr="00AB34F2">
              <w:rPr>
                <w:b/>
                <w:bCs/>
                <w:i/>
                <w:szCs w:val="20"/>
                <w:lang w:eastAsia="en-AU"/>
              </w:rPr>
              <w:t>fair value assessments</w:t>
            </w:r>
            <w:r w:rsidRPr="00AB34F2">
              <w:rPr>
                <w:b/>
                <w:bCs/>
                <w:szCs w:val="20"/>
                <w:lang w:eastAsia="en-AU"/>
              </w:rPr>
              <w:t>. Such assessments use indices and/or other fair value indicators for indications of material changes in values, as outlined below.</w:t>
            </w:r>
          </w:p>
          <w:p w14:paraId="314322F3" w14:textId="2ED6A750" w:rsidR="00CB2FBD" w:rsidRPr="004A7840" w:rsidRDefault="00CB2FBD" w:rsidP="003E4291">
            <w:pPr>
              <w:pStyle w:val="Bullet1"/>
              <w:numPr>
                <w:ilvl w:val="0"/>
                <w:numId w:val="0"/>
              </w:numPr>
            </w:pPr>
          </w:p>
        </w:tc>
      </w:tr>
      <w:tr w:rsidR="00CB2FBD" w:rsidRPr="005828FE" w14:paraId="3072C7FE" w14:textId="77777777" w:rsidTr="00737B05">
        <w:tc>
          <w:tcPr>
            <w:tcW w:w="2293" w:type="dxa"/>
            <w:shd w:val="clear" w:color="auto" w:fill="F2F2F2" w:themeFill="background1" w:themeFillShade="F2"/>
          </w:tcPr>
          <w:p w14:paraId="64F7AF24" w14:textId="77777777" w:rsidR="00CB2FBD" w:rsidRPr="005828FE" w:rsidRDefault="00CB2FBD" w:rsidP="00CB2FBD">
            <w:pPr>
              <w:pStyle w:val="Normalbold"/>
            </w:pPr>
          </w:p>
        </w:tc>
        <w:tc>
          <w:tcPr>
            <w:tcW w:w="270" w:type="dxa"/>
            <w:shd w:val="clear" w:color="auto" w:fill="F2F2F2" w:themeFill="background1" w:themeFillShade="F2"/>
          </w:tcPr>
          <w:p w14:paraId="0D06E7A6" w14:textId="77777777" w:rsidR="00CB2FBD" w:rsidRPr="008B2A17" w:rsidRDefault="00CB2FBD" w:rsidP="00CB2FBD">
            <w:pPr>
              <w:pStyle w:val="Normalbold"/>
            </w:pPr>
          </w:p>
        </w:tc>
        <w:tc>
          <w:tcPr>
            <w:tcW w:w="540" w:type="dxa"/>
            <w:shd w:val="clear" w:color="auto" w:fill="F2F2F2" w:themeFill="background1" w:themeFillShade="F2"/>
          </w:tcPr>
          <w:p w14:paraId="5CF19089" w14:textId="5516AD7A" w:rsidR="00CB2FBD" w:rsidRDefault="00CB2FBD" w:rsidP="00CB2FBD">
            <w:pPr>
              <w:pStyle w:val="Normalbold"/>
            </w:pPr>
            <w:r>
              <w:t>4.5A</w:t>
            </w:r>
          </w:p>
        </w:tc>
        <w:tc>
          <w:tcPr>
            <w:tcW w:w="6134" w:type="dxa"/>
            <w:shd w:val="clear" w:color="auto" w:fill="F2F2F2" w:themeFill="background1" w:themeFillShade="F2"/>
          </w:tcPr>
          <w:p w14:paraId="620A0918" w14:textId="77777777" w:rsidR="00CB2FBD" w:rsidRDefault="00CB2FBD" w:rsidP="00CB2FBD">
            <w:pPr>
              <w:pStyle w:val="Normalbold"/>
            </w:pPr>
            <w:r w:rsidRPr="0010138E">
              <w:t xml:space="preserve">AASB 2022-10 </w:t>
            </w:r>
            <w:r w:rsidRPr="0010138E">
              <w:rPr>
                <w:rFonts w:eastAsia="Times New Roman" w:cs="Calibri"/>
                <w:bCs/>
                <w:i/>
                <w:iCs/>
                <w:szCs w:val="21"/>
              </w:rPr>
              <w:t>Amendments to Australian Accounting Standards – Fair Value Measurement of Non-Financial Assets of Not-for-Profit Public Sector Entities</w:t>
            </w:r>
            <w:r>
              <w:rPr>
                <w:rFonts w:eastAsia="Times New Roman" w:cs="Calibri"/>
                <w:bCs/>
                <w:i/>
                <w:iCs/>
                <w:szCs w:val="21"/>
              </w:rPr>
              <w:t xml:space="preserve"> </w:t>
            </w:r>
            <w:r>
              <w:rPr>
                <w:rFonts w:eastAsia="Times New Roman" w:cs="Calibri"/>
                <w:bCs/>
                <w:szCs w:val="21"/>
              </w:rPr>
              <w:t xml:space="preserve">amended AASB 13 </w:t>
            </w:r>
            <w:r>
              <w:rPr>
                <w:rFonts w:eastAsia="Times New Roman" w:cs="Calibri"/>
                <w:bCs/>
                <w:i/>
                <w:iCs/>
                <w:szCs w:val="21"/>
              </w:rPr>
              <w:t xml:space="preserve">Fair Value Measurement </w:t>
            </w:r>
            <w:r>
              <w:rPr>
                <w:rFonts w:eastAsia="Times New Roman" w:cs="Calibri"/>
                <w:bCs/>
                <w:szCs w:val="21"/>
              </w:rPr>
              <w:t xml:space="preserve">by adding </w:t>
            </w:r>
            <w:r w:rsidRPr="0010138E">
              <w:t xml:space="preserve">Appendix F </w:t>
            </w:r>
            <w:r w:rsidRPr="0010138E">
              <w:rPr>
                <w:i/>
                <w:iCs/>
              </w:rPr>
              <w:t>Australian implementation guidance for not-for-profit public sector entities</w:t>
            </w:r>
            <w:r w:rsidRPr="0010138E">
              <w:t>. Appendix F explains and illustrates the application of the principles in AASB 13 on developing unobservable inputs and the application of the cost approach.</w:t>
            </w:r>
            <w:r>
              <w:t xml:space="preserve"> </w:t>
            </w:r>
          </w:p>
          <w:p w14:paraId="7A791BED" w14:textId="46DBAB3C" w:rsidR="00CB2FBD" w:rsidRDefault="00CB2FBD" w:rsidP="00CB2FBD">
            <w:pPr>
              <w:pStyle w:val="Normalbold"/>
            </w:pPr>
            <w:r>
              <w:t>There is no requirement for entities to reflect Appendix F in their annual fair value assessments until the next scheduled revaluation or interim revaluation.</w:t>
            </w:r>
          </w:p>
          <w:p w14:paraId="3A42D1AE" w14:textId="4F6397EB" w:rsidR="009F6B7A" w:rsidRPr="00004C99" w:rsidRDefault="009F6B7A" w:rsidP="00CB2FBD">
            <w:pPr>
              <w:pStyle w:val="Normalbold"/>
            </w:pPr>
            <w:r>
              <w:t>Entities shall apply Appendix F of AASB 13 in their next scheduled revaluation or interim revaluation (whichever is earlier); and in all annual fair value assessments thereafter.</w:t>
            </w:r>
          </w:p>
        </w:tc>
      </w:tr>
      <w:tr w:rsidR="00CB2FBD" w:rsidRPr="005828FE" w14:paraId="56E954A2" w14:textId="77777777" w:rsidTr="00737B05">
        <w:tc>
          <w:tcPr>
            <w:tcW w:w="2293" w:type="dxa"/>
            <w:shd w:val="clear" w:color="auto" w:fill="F2F2F2" w:themeFill="background1" w:themeFillShade="F2"/>
          </w:tcPr>
          <w:p w14:paraId="64246181" w14:textId="77777777" w:rsidR="00CB2FBD" w:rsidRPr="005828FE" w:rsidRDefault="00CB2FBD" w:rsidP="00CB2FBD">
            <w:pPr>
              <w:pStyle w:val="Normalbold"/>
            </w:pPr>
          </w:p>
        </w:tc>
        <w:tc>
          <w:tcPr>
            <w:tcW w:w="270" w:type="dxa"/>
            <w:shd w:val="clear" w:color="auto" w:fill="F2F2F2" w:themeFill="background1" w:themeFillShade="F2"/>
          </w:tcPr>
          <w:p w14:paraId="62BD84E0" w14:textId="77777777" w:rsidR="00CB2FBD" w:rsidRPr="008B2A17" w:rsidRDefault="00CB2FBD" w:rsidP="00CB2FBD">
            <w:pPr>
              <w:pStyle w:val="Normalbold"/>
            </w:pPr>
          </w:p>
        </w:tc>
        <w:tc>
          <w:tcPr>
            <w:tcW w:w="540" w:type="dxa"/>
            <w:shd w:val="clear" w:color="auto" w:fill="F2F2F2" w:themeFill="background1" w:themeFillShade="F2"/>
          </w:tcPr>
          <w:p w14:paraId="1B9F7E9D" w14:textId="735E3618" w:rsidR="00CB2FBD" w:rsidRPr="005828FE" w:rsidRDefault="00CB2FBD" w:rsidP="00CB2FBD">
            <w:pPr>
              <w:pStyle w:val="Normalbold"/>
            </w:pPr>
            <w:r>
              <w:t>4.6</w:t>
            </w:r>
          </w:p>
        </w:tc>
        <w:tc>
          <w:tcPr>
            <w:tcW w:w="6134" w:type="dxa"/>
            <w:shd w:val="clear" w:color="auto" w:fill="F2F2F2" w:themeFill="background1" w:themeFillShade="F2"/>
          </w:tcPr>
          <w:p w14:paraId="50C8FC77" w14:textId="77777777" w:rsidR="00CB2FBD" w:rsidRPr="004A7840" w:rsidRDefault="00CB2FBD" w:rsidP="00CB2FBD">
            <w:pPr>
              <w:pStyle w:val="Normalbold"/>
            </w:pPr>
            <w:r w:rsidRPr="004A7840">
              <w:t>‘Exceptionally Material’ movements possibly triggering ‘Interim Revaluations’</w:t>
            </w:r>
          </w:p>
          <w:p w14:paraId="498A3A3F" w14:textId="7FC8729A" w:rsidR="00CB2FBD" w:rsidRPr="004A7840" w:rsidRDefault="00CB2FBD" w:rsidP="00CB2FBD">
            <w:pPr>
              <w:pStyle w:val="Normalbold"/>
            </w:pPr>
            <w:r w:rsidRPr="004A7840">
              <w:t>If it appears that the movement in fair values</w:t>
            </w:r>
            <w:r>
              <w:t xml:space="preserve"> of a class of assets</w:t>
            </w:r>
            <w:r w:rsidRPr="004A7840">
              <w:t xml:space="preserve">, as indicated by the cumulative impact of the VGV indices or other relevant fair value indicators since the last </w:t>
            </w:r>
            <w:r w:rsidRPr="004A7840">
              <w:rPr>
                <w:i/>
              </w:rPr>
              <w:t>interim</w:t>
            </w:r>
            <w:r w:rsidRPr="004A7840">
              <w:t xml:space="preserve"> or </w:t>
            </w:r>
            <w:r w:rsidRPr="004A7840">
              <w:rPr>
                <w:i/>
              </w:rPr>
              <w:t>scheduled revaluation</w:t>
            </w:r>
            <w:r w:rsidRPr="004A7840">
              <w:t xml:space="preserve"> is </w:t>
            </w:r>
            <w:r w:rsidRPr="004A7840">
              <w:rPr>
                <w:i/>
              </w:rPr>
              <w:t>exceptionally material</w:t>
            </w:r>
            <w:r w:rsidRPr="004A7840">
              <w:t xml:space="preserve"> (equals or exceeds 40 per cent), an entity shall refer to an Approved Valuer (as defined in this Direction) for further advice – which may result in further procedures, such as an interim revaluation.</w:t>
            </w:r>
            <w:r>
              <w:t xml:space="preserve"> </w:t>
            </w:r>
          </w:p>
        </w:tc>
      </w:tr>
      <w:tr w:rsidR="00CB2FBD" w:rsidRPr="005828FE" w14:paraId="3BD525BB" w14:textId="77777777" w:rsidTr="00737B05">
        <w:tc>
          <w:tcPr>
            <w:tcW w:w="2293" w:type="dxa"/>
            <w:shd w:val="clear" w:color="auto" w:fill="F2F2F2" w:themeFill="background1" w:themeFillShade="F2"/>
          </w:tcPr>
          <w:p w14:paraId="5060AB35" w14:textId="77777777" w:rsidR="00CB2FBD" w:rsidRPr="005828FE" w:rsidRDefault="00CB2FBD" w:rsidP="00CB2FBD">
            <w:pPr>
              <w:pStyle w:val="Normalbold"/>
            </w:pPr>
          </w:p>
        </w:tc>
        <w:tc>
          <w:tcPr>
            <w:tcW w:w="270" w:type="dxa"/>
            <w:shd w:val="clear" w:color="auto" w:fill="F2F2F2" w:themeFill="background1" w:themeFillShade="F2"/>
          </w:tcPr>
          <w:p w14:paraId="279500B9" w14:textId="77777777" w:rsidR="00CB2FBD" w:rsidRPr="008B2A17" w:rsidRDefault="00CB2FBD" w:rsidP="00CB2FBD">
            <w:pPr>
              <w:pStyle w:val="Normalbold"/>
            </w:pPr>
          </w:p>
        </w:tc>
        <w:tc>
          <w:tcPr>
            <w:tcW w:w="540" w:type="dxa"/>
            <w:shd w:val="clear" w:color="auto" w:fill="F2F2F2" w:themeFill="background1" w:themeFillShade="F2"/>
          </w:tcPr>
          <w:p w14:paraId="1A498556" w14:textId="2161B801" w:rsidR="00CB2FBD" w:rsidRPr="005828FE" w:rsidRDefault="00CB2FBD" w:rsidP="00CB2FBD">
            <w:pPr>
              <w:pStyle w:val="Normalbold"/>
            </w:pPr>
            <w:r>
              <w:t>4.7</w:t>
            </w:r>
          </w:p>
        </w:tc>
        <w:tc>
          <w:tcPr>
            <w:tcW w:w="6134" w:type="dxa"/>
            <w:shd w:val="clear" w:color="auto" w:fill="F2F2F2" w:themeFill="background1" w:themeFillShade="F2"/>
          </w:tcPr>
          <w:p w14:paraId="118CFCB3" w14:textId="77777777" w:rsidR="00CB2FBD" w:rsidRPr="004A7840" w:rsidRDefault="00CB2FBD" w:rsidP="00CB2FBD">
            <w:pPr>
              <w:pStyle w:val="Normalbold"/>
            </w:pPr>
            <w:r w:rsidRPr="004A7840">
              <w:t>‘Material’ movements triggering ‘Managerial Revaluations’</w:t>
            </w:r>
          </w:p>
          <w:p w14:paraId="5556618F" w14:textId="77777777" w:rsidR="00B813F8" w:rsidRDefault="00CB2FBD" w:rsidP="00CB2FBD">
            <w:pPr>
              <w:pStyle w:val="Normalbold"/>
            </w:pPr>
            <w:r w:rsidRPr="004A7840">
              <w:t>Subject to paragraph 4.6 above</w:t>
            </w:r>
            <w:r w:rsidR="00B813F8">
              <w:t>:</w:t>
            </w:r>
          </w:p>
          <w:p w14:paraId="24ED2CCC" w14:textId="668CF706" w:rsidR="00B813F8" w:rsidRDefault="00B813F8" w:rsidP="00B813F8">
            <w:pPr>
              <w:pStyle w:val="Normalbold"/>
              <w:numPr>
                <w:ilvl w:val="0"/>
                <w:numId w:val="31"/>
              </w:numPr>
            </w:pPr>
            <w:r>
              <w:t>I</w:t>
            </w:r>
            <w:r w:rsidR="00CB2FBD" w:rsidRPr="004A7840">
              <w:t>f the</w:t>
            </w:r>
            <w:r>
              <w:t xml:space="preserve"> cumulative</w:t>
            </w:r>
            <w:r w:rsidR="00CB2FBD" w:rsidRPr="004A7840">
              <w:t xml:space="preserve"> movement in fair values </w:t>
            </w:r>
            <w:r w:rsidR="00CB2FBD">
              <w:t xml:space="preserve">of a class of assets </w:t>
            </w:r>
            <w:r w:rsidR="00CB2FBD" w:rsidRPr="004A7840">
              <w:t>(since the last interim or scheduled revaluation), is</w:t>
            </w:r>
            <w:r w:rsidR="00CB2FBD" w:rsidRPr="004A7840">
              <w:rPr>
                <w:i/>
              </w:rPr>
              <w:t xml:space="preserve"> less than</w:t>
            </w:r>
            <w:r w:rsidR="00CB2FBD" w:rsidRPr="004A7840">
              <w:t xml:space="preserve"> 40 per cent, an entity shall then</w:t>
            </w:r>
            <w:r>
              <w:t>;</w:t>
            </w:r>
          </w:p>
          <w:p w14:paraId="14DE5914" w14:textId="48ED9B03" w:rsidR="00B813F8" w:rsidRDefault="00B813F8" w:rsidP="00B813F8">
            <w:pPr>
              <w:pStyle w:val="Normalbold"/>
              <w:numPr>
                <w:ilvl w:val="0"/>
                <w:numId w:val="31"/>
              </w:numPr>
            </w:pPr>
            <w:r>
              <w:t>E</w:t>
            </w:r>
            <w:r w:rsidR="00CB2FBD" w:rsidRPr="004A7840">
              <w:t xml:space="preserve">valuate whether the difference between the asset class’ </w:t>
            </w:r>
            <w:r w:rsidR="00CB2FBD" w:rsidRPr="004A7840">
              <w:rPr>
                <w:i/>
              </w:rPr>
              <w:t>carrying amount</w:t>
            </w:r>
            <w:r w:rsidR="00CB2FBD" w:rsidRPr="004A7840">
              <w:t xml:space="preserve"> and fair value (based on indicators or other evidence) may be </w:t>
            </w:r>
            <w:r w:rsidR="00CB2FBD" w:rsidRPr="004A7840">
              <w:rPr>
                <w:i/>
              </w:rPr>
              <w:t>materially</w:t>
            </w:r>
            <w:r w:rsidR="00CB2FBD" w:rsidRPr="004A7840">
              <w:t xml:space="preserve"> different (greater than 10 per cent). This can be determined by assessing the cumulative movement in the relevant fair value indicators since the last </w:t>
            </w:r>
            <w:r w:rsidR="00CB2FBD" w:rsidRPr="004A7840">
              <w:rPr>
                <w:i/>
              </w:rPr>
              <w:t>scheduled, interim</w:t>
            </w:r>
            <w:r w:rsidR="00CB2FBD" w:rsidRPr="004A7840">
              <w:t xml:space="preserve"> or </w:t>
            </w:r>
            <w:r w:rsidR="00CB2FBD" w:rsidRPr="004A7840">
              <w:rPr>
                <w:i/>
              </w:rPr>
              <w:t>managerial revaluation</w:t>
            </w:r>
            <w:r w:rsidR="00CB2FBD" w:rsidRPr="004A7840">
              <w:t xml:space="preserve"> (whichever is the more recent). </w:t>
            </w:r>
          </w:p>
          <w:p w14:paraId="68C72B4D" w14:textId="0AF5DAFA" w:rsidR="00CB2FBD" w:rsidRPr="004A7840" w:rsidRDefault="00CB2FBD" w:rsidP="00B813F8">
            <w:pPr>
              <w:pStyle w:val="Normalbold"/>
            </w:pPr>
            <w:r w:rsidRPr="004A7840">
              <w:t xml:space="preserve">If a material movement has occurred, a </w:t>
            </w:r>
            <w:r w:rsidRPr="004A7840">
              <w:rPr>
                <w:i/>
              </w:rPr>
              <w:t>managerial revaluation</w:t>
            </w:r>
            <w:r w:rsidRPr="004A7840">
              <w:t xml:space="preserve"> shall be performed.</w:t>
            </w:r>
          </w:p>
        </w:tc>
      </w:tr>
      <w:tr w:rsidR="00CB2FBD" w:rsidRPr="005828FE" w14:paraId="4954B080" w14:textId="77777777" w:rsidTr="00737B05">
        <w:tc>
          <w:tcPr>
            <w:tcW w:w="2293" w:type="dxa"/>
            <w:shd w:val="clear" w:color="auto" w:fill="F2F2F2" w:themeFill="background1" w:themeFillShade="F2"/>
          </w:tcPr>
          <w:p w14:paraId="7B153AF7" w14:textId="77777777" w:rsidR="00CB2FBD" w:rsidRPr="005828FE" w:rsidRDefault="00CB2FBD" w:rsidP="00CB2FBD">
            <w:pPr>
              <w:pStyle w:val="Normalbold"/>
            </w:pPr>
          </w:p>
        </w:tc>
        <w:tc>
          <w:tcPr>
            <w:tcW w:w="270" w:type="dxa"/>
            <w:shd w:val="clear" w:color="auto" w:fill="F2F2F2" w:themeFill="background1" w:themeFillShade="F2"/>
          </w:tcPr>
          <w:p w14:paraId="7884133B" w14:textId="77777777" w:rsidR="00CB2FBD" w:rsidRPr="008B2A17" w:rsidRDefault="00CB2FBD" w:rsidP="00CB2FBD">
            <w:pPr>
              <w:pStyle w:val="Normalbold"/>
            </w:pPr>
          </w:p>
        </w:tc>
        <w:tc>
          <w:tcPr>
            <w:tcW w:w="540" w:type="dxa"/>
            <w:shd w:val="clear" w:color="auto" w:fill="F2F2F2" w:themeFill="background1" w:themeFillShade="F2"/>
          </w:tcPr>
          <w:p w14:paraId="7DE2C839" w14:textId="199106CA" w:rsidR="00CB2FBD" w:rsidRPr="005828FE" w:rsidRDefault="00CB2FBD" w:rsidP="00CB2FBD">
            <w:pPr>
              <w:pStyle w:val="Normalbold"/>
            </w:pPr>
            <w:r>
              <w:t>4.8</w:t>
            </w:r>
          </w:p>
        </w:tc>
        <w:tc>
          <w:tcPr>
            <w:tcW w:w="6134" w:type="dxa"/>
            <w:shd w:val="clear" w:color="auto" w:fill="F2F2F2" w:themeFill="background1" w:themeFillShade="F2"/>
          </w:tcPr>
          <w:p w14:paraId="0028346A" w14:textId="77777777" w:rsidR="00CB2FBD" w:rsidRPr="004A7840" w:rsidRDefault="00CB2FBD" w:rsidP="00CB2FBD">
            <w:pPr>
              <w:pStyle w:val="Normalbold"/>
            </w:pPr>
            <w:r w:rsidRPr="004A7840">
              <w:t xml:space="preserve">Movements that are not material </w:t>
            </w:r>
          </w:p>
          <w:p w14:paraId="216F63CF" w14:textId="5BE46954" w:rsidR="00CB2FBD" w:rsidRPr="004A7840" w:rsidRDefault="00CB2FBD" w:rsidP="00CB2FBD">
            <w:pPr>
              <w:pStyle w:val="Normalbold"/>
            </w:pPr>
            <w:r w:rsidRPr="004A7840">
              <w:t xml:space="preserve">If the cumulative movement in fair value indicators </w:t>
            </w:r>
            <w:r>
              <w:t xml:space="preserve">of a class of assets </w:t>
            </w:r>
            <w:r w:rsidRPr="004A7840">
              <w:t>since the last scheduled, interim or managerial revaluation (or other evidence) is less than or equal to 10 per cent, then no change to carrying amounts is required.</w:t>
            </w:r>
          </w:p>
        </w:tc>
      </w:tr>
      <w:tr w:rsidR="00CB2FBD" w:rsidRPr="005828FE" w14:paraId="60E6BE23" w14:textId="77777777" w:rsidTr="00737B05">
        <w:tc>
          <w:tcPr>
            <w:tcW w:w="2293" w:type="dxa"/>
            <w:shd w:val="clear" w:color="auto" w:fill="F2F2F2" w:themeFill="background1" w:themeFillShade="F2"/>
          </w:tcPr>
          <w:p w14:paraId="5B4C2FE0" w14:textId="77777777" w:rsidR="00CB2FBD" w:rsidRPr="005828FE" w:rsidRDefault="00CB2FBD" w:rsidP="00CB2FBD">
            <w:pPr>
              <w:pStyle w:val="Normalbold"/>
            </w:pPr>
          </w:p>
        </w:tc>
        <w:tc>
          <w:tcPr>
            <w:tcW w:w="270" w:type="dxa"/>
            <w:shd w:val="clear" w:color="auto" w:fill="F2F2F2" w:themeFill="background1" w:themeFillShade="F2"/>
          </w:tcPr>
          <w:p w14:paraId="14D58569" w14:textId="77777777" w:rsidR="00CB2FBD" w:rsidRPr="008B2A17" w:rsidRDefault="00CB2FBD" w:rsidP="00CB2FBD">
            <w:pPr>
              <w:pStyle w:val="Normalbold"/>
            </w:pPr>
          </w:p>
        </w:tc>
        <w:tc>
          <w:tcPr>
            <w:tcW w:w="540" w:type="dxa"/>
            <w:shd w:val="clear" w:color="auto" w:fill="F2F2F2" w:themeFill="background1" w:themeFillShade="F2"/>
          </w:tcPr>
          <w:p w14:paraId="5E6BC93C" w14:textId="009C73A5" w:rsidR="00CB2FBD" w:rsidRPr="005828FE" w:rsidRDefault="00CB2FBD" w:rsidP="00CB2FBD">
            <w:pPr>
              <w:pStyle w:val="Normalbold"/>
            </w:pPr>
            <w:r>
              <w:t>4.9</w:t>
            </w:r>
          </w:p>
        </w:tc>
        <w:tc>
          <w:tcPr>
            <w:tcW w:w="6134" w:type="dxa"/>
            <w:shd w:val="clear" w:color="auto" w:fill="F2F2F2" w:themeFill="background1" w:themeFillShade="F2"/>
          </w:tcPr>
          <w:p w14:paraId="61ECF0EF" w14:textId="77777777" w:rsidR="00CB2FBD" w:rsidRDefault="00CB2FBD" w:rsidP="00CB2FBD">
            <w:pPr>
              <w:pStyle w:val="Normalbold"/>
            </w:pPr>
            <w:r w:rsidRPr="002653F4">
              <w:t>Revaluation process</w:t>
            </w:r>
            <w:r w:rsidRPr="004A7840">
              <w:t xml:space="preserve"> </w:t>
            </w:r>
          </w:p>
          <w:p w14:paraId="6813F68F" w14:textId="64A99654" w:rsidR="00CB2FBD" w:rsidRPr="004A7840" w:rsidRDefault="00CB2FBD" w:rsidP="00CB2FBD">
            <w:pPr>
              <w:pStyle w:val="Normalbold"/>
            </w:pPr>
            <w:r w:rsidRPr="004A7840">
              <w:t xml:space="preserve">The </w:t>
            </w:r>
            <w:r w:rsidRPr="00AB34F2">
              <w:rPr>
                <w:iCs/>
              </w:rPr>
              <w:t>guidance</w:t>
            </w:r>
            <w:r w:rsidRPr="004A7840">
              <w:t xml:space="preserve"> document supporting the application of this </w:t>
            </w:r>
            <w:r>
              <w:t>D</w:t>
            </w:r>
            <w:r w:rsidRPr="004A7840">
              <w:t>irection details the process to be followed when a ‘material’ or ‘exceptionally material’ change in asset values is</w:t>
            </w:r>
            <w:r>
              <w:t xml:space="preserve"> </w:t>
            </w:r>
            <w:r w:rsidRPr="004A7840">
              <w:t>i</w:t>
            </w:r>
            <w:r>
              <w:t>dentified</w:t>
            </w:r>
            <w:r w:rsidRPr="004A7840">
              <w:t>, including the need to obtain written approval from a Chief Reporting Officer (CRO, as defined in this Direction) before an asset revaluation can occur.</w:t>
            </w:r>
          </w:p>
        </w:tc>
      </w:tr>
      <w:tr w:rsidR="00CB2FBD" w:rsidRPr="005828FE" w14:paraId="57C2B99B" w14:textId="77777777" w:rsidTr="00737B05">
        <w:tc>
          <w:tcPr>
            <w:tcW w:w="2293" w:type="dxa"/>
            <w:shd w:val="clear" w:color="auto" w:fill="F2F2F2" w:themeFill="background1" w:themeFillShade="F2"/>
          </w:tcPr>
          <w:p w14:paraId="0F193E07" w14:textId="77777777" w:rsidR="00CB2FBD" w:rsidRPr="005828FE" w:rsidRDefault="00CB2FBD" w:rsidP="00CB2FBD">
            <w:pPr>
              <w:pStyle w:val="Normalbold"/>
            </w:pPr>
          </w:p>
        </w:tc>
        <w:tc>
          <w:tcPr>
            <w:tcW w:w="270" w:type="dxa"/>
            <w:shd w:val="clear" w:color="auto" w:fill="F2F2F2" w:themeFill="background1" w:themeFillShade="F2"/>
          </w:tcPr>
          <w:p w14:paraId="566D48F1" w14:textId="77777777" w:rsidR="00CB2FBD" w:rsidRPr="008B2A17" w:rsidRDefault="00CB2FBD" w:rsidP="00CB2FBD">
            <w:pPr>
              <w:pStyle w:val="Normalbold"/>
            </w:pPr>
          </w:p>
        </w:tc>
        <w:tc>
          <w:tcPr>
            <w:tcW w:w="540" w:type="dxa"/>
            <w:shd w:val="clear" w:color="auto" w:fill="F2F2F2" w:themeFill="background1" w:themeFillShade="F2"/>
          </w:tcPr>
          <w:p w14:paraId="39941A72" w14:textId="4D8303E4" w:rsidR="00CB2FBD" w:rsidRPr="005828FE" w:rsidRDefault="00CB2FBD" w:rsidP="00CB2FBD">
            <w:pPr>
              <w:pStyle w:val="Normalbold"/>
            </w:pPr>
            <w:r>
              <w:t>4.10</w:t>
            </w:r>
          </w:p>
        </w:tc>
        <w:tc>
          <w:tcPr>
            <w:tcW w:w="6134" w:type="dxa"/>
            <w:shd w:val="clear" w:color="auto" w:fill="F2F2F2" w:themeFill="background1" w:themeFillShade="F2"/>
          </w:tcPr>
          <w:p w14:paraId="01C7598A" w14:textId="77777777" w:rsidR="00CB2FBD" w:rsidRPr="004A7840" w:rsidRDefault="00CB2FBD" w:rsidP="00CB2FBD">
            <w:pPr>
              <w:pStyle w:val="Normalbold"/>
            </w:pPr>
            <w:r w:rsidRPr="004A7840">
              <w:t>For the purposes of the portfolio or State of Victoria reporting entity, even if the value of a controlled entity’s class of non-financial physical assets is assessed to have materially changed for that entity, this does not necessarily mean that a similar conclusion shall apply to larger aggregations of similar assets at either the portfolio or the State of Victoria reporting entity level.</w:t>
            </w:r>
          </w:p>
        </w:tc>
      </w:tr>
      <w:tr w:rsidR="00CB2FBD" w:rsidRPr="005828FE" w14:paraId="194035F0" w14:textId="77777777" w:rsidTr="00737B05">
        <w:tc>
          <w:tcPr>
            <w:tcW w:w="2293" w:type="dxa"/>
            <w:shd w:val="clear" w:color="auto" w:fill="F2F2F2" w:themeFill="background1" w:themeFillShade="F2"/>
          </w:tcPr>
          <w:p w14:paraId="64574B2C" w14:textId="77777777" w:rsidR="00CB2FBD" w:rsidRPr="005828FE" w:rsidRDefault="00CB2FBD" w:rsidP="00CB2FBD">
            <w:pPr>
              <w:pStyle w:val="Normalbold"/>
            </w:pPr>
          </w:p>
        </w:tc>
        <w:tc>
          <w:tcPr>
            <w:tcW w:w="270" w:type="dxa"/>
            <w:shd w:val="clear" w:color="auto" w:fill="F2F2F2" w:themeFill="background1" w:themeFillShade="F2"/>
          </w:tcPr>
          <w:p w14:paraId="03EBBBFE" w14:textId="77777777" w:rsidR="00CB2FBD" w:rsidRPr="008B2A17" w:rsidRDefault="00CB2FBD" w:rsidP="00CB2FBD">
            <w:pPr>
              <w:pStyle w:val="Normalbold"/>
            </w:pPr>
          </w:p>
        </w:tc>
        <w:tc>
          <w:tcPr>
            <w:tcW w:w="540" w:type="dxa"/>
            <w:shd w:val="clear" w:color="auto" w:fill="F2F2F2" w:themeFill="background1" w:themeFillShade="F2"/>
          </w:tcPr>
          <w:p w14:paraId="0597AD0F" w14:textId="67644DC8" w:rsidR="00CB2FBD" w:rsidRPr="005828FE" w:rsidRDefault="00CB2FBD" w:rsidP="00CB2FBD">
            <w:pPr>
              <w:pStyle w:val="Normalbold"/>
            </w:pPr>
            <w:r>
              <w:t>4.11</w:t>
            </w:r>
          </w:p>
        </w:tc>
        <w:tc>
          <w:tcPr>
            <w:tcW w:w="6134" w:type="dxa"/>
            <w:shd w:val="clear" w:color="auto" w:fill="F2F2F2" w:themeFill="background1" w:themeFillShade="F2"/>
          </w:tcPr>
          <w:p w14:paraId="26D6CB41" w14:textId="6DB9B8C1" w:rsidR="00CB2FBD" w:rsidRPr="004A7840" w:rsidRDefault="00CB2FBD" w:rsidP="00CB2FBD">
            <w:pPr>
              <w:pStyle w:val="Normalbold"/>
            </w:pPr>
            <w:r w:rsidRPr="004A7840">
              <w:t xml:space="preserve">The </w:t>
            </w:r>
            <w:r w:rsidRPr="00651944">
              <w:rPr>
                <w:i/>
                <w:iCs/>
              </w:rPr>
              <w:t xml:space="preserve">Executive Director, Financial Reporting – Principal Accounting Officer </w:t>
            </w:r>
            <w:r w:rsidRPr="004A7840">
              <w:t>within DTF shall also decide, in consultation with the Chief Reporting Officer (CRO</w:t>
            </w:r>
            <w:r>
              <w:t xml:space="preserve">, </w:t>
            </w:r>
            <w:r w:rsidRPr="004A7840">
              <w:t>as defined in this Direction) and any other relevant portfolio officers, whether there is a sufficiently material change in fair values for a revaluation to also take place for that class of assets across several entities or the entire portfolio.</w:t>
            </w:r>
          </w:p>
        </w:tc>
      </w:tr>
      <w:tr w:rsidR="00CB2FBD" w:rsidRPr="005828FE" w14:paraId="7DA63226" w14:textId="77777777" w:rsidTr="00737B05">
        <w:tc>
          <w:tcPr>
            <w:tcW w:w="2293" w:type="dxa"/>
            <w:shd w:val="clear" w:color="auto" w:fill="F2F2F2" w:themeFill="background1" w:themeFillShade="F2"/>
          </w:tcPr>
          <w:p w14:paraId="76FCCA51" w14:textId="77777777" w:rsidR="00CB2FBD" w:rsidRPr="005828FE" w:rsidRDefault="00CB2FBD" w:rsidP="00CB2FBD">
            <w:pPr>
              <w:pStyle w:val="Normalbold"/>
            </w:pPr>
          </w:p>
        </w:tc>
        <w:tc>
          <w:tcPr>
            <w:tcW w:w="270" w:type="dxa"/>
            <w:shd w:val="clear" w:color="auto" w:fill="F2F2F2" w:themeFill="background1" w:themeFillShade="F2"/>
          </w:tcPr>
          <w:p w14:paraId="5AEA88C6" w14:textId="77777777" w:rsidR="00CB2FBD" w:rsidRPr="008B2A17" w:rsidRDefault="00CB2FBD" w:rsidP="00CB2FBD">
            <w:pPr>
              <w:pStyle w:val="Normalbold"/>
            </w:pPr>
          </w:p>
        </w:tc>
        <w:tc>
          <w:tcPr>
            <w:tcW w:w="540" w:type="dxa"/>
            <w:shd w:val="clear" w:color="auto" w:fill="F2F2F2" w:themeFill="background1" w:themeFillShade="F2"/>
          </w:tcPr>
          <w:p w14:paraId="728DFDCD" w14:textId="34DE2A93" w:rsidR="00CB2FBD" w:rsidRPr="005828FE" w:rsidRDefault="00CB2FBD" w:rsidP="00CB2FBD">
            <w:pPr>
              <w:pStyle w:val="Normalbold"/>
            </w:pPr>
            <w:r>
              <w:t>4.12</w:t>
            </w:r>
          </w:p>
        </w:tc>
        <w:tc>
          <w:tcPr>
            <w:tcW w:w="6134" w:type="dxa"/>
            <w:shd w:val="clear" w:color="auto" w:fill="F2F2F2" w:themeFill="background1" w:themeFillShade="F2"/>
          </w:tcPr>
          <w:p w14:paraId="4D6CF168" w14:textId="4D1304C9" w:rsidR="00CB2FBD" w:rsidRDefault="00CB2FBD" w:rsidP="00CB2FBD">
            <w:pPr>
              <w:pStyle w:val="Normalbold"/>
            </w:pPr>
            <w:r w:rsidRPr="002653F4">
              <w:t>Impact of Interim and Managerial Revaluations on Scheduled Revaluations</w:t>
            </w:r>
          </w:p>
          <w:p w14:paraId="4C4E9490" w14:textId="321E3F3E" w:rsidR="00CB2FBD" w:rsidRPr="004A7840" w:rsidRDefault="00CB2FBD" w:rsidP="00CB2FBD">
            <w:pPr>
              <w:pStyle w:val="Normalbold"/>
            </w:pPr>
            <w:r w:rsidRPr="004A7840">
              <w:t>Classes of assets that have been revalued are still required to undertake a scheduled revaluation at the next stipulated time (in the five-year cycle) when the COFOG category to which that class belongs falls due for valuation.</w:t>
            </w:r>
            <w:r>
              <w:rPr>
                <w:rStyle w:val="FootnoteReference"/>
              </w:rPr>
              <w:footnoteReference w:id="5"/>
            </w:r>
          </w:p>
        </w:tc>
      </w:tr>
      <w:tr w:rsidR="00CB2FBD" w:rsidRPr="005828FE" w14:paraId="2F6E1168" w14:textId="77777777" w:rsidTr="00737B05">
        <w:tc>
          <w:tcPr>
            <w:tcW w:w="2293" w:type="dxa"/>
            <w:shd w:val="clear" w:color="auto" w:fill="F2F2F2" w:themeFill="background1" w:themeFillShade="F2"/>
          </w:tcPr>
          <w:p w14:paraId="6BDED3D6" w14:textId="77777777" w:rsidR="00CB2FBD" w:rsidRPr="005828FE" w:rsidRDefault="00CB2FBD" w:rsidP="00CB2FBD">
            <w:pPr>
              <w:pStyle w:val="Normalbold"/>
            </w:pPr>
          </w:p>
        </w:tc>
        <w:tc>
          <w:tcPr>
            <w:tcW w:w="270" w:type="dxa"/>
            <w:shd w:val="clear" w:color="auto" w:fill="F2F2F2" w:themeFill="background1" w:themeFillShade="F2"/>
          </w:tcPr>
          <w:p w14:paraId="5E71B8A5" w14:textId="77777777" w:rsidR="00CB2FBD" w:rsidRPr="008B2A17" w:rsidRDefault="00CB2FBD" w:rsidP="00CB2FBD">
            <w:pPr>
              <w:pStyle w:val="Normalbold"/>
            </w:pPr>
          </w:p>
        </w:tc>
        <w:tc>
          <w:tcPr>
            <w:tcW w:w="540" w:type="dxa"/>
            <w:shd w:val="clear" w:color="auto" w:fill="F2F2F2" w:themeFill="background1" w:themeFillShade="F2"/>
          </w:tcPr>
          <w:p w14:paraId="4BC56E2E" w14:textId="1152DFFD" w:rsidR="00CB2FBD" w:rsidRPr="005828FE" w:rsidRDefault="00CB2FBD" w:rsidP="00CB2FBD">
            <w:pPr>
              <w:pStyle w:val="Normalbold"/>
            </w:pPr>
            <w:r>
              <w:t>4.13</w:t>
            </w:r>
          </w:p>
        </w:tc>
        <w:tc>
          <w:tcPr>
            <w:tcW w:w="6134" w:type="dxa"/>
            <w:shd w:val="clear" w:color="auto" w:fill="F2F2F2" w:themeFill="background1" w:themeFillShade="F2"/>
          </w:tcPr>
          <w:p w14:paraId="7020A530" w14:textId="77777777" w:rsidR="00CB2FBD" w:rsidRPr="004A7840" w:rsidRDefault="00CB2FBD" w:rsidP="00CB2FBD">
            <w:pPr>
              <w:pStyle w:val="Normalbold"/>
            </w:pPr>
            <w:r w:rsidRPr="004A7840">
              <w:t>When assessing possible additional valuation methodologies (as a result of a fair value assessment), the Approved Valuer may consider that circumstances exist within a portfolio such that the asset holdings within a portfolio have a similar nature. This Direction provides for the Approved Valuer, in such circumstances, to provide advice to cover assets for more than one entity in a portfolio.</w:t>
            </w:r>
          </w:p>
        </w:tc>
      </w:tr>
      <w:tr w:rsidR="00CB2FBD" w:rsidRPr="005828FE" w14:paraId="07AD4773" w14:textId="77777777" w:rsidTr="00737B05">
        <w:tc>
          <w:tcPr>
            <w:tcW w:w="2293" w:type="dxa"/>
            <w:shd w:val="clear" w:color="auto" w:fill="F2F2F2" w:themeFill="background1" w:themeFillShade="F2"/>
          </w:tcPr>
          <w:p w14:paraId="2CAF60A6" w14:textId="77777777" w:rsidR="00CB2FBD" w:rsidRPr="005828FE" w:rsidRDefault="00CB2FBD" w:rsidP="00CB2FBD">
            <w:pPr>
              <w:pStyle w:val="Normalbold"/>
            </w:pPr>
          </w:p>
        </w:tc>
        <w:tc>
          <w:tcPr>
            <w:tcW w:w="270" w:type="dxa"/>
            <w:shd w:val="clear" w:color="auto" w:fill="F2F2F2" w:themeFill="background1" w:themeFillShade="F2"/>
          </w:tcPr>
          <w:p w14:paraId="5F1B7CFF" w14:textId="77777777" w:rsidR="00CB2FBD" w:rsidRPr="008B2A17" w:rsidRDefault="00CB2FBD" w:rsidP="00CB2FBD">
            <w:pPr>
              <w:pStyle w:val="Normalbold"/>
            </w:pPr>
          </w:p>
        </w:tc>
        <w:tc>
          <w:tcPr>
            <w:tcW w:w="540" w:type="dxa"/>
            <w:shd w:val="clear" w:color="auto" w:fill="F2F2F2" w:themeFill="background1" w:themeFillShade="F2"/>
          </w:tcPr>
          <w:p w14:paraId="3C97216C" w14:textId="0EAF51E3" w:rsidR="00CB2FBD" w:rsidRPr="005828FE" w:rsidRDefault="00CB2FBD" w:rsidP="00CB2FBD">
            <w:pPr>
              <w:pStyle w:val="Normalbold"/>
            </w:pPr>
            <w:r>
              <w:t>4.14</w:t>
            </w:r>
          </w:p>
        </w:tc>
        <w:tc>
          <w:tcPr>
            <w:tcW w:w="6134" w:type="dxa"/>
            <w:shd w:val="clear" w:color="auto" w:fill="F2F2F2" w:themeFill="background1" w:themeFillShade="F2"/>
          </w:tcPr>
          <w:p w14:paraId="311D2CD7" w14:textId="77777777" w:rsidR="00CB2FBD" w:rsidRDefault="00CB2FBD" w:rsidP="00CB2FBD">
            <w:pPr>
              <w:pStyle w:val="Normalbold"/>
            </w:pPr>
            <w:r w:rsidRPr="004A7840">
              <w:t xml:space="preserve">Revaluations – Accounting treatment </w:t>
            </w:r>
          </w:p>
          <w:p w14:paraId="0CE9FD76" w14:textId="788C1561" w:rsidR="00CB2FBD" w:rsidRPr="004A7840" w:rsidRDefault="00CB2FBD" w:rsidP="00CB2FBD">
            <w:pPr>
              <w:pStyle w:val="Normalbold"/>
            </w:pPr>
            <w:r w:rsidRPr="004A7840">
              <w:t>When non-financial physical assets are revalued, an entity shall account for the accumulated depreciation at the date of the revaluation by eliminating the accumulated depreciation balance against the gross carrying amount of the asset and increasing the net amount to the revalued amount of the asset.</w:t>
            </w:r>
          </w:p>
        </w:tc>
      </w:tr>
      <w:tr w:rsidR="00CB2FBD" w:rsidRPr="005828FE" w14:paraId="1529BE6B" w14:textId="77777777" w:rsidTr="00737B05">
        <w:tc>
          <w:tcPr>
            <w:tcW w:w="2293" w:type="dxa"/>
            <w:shd w:val="clear" w:color="auto" w:fill="F2F2F2" w:themeFill="background1" w:themeFillShade="F2"/>
          </w:tcPr>
          <w:p w14:paraId="1D9AC75E" w14:textId="77777777" w:rsidR="00CB2FBD" w:rsidRPr="005828FE" w:rsidRDefault="00CB2FBD" w:rsidP="00CB2FBD">
            <w:pPr>
              <w:pStyle w:val="Normalbold"/>
            </w:pPr>
          </w:p>
        </w:tc>
        <w:tc>
          <w:tcPr>
            <w:tcW w:w="270" w:type="dxa"/>
            <w:shd w:val="clear" w:color="auto" w:fill="F2F2F2" w:themeFill="background1" w:themeFillShade="F2"/>
          </w:tcPr>
          <w:p w14:paraId="55DF2AA7" w14:textId="77777777" w:rsidR="00CB2FBD" w:rsidRPr="008B2A17" w:rsidRDefault="00CB2FBD" w:rsidP="00CB2FBD">
            <w:pPr>
              <w:pStyle w:val="Normalbold"/>
            </w:pPr>
          </w:p>
        </w:tc>
        <w:tc>
          <w:tcPr>
            <w:tcW w:w="540" w:type="dxa"/>
            <w:shd w:val="clear" w:color="auto" w:fill="F2F2F2" w:themeFill="background1" w:themeFillShade="F2"/>
          </w:tcPr>
          <w:p w14:paraId="6D7429C6" w14:textId="5343ACB1" w:rsidR="00CB2FBD" w:rsidRPr="005828FE" w:rsidRDefault="00CB2FBD" w:rsidP="00CB2FBD">
            <w:pPr>
              <w:pStyle w:val="Normalbold"/>
            </w:pPr>
            <w:r>
              <w:t>4.15</w:t>
            </w:r>
          </w:p>
        </w:tc>
        <w:tc>
          <w:tcPr>
            <w:tcW w:w="6134" w:type="dxa"/>
            <w:shd w:val="clear" w:color="auto" w:fill="F2F2F2" w:themeFill="background1" w:themeFillShade="F2"/>
          </w:tcPr>
          <w:p w14:paraId="1C737A5B" w14:textId="77777777" w:rsidR="00CB2FBD" w:rsidRPr="004A7840" w:rsidRDefault="00CB2FBD" w:rsidP="00CB2FBD">
            <w:pPr>
              <w:pStyle w:val="Normalbold"/>
            </w:pPr>
            <w:r w:rsidRPr="004A7840">
              <w:t xml:space="preserve">To enable the impact of revaluations to be factored into the following </w:t>
            </w:r>
            <w:r w:rsidRPr="004A7840">
              <w:rPr>
                <w:i/>
              </w:rPr>
              <w:t>Budget</w:t>
            </w:r>
            <w:r w:rsidRPr="004A7840">
              <w:t xml:space="preserve"> period, they shall be undertaken prior to the commencement of the Budget process, but only recognised on the Balance Sheet at financial year end (e.g. 30 June). To ensure the validity of such revaluations, entities shall instruct the valuers (if involved) that, to the extent possible, valuations are to be based upon an asset’s anticipated value at the end of the financial year. Any changes to depreciation resulting from the revaluation shall be effective from the commencement of the next year (i.e. 1 July) following recognition of the revaluation on the Balance Sheet. Budget estimates shall be updated, where possible, prior to the finalisation of the Budget for the coming year.</w:t>
            </w:r>
          </w:p>
        </w:tc>
      </w:tr>
      <w:tr w:rsidR="00CB2FBD" w:rsidRPr="005828FE" w14:paraId="37F84AEE" w14:textId="77777777" w:rsidTr="00737B05">
        <w:tc>
          <w:tcPr>
            <w:tcW w:w="2293" w:type="dxa"/>
            <w:shd w:val="clear" w:color="auto" w:fill="F2F2F2" w:themeFill="background1" w:themeFillShade="F2"/>
          </w:tcPr>
          <w:p w14:paraId="7D7ABBAD" w14:textId="77777777" w:rsidR="00CB2FBD" w:rsidRPr="005828FE" w:rsidRDefault="00CB2FBD" w:rsidP="00CB2FBD">
            <w:pPr>
              <w:pStyle w:val="Normalbold"/>
            </w:pPr>
          </w:p>
        </w:tc>
        <w:tc>
          <w:tcPr>
            <w:tcW w:w="270" w:type="dxa"/>
            <w:shd w:val="clear" w:color="auto" w:fill="F2F2F2" w:themeFill="background1" w:themeFillShade="F2"/>
          </w:tcPr>
          <w:p w14:paraId="687ECD83" w14:textId="77777777" w:rsidR="00CB2FBD" w:rsidRPr="008B2A17" w:rsidRDefault="00CB2FBD" w:rsidP="00CB2FBD">
            <w:pPr>
              <w:pStyle w:val="Normalbold"/>
            </w:pPr>
          </w:p>
        </w:tc>
        <w:tc>
          <w:tcPr>
            <w:tcW w:w="540" w:type="dxa"/>
            <w:shd w:val="clear" w:color="auto" w:fill="F2F2F2" w:themeFill="background1" w:themeFillShade="F2"/>
          </w:tcPr>
          <w:p w14:paraId="639F098F" w14:textId="2D27DD2B" w:rsidR="00CB2FBD" w:rsidRPr="005828FE" w:rsidRDefault="00CB2FBD" w:rsidP="00CB2FBD">
            <w:pPr>
              <w:pStyle w:val="Normalbold"/>
            </w:pPr>
            <w:r>
              <w:t>4.16</w:t>
            </w:r>
          </w:p>
        </w:tc>
        <w:tc>
          <w:tcPr>
            <w:tcW w:w="6134" w:type="dxa"/>
            <w:shd w:val="clear" w:color="auto" w:fill="F2F2F2" w:themeFill="background1" w:themeFillShade="F2"/>
          </w:tcPr>
          <w:p w14:paraId="673E8D29" w14:textId="77777777" w:rsidR="00CB2FBD" w:rsidRPr="004A7840" w:rsidRDefault="00CB2FBD" w:rsidP="00CB2FBD">
            <w:pPr>
              <w:pStyle w:val="Normalbold"/>
            </w:pPr>
            <w:r w:rsidRPr="004A7840">
              <w:t xml:space="preserve">Residual values </w:t>
            </w:r>
          </w:p>
          <w:p w14:paraId="65BA5268" w14:textId="3FDC08B3" w:rsidR="00CB2FBD" w:rsidRPr="004A7840" w:rsidRDefault="00CB2FBD" w:rsidP="00CB2FBD">
            <w:pPr>
              <w:pStyle w:val="Normalbold"/>
            </w:pPr>
            <w:r w:rsidRPr="004A7840">
              <w:t>Unless there is evidence to the contrary, this Direction deems all non</w:t>
            </w:r>
            <w:r>
              <w:noBreakHyphen/>
            </w:r>
            <w:r w:rsidRPr="004A7840">
              <w:t>financial physical assets, other than vehicles, to have a residual value of zero.</w:t>
            </w:r>
          </w:p>
        </w:tc>
      </w:tr>
      <w:tr w:rsidR="00CB2FBD" w:rsidRPr="005828FE" w14:paraId="05363C75" w14:textId="77777777" w:rsidTr="00737B05">
        <w:tc>
          <w:tcPr>
            <w:tcW w:w="2293" w:type="dxa"/>
            <w:shd w:val="clear" w:color="auto" w:fill="F2F2F2" w:themeFill="background1" w:themeFillShade="F2"/>
          </w:tcPr>
          <w:p w14:paraId="4B5F5C8F" w14:textId="77777777" w:rsidR="00CB2FBD" w:rsidRPr="005828FE" w:rsidRDefault="00CB2FBD" w:rsidP="00CB2FBD">
            <w:pPr>
              <w:pStyle w:val="Normalbold"/>
            </w:pPr>
          </w:p>
        </w:tc>
        <w:tc>
          <w:tcPr>
            <w:tcW w:w="270" w:type="dxa"/>
            <w:shd w:val="clear" w:color="auto" w:fill="F2F2F2" w:themeFill="background1" w:themeFillShade="F2"/>
          </w:tcPr>
          <w:p w14:paraId="246EBA75" w14:textId="77777777" w:rsidR="00CB2FBD" w:rsidRPr="008B2A17" w:rsidRDefault="00CB2FBD" w:rsidP="00CB2FBD">
            <w:pPr>
              <w:pStyle w:val="Normalbold"/>
            </w:pPr>
          </w:p>
        </w:tc>
        <w:tc>
          <w:tcPr>
            <w:tcW w:w="540" w:type="dxa"/>
            <w:shd w:val="clear" w:color="auto" w:fill="F2F2F2" w:themeFill="background1" w:themeFillShade="F2"/>
          </w:tcPr>
          <w:p w14:paraId="46F3F28B" w14:textId="1A1C9480" w:rsidR="00CB2FBD" w:rsidRPr="005828FE" w:rsidRDefault="00CB2FBD" w:rsidP="00CB2FBD">
            <w:pPr>
              <w:pStyle w:val="Normalbold"/>
            </w:pPr>
            <w:r>
              <w:t>4.17</w:t>
            </w:r>
          </w:p>
        </w:tc>
        <w:tc>
          <w:tcPr>
            <w:tcW w:w="6134" w:type="dxa"/>
            <w:shd w:val="clear" w:color="auto" w:fill="F2F2F2" w:themeFill="background1" w:themeFillShade="F2"/>
          </w:tcPr>
          <w:p w14:paraId="17ACA8BF" w14:textId="77777777" w:rsidR="00CB2FBD" w:rsidRPr="004A7840" w:rsidRDefault="00CB2FBD" w:rsidP="00CB2FBD">
            <w:pPr>
              <w:pStyle w:val="Normalbold"/>
            </w:pPr>
            <w:r w:rsidRPr="004A7840">
              <w:t xml:space="preserve">Useful life </w:t>
            </w:r>
          </w:p>
          <w:p w14:paraId="55D27097" w14:textId="77777777" w:rsidR="00CB2FBD" w:rsidRPr="004A7840" w:rsidRDefault="00CB2FBD" w:rsidP="00CB2FBD">
            <w:pPr>
              <w:pStyle w:val="Normalbold"/>
            </w:pPr>
            <w:r w:rsidRPr="004A7840">
              <w:t>In certain circumstances some infrastructure assets or asset components may have unlimited useful lives. However, unless evidence suggests to the contrary, this Direction deems all non</w:t>
            </w:r>
            <w:r w:rsidRPr="004A7840">
              <w:noBreakHyphen/>
              <w:t>financial physical assets to have a limited useful life.</w:t>
            </w:r>
          </w:p>
        </w:tc>
      </w:tr>
      <w:tr w:rsidR="00CB2FBD" w:rsidRPr="005828FE" w14:paraId="6D30F5B4" w14:textId="77777777" w:rsidTr="00737B05">
        <w:tc>
          <w:tcPr>
            <w:tcW w:w="2293" w:type="dxa"/>
          </w:tcPr>
          <w:p w14:paraId="7C920E56" w14:textId="0F68DE0E" w:rsidR="00CB2FBD" w:rsidRPr="00490386" w:rsidRDefault="00CB2FBD" w:rsidP="00CB2FBD">
            <w:pPr>
              <w:pStyle w:val="Normalgrey"/>
              <w:rPr>
                <w:b/>
                <w:bCs/>
              </w:rPr>
            </w:pPr>
            <w:r>
              <w:t xml:space="preserve">Guidance documents </w:t>
            </w:r>
          </w:p>
        </w:tc>
        <w:tc>
          <w:tcPr>
            <w:tcW w:w="270" w:type="dxa"/>
          </w:tcPr>
          <w:p w14:paraId="0A3CFC12" w14:textId="77777777" w:rsidR="00CB2FBD" w:rsidRPr="005828FE" w:rsidRDefault="00CB2FBD" w:rsidP="00CB2FBD">
            <w:pPr>
              <w:pStyle w:val="Normalgrey"/>
            </w:pPr>
          </w:p>
        </w:tc>
        <w:tc>
          <w:tcPr>
            <w:tcW w:w="540" w:type="dxa"/>
          </w:tcPr>
          <w:p w14:paraId="609EF7B5" w14:textId="3281DE9C" w:rsidR="00CB2FBD" w:rsidRDefault="00CB2FBD" w:rsidP="00CB2FBD">
            <w:pPr>
              <w:pStyle w:val="Normalgrey"/>
            </w:pPr>
            <w:r>
              <w:t>5.1</w:t>
            </w:r>
          </w:p>
        </w:tc>
        <w:tc>
          <w:tcPr>
            <w:tcW w:w="6134" w:type="dxa"/>
          </w:tcPr>
          <w:p w14:paraId="451B8299" w14:textId="77777777" w:rsidR="00CB2FBD" w:rsidRPr="004A7840" w:rsidRDefault="00CB2FBD" w:rsidP="00CB2FBD">
            <w:pPr>
              <w:pStyle w:val="Normalgrey"/>
            </w:pPr>
            <w:r w:rsidRPr="004A7840">
              <w:t>The following guidance papers are published separately by DTF, and provide further assistance with the use of this Direction in specific circumstances:</w:t>
            </w:r>
          </w:p>
          <w:p w14:paraId="4B6DF44F" w14:textId="77777777" w:rsidR="00CB2FBD" w:rsidRPr="004A7840" w:rsidRDefault="00CB2FBD" w:rsidP="00CB2FBD">
            <w:pPr>
              <w:pStyle w:val="Bullet1grey"/>
            </w:pPr>
            <w:r w:rsidRPr="004A7840">
              <w:t xml:space="preserve">Guidance on the application of FRD 103 </w:t>
            </w:r>
            <w:r w:rsidRPr="004A7840">
              <w:rPr>
                <w:i/>
              </w:rPr>
              <w:t>Non-financial physical assets</w:t>
            </w:r>
            <w:r w:rsidRPr="004A7840">
              <w:t xml:space="preserve">, </w:t>
            </w:r>
          </w:p>
          <w:p w14:paraId="5442548A" w14:textId="77777777" w:rsidR="00CB2FBD" w:rsidRPr="004A7840" w:rsidRDefault="00CB2FBD" w:rsidP="00CB2FBD">
            <w:pPr>
              <w:pStyle w:val="Bullet1grey"/>
            </w:pPr>
            <w:r w:rsidRPr="004A7840">
              <w:t>Guidance on the Selection of Valuation Services, and</w:t>
            </w:r>
          </w:p>
          <w:p w14:paraId="4D91CB4C" w14:textId="0FB203CF" w:rsidR="00CB2FBD" w:rsidRPr="00C20E72" w:rsidRDefault="00CB2FBD" w:rsidP="00CB2FBD">
            <w:pPr>
              <w:pStyle w:val="Bullet1grey"/>
              <w:rPr>
                <w:b/>
              </w:rPr>
            </w:pPr>
            <w:r w:rsidRPr="004A7840">
              <w:t>Guidance on Depreciation of Building Components.</w:t>
            </w:r>
          </w:p>
        </w:tc>
      </w:tr>
      <w:tr w:rsidR="00CB2FBD" w:rsidRPr="005828FE" w14:paraId="3584249F" w14:textId="77777777" w:rsidTr="00737B05">
        <w:tc>
          <w:tcPr>
            <w:tcW w:w="2293" w:type="dxa"/>
          </w:tcPr>
          <w:p w14:paraId="0CBA01B0" w14:textId="30EE3E77" w:rsidR="00CB2FBD" w:rsidRPr="00E00D5F" w:rsidRDefault="00CB2FBD" w:rsidP="00CB2FBD">
            <w:pPr>
              <w:pStyle w:val="Normalgrey"/>
            </w:pPr>
            <w:r w:rsidRPr="00490386">
              <w:rPr>
                <w:b/>
                <w:bCs/>
              </w:rPr>
              <w:t>Definitions</w:t>
            </w:r>
            <w:r>
              <w:t xml:space="preserve"> (in this Direction and associated Guidance documents)</w:t>
            </w:r>
          </w:p>
        </w:tc>
        <w:tc>
          <w:tcPr>
            <w:tcW w:w="270" w:type="dxa"/>
          </w:tcPr>
          <w:p w14:paraId="56DF84B8" w14:textId="77777777" w:rsidR="00CB2FBD" w:rsidRPr="005828FE" w:rsidRDefault="00CB2FBD" w:rsidP="00CB2FBD">
            <w:pPr>
              <w:pStyle w:val="Normalgrey"/>
            </w:pPr>
          </w:p>
        </w:tc>
        <w:tc>
          <w:tcPr>
            <w:tcW w:w="540" w:type="dxa"/>
          </w:tcPr>
          <w:p w14:paraId="57F36122" w14:textId="58F8F40C" w:rsidR="00CB2FBD" w:rsidRPr="005828FE" w:rsidRDefault="00CB2FBD" w:rsidP="00CB2FBD">
            <w:pPr>
              <w:pStyle w:val="Normalgrey"/>
            </w:pPr>
            <w:r>
              <w:t>6.1</w:t>
            </w:r>
          </w:p>
        </w:tc>
        <w:tc>
          <w:tcPr>
            <w:tcW w:w="6134" w:type="dxa"/>
          </w:tcPr>
          <w:p w14:paraId="2EE22A79" w14:textId="77777777" w:rsidR="00CB2FBD" w:rsidRPr="00E20142" w:rsidRDefault="00CB2FBD" w:rsidP="00CB2FBD">
            <w:pPr>
              <w:pStyle w:val="Normalgrey"/>
            </w:pPr>
            <w:r w:rsidRPr="00C20E72">
              <w:rPr>
                <w:b/>
              </w:rPr>
              <w:t>Approved Valuer</w:t>
            </w:r>
            <w:r>
              <w:rPr>
                <w:b/>
              </w:rPr>
              <w:t xml:space="preserve"> –</w:t>
            </w:r>
            <w:r w:rsidRPr="00C20E72">
              <w:t xml:space="preserve"> an independent professional valuation agency. Unless otherwise approved by the Chief Reporting Officer (as defined in this Direction), the Approved Valuer is to be the Valuer-General Victoria (VGV).</w:t>
            </w:r>
          </w:p>
        </w:tc>
      </w:tr>
      <w:tr w:rsidR="00CB2FBD" w:rsidRPr="005828FE" w14:paraId="1A483CFB" w14:textId="77777777" w:rsidTr="00737B05">
        <w:tc>
          <w:tcPr>
            <w:tcW w:w="2293" w:type="dxa"/>
          </w:tcPr>
          <w:p w14:paraId="297DB83D" w14:textId="77777777" w:rsidR="00CB2FBD" w:rsidRPr="005828FE" w:rsidRDefault="00CB2FBD" w:rsidP="00CB2FBD">
            <w:pPr>
              <w:pStyle w:val="Normalgrey"/>
            </w:pPr>
          </w:p>
        </w:tc>
        <w:tc>
          <w:tcPr>
            <w:tcW w:w="270" w:type="dxa"/>
          </w:tcPr>
          <w:p w14:paraId="5711B2C8" w14:textId="77777777" w:rsidR="00CB2FBD" w:rsidRPr="005828FE" w:rsidRDefault="00CB2FBD" w:rsidP="00CB2FBD">
            <w:pPr>
              <w:pStyle w:val="Normalgrey"/>
            </w:pPr>
          </w:p>
        </w:tc>
        <w:tc>
          <w:tcPr>
            <w:tcW w:w="540" w:type="dxa"/>
          </w:tcPr>
          <w:p w14:paraId="5D048C74" w14:textId="61B760E6" w:rsidR="00CB2FBD" w:rsidRPr="005828FE" w:rsidRDefault="00CB2FBD" w:rsidP="00CB2FBD">
            <w:pPr>
              <w:pStyle w:val="Normalgrey"/>
            </w:pPr>
            <w:r>
              <w:t>6.2</w:t>
            </w:r>
          </w:p>
        </w:tc>
        <w:tc>
          <w:tcPr>
            <w:tcW w:w="6134" w:type="dxa"/>
          </w:tcPr>
          <w:p w14:paraId="128D2A44" w14:textId="77777777" w:rsidR="00CB2FBD" w:rsidRDefault="00CB2FBD" w:rsidP="00CB2FBD">
            <w:pPr>
              <w:pStyle w:val="Normalgrey"/>
            </w:pPr>
            <w:r w:rsidRPr="00C20E72">
              <w:rPr>
                <w:b/>
              </w:rPr>
              <w:t>Chief Reporting Officer (CRO)</w:t>
            </w:r>
            <w:r>
              <w:t xml:space="preserve"> – The officer responsible for an entity’s submission of financial information for the purposes of consolidation into the State of Victoria economic entity financial statements.</w:t>
            </w:r>
          </w:p>
          <w:p w14:paraId="4C9B2A4D" w14:textId="38A52309" w:rsidR="00CB2FBD" w:rsidRDefault="00CB2FBD" w:rsidP="00CB2FBD">
            <w:pPr>
              <w:pStyle w:val="Normalgrey"/>
            </w:pPr>
            <w:r>
              <w:t xml:space="preserve">In most cases, this will be the portfolio Chief Finance Officer (CFO, as defined in the Standing Directions 2018); the principal accounting officer in a department responsible for financial management leadership and for consolidated financial reporting of that department and its relevant portfolio entities. </w:t>
            </w:r>
          </w:p>
          <w:p w14:paraId="77B29D44" w14:textId="77777777" w:rsidR="00CB2FBD" w:rsidRPr="00565CF3" w:rsidRDefault="00CB2FBD" w:rsidP="00CB2FBD">
            <w:pPr>
              <w:pStyle w:val="Normalgrey"/>
            </w:pPr>
            <w:r>
              <w:t>Some entities submit information directly to DTF for the purposes of consolidation. For such entities, the Chief Reporting Officer will not be a Portfolio CFO, but rather their own Chief Finance Officer (or other such senior accounting or reporting officer).</w:t>
            </w:r>
          </w:p>
        </w:tc>
      </w:tr>
      <w:tr w:rsidR="00CB2FBD" w:rsidRPr="005828FE" w14:paraId="6D3E3748" w14:textId="77777777" w:rsidTr="00737B05">
        <w:tc>
          <w:tcPr>
            <w:tcW w:w="2293" w:type="dxa"/>
          </w:tcPr>
          <w:p w14:paraId="605825A6" w14:textId="77777777" w:rsidR="00CB2FBD" w:rsidRPr="005828FE" w:rsidRDefault="00CB2FBD" w:rsidP="00CB2FBD">
            <w:pPr>
              <w:pStyle w:val="Normalgrey"/>
            </w:pPr>
          </w:p>
        </w:tc>
        <w:tc>
          <w:tcPr>
            <w:tcW w:w="270" w:type="dxa"/>
          </w:tcPr>
          <w:p w14:paraId="30A9418C" w14:textId="77777777" w:rsidR="00CB2FBD" w:rsidRPr="005828FE" w:rsidRDefault="00CB2FBD" w:rsidP="00CB2FBD">
            <w:pPr>
              <w:pStyle w:val="Normalgrey"/>
            </w:pPr>
          </w:p>
        </w:tc>
        <w:tc>
          <w:tcPr>
            <w:tcW w:w="540" w:type="dxa"/>
          </w:tcPr>
          <w:p w14:paraId="68447571" w14:textId="530D5103" w:rsidR="00CB2FBD" w:rsidRPr="005828FE" w:rsidRDefault="00CB2FBD" w:rsidP="00CB2FBD">
            <w:pPr>
              <w:pStyle w:val="Normalgrey"/>
            </w:pPr>
            <w:r>
              <w:t>6.3</w:t>
            </w:r>
          </w:p>
        </w:tc>
        <w:tc>
          <w:tcPr>
            <w:tcW w:w="6134" w:type="dxa"/>
          </w:tcPr>
          <w:p w14:paraId="255A6B3C" w14:textId="6EC695CF" w:rsidR="00CB2FBD" w:rsidRDefault="00CB2FBD" w:rsidP="00CB2FBD">
            <w:pPr>
              <w:pStyle w:val="Normalgrey"/>
            </w:pPr>
            <w:r w:rsidRPr="00C20E72">
              <w:rPr>
                <w:b/>
              </w:rPr>
              <w:t>Class</w:t>
            </w:r>
            <w:r>
              <w:t xml:space="preserve"> – for all reporting entities covered by this FRD, other than the consolidated general government sector and whole of government levels, the combination of ‘Purpose Group’ and ‘nature’ establishes a class. In this Direction: </w:t>
            </w:r>
          </w:p>
          <w:p w14:paraId="18D0A7F4" w14:textId="46517CBA" w:rsidR="00CB2FBD" w:rsidRDefault="00CB2FBD" w:rsidP="00CB2FBD">
            <w:pPr>
              <w:pStyle w:val="Bullet1grey"/>
            </w:pPr>
            <w:r>
              <w:t>based upon the ‘Classification of the functions of government’ (COFOG) categories; and</w:t>
            </w:r>
          </w:p>
          <w:p w14:paraId="6460B4A2" w14:textId="52E933C1" w:rsidR="00CB2FBD" w:rsidRDefault="00CB2FBD" w:rsidP="00CB2FBD">
            <w:pPr>
              <w:pStyle w:val="Bullet1grey"/>
            </w:pPr>
            <w:r>
              <w:t>an asset’s ‘nature’ refers to its functional use. They may be owned or leased and grouped into one of the following categories:</w:t>
            </w:r>
          </w:p>
          <w:p w14:paraId="4DC38BB0" w14:textId="1CFA26B9" w:rsidR="00CB2FBD" w:rsidRDefault="00CB2FBD" w:rsidP="00CB2FBD">
            <w:pPr>
              <w:pStyle w:val="Bullet2grey"/>
            </w:pPr>
            <w:r>
              <w:t>land and national parks;</w:t>
            </w:r>
          </w:p>
          <w:p w14:paraId="133BF8E3" w14:textId="2BFFBF64" w:rsidR="00CB2FBD" w:rsidRDefault="00CB2FBD" w:rsidP="00CB2FBD">
            <w:pPr>
              <w:pStyle w:val="Bullet2grey"/>
            </w:pPr>
            <w:r>
              <w:t>buildings;</w:t>
            </w:r>
          </w:p>
          <w:p w14:paraId="27D5A749" w14:textId="2377856C" w:rsidR="00CB2FBD" w:rsidRDefault="00CB2FBD" w:rsidP="00CB2FBD">
            <w:pPr>
              <w:pStyle w:val="Bullet2grey"/>
            </w:pPr>
            <w:r>
              <w:t>plant, equipment and vehicles;</w:t>
            </w:r>
          </w:p>
          <w:p w14:paraId="6C8E71C5" w14:textId="308C3B3C" w:rsidR="00CB2FBD" w:rsidRDefault="00CB2FBD" w:rsidP="00CB2FBD">
            <w:pPr>
              <w:pStyle w:val="Bullet2grey"/>
            </w:pPr>
            <w:r>
              <w:t>infrastructure systems;</w:t>
            </w:r>
          </w:p>
          <w:p w14:paraId="183D33EE" w14:textId="3B3C4D15" w:rsidR="00CB2FBD" w:rsidRDefault="00CB2FBD" w:rsidP="00CB2FBD">
            <w:pPr>
              <w:pStyle w:val="Bullet2grey"/>
            </w:pPr>
            <w:r>
              <w:t>road and road infrastructures or earthworks; or</w:t>
            </w:r>
          </w:p>
          <w:p w14:paraId="1311CB06" w14:textId="77777777" w:rsidR="00CB2FBD" w:rsidRDefault="00CB2FBD" w:rsidP="00CB2FBD">
            <w:pPr>
              <w:pStyle w:val="Bullet2grey"/>
            </w:pPr>
            <w:r w:rsidRPr="00204E2A">
              <w:t>cultural assets.</w:t>
            </w:r>
            <w:r>
              <w:t xml:space="preserve"> </w:t>
            </w:r>
          </w:p>
          <w:p w14:paraId="17C7F63D" w14:textId="0D43B3D1" w:rsidR="00CB2FBD" w:rsidRPr="00AA5DEB" w:rsidRDefault="00CB2FBD" w:rsidP="00CB2FBD">
            <w:pPr>
              <w:pStyle w:val="Normalgrey"/>
            </w:pPr>
            <w:r>
              <w:t>Note that for valuation purposes, assets may be revalued at a more granular level.</w:t>
            </w:r>
          </w:p>
        </w:tc>
      </w:tr>
      <w:tr w:rsidR="00CB2FBD" w:rsidRPr="005828FE" w14:paraId="37F23890" w14:textId="77777777" w:rsidTr="00737B05">
        <w:tc>
          <w:tcPr>
            <w:tcW w:w="2293" w:type="dxa"/>
          </w:tcPr>
          <w:p w14:paraId="06DBBD0C" w14:textId="77777777" w:rsidR="00CB2FBD" w:rsidRPr="005828FE" w:rsidRDefault="00CB2FBD" w:rsidP="00CB2FBD">
            <w:pPr>
              <w:pStyle w:val="Normalgrey"/>
            </w:pPr>
          </w:p>
        </w:tc>
        <w:tc>
          <w:tcPr>
            <w:tcW w:w="270" w:type="dxa"/>
          </w:tcPr>
          <w:p w14:paraId="36F01A73" w14:textId="77777777" w:rsidR="00CB2FBD" w:rsidRPr="005828FE" w:rsidRDefault="00CB2FBD" w:rsidP="00CB2FBD">
            <w:pPr>
              <w:pStyle w:val="Normalgrey"/>
            </w:pPr>
          </w:p>
        </w:tc>
        <w:tc>
          <w:tcPr>
            <w:tcW w:w="540" w:type="dxa"/>
          </w:tcPr>
          <w:p w14:paraId="3433843F" w14:textId="40E9CACA" w:rsidR="00CB2FBD" w:rsidRPr="005828FE" w:rsidRDefault="00CB2FBD" w:rsidP="00CB2FBD">
            <w:pPr>
              <w:pStyle w:val="Normalgrey"/>
            </w:pPr>
            <w:r>
              <w:t>6.4</w:t>
            </w:r>
          </w:p>
        </w:tc>
        <w:tc>
          <w:tcPr>
            <w:tcW w:w="6134" w:type="dxa"/>
          </w:tcPr>
          <w:p w14:paraId="37652FE4" w14:textId="64157408" w:rsidR="00CB2FBD" w:rsidRDefault="00CB2FBD" w:rsidP="00CB2FBD">
            <w:pPr>
              <w:pStyle w:val="Normalgrey"/>
            </w:pPr>
            <w:r w:rsidRPr="00C20E72">
              <w:rPr>
                <w:b/>
              </w:rPr>
              <w:t>Cost approach</w:t>
            </w:r>
            <w:r>
              <w:t xml:space="preserve"> – a valuation technique that reflects the amount that would be required currently to replace the service capacity of an asset (often referred to as </w:t>
            </w:r>
            <w:r w:rsidRPr="00490386">
              <w:rPr>
                <w:b/>
                <w:bCs/>
              </w:rPr>
              <w:t>current replacement cost</w:t>
            </w:r>
            <w:r>
              <w:t>).</w:t>
            </w:r>
          </w:p>
          <w:p w14:paraId="3FEB10D9" w14:textId="7BA1C77C" w:rsidR="00CB2FBD" w:rsidRPr="00565CF3" w:rsidRDefault="00CB2FBD" w:rsidP="00CB2FBD">
            <w:pPr>
              <w:pStyle w:val="Normalgrey"/>
            </w:pPr>
            <w:r>
              <w:t xml:space="preserve">From the perspective of a market participant seller, the price that would be received for the asset is based on the cost to a market participant buyer to acquire or construct a substitute asset of comparable utility, adjusted for obsolescence (as defined below). </w:t>
            </w:r>
          </w:p>
        </w:tc>
      </w:tr>
      <w:tr w:rsidR="00CB2FBD" w:rsidRPr="005828FE" w14:paraId="1BECB26C" w14:textId="77777777" w:rsidTr="00737B05">
        <w:tc>
          <w:tcPr>
            <w:tcW w:w="2293" w:type="dxa"/>
          </w:tcPr>
          <w:p w14:paraId="5AAB09E7" w14:textId="77777777" w:rsidR="00CB2FBD" w:rsidRPr="005828FE" w:rsidRDefault="00CB2FBD" w:rsidP="00CB2FBD">
            <w:pPr>
              <w:pStyle w:val="Normalgrey"/>
            </w:pPr>
          </w:p>
        </w:tc>
        <w:tc>
          <w:tcPr>
            <w:tcW w:w="270" w:type="dxa"/>
          </w:tcPr>
          <w:p w14:paraId="6EA7BCE8" w14:textId="77777777" w:rsidR="00CB2FBD" w:rsidRPr="005828FE" w:rsidRDefault="00CB2FBD" w:rsidP="00CB2FBD">
            <w:pPr>
              <w:pStyle w:val="Normalgrey"/>
            </w:pPr>
          </w:p>
        </w:tc>
        <w:tc>
          <w:tcPr>
            <w:tcW w:w="540" w:type="dxa"/>
          </w:tcPr>
          <w:p w14:paraId="3406EFE4" w14:textId="26115024" w:rsidR="00CB2FBD" w:rsidRPr="005828FE" w:rsidRDefault="00CB2FBD" w:rsidP="00CB2FBD">
            <w:pPr>
              <w:pStyle w:val="Normalgrey"/>
            </w:pPr>
            <w:r>
              <w:t>6.5</w:t>
            </w:r>
          </w:p>
        </w:tc>
        <w:tc>
          <w:tcPr>
            <w:tcW w:w="6134" w:type="dxa"/>
          </w:tcPr>
          <w:p w14:paraId="092DCEFB" w14:textId="01112608" w:rsidR="00CB2FBD" w:rsidRDefault="00CB2FBD" w:rsidP="00CB2FBD">
            <w:pPr>
              <w:pStyle w:val="Normalgrey"/>
            </w:pPr>
            <w:r w:rsidRPr="00926277">
              <w:rPr>
                <w:b/>
              </w:rPr>
              <w:t>Fair Value</w:t>
            </w:r>
            <w:r>
              <w:t xml:space="preserve"> – the price that would be received to sell an asset or paid to transfer a liability in an orderly transaction between market participants at the measurement date. The fair value measurement is based on the following assumptions:</w:t>
            </w:r>
          </w:p>
          <w:p w14:paraId="3D6A1BCC" w14:textId="10474231" w:rsidR="00CB2FBD" w:rsidRDefault="00CB2FBD" w:rsidP="00CB2FBD">
            <w:pPr>
              <w:pStyle w:val="Bullet1grey"/>
            </w:pPr>
            <w:r>
              <w:t>that the transaction to sell the asset or transfer the liability takes place either in the principal market (or the most advantageous market, in the absence of the principal market), either of which must be accessible to the entity at the measurement date; and</w:t>
            </w:r>
          </w:p>
          <w:p w14:paraId="2AB925D2" w14:textId="77777777" w:rsidR="00CB2FBD" w:rsidRPr="00565CF3" w:rsidRDefault="00CB2FBD" w:rsidP="00CB2FBD">
            <w:pPr>
              <w:pStyle w:val="Bullet1grey"/>
            </w:pPr>
            <w:r>
              <w:t>that the entity uses the same valuation assumptions that market participants would use when pricing the asset or liability, assuming that market participants act in their economic best interest.</w:t>
            </w:r>
          </w:p>
        </w:tc>
      </w:tr>
      <w:tr w:rsidR="00CB2FBD" w:rsidRPr="005828FE" w14:paraId="07328E6C" w14:textId="77777777" w:rsidTr="00737B05">
        <w:tc>
          <w:tcPr>
            <w:tcW w:w="2293" w:type="dxa"/>
          </w:tcPr>
          <w:p w14:paraId="6285977F" w14:textId="77777777" w:rsidR="00CB2FBD" w:rsidRPr="005828FE" w:rsidRDefault="00CB2FBD" w:rsidP="00CB2FBD">
            <w:pPr>
              <w:pStyle w:val="Normalgrey"/>
            </w:pPr>
          </w:p>
        </w:tc>
        <w:tc>
          <w:tcPr>
            <w:tcW w:w="270" w:type="dxa"/>
          </w:tcPr>
          <w:p w14:paraId="3A11E12B" w14:textId="77777777" w:rsidR="00CB2FBD" w:rsidRPr="005828FE" w:rsidRDefault="00CB2FBD" w:rsidP="00CB2FBD">
            <w:pPr>
              <w:pStyle w:val="Normalgrey"/>
            </w:pPr>
          </w:p>
        </w:tc>
        <w:tc>
          <w:tcPr>
            <w:tcW w:w="540" w:type="dxa"/>
          </w:tcPr>
          <w:p w14:paraId="5AF7F607" w14:textId="09ECAC4B" w:rsidR="00CB2FBD" w:rsidRPr="005828FE" w:rsidRDefault="00CB2FBD" w:rsidP="00CB2FBD">
            <w:pPr>
              <w:pStyle w:val="Normalgrey"/>
            </w:pPr>
            <w:r>
              <w:t>6.6</w:t>
            </w:r>
          </w:p>
        </w:tc>
        <w:tc>
          <w:tcPr>
            <w:tcW w:w="6134" w:type="dxa"/>
          </w:tcPr>
          <w:p w14:paraId="75A6485A" w14:textId="77777777" w:rsidR="00CB2FBD" w:rsidRPr="00DF0313" w:rsidRDefault="00CB2FBD" w:rsidP="00CB2FBD">
            <w:pPr>
              <w:pStyle w:val="Normalgrey"/>
            </w:pPr>
            <w:r w:rsidRPr="00926277">
              <w:rPr>
                <w:b/>
              </w:rPr>
              <w:t>Fair Value Assessment</w:t>
            </w:r>
            <w:r>
              <w:t xml:space="preserve"> –</w:t>
            </w:r>
            <w:r w:rsidRPr="00DF0313">
              <w:t xml:space="preserve"> a process whereby management makes an assessment based on its knowledge and expertise, taking into consideration all fair value indicators. The purpose of the assessment is to determine whether the current use is the HBU, and whether there has been a material (or exceptionally material) movement in the fair values of a class of non-financial physical assets.</w:t>
            </w:r>
          </w:p>
        </w:tc>
      </w:tr>
      <w:tr w:rsidR="00CB2FBD" w:rsidRPr="005828FE" w14:paraId="6175F55F" w14:textId="77777777" w:rsidTr="00737B05">
        <w:tc>
          <w:tcPr>
            <w:tcW w:w="2293" w:type="dxa"/>
          </w:tcPr>
          <w:p w14:paraId="398E841A" w14:textId="77777777" w:rsidR="00CB2FBD" w:rsidRPr="005828FE" w:rsidRDefault="00CB2FBD" w:rsidP="00CB2FBD">
            <w:pPr>
              <w:pStyle w:val="Normalgrey"/>
            </w:pPr>
          </w:p>
        </w:tc>
        <w:tc>
          <w:tcPr>
            <w:tcW w:w="270" w:type="dxa"/>
          </w:tcPr>
          <w:p w14:paraId="2B6E9C22" w14:textId="77777777" w:rsidR="00CB2FBD" w:rsidRPr="005828FE" w:rsidRDefault="00CB2FBD" w:rsidP="00CB2FBD">
            <w:pPr>
              <w:pStyle w:val="Normalgrey"/>
            </w:pPr>
          </w:p>
        </w:tc>
        <w:tc>
          <w:tcPr>
            <w:tcW w:w="540" w:type="dxa"/>
          </w:tcPr>
          <w:p w14:paraId="4D689127" w14:textId="579A7EBD" w:rsidR="00CB2FBD" w:rsidRPr="005828FE" w:rsidRDefault="00CB2FBD" w:rsidP="00CB2FBD">
            <w:pPr>
              <w:pStyle w:val="Normalgrey"/>
            </w:pPr>
            <w:r>
              <w:t>6.7</w:t>
            </w:r>
          </w:p>
        </w:tc>
        <w:tc>
          <w:tcPr>
            <w:tcW w:w="6134" w:type="dxa"/>
          </w:tcPr>
          <w:p w14:paraId="3F9565FA" w14:textId="5CFD00C8" w:rsidR="00CB2FBD" w:rsidRPr="00DF0313" w:rsidRDefault="00CB2FBD" w:rsidP="00CB2FBD">
            <w:pPr>
              <w:pStyle w:val="Normalgrey"/>
            </w:pPr>
            <w:r w:rsidRPr="00926277">
              <w:rPr>
                <w:b/>
              </w:rPr>
              <w:t>Fair Value Indicators</w:t>
            </w:r>
            <w:r>
              <w:t xml:space="preserve"> –</w:t>
            </w:r>
            <w:r w:rsidRPr="00DF0313">
              <w:t xml:space="preserve"> indicators that are used to help determine whether there has been a material (or exceptionally material) movement in the fair values of a class of non-financial physical assets. These include the VGV Land and Building indices and other fair value indicators</w:t>
            </w:r>
            <w:r>
              <w:t xml:space="preserve"> for land and buildings</w:t>
            </w:r>
            <w:r w:rsidRPr="00DF0313">
              <w:t>. For other assets</w:t>
            </w:r>
            <w:r>
              <w:t xml:space="preserve"> (including right-of-use assets)</w:t>
            </w:r>
            <w:r w:rsidRPr="00DF0313">
              <w:t xml:space="preserve"> management may use other relevant indices, market indicators or observations, its own specialist knowledge or obtain specialist opinions on movements in asset values.</w:t>
            </w:r>
          </w:p>
        </w:tc>
      </w:tr>
      <w:tr w:rsidR="00CB2FBD" w:rsidRPr="005828FE" w14:paraId="692EBDCE" w14:textId="77777777" w:rsidTr="00737B05">
        <w:tc>
          <w:tcPr>
            <w:tcW w:w="2293" w:type="dxa"/>
          </w:tcPr>
          <w:p w14:paraId="05531748" w14:textId="77777777" w:rsidR="00CB2FBD" w:rsidRPr="005828FE" w:rsidRDefault="00CB2FBD" w:rsidP="00CB2FBD">
            <w:pPr>
              <w:pStyle w:val="Normalgrey"/>
            </w:pPr>
          </w:p>
        </w:tc>
        <w:tc>
          <w:tcPr>
            <w:tcW w:w="270" w:type="dxa"/>
          </w:tcPr>
          <w:p w14:paraId="5FB0C97F" w14:textId="77777777" w:rsidR="00CB2FBD" w:rsidRPr="005828FE" w:rsidRDefault="00CB2FBD" w:rsidP="00CB2FBD">
            <w:pPr>
              <w:pStyle w:val="Normalgrey"/>
            </w:pPr>
          </w:p>
        </w:tc>
        <w:tc>
          <w:tcPr>
            <w:tcW w:w="540" w:type="dxa"/>
          </w:tcPr>
          <w:p w14:paraId="1C2EEAA6" w14:textId="7113DD82" w:rsidR="00CB2FBD" w:rsidRPr="005828FE" w:rsidRDefault="00CB2FBD" w:rsidP="00CB2FBD">
            <w:pPr>
              <w:pStyle w:val="Normalgrey"/>
            </w:pPr>
            <w:r>
              <w:t>6.8</w:t>
            </w:r>
          </w:p>
        </w:tc>
        <w:tc>
          <w:tcPr>
            <w:tcW w:w="6134" w:type="dxa"/>
          </w:tcPr>
          <w:p w14:paraId="4EECB028" w14:textId="2225B0CD" w:rsidR="00CB2FBD" w:rsidRPr="00DF0313" w:rsidRDefault="00CB2FBD" w:rsidP="00CB2FBD">
            <w:pPr>
              <w:pStyle w:val="Normalgrey"/>
            </w:pPr>
            <w:r w:rsidRPr="00926277">
              <w:rPr>
                <w:b/>
              </w:rPr>
              <w:t>Interim Revaluation</w:t>
            </w:r>
            <w:r>
              <w:t xml:space="preserve"> –</w:t>
            </w:r>
            <w:r w:rsidRPr="00DF0313">
              <w:t xml:space="preserve"> only conducted by an Approved Valuer</w:t>
            </w:r>
            <w:r>
              <w:t xml:space="preserve"> (or management for right-of-use assets)</w:t>
            </w:r>
            <w:r w:rsidRPr="00DF0313">
              <w:t xml:space="preserve"> after a fair value assessment indicates that the movement in fair value of an asset class since the last interim or scheduled revaluation may be exceptionally material (equal to or greater than 40 per cent).</w:t>
            </w:r>
          </w:p>
        </w:tc>
      </w:tr>
      <w:tr w:rsidR="00CB2FBD" w:rsidRPr="005828FE" w14:paraId="08105F26" w14:textId="77777777" w:rsidTr="00737B05">
        <w:tc>
          <w:tcPr>
            <w:tcW w:w="2293" w:type="dxa"/>
          </w:tcPr>
          <w:p w14:paraId="4134686B" w14:textId="77777777" w:rsidR="00CB2FBD" w:rsidRPr="005828FE" w:rsidRDefault="00CB2FBD" w:rsidP="00CB2FBD">
            <w:pPr>
              <w:pStyle w:val="Normalgrey"/>
            </w:pPr>
          </w:p>
        </w:tc>
        <w:tc>
          <w:tcPr>
            <w:tcW w:w="270" w:type="dxa"/>
          </w:tcPr>
          <w:p w14:paraId="1296AFE2" w14:textId="77777777" w:rsidR="00CB2FBD" w:rsidRPr="005828FE" w:rsidRDefault="00CB2FBD" w:rsidP="00CB2FBD">
            <w:pPr>
              <w:pStyle w:val="Normalgrey"/>
            </w:pPr>
          </w:p>
        </w:tc>
        <w:tc>
          <w:tcPr>
            <w:tcW w:w="540" w:type="dxa"/>
          </w:tcPr>
          <w:p w14:paraId="39E630DE" w14:textId="1AFC6398" w:rsidR="00CB2FBD" w:rsidRPr="005828FE" w:rsidRDefault="00CB2FBD" w:rsidP="00CB2FBD">
            <w:pPr>
              <w:pStyle w:val="Normalgrey"/>
            </w:pPr>
            <w:r>
              <w:t>6.9</w:t>
            </w:r>
          </w:p>
        </w:tc>
        <w:tc>
          <w:tcPr>
            <w:tcW w:w="6134" w:type="dxa"/>
          </w:tcPr>
          <w:p w14:paraId="4EED7E3A" w14:textId="5F857DC2" w:rsidR="00CB2FBD" w:rsidRPr="00DF0313" w:rsidRDefault="00CB2FBD" w:rsidP="00CB2FBD">
            <w:pPr>
              <w:pStyle w:val="Normalgrey"/>
            </w:pPr>
            <w:r w:rsidRPr="00926277">
              <w:rPr>
                <w:b/>
              </w:rPr>
              <w:t>Income approach</w:t>
            </w:r>
            <w:r>
              <w:t xml:space="preserve"> –</w:t>
            </w:r>
            <w:r w:rsidRPr="00DF0313">
              <w:t xml:space="preserve"> a valuation technique that converts future amounts (e.g. cash flows or income and expenses) to a single current (i.e. discounted) amount. The fair value measurement is determined on the basis of the value indicated by current market expectations about those future amounts.</w:t>
            </w:r>
          </w:p>
        </w:tc>
      </w:tr>
      <w:tr w:rsidR="00CB2FBD" w:rsidRPr="005828FE" w14:paraId="216EEAB3" w14:textId="77777777" w:rsidTr="00737B05">
        <w:tc>
          <w:tcPr>
            <w:tcW w:w="2293" w:type="dxa"/>
          </w:tcPr>
          <w:p w14:paraId="771EF3BE" w14:textId="77777777" w:rsidR="00CB2FBD" w:rsidRPr="005828FE" w:rsidRDefault="00CB2FBD" w:rsidP="00CB2FBD">
            <w:pPr>
              <w:pStyle w:val="Normalgrey"/>
            </w:pPr>
          </w:p>
        </w:tc>
        <w:tc>
          <w:tcPr>
            <w:tcW w:w="270" w:type="dxa"/>
          </w:tcPr>
          <w:p w14:paraId="7979B00A" w14:textId="77777777" w:rsidR="00CB2FBD" w:rsidRPr="005828FE" w:rsidRDefault="00CB2FBD" w:rsidP="00CB2FBD">
            <w:pPr>
              <w:pStyle w:val="Normalgrey"/>
            </w:pPr>
          </w:p>
        </w:tc>
        <w:tc>
          <w:tcPr>
            <w:tcW w:w="540" w:type="dxa"/>
          </w:tcPr>
          <w:p w14:paraId="4C635EC0" w14:textId="1F365684" w:rsidR="00CB2FBD" w:rsidRPr="005828FE" w:rsidRDefault="00CB2FBD" w:rsidP="00CB2FBD">
            <w:pPr>
              <w:pStyle w:val="Normalgrey"/>
            </w:pPr>
            <w:r>
              <w:t>6.10</w:t>
            </w:r>
          </w:p>
        </w:tc>
        <w:tc>
          <w:tcPr>
            <w:tcW w:w="6134" w:type="dxa"/>
          </w:tcPr>
          <w:p w14:paraId="1B36D3FA" w14:textId="1829AADA" w:rsidR="00CB2FBD" w:rsidRPr="00DF0313" w:rsidRDefault="00CB2FBD" w:rsidP="00CB2FBD">
            <w:pPr>
              <w:pStyle w:val="Normalgrey"/>
            </w:pPr>
            <w:r w:rsidRPr="00926277">
              <w:rPr>
                <w:b/>
              </w:rPr>
              <w:t>Managerial Revaluation</w:t>
            </w:r>
            <w:r>
              <w:t xml:space="preserve"> –</w:t>
            </w:r>
            <w:r w:rsidRPr="00DF0313">
              <w:t xml:space="preserve"> conducted using management (or internal) expertise and used when a fair value assessment indicates that the difference between the fair value of an asset class and the class’ carrying amount is material (greater than 10 per cent</w:t>
            </w:r>
            <w:r>
              <w:t xml:space="preserve"> but not greater than 40%</w:t>
            </w:r>
            <w:r w:rsidRPr="00DF0313">
              <w:t>).</w:t>
            </w:r>
          </w:p>
        </w:tc>
      </w:tr>
      <w:tr w:rsidR="00CB2FBD" w:rsidRPr="005828FE" w14:paraId="1FBA21A7" w14:textId="77777777" w:rsidTr="00737B05">
        <w:tc>
          <w:tcPr>
            <w:tcW w:w="2293" w:type="dxa"/>
          </w:tcPr>
          <w:p w14:paraId="372E9671" w14:textId="77777777" w:rsidR="00CB2FBD" w:rsidRPr="005828FE" w:rsidRDefault="00CB2FBD" w:rsidP="00CB2FBD">
            <w:pPr>
              <w:pStyle w:val="Normalgrey"/>
            </w:pPr>
          </w:p>
        </w:tc>
        <w:tc>
          <w:tcPr>
            <w:tcW w:w="270" w:type="dxa"/>
          </w:tcPr>
          <w:p w14:paraId="114E367C" w14:textId="77777777" w:rsidR="00CB2FBD" w:rsidRPr="005828FE" w:rsidRDefault="00CB2FBD" w:rsidP="00CB2FBD">
            <w:pPr>
              <w:pStyle w:val="Normalgrey"/>
            </w:pPr>
          </w:p>
        </w:tc>
        <w:tc>
          <w:tcPr>
            <w:tcW w:w="540" w:type="dxa"/>
          </w:tcPr>
          <w:p w14:paraId="008CE6D4" w14:textId="02A1D408" w:rsidR="00CB2FBD" w:rsidRPr="005828FE" w:rsidRDefault="00CB2FBD" w:rsidP="00CB2FBD">
            <w:pPr>
              <w:pStyle w:val="Normalgrey"/>
            </w:pPr>
            <w:r>
              <w:t>6.11</w:t>
            </w:r>
          </w:p>
        </w:tc>
        <w:tc>
          <w:tcPr>
            <w:tcW w:w="6134" w:type="dxa"/>
          </w:tcPr>
          <w:p w14:paraId="387FF3D6" w14:textId="154FF4BA" w:rsidR="00CB2FBD" w:rsidRPr="00DF0313" w:rsidRDefault="00CB2FBD" w:rsidP="00CB2FBD">
            <w:pPr>
              <w:pStyle w:val="Normalgrey"/>
            </w:pPr>
            <w:r w:rsidRPr="00926277">
              <w:rPr>
                <w:b/>
              </w:rPr>
              <w:t>Market approach</w:t>
            </w:r>
            <w:r>
              <w:t xml:space="preserve"> –</w:t>
            </w:r>
            <w:r w:rsidRPr="00DF0313">
              <w:t xml:space="preserve"> a valuation technique that uses prices and other relevant information generated by market transactions involving identical or comparable (or similar) assets, liabilities, or a group of assets and liabilities, such as a business.</w:t>
            </w:r>
          </w:p>
        </w:tc>
      </w:tr>
      <w:tr w:rsidR="00CB2FBD" w:rsidRPr="005828FE" w14:paraId="3C01DB8C" w14:textId="77777777" w:rsidTr="00737B05">
        <w:tc>
          <w:tcPr>
            <w:tcW w:w="2293" w:type="dxa"/>
          </w:tcPr>
          <w:p w14:paraId="42A9B87E" w14:textId="77777777" w:rsidR="00CB2FBD" w:rsidRPr="005828FE" w:rsidRDefault="00CB2FBD" w:rsidP="00CB2FBD">
            <w:pPr>
              <w:pStyle w:val="Normalgrey"/>
            </w:pPr>
          </w:p>
        </w:tc>
        <w:tc>
          <w:tcPr>
            <w:tcW w:w="270" w:type="dxa"/>
          </w:tcPr>
          <w:p w14:paraId="041795CA" w14:textId="77777777" w:rsidR="00CB2FBD" w:rsidRPr="005828FE" w:rsidRDefault="00CB2FBD" w:rsidP="00CB2FBD">
            <w:pPr>
              <w:pStyle w:val="Normalgrey"/>
            </w:pPr>
          </w:p>
        </w:tc>
        <w:tc>
          <w:tcPr>
            <w:tcW w:w="540" w:type="dxa"/>
          </w:tcPr>
          <w:p w14:paraId="17DA1BF6" w14:textId="376C316E" w:rsidR="00CB2FBD" w:rsidRPr="005828FE" w:rsidRDefault="00CB2FBD" w:rsidP="00CB2FBD">
            <w:pPr>
              <w:pStyle w:val="Normalgrey"/>
            </w:pPr>
            <w:r>
              <w:t>6.12</w:t>
            </w:r>
          </w:p>
        </w:tc>
        <w:tc>
          <w:tcPr>
            <w:tcW w:w="6134" w:type="dxa"/>
          </w:tcPr>
          <w:p w14:paraId="256F5AF9" w14:textId="4CB119BC" w:rsidR="00CB2FBD" w:rsidRDefault="00CB2FBD" w:rsidP="00CB2FBD">
            <w:pPr>
              <w:pStyle w:val="Normalgrey"/>
            </w:pPr>
            <w:r w:rsidRPr="00926277">
              <w:rPr>
                <w:b/>
              </w:rPr>
              <w:t>Market participants</w:t>
            </w:r>
            <w:r>
              <w:t xml:space="preserve"> –</w:t>
            </w:r>
            <w:r w:rsidRPr="00DF0313">
              <w:t>buyers and sellers in the principal (or most advantageous) market for the asset or liability that are independent of each other, are knowledgeable, are able and willing to enter into the transaction for the asset or liability.</w:t>
            </w:r>
          </w:p>
        </w:tc>
      </w:tr>
      <w:tr w:rsidR="00CB2FBD" w:rsidRPr="005828FE" w14:paraId="2ABC5C4D" w14:textId="77777777" w:rsidTr="00737B05">
        <w:tc>
          <w:tcPr>
            <w:tcW w:w="2293" w:type="dxa"/>
          </w:tcPr>
          <w:p w14:paraId="2E506293" w14:textId="77777777" w:rsidR="00CB2FBD" w:rsidRPr="005828FE" w:rsidRDefault="00CB2FBD" w:rsidP="00CB2FBD">
            <w:pPr>
              <w:pStyle w:val="Normalgrey"/>
            </w:pPr>
          </w:p>
        </w:tc>
        <w:tc>
          <w:tcPr>
            <w:tcW w:w="270" w:type="dxa"/>
          </w:tcPr>
          <w:p w14:paraId="5CE27DA3" w14:textId="77777777" w:rsidR="00CB2FBD" w:rsidRPr="005828FE" w:rsidRDefault="00CB2FBD" w:rsidP="00CB2FBD">
            <w:pPr>
              <w:pStyle w:val="Normalgrey"/>
            </w:pPr>
          </w:p>
        </w:tc>
        <w:tc>
          <w:tcPr>
            <w:tcW w:w="540" w:type="dxa"/>
          </w:tcPr>
          <w:p w14:paraId="77FAC70E" w14:textId="413513CB" w:rsidR="00CB2FBD" w:rsidRPr="005828FE" w:rsidRDefault="00CB2FBD" w:rsidP="00CB2FBD">
            <w:pPr>
              <w:pStyle w:val="Normalgrey"/>
            </w:pPr>
            <w:r>
              <w:t>6.13</w:t>
            </w:r>
          </w:p>
        </w:tc>
        <w:tc>
          <w:tcPr>
            <w:tcW w:w="6134" w:type="dxa"/>
          </w:tcPr>
          <w:p w14:paraId="6AB3530D" w14:textId="77777777" w:rsidR="00CB2FBD" w:rsidRDefault="00CB2FBD" w:rsidP="00CB2FBD">
            <w:pPr>
              <w:pStyle w:val="Normalgrey"/>
            </w:pPr>
            <w:r w:rsidRPr="00926277">
              <w:rPr>
                <w:b/>
              </w:rPr>
              <w:t>Materiality</w:t>
            </w:r>
            <w:r>
              <w:t xml:space="preserve"> – in this Direction:</w:t>
            </w:r>
          </w:p>
          <w:p w14:paraId="7C861A5F" w14:textId="77777777" w:rsidR="00CB2FBD" w:rsidRPr="00627B98" w:rsidRDefault="00CB2FBD" w:rsidP="00CB2FBD">
            <w:pPr>
              <w:pStyle w:val="Bullet1grey"/>
            </w:pPr>
            <w:r w:rsidRPr="00627B98">
              <w:t>movements in the fair value of non-financial physical assets are material if the difference from the carrying amount exceeds 10 per cent. This can be determined by assessing the cumulative movement in the relevant indices (and/or other appropriate indicators of fair value) since the last scheduled, interim or managerial revaluation (whichever is the more recent); and</w:t>
            </w:r>
          </w:p>
          <w:p w14:paraId="3FAEA9FE" w14:textId="77777777" w:rsidR="00CB2FBD" w:rsidRPr="00565CF3" w:rsidRDefault="00CB2FBD" w:rsidP="00CB2FBD">
            <w:pPr>
              <w:pStyle w:val="Bullet1grey"/>
            </w:pPr>
            <w:r w:rsidRPr="00627B98">
              <w:t>cumulative movements in indices (and/or other indicators) equal to or greater than 40 per cent since the last interim or scheduled revaluation indicate an exceptionally material movement in fair value.</w:t>
            </w:r>
          </w:p>
        </w:tc>
      </w:tr>
      <w:tr w:rsidR="00CB2FBD" w:rsidRPr="005828FE" w14:paraId="20CE7E63" w14:textId="77777777" w:rsidTr="00737B05">
        <w:tc>
          <w:tcPr>
            <w:tcW w:w="2293" w:type="dxa"/>
          </w:tcPr>
          <w:p w14:paraId="172DC673" w14:textId="77777777" w:rsidR="00CB2FBD" w:rsidRPr="005828FE" w:rsidRDefault="00CB2FBD" w:rsidP="00CB2FBD">
            <w:pPr>
              <w:pStyle w:val="Normalgrey"/>
            </w:pPr>
          </w:p>
        </w:tc>
        <w:tc>
          <w:tcPr>
            <w:tcW w:w="270" w:type="dxa"/>
          </w:tcPr>
          <w:p w14:paraId="5222E066" w14:textId="77777777" w:rsidR="00CB2FBD" w:rsidRPr="005828FE" w:rsidRDefault="00CB2FBD" w:rsidP="00CB2FBD">
            <w:pPr>
              <w:pStyle w:val="Normalgrey"/>
            </w:pPr>
          </w:p>
        </w:tc>
        <w:tc>
          <w:tcPr>
            <w:tcW w:w="540" w:type="dxa"/>
          </w:tcPr>
          <w:p w14:paraId="1F0792DB" w14:textId="2C452C10" w:rsidR="00CB2FBD" w:rsidRPr="005828FE" w:rsidRDefault="00CB2FBD" w:rsidP="00CB2FBD">
            <w:pPr>
              <w:pStyle w:val="Normalgrey"/>
            </w:pPr>
            <w:r>
              <w:t>6.14</w:t>
            </w:r>
          </w:p>
        </w:tc>
        <w:tc>
          <w:tcPr>
            <w:tcW w:w="6134" w:type="dxa"/>
          </w:tcPr>
          <w:p w14:paraId="0099A152" w14:textId="74B82911" w:rsidR="00CB2FBD" w:rsidRPr="00FB7EF1" w:rsidRDefault="00CB2FBD" w:rsidP="00CB2FBD">
            <w:pPr>
              <w:pStyle w:val="Normalgrey"/>
            </w:pPr>
            <w:r w:rsidRPr="00926277">
              <w:rPr>
                <w:b/>
              </w:rPr>
              <w:t>Most advantageous market</w:t>
            </w:r>
            <w:r>
              <w:t xml:space="preserve"> –</w:t>
            </w:r>
            <w:r w:rsidRPr="00FB7EF1">
              <w:t xml:space="preserve"> the market that maximises the amount that would be received to sell the asset or minimises the amount that would be paid to transfer the liability, after taking into account transaction and transport costs.</w:t>
            </w:r>
          </w:p>
        </w:tc>
      </w:tr>
      <w:tr w:rsidR="00CB2FBD" w:rsidRPr="005828FE" w14:paraId="04C0FCE0" w14:textId="77777777" w:rsidTr="00737B05">
        <w:tc>
          <w:tcPr>
            <w:tcW w:w="2293" w:type="dxa"/>
          </w:tcPr>
          <w:p w14:paraId="2CD36D44" w14:textId="77777777" w:rsidR="00CB2FBD" w:rsidRPr="005828FE" w:rsidRDefault="00CB2FBD" w:rsidP="00CB2FBD">
            <w:pPr>
              <w:pStyle w:val="Normalgrey"/>
            </w:pPr>
          </w:p>
        </w:tc>
        <w:tc>
          <w:tcPr>
            <w:tcW w:w="270" w:type="dxa"/>
          </w:tcPr>
          <w:p w14:paraId="46138BC1" w14:textId="77777777" w:rsidR="00CB2FBD" w:rsidRPr="005828FE" w:rsidRDefault="00CB2FBD" w:rsidP="00CB2FBD">
            <w:pPr>
              <w:pStyle w:val="Normalgrey"/>
            </w:pPr>
          </w:p>
        </w:tc>
        <w:tc>
          <w:tcPr>
            <w:tcW w:w="540" w:type="dxa"/>
          </w:tcPr>
          <w:p w14:paraId="76E5363A" w14:textId="580C6769" w:rsidR="00CB2FBD" w:rsidRPr="005828FE" w:rsidRDefault="00CB2FBD" w:rsidP="00CB2FBD">
            <w:pPr>
              <w:pStyle w:val="Normalgrey"/>
            </w:pPr>
            <w:r>
              <w:t>6.15</w:t>
            </w:r>
          </w:p>
        </w:tc>
        <w:tc>
          <w:tcPr>
            <w:tcW w:w="6134" w:type="dxa"/>
          </w:tcPr>
          <w:p w14:paraId="525E3FC3" w14:textId="6EE81942" w:rsidR="00CB2FBD" w:rsidRPr="00FB7EF1" w:rsidRDefault="00CB2FBD" w:rsidP="00CB2FBD">
            <w:pPr>
              <w:pStyle w:val="Normalgrey"/>
            </w:pPr>
            <w:r w:rsidRPr="00926277">
              <w:rPr>
                <w:b/>
              </w:rPr>
              <w:t>Non-Financial Physical Asset</w:t>
            </w:r>
            <w:r>
              <w:t xml:space="preserve"> –</w:t>
            </w:r>
            <w:r w:rsidRPr="00FB7EF1">
              <w:t xml:space="preserve"> a non-current asset that has a physical form and is within the scope of AASB 116</w:t>
            </w:r>
            <w:r>
              <w:t xml:space="preserve">, or a Right-of-Use asset as recorded under AASB 16 </w:t>
            </w:r>
            <w:r w:rsidRPr="00490386">
              <w:rPr>
                <w:i/>
                <w:iCs/>
              </w:rPr>
              <w:t>Leases</w:t>
            </w:r>
            <w:r>
              <w:t xml:space="preserve">, or a service concession asset recorded under AASB 1059 </w:t>
            </w:r>
            <w:r w:rsidRPr="00490386">
              <w:rPr>
                <w:i/>
                <w:iCs/>
              </w:rPr>
              <w:t>Service Concession Arrangements: Grantor</w:t>
            </w:r>
            <w:r>
              <w:rPr>
                <w:i/>
                <w:iCs/>
              </w:rPr>
              <w:t>s</w:t>
            </w:r>
            <w:r w:rsidRPr="00FB7EF1">
              <w:t xml:space="preserve">. Refer to AASB 101 </w:t>
            </w:r>
            <w:r w:rsidRPr="00926277">
              <w:rPr>
                <w:i/>
              </w:rPr>
              <w:t>Presentation of Financial Statements</w:t>
            </w:r>
            <w:r w:rsidRPr="00FB7EF1">
              <w:t xml:space="preserve"> for guidance on the distinction between current and non-current assets.</w:t>
            </w:r>
          </w:p>
        </w:tc>
      </w:tr>
      <w:tr w:rsidR="00CB2FBD" w:rsidRPr="005828FE" w14:paraId="374EB000" w14:textId="77777777" w:rsidTr="00737B05">
        <w:tc>
          <w:tcPr>
            <w:tcW w:w="2293" w:type="dxa"/>
          </w:tcPr>
          <w:p w14:paraId="7AB1D977" w14:textId="77777777" w:rsidR="00CB2FBD" w:rsidRPr="005828FE" w:rsidRDefault="00CB2FBD" w:rsidP="00CB2FBD">
            <w:pPr>
              <w:pStyle w:val="Normalgrey"/>
            </w:pPr>
          </w:p>
        </w:tc>
        <w:tc>
          <w:tcPr>
            <w:tcW w:w="270" w:type="dxa"/>
          </w:tcPr>
          <w:p w14:paraId="13F09DFF" w14:textId="77777777" w:rsidR="00CB2FBD" w:rsidRPr="005828FE" w:rsidRDefault="00CB2FBD" w:rsidP="00CB2FBD">
            <w:pPr>
              <w:pStyle w:val="Normalgrey"/>
            </w:pPr>
          </w:p>
        </w:tc>
        <w:tc>
          <w:tcPr>
            <w:tcW w:w="540" w:type="dxa"/>
          </w:tcPr>
          <w:p w14:paraId="10EA0B8B" w14:textId="591DEB51" w:rsidR="00CB2FBD" w:rsidRPr="005828FE" w:rsidRDefault="00CB2FBD" w:rsidP="00CB2FBD">
            <w:pPr>
              <w:pStyle w:val="Normalgrey"/>
            </w:pPr>
            <w:r>
              <w:t>6.16</w:t>
            </w:r>
          </w:p>
        </w:tc>
        <w:tc>
          <w:tcPr>
            <w:tcW w:w="6134" w:type="dxa"/>
          </w:tcPr>
          <w:p w14:paraId="7DC9870B" w14:textId="77777777" w:rsidR="00CB2FBD" w:rsidRPr="00FB7EF1" w:rsidRDefault="00CB2FBD" w:rsidP="00CB2FBD">
            <w:pPr>
              <w:pStyle w:val="Normalgrey"/>
            </w:pPr>
            <w:r w:rsidRPr="00926277">
              <w:rPr>
                <w:b/>
              </w:rPr>
              <w:t>Obsolescence</w:t>
            </w:r>
            <w:r>
              <w:t xml:space="preserve"> –</w:t>
            </w:r>
            <w:r w:rsidRPr="00FB7EF1">
              <w:t xml:space="preserve"> encompasses physical deterioration, functional (technological) obsolescence and economic (external) obsolescence and is broader than depreciation for financial reporting purposes (an allocation of historical cost) or tax purposes (using specified service lives).</w:t>
            </w:r>
          </w:p>
        </w:tc>
      </w:tr>
      <w:tr w:rsidR="00CB2FBD" w:rsidRPr="005828FE" w14:paraId="3F3E1E16" w14:textId="77777777" w:rsidTr="00737B05">
        <w:tc>
          <w:tcPr>
            <w:tcW w:w="2293" w:type="dxa"/>
          </w:tcPr>
          <w:p w14:paraId="60C2C557" w14:textId="77777777" w:rsidR="00CB2FBD" w:rsidRPr="005828FE" w:rsidRDefault="00CB2FBD" w:rsidP="00CB2FBD">
            <w:pPr>
              <w:pStyle w:val="Normalgrey"/>
            </w:pPr>
          </w:p>
        </w:tc>
        <w:tc>
          <w:tcPr>
            <w:tcW w:w="270" w:type="dxa"/>
          </w:tcPr>
          <w:p w14:paraId="2B19968A" w14:textId="77777777" w:rsidR="00CB2FBD" w:rsidRPr="005828FE" w:rsidRDefault="00CB2FBD" w:rsidP="00CB2FBD">
            <w:pPr>
              <w:pStyle w:val="Normalgrey"/>
            </w:pPr>
          </w:p>
        </w:tc>
        <w:tc>
          <w:tcPr>
            <w:tcW w:w="540" w:type="dxa"/>
          </w:tcPr>
          <w:p w14:paraId="0FB0F03F" w14:textId="6BD96375" w:rsidR="00CB2FBD" w:rsidRPr="005828FE" w:rsidRDefault="00CB2FBD" w:rsidP="00CB2FBD">
            <w:pPr>
              <w:pStyle w:val="Normalgrey"/>
            </w:pPr>
            <w:r>
              <w:t>6.17</w:t>
            </w:r>
          </w:p>
        </w:tc>
        <w:tc>
          <w:tcPr>
            <w:tcW w:w="6134" w:type="dxa"/>
          </w:tcPr>
          <w:p w14:paraId="11FD58A3" w14:textId="0DC961F7" w:rsidR="00CB2FBD" w:rsidRPr="00FB7EF1" w:rsidRDefault="00CB2FBD" w:rsidP="00CB2FBD">
            <w:pPr>
              <w:pStyle w:val="Normalgrey"/>
            </w:pPr>
            <w:r w:rsidRPr="00926277">
              <w:rPr>
                <w:b/>
              </w:rPr>
              <w:t>Principal market</w:t>
            </w:r>
            <w:r>
              <w:t xml:space="preserve"> –</w:t>
            </w:r>
            <w:r w:rsidRPr="00FB7EF1">
              <w:t xml:space="preserve"> the market with the greatest volume and level of activity for the asset or liability.</w:t>
            </w:r>
          </w:p>
        </w:tc>
      </w:tr>
      <w:tr w:rsidR="00CB2FBD" w:rsidRPr="005828FE" w14:paraId="1A0B9E22" w14:textId="77777777" w:rsidTr="00737B05">
        <w:tc>
          <w:tcPr>
            <w:tcW w:w="2293" w:type="dxa"/>
          </w:tcPr>
          <w:p w14:paraId="4D1506A9" w14:textId="77777777" w:rsidR="00CB2FBD" w:rsidRPr="005828FE" w:rsidRDefault="00CB2FBD" w:rsidP="00CB2FBD">
            <w:pPr>
              <w:pStyle w:val="Normalgrey"/>
            </w:pPr>
          </w:p>
        </w:tc>
        <w:tc>
          <w:tcPr>
            <w:tcW w:w="270" w:type="dxa"/>
          </w:tcPr>
          <w:p w14:paraId="3AAD64FA" w14:textId="77777777" w:rsidR="00CB2FBD" w:rsidRPr="005828FE" w:rsidRDefault="00CB2FBD" w:rsidP="00CB2FBD">
            <w:pPr>
              <w:pStyle w:val="Normalgrey"/>
            </w:pPr>
          </w:p>
        </w:tc>
        <w:tc>
          <w:tcPr>
            <w:tcW w:w="540" w:type="dxa"/>
          </w:tcPr>
          <w:p w14:paraId="29078DA8" w14:textId="01BFE7EC" w:rsidR="00CB2FBD" w:rsidRPr="005828FE" w:rsidRDefault="00CB2FBD" w:rsidP="00CB2FBD">
            <w:pPr>
              <w:pStyle w:val="Normalgrey"/>
            </w:pPr>
            <w:r>
              <w:t>6.18</w:t>
            </w:r>
          </w:p>
        </w:tc>
        <w:tc>
          <w:tcPr>
            <w:tcW w:w="6134" w:type="dxa"/>
          </w:tcPr>
          <w:p w14:paraId="21D240C6" w14:textId="2B5EE467" w:rsidR="00CB2FBD" w:rsidRPr="00FB7EF1" w:rsidRDefault="00CB2FBD" w:rsidP="00CB2FBD">
            <w:pPr>
              <w:pStyle w:val="Normalgrey"/>
            </w:pPr>
            <w:r w:rsidRPr="00926277">
              <w:rPr>
                <w:b/>
              </w:rPr>
              <w:t>Revaluation</w:t>
            </w:r>
            <w:r>
              <w:t xml:space="preserve"> –</w:t>
            </w:r>
            <w:r w:rsidRPr="00FB7EF1">
              <w:t xml:space="preserve"> a process designed to reflect the fair value of an asset (or</w:t>
            </w:r>
            <w:r>
              <w:t> </w:t>
            </w:r>
            <w:r w:rsidRPr="00FB7EF1">
              <w:t>class of assets).</w:t>
            </w:r>
          </w:p>
        </w:tc>
      </w:tr>
      <w:tr w:rsidR="00CB2FBD" w:rsidRPr="005828FE" w14:paraId="7514826A" w14:textId="77777777" w:rsidTr="00737B05">
        <w:tc>
          <w:tcPr>
            <w:tcW w:w="2293" w:type="dxa"/>
          </w:tcPr>
          <w:p w14:paraId="4ABE4CA7" w14:textId="77777777" w:rsidR="00CB2FBD" w:rsidRPr="005828FE" w:rsidRDefault="00CB2FBD" w:rsidP="00CB2FBD">
            <w:pPr>
              <w:pStyle w:val="Normalgrey"/>
            </w:pPr>
          </w:p>
        </w:tc>
        <w:tc>
          <w:tcPr>
            <w:tcW w:w="270" w:type="dxa"/>
          </w:tcPr>
          <w:p w14:paraId="018F7565" w14:textId="77777777" w:rsidR="00CB2FBD" w:rsidRPr="005828FE" w:rsidRDefault="00CB2FBD" w:rsidP="00CB2FBD">
            <w:pPr>
              <w:pStyle w:val="Normalgrey"/>
            </w:pPr>
          </w:p>
        </w:tc>
        <w:tc>
          <w:tcPr>
            <w:tcW w:w="540" w:type="dxa"/>
          </w:tcPr>
          <w:p w14:paraId="7797452E" w14:textId="3A30FC23" w:rsidR="00CB2FBD" w:rsidRPr="005828FE" w:rsidRDefault="00CB2FBD" w:rsidP="00CB2FBD">
            <w:pPr>
              <w:pStyle w:val="Normalgrey"/>
            </w:pPr>
            <w:r>
              <w:t>6.19</w:t>
            </w:r>
          </w:p>
        </w:tc>
        <w:tc>
          <w:tcPr>
            <w:tcW w:w="6134" w:type="dxa"/>
          </w:tcPr>
          <w:p w14:paraId="0145FD56" w14:textId="0445956D" w:rsidR="00CB2FBD" w:rsidRDefault="00CB2FBD" w:rsidP="00CB2FBD">
            <w:pPr>
              <w:pStyle w:val="Normalgrey"/>
            </w:pPr>
            <w:r w:rsidRPr="00926277">
              <w:rPr>
                <w:b/>
              </w:rPr>
              <w:t>Revaluation Model</w:t>
            </w:r>
            <w:r>
              <w:t xml:space="preserve"> –</w:t>
            </w:r>
            <w:r w:rsidRPr="00FB7EF1">
              <w:t xml:space="preserve"> after recognition as an asset</w:t>
            </w:r>
            <w:r>
              <w:t xml:space="preserve"> (including</w:t>
            </w:r>
            <w:r w:rsidRPr="00FB7EF1">
              <w:t xml:space="preserve"> property, plant and equipment</w:t>
            </w:r>
            <w:r>
              <w:t>, right-of-use assets and service concession arrangements assets)</w:t>
            </w:r>
            <w:r w:rsidRPr="00FB7EF1">
              <w:t xml:space="preserve"> whose fair value can be measured reliably shall be carried at a revalued amount, being its fair value at the date of the revaluation less any subsequent accumulated depreciation and subsequent accumulated impairment losses. Revaluations shall be made with sufficient regularity to ensure that the carrying amount does not differ materially from that which would be determined using fair value at the end of the reporting period.</w:t>
            </w:r>
          </w:p>
        </w:tc>
      </w:tr>
      <w:tr w:rsidR="00CB2FBD" w:rsidRPr="005828FE" w14:paraId="3978CC8A" w14:textId="77777777" w:rsidTr="00737B05">
        <w:tc>
          <w:tcPr>
            <w:tcW w:w="2293" w:type="dxa"/>
          </w:tcPr>
          <w:p w14:paraId="2EDC02DD" w14:textId="77777777" w:rsidR="00CB2FBD" w:rsidRPr="005828FE" w:rsidRDefault="00CB2FBD" w:rsidP="00CB2FBD">
            <w:pPr>
              <w:pStyle w:val="Normalgrey"/>
            </w:pPr>
          </w:p>
        </w:tc>
        <w:tc>
          <w:tcPr>
            <w:tcW w:w="270" w:type="dxa"/>
          </w:tcPr>
          <w:p w14:paraId="49669BF2" w14:textId="77777777" w:rsidR="00CB2FBD" w:rsidRPr="005828FE" w:rsidRDefault="00CB2FBD" w:rsidP="00CB2FBD">
            <w:pPr>
              <w:pStyle w:val="Normalgrey"/>
            </w:pPr>
          </w:p>
        </w:tc>
        <w:tc>
          <w:tcPr>
            <w:tcW w:w="540" w:type="dxa"/>
          </w:tcPr>
          <w:p w14:paraId="00796D95" w14:textId="7C821E62" w:rsidR="00CB2FBD" w:rsidRPr="005828FE" w:rsidRDefault="00CB2FBD" w:rsidP="00CB2FBD">
            <w:pPr>
              <w:pStyle w:val="Normalgrey"/>
            </w:pPr>
            <w:r>
              <w:t>6.20</w:t>
            </w:r>
          </w:p>
        </w:tc>
        <w:tc>
          <w:tcPr>
            <w:tcW w:w="6134" w:type="dxa"/>
          </w:tcPr>
          <w:p w14:paraId="4D6D985D" w14:textId="26D480C0" w:rsidR="00CB2FBD" w:rsidRDefault="00CB2FBD" w:rsidP="00CB2FBD">
            <w:pPr>
              <w:pStyle w:val="Normalgrey"/>
            </w:pPr>
            <w:r w:rsidRPr="00926277">
              <w:rPr>
                <w:b/>
              </w:rPr>
              <w:t>Scheduled Revaluation</w:t>
            </w:r>
            <w:r>
              <w:t xml:space="preserve"> – performed by an Approved Valuer (or management for right-of-use assets), at the time stipulated (in the five-year cycle) for assets in that COFOG category to be revalued. A table of </w:t>
            </w:r>
            <w:r w:rsidRPr="006D0E24">
              <w:t xml:space="preserve">COFOG categories </w:t>
            </w:r>
            <w:r>
              <w:t xml:space="preserve">allocated to VPS </w:t>
            </w:r>
            <w:r w:rsidRPr="006D0E24">
              <w:t>entities</w:t>
            </w:r>
            <w:r>
              <w:t xml:space="preserve"> and the current scheduled revaluation timelines are included in the </w:t>
            </w:r>
            <w:r w:rsidRPr="009C1D7F">
              <w:rPr>
                <w:i/>
              </w:rPr>
              <w:t>Guidance on the application of FRD 103 Non-financial physical assets</w:t>
            </w:r>
            <w:r>
              <w:rPr>
                <w:i/>
              </w:rPr>
              <w:t>.</w:t>
            </w:r>
            <w:r>
              <w:t xml:space="preserve"> </w:t>
            </w:r>
            <w:r w:rsidRPr="00025219">
              <w:t>Entities are responsible for monitoring their revaluations and complying with the valuation cycle.</w:t>
            </w:r>
          </w:p>
          <w:p w14:paraId="08DDA111" w14:textId="1036BE26" w:rsidR="00CB2FBD" w:rsidRPr="00565CF3" w:rsidRDefault="00CB2FBD" w:rsidP="00CB2FBD">
            <w:pPr>
              <w:pStyle w:val="Normalgrey"/>
            </w:pPr>
            <w:r>
              <w:t xml:space="preserve">In the event of a machinery of government (MoG) change where entities  or functions are moved between portfolio departments, there should be no impact on their revaluation cycle, unless they have changed their purpose, and as a result, have been moved to a different COFOG category. </w:t>
            </w:r>
            <w:r w:rsidRPr="00025219">
              <w:t xml:space="preserve">Entities </w:t>
            </w:r>
            <w:r>
              <w:t>should</w:t>
            </w:r>
            <w:r w:rsidRPr="00025219">
              <w:t xml:space="preserve"> consult directly with </w:t>
            </w:r>
            <w:r>
              <w:t xml:space="preserve">DTF </w:t>
            </w:r>
            <w:r w:rsidRPr="00025219">
              <w:t>if they have any queries regarding their valuation cycle</w:t>
            </w:r>
            <w:r>
              <w:t xml:space="preserve">. The Valuer General’s Office can also be consulted for queries related to revaluations.  </w:t>
            </w:r>
          </w:p>
        </w:tc>
      </w:tr>
      <w:tr w:rsidR="00CB2FBD" w:rsidRPr="005828FE" w14:paraId="28DB3427" w14:textId="77777777" w:rsidTr="00737B05">
        <w:tc>
          <w:tcPr>
            <w:tcW w:w="2293" w:type="dxa"/>
          </w:tcPr>
          <w:p w14:paraId="6A4B946C" w14:textId="77777777" w:rsidR="00CB2FBD" w:rsidRPr="005828FE" w:rsidRDefault="00CB2FBD" w:rsidP="00CB2FBD">
            <w:pPr>
              <w:pStyle w:val="Normalgrey"/>
            </w:pPr>
          </w:p>
        </w:tc>
        <w:tc>
          <w:tcPr>
            <w:tcW w:w="270" w:type="dxa"/>
          </w:tcPr>
          <w:p w14:paraId="7089E3ED" w14:textId="77777777" w:rsidR="00CB2FBD" w:rsidRPr="005828FE" w:rsidRDefault="00CB2FBD" w:rsidP="00CB2FBD">
            <w:pPr>
              <w:pStyle w:val="Normalgrey"/>
            </w:pPr>
          </w:p>
        </w:tc>
        <w:tc>
          <w:tcPr>
            <w:tcW w:w="540" w:type="dxa"/>
          </w:tcPr>
          <w:p w14:paraId="74F9DC20" w14:textId="415C1600" w:rsidR="00CB2FBD" w:rsidRPr="005828FE" w:rsidRDefault="00CB2FBD" w:rsidP="00CB2FBD">
            <w:pPr>
              <w:pStyle w:val="Normalgrey"/>
            </w:pPr>
            <w:r>
              <w:t>6.21</w:t>
            </w:r>
          </w:p>
        </w:tc>
        <w:tc>
          <w:tcPr>
            <w:tcW w:w="6134" w:type="dxa"/>
          </w:tcPr>
          <w:p w14:paraId="307EC085" w14:textId="6C1C8266" w:rsidR="00CB2FBD" w:rsidRDefault="00CB2FBD" w:rsidP="00CB2FBD">
            <w:pPr>
              <w:pStyle w:val="Normalgrey"/>
            </w:pPr>
            <w:r w:rsidRPr="00926277">
              <w:rPr>
                <w:b/>
              </w:rPr>
              <w:t>Transaction costs</w:t>
            </w:r>
            <w:r>
              <w:t xml:space="preserve"> – the costs to sell an asset or liability in the principal (or most advantageous) market for the asset or liability that are directly attributable to the disposal of an asset or the transfer of a liability that meet both of the following criteria:</w:t>
            </w:r>
          </w:p>
          <w:p w14:paraId="09AC82C4" w14:textId="77777777" w:rsidR="00CB2FBD" w:rsidRDefault="00CB2FBD" w:rsidP="00CB2FBD">
            <w:pPr>
              <w:pStyle w:val="Bullet1grey"/>
            </w:pPr>
            <w:r>
              <w:t>They result directly from and are essential to that transaction.</w:t>
            </w:r>
          </w:p>
          <w:p w14:paraId="3A214184" w14:textId="77777777" w:rsidR="00CB2FBD" w:rsidRPr="00565CF3" w:rsidRDefault="00CB2FBD" w:rsidP="00CB2FBD">
            <w:pPr>
              <w:pStyle w:val="Bullet1grey"/>
            </w:pPr>
            <w:r>
              <w:t>They would not have been incurred by the entity had the decision to sell the asset or transfer the liability not been made.</w:t>
            </w:r>
          </w:p>
        </w:tc>
      </w:tr>
      <w:tr w:rsidR="00CB2FBD" w:rsidRPr="005828FE" w14:paraId="30FC57FC" w14:textId="77777777" w:rsidTr="00737B05">
        <w:tc>
          <w:tcPr>
            <w:tcW w:w="2293" w:type="dxa"/>
          </w:tcPr>
          <w:p w14:paraId="7C6C95C7" w14:textId="77777777" w:rsidR="00CB2FBD" w:rsidRPr="005828FE" w:rsidRDefault="00CB2FBD" w:rsidP="00CB2FBD">
            <w:pPr>
              <w:pStyle w:val="Normalgrey"/>
            </w:pPr>
          </w:p>
        </w:tc>
        <w:tc>
          <w:tcPr>
            <w:tcW w:w="270" w:type="dxa"/>
          </w:tcPr>
          <w:p w14:paraId="6CBAFCC9" w14:textId="77777777" w:rsidR="00CB2FBD" w:rsidRPr="005828FE" w:rsidRDefault="00CB2FBD" w:rsidP="00CB2FBD">
            <w:pPr>
              <w:pStyle w:val="Normalgrey"/>
            </w:pPr>
          </w:p>
        </w:tc>
        <w:tc>
          <w:tcPr>
            <w:tcW w:w="540" w:type="dxa"/>
          </w:tcPr>
          <w:p w14:paraId="5C8090D8" w14:textId="0BEFE36E" w:rsidR="00CB2FBD" w:rsidRPr="005828FE" w:rsidRDefault="00CB2FBD" w:rsidP="00CB2FBD">
            <w:pPr>
              <w:pStyle w:val="Normalgrey"/>
            </w:pPr>
            <w:r>
              <w:t>6.22</w:t>
            </w:r>
          </w:p>
        </w:tc>
        <w:tc>
          <w:tcPr>
            <w:tcW w:w="6134" w:type="dxa"/>
          </w:tcPr>
          <w:p w14:paraId="4B41A8FA" w14:textId="2358A3C6" w:rsidR="00CB2FBD" w:rsidRPr="00D17F1C" w:rsidRDefault="00CB2FBD" w:rsidP="00CB2FBD">
            <w:pPr>
              <w:pStyle w:val="Normalgrey"/>
            </w:pPr>
            <w:r w:rsidRPr="00926277">
              <w:rPr>
                <w:b/>
              </w:rPr>
              <w:t>Valuer-General Victoria (VGV)</w:t>
            </w:r>
            <w:r>
              <w:t xml:space="preserve"> –</w:t>
            </w:r>
            <w:r w:rsidRPr="00D17F1C">
              <w:t xml:space="preserve"> the Victorian State Government’s independent valuation agency, which provides valuation services to the whole of the Victorian Public Sector via in-house valuers and a panel of external valuers. </w:t>
            </w:r>
            <w:r>
              <w:t xml:space="preserve">For more information about the VGV, </w:t>
            </w:r>
            <w:r w:rsidRPr="00D17F1C">
              <w:t xml:space="preserve">refer to </w:t>
            </w:r>
            <w:hyperlink r:id="rId9" w:history="1">
              <w:r w:rsidRPr="008A22C2">
                <w:rPr>
                  <w:rStyle w:val="Hyperlink"/>
                </w:rPr>
                <w:t>www.propertyandlandtitles.vic.gov.au/valuation/valuer-general-victoria</w:t>
              </w:r>
            </w:hyperlink>
            <w:r>
              <w:t xml:space="preserve"> </w:t>
            </w:r>
          </w:p>
        </w:tc>
      </w:tr>
      <w:tr w:rsidR="00CB2FBD" w:rsidRPr="005828FE" w14:paraId="285BCB4E" w14:textId="77777777" w:rsidTr="00737B05">
        <w:tc>
          <w:tcPr>
            <w:tcW w:w="2293" w:type="dxa"/>
          </w:tcPr>
          <w:p w14:paraId="5BC83E3B" w14:textId="77777777" w:rsidR="00CB2FBD" w:rsidRPr="005828FE" w:rsidRDefault="00CB2FBD" w:rsidP="00CB2FBD">
            <w:pPr>
              <w:pStyle w:val="Normalgrey"/>
            </w:pPr>
          </w:p>
        </w:tc>
        <w:tc>
          <w:tcPr>
            <w:tcW w:w="270" w:type="dxa"/>
          </w:tcPr>
          <w:p w14:paraId="2C08358D" w14:textId="77777777" w:rsidR="00CB2FBD" w:rsidRPr="005828FE" w:rsidRDefault="00CB2FBD" w:rsidP="00CB2FBD">
            <w:pPr>
              <w:pStyle w:val="Normalgrey"/>
            </w:pPr>
          </w:p>
        </w:tc>
        <w:tc>
          <w:tcPr>
            <w:tcW w:w="540" w:type="dxa"/>
          </w:tcPr>
          <w:p w14:paraId="51FB2D13" w14:textId="1A8FBA39" w:rsidR="00CB2FBD" w:rsidRPr="005828FE" w:rsidRDefault="00CB2FBD" w:rsidP="00CB2FBD">
            <w:pPr>
              <w:pStyle w:val="Normalgrey"/>
            </w:pPr>
            <w:r>
              <w:t>6.23</w:t>
            </w:r>
          </w:p>
        </w:tc>
        <w:tc>
          <w:tcPr>
            <w:tcW w:w="6134" w:type="dxa"/>
          </w:tcPr>
          <w:p w14:paraId="2BFD1D5A" w14:textId="4017E792" w:rsidR="00CB2FBD" w:rsidRDefault="00CB2FBD" w:rsidP="00CB2FBD">
            <w:pPr>
              <w:pStyle w:val="Normalgrey"/>
            </w:pPr>
            <w:r w:rsidRPr="00926277">
              <w:rPr>
                <w:b/>
              </w:rPr>
              <w:t>VGV Indices</w:t>
            </w:r>
            <w:r>
              <w:t xml:space="preserve"> –</w:t>
            </w:r>
            <w:r w:rsidRPr="00D17F1C">
              <w:t xml:space="preserve"> the VGV index factors for land and buildings are provided to DTF by VGV each April and October. The VGV Indices are posted on the DTF website as they become available. It is the responsibility of the various agencies to either visit the DTF website or – if access is not possible – contact the relevant portfolio CFO (where applicable) to obtain the set of index factors for their particular assets.</w:t>
            </w:r>
          </w:p>
        </w:tc>
      </w:tr>
      <w:tr w:rsidR="00CB2FBD" w:rsidRPr="005828FE" w14:paraId="7151B005" w14:textId="77777777" w:rsidTr="00737B05">
        <w:tc>
          <w:tcPr>
            <w:tcW w:w="2293" w:type="dxa"/>
          </w:tcPr>
          <w:p w14:paraId="64933F5C" w14:textId="77777777" w:rsidR="00CB2FBD" w:rsidRPr="005828FE" w:rsidRDefault="00CB2FBD" w:rsidP="00CB2FBD">
            <w:pPr>
              <w:pStyle w:val="Normalgrey"/>
            </w:pPr>
          </w:p>
        </w:tc>
        <w:tc>
          <w:tcPr>
            <w:tcW w:w="270" w:type="dxa"/>
          </w:tcPr>
          <w:p w14:paraId="7FF285F5" w14:textId="77777777" w:rsidR="00CB2FBD" w:rsidRPr="005828FE" w:rsidRDefault="00CB2FBD" w:rsidP="00CB2FBD">
            <w:pPr>
              <w:pStyle w:val="Normalgrey"/>
            </w:pPr>
          </w:p>
        </w:tc>
        <w:tc>
          <w:tcPr>
            <w:tcW w:w="540" w:type="dxa"/>
          </w:tcPr>
          <w:p w14:paraId="160A0A88" w14:textId="77777777" w:rsidR="00CB2FBD" w:rsidRPr="005828FE" w:rsidRDefault="00CB2FBD" w:rsidP="00CB2FBD">
            <w:pPr>
              <w:pStyle w:val="Normalgrey"/>
            </w:pPr>
          </w:p>
        </w:tc>
        <w:tc>
          <w:tcPr>
            <w:tcW w:w="6134" w:type="dxa"/>
          </w:tcPr>
          <w:p w14:paraId="1A42C712" w14:textId="77777777" w:rsidR="00CB2FBD" w:rsidRDefault="00CB2FBD" w:rsidP="00CB2FBD">
            <w:pPr>
              <w:pStyle w:val="Normalgrey"/>
            </w:pPr>
            <w:r>
              <w:t>Refer to paragraphs 6 and Aus. 6.1 of AASB 116 for the following definitions:</w:t>
            </w:r>
          </w:p>
          <w:p w14:paraId="0EDBB1D8" w14:textId="77777777" w:rsidR="00CB2FBD" w:rsidRDefault="00CB2FBD" w:rsidP="00CB2FBD">
            <w:pPr>
              <w:pStyle w:val="Bullet1grey"/>
              <w:spacing w:before="60"/>
            </w:pPr>
            <w:r>
              <w:t>Carrying amount;</w:t>
            </w:r>
          </w:p>
          <w:p w14:paraId="1D4256B4" w14:textId="77777777" w:rsidR="00CB2FBD" w:rsidRDefault="00CB2FBD" w:rsidP="00CB2FBD">
            <w:pPr>
              <w:pStyle w:val="Bullet1grey"/>
              <w:spacing w:before="60"/>
            </w:pPr>
            <w:r>
              <w:t>Depreciation;</w:t>
            </w:r>
          </w:p>
          <w:p w14:paraId="150509D1" w14:textId="77777777" w:rsidR="00CB2FBD" w:rsidRDefault="00CB2FBD" w:rsidP="00CB2FBD">
            <w:pPr>
              <w:pStyle w:val="Bullet1grey"/>
              <w:spacing w:before="60"/>
            </w:pPr>
            <w:r>
              <w:t>Impairment loss; and</w:t>
            </w:r>
          </w:p>
          <w:p w14:paraId="7D5642E8" w14:textId="77777777" w:rsidR="00CB2FBD" w:rsidRPr="00565CF3" w:rsidRDefault="00CB2FBD" w:rsidP="00CB2FBD">
            <w:pPr>
              <w:pStyle w:val="Bullet1grey"/>
              <w:spacing w:before="60"/>
            </w:pPr>
            <w:r>
              <w:t>Not-for-profit entity.</w:t>
            </w:r>
          </w:p>
        </w:tc>
      </w:tr>
      <w:tr w:rsidR="00CB2FBD" w:rsidRPr="005828FE" w14:paraId="212B76A3" w14:textId="77777777" w:rsidTr="00737B05">
        <w:tc>
          <w:tcPr>
            <w:tcW w:w="2293" w:type="dxa"/>
          </w:tcPr>
          <w:p w14:paraId="65DAA5D4" w14:textId="77777777" w:rsidR="00CB2FBD" w:rsidRPr="00E00D5F" w:rsidRDefault="00CB2FBD" w:rsidP="00CB2FBD">
            <w:pPr>
              <w:pStyle w:val="Normalgrey"/>
            </w:pPr>
            <w:r w:rsidRPr="00E00D5F">
              <w:t>Relevant pronouncements</w:t>
            </w:r>
          </w:p>
        </w:tc>
        <w:tc>
          <w:tcPr>
            <w:tcW w:w="270" w:type="dxa"/>
          </w:tcPr>
          <w:p w14:paraId="10189328" w14:textId="77777777" w:rsidR="00CB2FBD" w:rsidRPr="005828FE" w:rsidRDefault="00CB2FBD" w:rsidP="00CB2FBD">
            <w:pPr>
              <w:pStyle w:val="Normalgrey"/>
            </w:pPr>
          </w:p>
        </w:tc>
        <w:tc>
          <w:tcPr>
            <w:tcW w:w="540" w:type="dxa"/>
          </w:tcPr>
          <w:p w14:paraId="19D2108B" w14:textId="16E7E7A3" w:rsidR="00CB2FBD" w:rsidRPr="005828FE" w:rsidRDefault="00CB2FBD" w:rsidP="00CB2FBD">
            <w:pPr>
              <w:pStyle w:val="Normalgrey"/>
            </w:pPr>
            <w:r>
              <w:t>7.1</w:t>
            </w:r>
          </w:p>
        </w:tc>
        <w:tc>
          <w:tcPr>
            <w:tcW w:w="6134" w:type="dxa"/>
          </w:tcPr>
          <w:p w14:paraId="2AD16204" w14:textId="26649871" w:rsidR="00CB2FBD" w:rsidRDefault="00CB2FBD" w:rsidP="00CB2FBD">
            <w:pPr>
              <w:pStyle w:val="Bullet1grey"/>
            </w:pPr>
            <w:r>
              <w:t xml:space="preserve">AASB 13 </w:t>
            </w:r>
            <w:r w:rsidRPr="00E66757">
              <w:rPr>
                <w:i/>
                <w:iCs/>
              </w:rPr>
              <w:t>Fair Value Measurement</w:t>
            </w:r>
            <w:r>
              <w:t xml:space="preserve"> </w:t>
            </w:r>
          </w:p>
          <w:p w14:paraId="3DA9EBCD" w14:textId="7C38FF8A" w:rsidR="00CB2FBD" w:rsidRPr="00E66757" w:rsidRDefault="00CB2FBD" w:rsidP="00CB2FBD">
            <w:pPr>
              <w:pStyle w:val="Bullet1grey"/>
              <w:rPr>
                <w:i/>
                <w:iCs/>
              </w:rPr>
            </w:pPr>
            <w:r>
              <w:t xml:space="preserve">AASB 116 </w:t>
            </w:r>
            <w:r w:rsidRPr="00E66757">
              <w:rPr>
                <w:i/>
                <w:iCs/>
              </w:rPr>
              <w:t xml:space="preserve">Property, Plant and Equipment </w:t>
            </w:r>
          </w:p>
          <w:p w14:paraId="3297EE91" w14:textId="31B03ED4" w:rsidR="00CB2FBD" w:rsidRDefault="00CB2FBD" w:rsidP="00CB2FBD">
            <w:pPr>
              <w:pStyle w:val="Bullet1grey"/>
            </w:pPr>
            <w:r>
              <w:t xml:space="preserve">AASB 1049 </w:t>
            </w:r>
            <w:r w:rsidRPr="00E66757">
              <w:rPr>
                <w:i/>
                <w:iCs/>
              </w:rPr>
              <w:t>Whole of Government and General Government Sector</w:t>
            </w:r>
            <w:r w:rsidRPr="00E66757">
              <w:t xml:space="preserve"> </w:t>
            </w:r>
            <w:r w:rsidRPr="00E66757">
              <w:rPr>
                <w:i/>
                <w:iCs/>
              </w:rPr>
              <w:t>Financial Reporting</w:t>
            </w:r>
          </w:p>
          <w:p w14:paraId="4B50D34C" w14:textId="716AA032" w:rsidR="00CB2FBD" w:rsidRDefault="00CB2FBD" w:rsidP="00CB2FBD">
            <w:pPr>
              <w:pStyle w:val="Bullet1grey"/>
            </w:pPr>
            <w:r>
              <w:t xml:space="preserve">AASB 1059 </w:t>
            </w:r>
            <w:r w:rsidRPr="00E66757">
              <w:rPr>
                <w:i/>
                <w:iCs/>
              </w:rPr>
              <w:t>Service Concession Arrangements: Grantors</w:t>
            </w:r>
            <w:r>
              <w:t xml:space="preserve"> </w:t>
            </w:r>
          </w:p>
          <w:p w14:paraId="0A499170" w14:textId="77777777" w:rsidR="00CB2FBD" w:rsidRPr="003E4291" w:rsidRDefault="00CB2FBD" w:rsidP="00CB2FBD">
            <w:pPr>
              <w:pStyle w:val="Bullet1grey"/>
            </w:pPr>
            <w:r>
              <w:t xml:space="preserve">AASB 16 </w:t>
            </w:r>
            <w:r w:rsidRPr="00E66757">
              <w:rPr>
                <w:i/>
                <w:iCs/>
              </w:rPr>
              <w:t>Leases</w:t>
            </w:r>
          </w:p>
          <w:p w14:paraId="3AC7E1BA" w14:textId="64192EE3" w:rsidR="00CB2FBD" w:rsidRPr="005828FE" w:rsidRDefault="00CB2FBD" w:rsidP="00CB2FBD">
            <w:pPr>
              <w:pStyle w:val="Bullet1grey"/>
            </w:pPr>
            <w:r w:rsidRPr="007B24C6">
              <w:t xml:space="preserve">AASB 5 </w:t>
            </w:r>
            <w:r w:rsidRPr="007B24C6">
              <w:rPr>
                <w:i/>
                <w:iCs/>
              </w:rPr>
              <w:t>Non-current Assets Held for Sale and Discontinued Operations</w:t>
            </w:r>
          </w:p>
        </w:tc>
      </w:tr>
      <w:tr w:rsidR="00CB2FBD" w:rsidRPr="005828FE" w14:paraId="3F4725B8" w14:textId="77777777" w:rsidTr="00737B05">
        <w:tc>
          <w:tcPr>
            <w:tcW w:w="2293" w:type="dxa"/>
          </w:tcPr>
          <w:p w14:paraId="1B730B6E" w14:textId="77777777" w:rsidR="00CB2FBD" w:rsidRPr="00E00D5F" w:rsidRDefault="00CB2FBD" w:rsidP="00CB2FBD">
            <w:pPr>
              <w:pStyle w:val="Normalgrey"/>
            </w:pPr>
            <w:r w:rsidRPr="00E00D5F">
              <w:lastRenderedPageBreak/>
              <w:t>Background</w:t>
            </w:r>
          </w:p>
        </w:tc>
        <w:tc>
          <w:tcPr>
            <w:tcW w:w="270" w:type="dxa"/>
          </w:tcPr>
          <w:p w14:paraId="278A47FD" w14:textId="77777777" w:rsidR="00CB2FBD" w:rsidRPr="005828FE" w:rsidRDefault="00CB2FBD" w:rsidP="00CB2FBD">
            <w:pPr>
              <w:pStyle w:val="Normalgrey"/>
            </w:pPr>
          </w:p>
        </w:tc>
        <w:tc>
          <w:tcPr>
            <w:tcW w:w="540" w:type="dxa"/>
          </w:tcPr>
          <w:p w14:paraId="7EF88441" w14:textId="59AE2444" w:rsidR="00CB2FBD" w:rsidRPr="005828FE" w:rsidRDefault="00CB2FBD" w:rsidP="00CB2FBD">
            <w:pPr>
              <w:pStyle w:val="Normalgrey"/>
            </w:pPr>
            <w:r>
              <w:t>8.1</w:t>
            </w:r>
          </w:p>
        </w:tc>
        <w:tc>
          <w:tcPr>
            <w:tcW w:w="6134" w:type="dxa"/>
          </w:tcPr>
          <w:p w14:paraId="1EF6BF88" w14:textId="77777777" w:rsidR="00CB2FBD" w:rsidRDefault="00CB2FBD" w:rsidP="00CB2FBD">
            <w:pPr>
              <w:pStyle w:val="Normalgrey"/>
            </w:pPr>
            <w:r>
              <w:t>AASB 116 requires entities to measure property, plant and equipment after recognition using either the cost model or the revaluation model.</w:t>
            </w:r>
          </w:p>
          <w:p w14:paraId="7B1E7914" w14:textId="64E008C2" w:rsidR="00CB2FBD" w:rsidRDefault="00CB2FBD" w:rsidP="00CB2FBD">
            <w:pPr>
              <w:pStyle w:val="Normalgrey"/>
            </w:pPr>
            <w:r>
              <w:t>With the requirement of AASB 1049, this Direction limits the choice by requiring all non-financial physical assets to be measured using the revaluation model.</w:t>
            </w:r>
          </w:p>
          <w:p w14:paraId="01BCE15B" w14:textId="40397EBD" w:rsidR="00CB2FBD" w:rsidRDefault="00CB2FBD" w:rsidP="00CB2FBD">
            <w:pPr>
              <w:pStyle w:val="Normalgrey"/>
            </w:pPr>
            <w:r>
              <w:t>AASB 1059 requires service concession assets to be recorded at current replacement cost upon initial recognition and follow AASB 116 for subsequent measurement.</w:t>
            </w:r>
          </w:p>
          <w:p w14:paraId="78BFDDBE" w14:textId="62CC3947" w:rsidR="00CB2FBD" w:rsidRDefault="00CB2FBD" w:rsidP="00CB2FBD">
            <w:pPr>
              <w:pStyle w:val="Normalgrey"/>
            </w:pPr>
            <w:r>
              <w:t xml:space="preserve">Right-of-use assets, arising from AASB 16 are similarly required to be measured at fair value after initial recognition, unless they arise from below-market (including peppercorn) arrangements. </w:t>
            </w:r>
          </w:p>
          <w:p w14:paraId="5B17E8B4" w14:textId="77777777" w:rsidR="00CB2FBD" w:rsidRPr="005828FE" w:rsidRDefault="00CB2FBD" w:rsidP="00CB2FBD">
            <w:pPr>
              <w:pStyle w:val="Normalgrey"/>
            </w:pPr>
            <w:r>
              <w:t>AASB 13 sets out a single framework for measuring fair value with regard to the HBU and the disclosures relating to fair value measurement.</w:t>
            </w:r>
          </w:p>
        </w:tc>
      </w:tr>
      <w:tr w:rsidR="00110497" w:rsidRPr="005828FE" w14:paraId="247AF45E" w14:textId="77777777" w:rsidTr="00737B05">
        <w:tc>
          <w:tcPr>
            <w:tcW w:w="2293" w:type="dxa"/>
          </w:tcPr>
          <w:p w14:paraId="02C31BA5" w14:textId="77777777" w:rsidR="00110497" w:rsidRPr="00E00D5F" w:rsidRDefault="00110497" w:rsidP="00CB2FBD">
            <w:pPr>
              <w:pStyle w:val="Normalgrey"/>
            </w:pPr>
          </w:p>
        </w:tc>
        <w:tc>
          <w:tcPr>
            <w:tcW w:w="270" w:type="dxa"/>
          </w:tcPr>
          <w:p w14:paraId="12084C15" w14:textId="77777777" w:rsidR="00110497" w:rsidRPr="005828FE" w:rsidRDefault="00110497" w:rsidP="00CB2FBD">
            <w:pPr>
              <w:pStyle w:val="Normalgrey"/>
            </w:pPr>
          </w:p>
        </w:tc>
        <w:tc>
          <w:tcPr>
            <w:tcW w:w="540" w:type="dxa"/>
          </w:tcPr>
          <w:p w14:paraId="635B6B84" w14:textId="53032FFD" w:rsidR="00110497" w:rsidRDefault="00110497" w:rsidP="00CB2FBD">
            <w:pPr>
              <w:pStyle w:val="Normalgrey"/>
            </w:pPr>
            <w:r>
              <w:t>8.2</w:t>
            </w:r>
          </w:p>
        </w:tc>
        <w:tc>
          <w:tcPr>
            <w:tcW w:w="6134" w:type="dxa"/>
          </w:tcPr>
          <w:p w14:paraId="0C2055BA" w14:textId="77777777" w:rsidR="00110497" w:rsidRDefault="00110497" w:rsidP="00110497">
            <w:pPr>
              <w:pStyle w:val="Normalgrey"/>
            </w:pPr>
            <w:r>
              <w:t xml:space="preserve">This FRD was initially issued in December 2004 to provide guidance for the preparation of the </w:t>
            </w:r>
            <w:r w:rsidRPr="00DF1F8E">
              <w:rPr>
                <w:i/>
              </w:rPr>
              <w:t>2005-06 Budget</w:t>
            </w:r>
            <w:r>
              <w:t>. It was updated in:</w:t>
            </w:r>
          </w:p>
          <w:p w14:paraId="4F8576F8" w14:textId="77777777" w:rsidR="00110497" w:rsidRDefault="00110497" w:rsidP="00110497">
            <w:pPr>
              <w:pStyle w:val="Bullet1grey"/>
            </w:pPr>
            <w:r>
              <w:t>2005 to clarify guidance on measurement of restricted assets and revaluation methodology.</w:t>
            </w:r>
          </w:p>
          <w:p w14:paraId="4E31DCFD" w14:textId="77777777" w:rsidR="00110497" w:rsidRDefault="00110497" w:rsidP="00110497">
            <w:pPr>
              <w:pStyle w:val="Bullet1grey"/>
            </w:pPr>
            <w:r>
              <w:t>August 2006 to:</w:t>
            </w:r>
          </w:p>
          <w:p w14:paraId="69F7A808" w14:textId="77777777" w:rsidR="00110497" w:rsidRDefault="00110497" w:rsidP="00110497">
            <w:pPr>
              <w:pStyle w:val="Bullet2grey"/>
            </w:pPr>
            <w:r>
              <w:t>clarify the definition of water and rail infrastructure assets;</w:t>
            </w:r>
          </w:p>
          <w:p w14:paraId="5CF617BE" w14:textId="77777777" w:rsidR="00110497" w:rsidRDefault="00110497" w:rsidP="00110497">
            <w:pPr>
              <w:pStyle w:val="Bullet2grey"/>
            </w:pPr>
            <w:r>
              <w:t xml:space="preserve">prescribe revised Model Report disclosures; </w:t>
            </w:r>
          </w:p>
          <w:p w14:paraId="67F9AFE2" w14:textId="77777777" w:rsidR="00110497" w:rsidRDefault="00110497" w:rsidP="00110497">
            <w:pPr>
              <w:pStyle w:val="Bullet2grey"/>
            </w:pPr>
            <w:r>
              <w:t>revise the classification of assets and establish the revaluation cycle;</w:t>
            </w:r>
          </w:p>
          <w:p w14:paraId="70DD6576" w14:textId="77777777" w:rsidR="00110497" w:rsidRDefault="00110497" w:rsidP="00110497">
            <w:pPr>
              <w:pStyle w:val="Bullet2grey"/>
            </w:pPr>
            <w:r>
              <w:t xml:space="preserve">provide guidance on componentisation; and </w:t>
            </w:r>
          </w:p>
          <w:p w14:paraId="788A6370" w14:textId="77777777" w:rsidR="00110497" w:rsidRDefault="00110497" w:rsidP="00110497">
            <w:pPr>
              <w:pStyle w:val="Bullet2grey"/>
            </w:pPr>
            <w:r>
              <w:t>encourage entities to factor revaluation impacts into prospective financial statements supporting the Budget.</w:t>
            </w:r>
          </w:p>
          <w:p w14:paraId="7015BE63" w14:textId="77777777" w:rsidR="00110497" w:rsidRDefault="00110497" w:rsidP="00110497">
            <w:pPr>
              <w:pStyle w:val="Bullet1grey"/>
            </w:pPr>
            <w:r>
              <w:t>February 2007 to:</w:t>
            </w:r>
          </w:p>
          <w:p w14:paraId="0D35E22A" w14:textId="77777777" w:rsidR="00110497" w:rsidRDefault="00110497" w:rsidP="00110497">
            <w:pPr>
              <w:pStyle w:val="Bullet2grey"/>
            </w:pPr>
            <w:r>
              <w:t xml:space="preserve">amend Allocation of Purpose Groups to entities in Appendix A to reflect MoG changes taking effect from 1 January 2007; and </w:t>
            </w:r>
          </w:p>
          <w:p w14:paraId="67322505" w14:textId="77777777" w:rsidR="00110497" w:rsidRDefault="00110497" w:rsidP="00110497">
            <w:pPr>
              <w:pStyle w:val="Bullet2grey"/>
            </w:pPr>
            <w:r>
              <w:t>update references relating to the valuation of land under roads.</w:t>
            </w:r>
          </w:p>
          <w:p w14:paraId="09C320C3" w14:textId="77777777" w:rsidR="00110497" w:rsidRDefault="00110497" w:rsidP="00110497">
            <w:pPr>
              <w:pStyle w:val="Bullet1grey"/>
            </w:pPr>
            <w:r>
              <w:t>January 2008 to:</w:t>
            </w:r>
          </w:p>
          <w:p w14:paraId="1DCC9A8E" w14:textId="77777777" w:rsidR="00110497" w:rsidRDefault="00110497" w:rsidP="00110497">
            <w:pPr>
              <w:pStyle w:val="Bullet2grey"/>
            </w:pPr>
            <w:r>
              <w:t xml:space="preserve">provide greater clarity for entities and departments on the requirements and procedures to be followed for the revaluation of assets, in particular defining materiality levels for different classes of assets that would indicate a need to revalue and allowing for valuers to select from a range of professional valuation techniques to achieve the objectives of revaluations. </w:t>
            </w:r>
          </w:p>
          <w:p w14:paraId="4D51F886" w14:textId="77777777" w:rsidR="00110497" w:rsidRDefault="00110497" w:rsidP="00110497">
            <w:pPr>
              <w:pStyle w:val="Bullet2grey"/>
            </w:pPr>
            <w:r>
              <w:t>update the Purpose Groups to accommodate MoG changes, effective from 1 September 2007.</w:t>
            </w:r>
          </w:p>
          <w:p w14:paraId="5DA0B27F" w14:textId="77777777" w:rsidR="00110497" w:rsidRDefault="00110497" w:rsidP="00110497">
            <w:pPr>
              <w:pStyle w:val="Bullet1grey"/>
            </w:pPr>
            <w:r>
              <w:t xml:space="preserve">February 2009 to: </w:t>
            </w:r>
          </w:p>
          <w:p w14:paraId="78EC9F4E" w14:textId="77777777" w:rsidR="00110497" w:rsidRDefault="00110497" w:rsidP="00110497">
            <w:pPr>
              <w:pStyle w:val="Bullet2grey"/>
            </w:pPr>
            <w:r>
              <w:t xml:space="preserve">require all non-financial physical assets to be measured using the revaluation model (AASB 1049); </w:t>
            </w:r>
          </w:p>
          <w:p w14:paraId="28A86621" w14:textId="77777777" w:rsidR="00110497" w:rsidRDefault="00110497" w:rsidP="00110497">
            <w:pPr>
              <w:pStyle w:val="Bullet2grey"/>
            </w:pPr>
            <w:r>
              <w:t xml:space="preserve">provide greater clarity and quantifiable tests for certain materiality, assessment, and valuation procedures; </w:t>
            </w:r>
          </w:p>
          <w:p w14:paraId="5F62BDF4" w14:textId="77777777" w:rsidR="00110497" w:rsidRDefault="00110497" w:rsidP="00110497">
            <w:pPr>
              <w:pStyle w:val="Bullet2grey"/>
            </w:pPr>
            <w:r>
              <w:t xml:space="preserve">provide for the use of indices for the assessment and valuation of buildings; </w:t>
            </w:r>
          </w:p>
          <w:p w14:paraId="338F5BBD" w14:textId="77777777" w:rsidR="00110497" w:rsidRDefault="00110497" w:rsidP="00CB2FBD">
            <w:pPr>
              <w:pStyle w:val="Bullet2grey"/>
            </w:pPr>
            <w:r>
              <w:t>refer the accounting of water and rail infrastructure assets, and land under roads, to FRDs 121 and 118 respectively.</w:t>
            </w:r>
          </w:p>
          <w:p w14:paraId="4538860A" w14:textId="1830DC0B" w:rsidR="00110497" w:rsidRDefault="00110497" w:rsidP="002F3EAC">
            <w:pPr>
              <w:pStyle w:val="Bullet2grey"/>
              <w:numPr>
                <w:ilvl w:val="0"/>
                <w:numId w:val="0"/>
              </w:numPr>
              <w:ind w:left="576" w:hanging="288"/>
            </w:pPr>
          </w:p>
        </w:tc>
      </w:tr>
      <w:tr w:rsidR="00CB2FBD" w:rsidRPr="005828FE" w14:paraId="17C323E6" w14:textId="77777777" w:rsidTr="00737B05">
        <w:tc>
          <w:tcPr>
            <w:tcW w:w="2293" w:type="dxa"/>
          </w:tcPr>
          <w:p w14:paraId="277EE600" w14:textId="77777777" w:rsidR="00CB2FBD" w:rsidRPr="005828FE" w:rsidRDefault="00CB2FBD" w:rsidP="00CB2FBD">
            <w:pPr>
              <w:pStyle w:val="Normalgrey"/>
            </w:pPr>
          </w:p>
        </w:tc>
        <w:tc>
          <w:tcPr>
            <w:tcW w:w="270" w:type="dxa"/>
          </w:tcPr>
          <w:p w14:paraId="4A4A65E4" w14:textId="77777777" w:rsidR="00CB2FBD" w:rsidRPr="005828FE" w:rsidRDefault="00CB2FBD" w:rsidP="00CB2FBD">
            <w:pPr>
              <w:pStyle w:val="Normalgrey"/>
            </w:pPr>
          </w:p>
        </w:tc>
        <w:tc>
          <w:tcPr>
            <w:tcW w:w="540" w:type="dxa"/>
          </w:tcPr>
          <w:p w14:paraId="2333B824" w14:textId="2E790A25" w:rsidR="00CB2FBD" w:rsidRPr="005828FE" w:rsidRDefault="00CB2FBD" w:rsidP="00CB2FBD">
            <w:pPr>
              <w:pStyle w:val="Normalgrey"/>
            </w:pPr>
          </w:p>
        </w:tc>
        <w:tc>
          <w:tcPr>
            <w:tcW w:w="6134" w:type="dxa"/>
          </w:tcPr>
          <w:p w14:paraId="2CA265E1" w14:textId="73CABC0E" w:rsidR="00CB2FBD" w:rsidRDefault="00CB2FBD" w:rsidP="00CB2FBD">
            <w:pPr>
              <w:pStyle w:val="Bullet1grey"/>
            </w:pPr>
            <w:r>
              <w:t>June 2014 to:</w:t>
            </w:r>
          </w:p>
          <w:p w14:paraId="49B5C66C" w14:textId="0615F2B9" w:rsidR="00CB2FBD" w:rsidRDefault="00CB2FBD" w:rsidP="00CB2FBD">
            <w:pPr>
              <w:pStyle w:val="Bullet2grey"/>
            </w:pPr>
            <w:r>
              <w:t xml:space="preserve">incorporate the requirements of AASB 13 </w:t>
            </w:r>
            <w:r w:rsidRPr="007A73B6">
              <w:rPr>
                <w:i/>
                <w:iCs/>
              </w:rPr>
              <w:t>Fair Value Measurement</w:t>
            </w:r>
            <w:r>
              <w:t xml:space="preserve">, applicable from 1 July 2013 and include further guidance notes on the practical considerations and implementation of AASB 13. </w:t>
            </w:r>
          </w:p>
          <w:p w14:paraId="3084EC8E" w14:textId="7185B8A5" w:rsidR="00CB2FBD" w:rsidRDefault="00CB2FBD" w:rsidP="00CB2FBD">
            <w:pPr>
              <w:pStyle w:val="Bullet2grey"/>
            </w:pPr>
            <w:r>
              <w:t>update the allocation of purpose groups as a result of the MoG changes in 2013. Information no longer applicable (i.e. transitional arrangements) was withdrawn.</w:t>
            </w:r>
          </w:p>
          <w:p w14:paraId="46697863" w14:textId="633DE0BA" w:rsidR="00CB2FBD" w:rsidRDefault="00CB2FBD" w:rsidP="00CB2FBD">
            <w:pPr>
              <w:pStyle w:val="Bullet1grey"/>
            </w:pPr>
            <w:r>
              <w:t>June 2015 to:</w:t>
            </w:r>
          </w:p>
          <w:p w14:paraId="120A5E7C" w14:textId="57E33608" w:rsidR="00CB2FBD" w:rsidRDefault="00CB2FBD" w:rsidP="00CB2FBD">
            <w:pPr>
              <w:pStyle w:val="Bullet2grey"/>
            </w:pPr>
            <w:r>
              <w:t xml:space="preserve">remove the required disclosure on non-financial physical assets by sub-category of government purpose classifications (GPC) for financial reporting purpose at the whole of government level, while resume this required disclosure at entity level for material asset classes; </w:t>
            </w:r>
          </w:p>
          <w:p w14:paraId="1E287627" w14:textId="77777777" w:rsidR="00CB2FBD" w:rsidRDefault="00CB2FBD" w:rsidP="00CB2FBD">
            <w:pPr>
              <w:pStyle w:val="Bullet2grey"/>
            </w:pPr>
            <w:r>
              <w:t xml:space="preserve">require the consideration of obsolescence required when applying the cost approach to fair value measurement; </w:t>
            </w:r>
          </w:p>
          <w:p w14:paraId="26CFF712" w14:textId="77777777" w:rsidR="00CB2FBD" w:rsidRDefault="00CB2FBD" w:rsidP="00CB2FBD">
            <w:pPr>
              <w:pStyle w:val="Bullet2grey"/>
            </w:pPr>
            <w:r>
              <w:t xml:space="preserve">expand the current guidance in relation to economic obsolescence and assets that are declared surplus; </w:t>
            </w:r>
          </w:p>
          <w:p w14:paraId="22FE7B0B" w14:textId="429CC86B" w:rsidR="00CB2FBD" w:rsidRPr="005828FE" w:rsidRDefault="00CB2FBD" w:rsidP="00CB2FBD">
            <w:pPr>
              <w:pStyle w:val="Bullet2grey"/>
            </w:pPr>
            <w:r>
              <w:t>update the allocation of purpose groups as a result of the MoG changes in December 2014.</w:t>
            </w:r>
          </w:p>
        </w:tc>
      </w:tr>
      <w:tr w:rsidR="00CB2FBD" w:rsidRPr="005828FE" w14:paraId="0292A5C3" w14:textId="77777777" w:rsidTr="00737B05">
        <w:tc>
          <w:tcPr>
            <w:tcW w:w="2293" w:type="dxa"/>
          </w:tcPr>
          <w:p w14:paraId="3444EC4C" w14:textId="77777777" w:rsidR="00CB2FBD" w:rsidRPr="005828FE" w:rsidRDefault="00CB2FBD" w:rsidP="00CB2FBD">
            <w:pPr>
              <w:pStyle w:val="Normalgrey"/>
            </w:pPr>
          </w:p>
        </w:tc>
        <w:tc>
          <w:tcPr>
            <w:tcW w:w="270" w:type="dxa"/>
          </w:tcPr>
          <w:p w14:paraId="5329ECDC" w14:textId="77777777" w:rsidR="00CB2FBD" w:rsidRPr="005828FE" w:rsidRDefault="00CB2FBD" w:rsidP="00CB2FBD">
            <w:pPr>
              <w:pStyle w:val="Normalgrey"/>
            </w:pPr>
          </w:p>
        </w:tc>
        <w:tc>
          <w:tcPr>
            <w:tcW w:w="540" w:type="dxa"/>
          </w:tcPr>
          <w:p w14:paraId="0A70982E" w14:textId="77777777" w:rsidR="00CB2FBD" w:rsidRPr="005828FE" w:rsidRDefault="00CB2FBD" w:rsidP="00CB2FBD">
            <w:pPr>
              <w:pStyle w:val="Normalgrey"/>
            </w:pPr>
          </w:p>
        </w:tc>
        <w:tc>
          <w:tcPr>
            <w:tcW w:w="6134" w:type="dxa"/>
          </w:tcPr>
          <w:p w14:paraId="23D94E83" w14:textId="01526C8C" w:rsidR="00CB2FBD" w:rsidRDefault="00CB2FBD" w:rsidP="00CB2FBD">
            <w:pPr>
              <w:pStyle w:val="Bullet1grey"/>
            </w:pPr>
            <w:r>
              <w:t>June 2018 to:</w:t>
            </w:r>
          </w:p>
          <w:p w14:paraId="3EC0BDE2" w14:textId="20CBD63F" w:rsidR="00CB2FBD" w:rsidRDefault="00CB2FBD" w:rsidP="00CB2FBD">
            <w:pPr>
              <w:pStyle w:val="Bullet2grey"/>
            </w:pPr>
            <w:r>
              <w:t>streamline for conciseness and focus on the mandatory requirements for compliance;</w:t>
            </w:r>
          </w:p>
          <w:p w14:paraId="3F48E498" w14:textId="17E16FDD" w:rsidR="00CB2FBD" w:rsidRDefault="00CB2FBD" w:rsidP="00CB2FBD">
            <w:pPr>
              <w:pStyle w:val="Bullet2grey"/>
            </w:pPr>
            <w:r>
              <w:t>transfer information contained in the appendices into separate guidance documents outside the FRD, published separately by DTF.</w:t>
            </w:r>
          </w:p>
          <w:p w14:paraId="1DF5B85A" w14:textId="03A23892" w:rsidR="00CB2FBD" w:rsidRDefault="00CB2FBD" w:rsidP="00CB2FBD">
            <w:pPr>
              <w:pStyle w:val="Bullet1grey"/>
            </w:pPr>
            <w:r w:rsidRPr="00125F24">
              <w:t>May 2019 to</w:t>
            </w:r>
            <w:r>
              <w:t xml:space="preserve"> </w:t>
            </w:r>
            <w:r w:rsidRPr="00125F24">
              <w:t>update the purpose group categories from Government Purpose Classification (GPC) to ‘Classification of the Functions of Government’ (COFOG) and clarification that MoG changes should not change the entities valuation cycle unless their purpose has changed.</w:t>
            </w:r>
            <w:r>
              <w:t xml:space="preserve"> </w:t>
            </w:r>
          </w:p>
          <w:p w14:paraId="69844F36" w14:textId="2E2E5EBD" w:rsidR="00CB2FBD" w:rsidRDefault="00CB2FBD" w:rsidP="00CB2FBD">
            <w:pPr>
              <w:pStyle w:val="Bullet1grey"/>
            </w:pPr>
            <w:r>
              <w:t xml:space="preserve">December 2019 to include reference to a </w:t>
            </w:r>
            <w:r w:rsidRPr="00690247">
              <w:t xml:space="preserve">table </w:t>
            </w:r>
            <w:r>
              <w:t xml:space="preserve">of </w:t>
            </w:r>
            <w:r w:rsidRPr="00690247">
              <w:t>VPS entities, their COFOG allocation and date of scheduled revaluation</w:t>
            </w:r>
            <w:r>
              <w:t xml:space="preserve"> which has been included in </w:t>
            </w:r>
            <w:r w:rsidRPr="00690247">
              <w:t xml:space="preserve">the </w:t>
            </w:r>
            <w:r>
              <w:t xml:space="preserve">guidance paper </w:t>
            </w:r>
            <w:r w:rsidRPr="00690247">
              <w:rPr>
                <w:i/>
              </w:rPr>
              <w:t>Guidance on the application of FRD 103 Non-financial physical assets</w:t>
            </w:r>
            <w:r>
              <w:t xml:space="preserve">. </w:t>
            </w:r>
          </w:p>
          <w:p w14:paraId="713E17A2" w14:textId="0DC34162" w:rsidR="00CB2FBD" w:rsidRDefault="00CB2FBD" w:rsidP="00CB2FBD">
            <w:pPr>
              <w:pStyle w:val="Bullet1grey"/>
            </w:pPr>
            <w:r>
              <w:t>June 2020 to clarify that construction-in-progress balances recorded under AASB 1059 and similar infrastructure assets under AASB 116 must be recorded at current replacement cost as a measure of fair value as opposed to cost following the adoption of AASB 1059, effective 1 July 2019.</w:t>
            </w:r>
          </w:p>
          <w:p w14:paraId="396E3C23" w14:textId="77777777" w:rsidR="00CB2FBD" w:rsidRDefault="00CB2FBD" w:rsidP="00CB2FBD">
            <w:pPr>
              <w:pStyle w:val="Bullet1grey"/>
            </w:pPr>
            <w:r>
              <w:t>June 2021 to incorporate right-of-use assets into the FRD and clarify that an Approved Valuer is not required to be used for right-of-use asset valuations. General improvements and clarification on applicability to joint ventures were also incorporated.</w:t>
            </w:r>
          </w:p>
          <w:p w14:paraId="6CA1BB5D" w14:textId="77777777" w:rsidR="00CB2FBD" w:rsidRDefault="00CB2FBD" w:rsidP="00CB2FBD">
            <w:pPr>
              <w:pStyle w:val="Bullet1grey"/>
            </w:pPr>
            <w:r>
              <w:t>April 2024 to remove references to the retired transitional FRDs.</w:t>
            </w:r>
          </w:p>
          <w:p w14:paraId="228D410C" w14:textId="77777777" w:rsidR="00CB2FBD" w:rsidRDefault="00CB2FBD" w:rsidP="00CB2FBD">
            <w:pPr>
              <w:pStyle w:val="Bullet1grey"/>
            </w:pPr>
            <w:r>
              <w:t xml:space="preserve">October 2024 to incorporate the amendments to AASB 13 arising from AASB 2022-10 </w:t>
            </w:r>
            <w:r w:rsidRPr="0010138E">
              <w:rPr>
                <w:i/>
                <w:iCs/>
              </w:rPr>
              <w:t xml:space="preserve">Amendments to Australian Accounting Standards – Fair Value Measurement of Non-Financial Assets of Not-for-Profit Public Sector Entities </w:t>
            </w:r>
            <w:r w:rsidRPr="0010138E">
              <w:t>which is applicable to annual periods beginning on or after 1 January 2024</w:t>
            </w:r>
            <w:r>
              <w:t xml:space="preserve"> (refer to paragraphs 4.4, 4.4A, 4.4B, 4.4C</w:t>
            </w:r>
            <w:r w:rsidR="00CB2DAE">
              <w:t>, 4.4D</w:t>
            </w:r>
            <w:r>
              <w:t xml:space="preserve"> and 4.5A).</w:t>
            </w:r>
          </w:p>
          <w:p w14:paraId="5CBABA87" w14:textId="76EF0B7D" w:rsidR="00F402AF" w:rsidRPr="005828FE" w:rsidRDefault="00F402AF" w:rsidP="00CB2FBD">
            <w:pPr>
              <w:pStyle w:val="Bullet1grey"/>
            </w:pPr>
            <w:r>
              <w:t xml:space="preserve">April 2025 to </w:t>
            </w:r>
            <w:r w:rsidR="00845F81">
              <w:t xml:space="preserve">clarify </w:t>
            </w:r>
            <w:r w:rsidR="000578A8">
              <w:t xml:space="preserve">that entities are </w:t>
            </w:r>
            <w:r w:rsidR="00845F81">
              <w:t>not permitted to exceed the five-year cycle</w:t>
            </w:r>
            <w:r w:rsidR="000578A8">
              <w:t xml:space="preserve"> unless prior approval is obtained</w:t>
            </w:r>
            <w:r w:rsidR="00221142">
              <w:t xml:space="preserve">, taking into consideration facts and circumstances driving the need for this change, </w:t>
            </w:r>
            <w:r w:rsidR="000578A8">
              <w:t xml:space="preserve">and </w:t>
            </w:r>
            <w:r w:rsidR="00221142">
              <w:t>the related impacts</w:t>
            </w:r>
            <w:r w:rsidR="00443830">
              <w:t xml:space="preserve">; </w:t>
            </w:r>
            <w:r w:rsidR="002F3A40">
              <w:t xml:space="preserve">and </w:t>
            </w:r>
            <w:r w:rsidR="00443830">
              <w:t xml:space="preserve">to </w:t>
            </w:r>
            <w:r>
              <w:t>update references from the Assistant Treasurer to the Minister for Finance.</w:t>
            </w:r>
          </w:p>
        </w:tc>
      </w:tr>
      <w:tr w:rsidR="00CB2FBD" w:rsidRPr="005828FE" w14:paraId="41BD7D12" w14:textId="77777777" w:rsidTr="00737B05">
        <w:tc>
          <w:tcPr>
            <w:tcW w:w="2293" w:type="dxa"/>
          </w:tcPr>
          <w:p w14:paraId="4EEDDFB6" w14:textId="4C9CC0E0" w:rsidR="00CB2FBD" w:rsidRPr="00E00D5F" w:rsidRDefault="00CB2FBD" w:rsidP="00CB2FBD">
            <w:pPr>
              <w:pStyle w:val="Normalgrey"/>
            </w:pPr>
            <w:r w:rsidRPr="00E00D5F">
              <w:t xml:space="preserve">Model for Disclosure </w:t>
            </w:r>
          </w:p>
        </w:tc>
        <w:tc>
          <w:tcPr>
            <w:tcW w:w="270" w:type="dxa"/>
          </w:tcPr>
          <w:p w14:paraId="16AC39F7" w14:textId="77777777" w:rsidR="00CB2FBD" w:rsidRPr="005828FE" w:rsidRDefault="00CB2FBD" w:rsidP="00CB2FBD">
            <w:pPr>
              <w:pStyle w:val="Normalgrey"/>
            </w:pPr>
          </w:p>
        </w:tc>
        <w:tc>
          <w:tcPr>
            <w:tcW w:w="540" w:type="dxa"/>
          </w:tcPr>
          <w:p w14:paraId="683871F9" w14:textId="2B5AC9F2" w:rsidR="00CB2FBD" w:rsidRPr="005828FE" w:rsidRDefault="00CB2FBD" w:rsidP="00CB2FBD">
            <w:pPr>
              <w:pStyle w:val="Normalgrey"/>
              <w:jc w:val="center"/>
            </w:pPr>
            <w:r>
              <w:t>9.1</w:t>
            </w:r>
          </w:p>
        </w:tc>
        <w:tc>
          <w:tcPr>
            <w:tcW w:w="6134" w:type="dxa"/>
          </w:tcPr>
          <w:p w14:paraId="587954F7" w14:textId="77777777" w:rsidR="00CB2FBD" w:rsidRPr="005828FE" w:rsidRDefault="00CB2FBD" w:rsidP="00CB2FBD">
            <w:pPr>
              <w:pStyle w:val="Normalgrey"/>
            </w:pPr>
            <w:r w:rsidRPr="00125F24">
              <w:rPr>
                <w:i/>
              </w:rPr>
              <w:t>Model Report for Victorian Government Departments</w:t>
            </w:r>
            <w:r w:rsidRPr="00125F24">
              <w:t xml:space="preserve"> – Section 5 Key assets available to support output delivery</w:t>
            </w:r>
          </w:p>
        </w:tc>
      </w:tr>
      <w:tr w:rsidR="00CB2FBD" w:rsidRPr="005828FE" w14:paraId="7B2C7755" w14:textId="77777777" w:rsidTr="00737B05">
        <w:tc>
          <w:tcPr>
            <w:tcW w:w="2293" w:type="dxa"/>
          </w:tcPr>
          <w:p w14:paraId="1D73E040" w14:textId="77777777" w:rsidR="00CB2FBD" w:rsidRPr="00E00D5F" w:rsidRDefault="00CB2FBD" w:rsidP="00CB2FBD">
            <w:pPr>
              <w:pStyle w:val="Normalgrey"/>
            </w:pPr>
            <w:r w:rsidRPr="00E00D5F">
              <w:lastRenderedPageBreak/>
              <w:t>Appendices</w:t>
            </w:r>
          </w:p>
        </w:tc>
        <w:tc>
          <w:tcPr>
            <w:tcW w:w="270" w:type="dxa"/>
          </w:tcPr>
          <w:p w14:paraId="016EC062" w14:textId="77777777" w:rsidR="00CB2FBD" w:rsidRPr="005828FE" w:rsidRDefault="00CB2FBD" w:rsidP="00CB2FBD">
            <w:pPr>
              <w:pStyle w:val="Normalgrey"/>
            </w:pPr>
          </w:p>
        </w:tc>
        <w:tc>
          <w:tcPr>
            <w:tcW w:w="540" w:type="dxa"/>
          </w:tcPr>
          <w:p w14:paraId="10D72DDF" w14:textId="639DCEAC" w:rsidR="00CB2FBD" w:rsidRPr="005828FE" w:rsidRDefault="00CB2FBD" w:rsidP="00CB2FBD">
            <w:pPr>
              <w:pStyle w:val="Normalgrey"/>
              <w:jc w:val="center"/>
            </w:pPr>
            <w:r>
              <w:t>10.1</w:t>
            </w:r>
          </w:p>
        </w:tc>
        <w:tc>
          <w:tcPr>
            <w:tcW w:w="6134" w:type="dxa"/>
          </w:tcPr>
          <w:p w14:paraId="2A077551" w14:textId="77777777" w:rsidR="00CB2FBD" w:rsidRPr="005828FE" w:rsidRDefault="00CB2FBD" w:rsidP="00CB2FBD">
            <w:pPr>
              <w:pStyle w:val="Normalgrey"/>
            </w:pPr>
            <w:r w:rsidRPr="00AB34F2">
              <w:rPr>
                <w:iCs/>
              </w:rPr>
              <w:t>Appendix A</w:t>
            </w:r>
            <w:r w:rsidRPr="002E16C2">
              <w:rPr>
                <w:iCs/>
              </w:rPr>
              <w:t xml:space="preserve"> – Revaluation</w:t>
            </w:r>
            <w:r w:rsidRPr="00125F24">
              <w:t xml:space="preserve"> of Non-Financial Physical Assets</w:t>
            </w:r>
          </w:p>
        </w:tc>
      </w:tr>
    </w:tbl>
    <w:p w14:paraId="1546A16B" w14:textId="726EBE37" w:rsidR="008D155C" w:rsidRDefault="008D155C">
      <w:pPr>
        <w:spacing w:before="0" w:after="200"/>
      </w:pPr>
    </w:p>
    <w:p w14:paraId="51AB482F" w14:textId="77777777" w:rsidR="008D155C" w:rsidRDefault="008D155C" w:rsidP="008D155C">
      <w:pPr>
        <w:pStyle w:val="Heading1"/>
      </w:pPr>
      <w:r>
        <w:t>Appendix A</w:t>
      </w:r>
    </w:p>
    <w:p w14:paraId="32FD0366" w14:textId="5CC134FF" w:rsidR="008D155C" w:rsidRDefault="008D155C" w:rsidP="008D155C">
      <w:pPr>
        <w:pStyle w:val="Heading2"/>
      </w:pPr>
      <w:r>
        <w:t>Revaluation of non</w:t>
      </w:r>
      <w:r w:rsidR="00FD17D3">
        <w:t>-</w:t>
      </w:r>
      <w:r>
        <w:t>financial physical assets</w:t>
      </w:r>
    </w:p>
    <w:p w14:paraId="2F782F1B" w14:textId="77777777" w:rsidR="008D155C" w:rsidRDefault="008D155C" w:rsidP="008D155C">
      <w:pPr>
        <w:pStyle w:val="Heading3"/>
      </w:pPr>
      <w:r>
        <w:t>1.</w:t>
      </w:r>
      <w:r>
        <w:tab/>
        <w:t>Purpose Group Classifications</w:t>
      </w:r>
    </w:p>
    <w:p w14:paraId="30B3EA7D" w14:textId="77777777" w:rsidR="008D155C" w:rsidRDefault="008D155C" w:rsidP="008D155C">
      <w:r>
        <w:t>The Australian system of Government Finance Statistics (GFS) was revised by the Australian Bureau of Statistics. Implementation of the updated GFS manual has resulted in the ‘classification of the functions of government’ (COFOG) framework replacing the former ‘government purpose classification’ (GPC) framework.</w:t>
      </w:r>
    </w:p>
    <w:p w14:paraId="0137826C" w14:textId="77777777" w:rsidR="008D155C" w:rsidRDefault="008D155C" w:rsidP="008D155C">
      <w:r>
        <w:t>For external reporting purposes, assets are now classified by the COFOG categories listed in the table below.</w:t>
      </w:r>
    </w:p>
    <w:p w14:paraId="499327E0" w14:textId="77777777" w:rsidR="008D155C" w:rsidRDefault="008D155C" w:rsidP="008D155C">
      <w:r>
        <w:t>The key changes from GPC to COFOG are:</w:t>
      </w:r>
    </w:p>
    <w:p w14:paraId="2D6D9086" w14:textId="2A628AA0" w:rsidR="008D155C" w:rsidRDefault="00390FCC" w:rsidP="008D155C">
      <w:pPr>
        <w:pStyle w:val="Bullet1"/>
      </w:pPr>
      <w:r>
        <w:t>t</w:t>
      </w:r>
      <w:r w:rsidR="008D155C">
        <w:t xml:space="preserve">he number of categories has reduced from 12 under GPC to 10 under COFOG; </w:t>
      </w:r>
    </w:p>
    <w:p w14:paraId="5F4E22F2" w14:textId="1446A3C6" w:rsidR="008D155C" w:rsidRDefault="00390FCC" w:rsidP="008D155C">
      <w:pPr>
        <w:pStyle w:val="Bullet1"/>
      </w:pPr>
      <w:r>
        <w:t>t</w:t>
      </w:r>
      <w:r w:rsidR="008D155C">
        <w:t xml:space="preserve">he </w:t>
      </w:r>
      <w:r w:rsidR="00441206">
        <w:t>‘</w:t>
      </w:r>
      <w:r w:rsidR="008D155C">
        <w:t>fuel and energy</w:t>
      </w:r>
      <w:r w:rsidR="00441206">
        <w:t>’</w:t>
      </w:r>
      <w:r w:rsidR="008D155C">
        <w:t xml:space="preserve">, </w:t>
      </w:r>
      <w:r w:rsidR="00441206">
        <w:t>‘</w:t>
      </w:r>
      <w:r w:rsidR="008D155C">
        <w:t>agriculture, forestry, fishing and hunting</w:t>
      </w:r>
      <w:r w:rsidR="00441206">
        <w:t>’</w:t>
      </w:r>
      <w:r w:rsidR="008D155C">
        <w:t xml:space="preserve"> categories have been abolished and now form part of the new </w:t>
      </w:r>
      <w:r w:rsidR="00441206">
        <w:t>‘</w:t>
      </w:r>
      <w:r w:rsidR="008D155C">
        <w:t>economic affairs</w:t>
      </w:r>
      <w:r w:rsidR="00441206">
        <w:t>’</w:t>
      </w:r>
      <w:r w:rsidR="008D155C">
        <w:t xml:space="preserve"> category;</w:t>
      </w:r>
      <w:r w:rsidR="00720CEF">
        <w:t xml:space="preserve"> and</w:t>
      </w:r>
    </w:p>
    <w:p w14:paraId="539F7594" w14:textId="6BEB8424" w:rsidR="008D155C" w:rsidRDefault="00390FCC" w:rsidP="008D155C">
      <w:pPr>
        <w:pStyle w:val="Bullet1"/>
      </w:pPr>
      <w:r>
        <w:t>a</w:t>
      </w:r>
      <w:r w:rsidR="008D155C">
        <w:t xml:space="preserve"> new </w:t>
      </w:r>
      <w:r w:rsidR="007A73B6">
        <w:t>‘</w:t>
      </w:r>
      <w:r w:rsidR="008D155C">
        <w:t>environmental protection</w:t>
      </w:r>
      <w:r w:rsidR="007A73B6">
        <w:t>’</w:t>
      </w:r>
      <w:r w:rsidR="008D155C">
        <w:t xml:space="preserve"> category has been created to include functions such as waste management, water waste management, pollution and production of biodiversity and landscape.</w:t>
      </w:r>
    </w:p>
    <w:p w14:paraId="276E9C8A" w14:textId="54A4987D" w:rsidR="008D155C" w:rsidRDefault="008D155C" w:rsidP="008D155C">
      <w:r>
        <w:t>All Victorian Public Sector (VPS) entities have been allocated to a COFOG category. I</w:t>
      </w:r>
      <w:r w:rsidR="00441206">
        <w:t xml:space="preserve">f </w:t>
      </w:r>
      <w:r>
        <w:t xml:space="preserve">difficulties arise in identifying the appropriate category, entities should contact DTF for guidance. The change from GPC to COFOG categories has not changed an entity’s valuation cycle, unless the entity changed their purpose, and as a result been moved to a different COFOG category.  </w:t>
      </w:r>
    </w:p>
    <w:tbl>
      <w:tblPr>
        <w:tblStyle w:val="DTFtexttable"/>
        <w:tblW w:w="0" w:type="auto"/>
        <w:tblLook w:val="04A0" w:firstRow="1" w:lastRow="0" w:firstColumn="1" w:lastColumn="0" w:noHBand="0" w:noVBand="1"/>
      </w:tblPr>
      <w:tblGrid>
        <w:gridCol w:w="9140"/>
      </w:tblGrid>
      <w:tr w:rsidR="007C21AF" w:rsidRPr="007C21AF" w14:paraId="480B2C27" w14:textId="77777777" w:rsidTr="006902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140" w:type="dxa"/>
          </w:tcPr>
          <w:p w14:paraId="27490305" w14:textId="6B0265C2" w:rsidR="009821AF" w:rsidRPr="00441206" w:rsidRDefault="000E074B" w:rsidP="007C21AF">
            <w:pPr>
              <w:keepNext w:val="0"/>
              <w:keepLines w:val="0"/>
              <w:spacing w:line="276" w:lineRule="auto"/>
              <w:rPr>
                <w:b w:val="0"/>
                <w:bCs/>
              </w:rPr>
            </w:pPr>
            <w:r w:rsidRPr="000E074B">
              <w:t>T</w:t>
            </w:r>
            <w:r w:rsidRPr="00441206">
              <w:rPr>
                <w:b w:val="0"/>
                <w:bCs/>
              </w:rPr>
              <w:t xml:space="preserve">he table below </w:t>
            </w:r>
            <w:r w:rsidR="00690247" w:rsidRPr="00441206">
              <w:rPr>
                <w:b w:val="0"/>
                <w:bCs/>
              </w:rPr>
              <w:t>lists the</w:t>
            </w:r>
            <w:r w:rsidR="00FA1A64" w:rsidRPr="00441206">
              <w:rPr>
                <w:b w:val="0"/>
                <w:bCs/>
              </w:rPr>
              <w:t xml:space="preserve"> COFOG categories</w:t>
            </w:r>
            <w:r w:rsidRPr="00441206">
              <w:rPr>
                <w:b w:val="0"/>
                <w:bCs/>
              </w:rPr>
              <w:t xml:space="preserve"> </w:t>
            </w:r>
            <w:r w:rsidR="00FA1A64" w:rsidRPr="00441206">
              <w:rPr>
                <w:b w:val="0"/>
                <w:bCs/>
              </w:rPr>
              <w:t>applicable to VPS entities</w:t>
            </w:r>
            <w:r w:rsidRPr="00441206">
              <w:rPr>
                <w:b w:val="0"/>
                <w:bCs/>
              </w:rPr>
              <w:t xml:space="preserve">. </w:t>
            </w:r>
            <w:r w:rsidR="008D155C" w:rsidRPr="00441206">
              <w:rPr>
                <w:b w:val="0"/>
                <w:bCs/>
              </w:rPr>
              <w:t xml:space="preserve">Entities are to consult directly with the Valuer-General’s office </w:t>
            </w:r>
            <w:r w:rsidR="006E3954">
              <w:rPr>
                <w:b w:val="0"/>
                <w:bCs/>
              </w:rPr>
              <w:t xml:space="preserve">and, where required DTF </w:t>
            </w:r>
            <w:r w:rsidR="008D155C" w:rsidRPr="00441206">
              <w:rPr>
                <w:b w:val="0"/>
                <w:bCs/>
              </w:rPr>
              <w:t>if they have any queries regarding their valuation cycle.</w:t>
            </w:r>
          </w:p>
          <w:p w14:paraId="61F67C4B" w14:textId="3ADC0F70" w:rsidR="007C21AF" w:rsidRPr="007C21AF" w:rsidRDefault="007C21AF" w:rsidP="007C21AF">
            <w:pPr>
              <w:keepNext w:val="0"/>
              <w:keepLines w:val="0"/>
              <w:spacing w:line="276" w:lineRule="auto"/>
              <w:rPr>
                <w:rFonts w:eastAsiaTheme="minorEastAsia"/>
                <w:color w:val="auto"/>
                <w:szCs w:val="20"/>
                <w:lang w:eastAsia="en-AU"/>
              </w:rPr>
            </w:pPr>
            <w:r w:rsidRPr="007C21AF">
              <w:rPr>
                <w:rFonts w:eastAsiaTheme="minorEastAsia"/>
                <w:color w:val="auto"/>
                <w:szCs w:val="20"/>
                <w:lang w:eastAsia="en-AU"/>
              </w:rPr>
              <w:t>COFOG category</w:t>
            </w:r>
          </w:p>
        </w:tc>
      </w:tr>
      <w:tr w:rsidR="007C21AF" w:rsidRPr="007C21AF" w14:paraId="3F6922D3" w14:textId="77777777" w:rsidTr="00690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40" w:type="dxa"/>
          </w:tcPr>
          <w:p w14:paraId="6FA9A503" w14:textId="77777777" w:rsidR="007C21AF" w:rsidRPr="007C21AF" w:rsidRDefault="007C21AF" w:rsidP="00441206">
            <w:pPr>
              <w:pStyle w:val="Bullet1"/>
              <w:rPr>
                <w:rFonts w:eastAsiaTheme="minorEastAsia"/>
                <w:lang w:eastAsia="en-AU"/>
              </w:rPr>
            </w:pPr>
            <w:r w:rsidRPr="007C21AF">
              <w:rPr>
                <w:rFonts w:eastAsiaTheme="minorEastAsia"/>
                <w:lang w:eastAsia="en-AU"/>
              </w:rPr>
              <w:t>General Public Services</w:t>
            </w:r>
          </w:p>
          <w:p w14:paraId="5A2C63EB" w14:textId="77777777" w:rsidR="007C21AF" w:rsidRPr="007C21AF" w:rsidRDefault="007C21AF" w:rsidP="00441206">
            <w:pPr>
              <w:pStyle w:val="Bullet1"/>
              <w:rPr>
                <w:rFonts w:eastAsiaTheme="minorEastAsia"/>
                <w:lang w:eastAsia="en-AU"/>
              </w:rPr>
            </w:pPr>
            <w:r w:rsidRPr="007C21AF">
              <w:rPr>
                <w:rFonts w:eastAsiaTheme="minorEastAsia"/>
                <w:lang w:eastAsia="en-AU"/>
              </w:rPr>
              <w:t>Education</w:t>
            </w:r>
          </w:p>
          <w:p w14:paraId="740203B6" w14:textId="77777777" w:rsidR="007C21AF" w:rsidRPr="007C21AF" w:rsidRDefault="007C21AF" w:rsidP="00441206">
            <w:pPr>
              <w:pStyle w:val="Bullet1"/>
              <w:rPr>
                <w:rFonts w:eastAsiaTheme="minorEastAsia"/>
                <w:lang w:eastAsia="en-AU"/>
              </w:rPr>
            </w:pPr>
            <w:r w:rsidRPr="007C21AF">
              <w:rPr>
                <w:rFonts w:eastAsiaTheme="minorEastAsia"/>
                <w:lang w:eastAsia="en-AU"/>
              </w:rPr>
              <w:t xml:space="preserve">Housing and Community Amenities </w:t>
            </w:r>
          </w:p>
          <w:p w14:paraId="0C55590D" w14:textId="77777777" w:rsidR="007C21AF" w:rsidRPr="007C21AF" w:rsidRDefault="007C21AF" w:rsidP="00441206">
            <w:pPr>
              <w:pStyle w:val="Bullet1"/>
              <w:rPr>
                <w:rFonts w:eastAsiaTheme="minorEastAsia"/>
                <w:lang w:eastAsia="en-AU"/>
              </w:rPr>
            </w:pPr>
            <w:r w:rsidRPr="007C21AF">
              <w:rPr>
                <w:rFonts w:eastAsiaTheme="minorEastAsia"/>
                <w:lang w:eastAsia="en-AU"/>
              </w:rPr>
              <w:t>Health</w:t>
            </w:r>
          </w:p>
          <w:p w14:paraId="41460BFC" w14:textId="77777777" w:rsidR="007C21AF" w:rsidRPr="007C21AF" w:rsidRDefault="007C21AF" w:rsidP="00441206">
            <w:pPr>
              <w:pStyle w:val="Bullet1"/>
              <w:rPr>
                <w:rFonts w:eastAsiaTheme="minorEastAsia"/>
                <w:lang w:eastAsia="en-AU"/>
              </w:rPr>
            </w:pPr>
            <w:r w:rsidRPr="007C21AF">
              <w:rPr>
                <w:rFonts w:eastAsiaTheme="minorEastAsia"/>
                <w:lang w:eastAsia="en-AU"/>
              </w:rPr>
              <w:t>Social Protection</w:t>
            </w:r>
          </w:p>
          <w:p w14:paraId="3746883B" w14:textId="77777777" w:rsidR="007C21AF" w:rsidRPr="007C21AF" w:rsidRDefault="007C21AF" w:rsidP="00441206">
            <w:pPr>
              <w:pStyle w:val="Bullet1"/>
              <w:rPr>
                <w:rFonts w:eastAsiaTheme="minorEastAsia"/>
                <w:lang w:eastAsia="en-AU"/>
              </w:rPr>
            </w:pPr>
            <w:r w:rsidRPr="007C21AF">
              <w:rPr>
                <w:rFonts w:eastAsiaTheme="minorEastAsia"/>
                <w:lang w:eastAsia="en-AU"/>
              </w:rPr>
              <w:t>Transport</w:t>
            </w:r>
          </w:p>
          <w:p w14:paraId="27E5166D" w14:textId="77777777" w:rsidR="007C21AF" w:rsidRPr="007C21AF" w:rsidRDefault="007C21AF" w:rsidP="00441206">
            <w:pPr>
              <w:pStyle w:val="Bullet1"/>
              <w:rPr>
                <w:rFonts w:eastAsiaTheme="minorEastAsia"/>
                <w:lang w:eastAsia="en-AU"/>
              </w:rPr>
            </w:pPr>
            <w:r w:rsidRPr="007C21AF">
              <w:rPr>
                <w:rFonts w:eastAsiaTheme="minorEastAsia"/>
                <w:lang w:eastAsia="en-AU"/>
              </w:rPr>
              <w:t>Public Order and Safety</w:t>
            </w:r>
          </w:p>
          <w:p w14:paraId="1A9A2905" w14:textId="77777777" w:rsidR="007C21AF" w:rsidRPr="007C21AF" w:rsidRDefault="007C21AF" w:rsidP="00441206">
            <w:pPr>
              <w:pStyle w:val="Bullet1"/>
              <w:rPr>
                <w:rFonts w:eastAsiaTheme="minorEastAsia"/>
                <w:lang w:eastAsia="en-AU"/>
              </w:rPr>
            </w:pPr>
            <w:r w:rsidRPr="007C21AF">
              <w:rPr>
                <w:rFonts w:eastAsiaTheme="minorEastAsia"/>
                <w:lang w:eastAsia="en-AU"/>
              </w:rPr>
              <w:t>Recreation, Culture and Religion</w:t>
            </w:r>
          </w:p>
          <w:p w14:paraId="27245AFE" w14:textId="77777777" w:rsidR="007C21AF" w:rsidRPr="007C21AF" w:rsidRDefault="007C21AF" w:rsidP="00441206">
            <w:pPr>
              <w:pStyle w:val="Bullet1"/>
              <w:rPr>
                <w:rFonts w:eastAsiaTheme="minorEastAsia"/>
                <w:lang w:eastAsia="en-AU"/>
              </w:rPr>
            </w:pPr>
            <w:r w:rsidRPr="007C21AF">
              <w:rPr>
                <w:rFonts w:eastAsiaTheme="minorEastAsia"/>
                <w:lang w:eastAsia="en-AU"/>
              </w:rPr>
              <w:t>Economic Affairs</w:t>
            </w:r>
          </w:p>
          <w:p w14:paraId="09E75E1E" w14:textId="77777777" w:rsidR="007C21AF" w:rsidRDefault="007C21AF" w:rsidP="00441206">
            <w:pPr>
              <w:pStyle w:val="Bullet1"/>
              <w:rPr>
                <w:rFonts w:eastAsiaTheme="minorEastAsia"/>
                <w:lang w:eastAsia="en-AU"/>
              </w:rPr>
            </w:pPr>
            <w:r w:rsidRPr="007C21AF">
              <w:rPr>
                <w:rFonts w:eastAsiaTheme="minorEastAsia"/>
                <w:lang w:eastAsia="en-AU"/>
              </w:rPr>
              <w:t>Environmental Protection</w:t>
            </w:r>
          </w:p>
          <w:p w14:paraId="38C38243" w14:textId="77777777" w:rsidR="00710282" w:rsidRPr="007C21AF" w:rsidRDefault="00710282" w:rsidP="00710282">
            <w:pPr>
              <w:pStyle w:val="Bullet1"/>
              <w:numPr>
                <w:ilvl w:val="0"/>
                <w:numId w:val="0"/>
              </w:numPr>
              <w:ind w:left="289"/>
              <w:rPr>
                <w:rFonts w:eastAsiaTheme="minorEastAsia"/>
                <w:lang w:eastAsia="en-AU"/>
              </w:rPr>
            </w:pPr>
          </w:p>
        </w:tc>
      </w:tr>
    </w:tbl>
    <w:p w14:paraId="3F69D45D" w14:textId="77777777" w:rsidR="002C121A" w:rsidRDefault="002C121A" w:rsidP="008D155C"/>
    <w:p w14:paraId="5A04DA36" w14:textId="77777777" w:rsidR="008D155C" w:rsidRDefault="008D155C">
      <w:pPr>
        <w:spacing w:before="0" w:after="200"/>
      </w:pPr>
      <w:r>
        <w:br w:type="page"/>
      </w:r>
    </w:p>
    <w:p w14:paraId="07342F13" w14:textId="77777777" w:rsidR="008D155C" w:rsidRDefault="008D155C" w:rsidP="008D155C">
      <w:pPr>
        <w:pStyle w:val="Heading3"/>
      </w:pPr>
      <w:r>
        <w:lastRenderedPageBreak/>
        <w:t xml:space="preserve">2. </w:t>
      </w:r>
      <w:r>
        <w:tab/>
        <w:t>Revaluation cycle</w:t>
      </w:r>
    </w:p>
    <w:p w14:paraId="77FE9D21" w14:textId="77777777" w:rsidR="008D155C" w:rsidRDefault="008D155C" w:rsidP="008D155C">
      <w:r>
        <w:t>AASB 116 requires that revaluations be made with sufficient regularity to ensure that the carrying amount of an asset does not differ materially from that which would be determined using fair value, at the reporting date.</w:t>
      </w:r>
    </w:p>
    <w:p w14:paraId="7DDEE1C9" w14:textId="61DC315C" w:rsidR="008D155C" w:rsidRDefault="008D155C" w:rsidP="008D155C">
      <w:r>
        <w:t>To ensure that regular revaluations of asset values can be undertaken in an effective and practicable manner, they shall occur according to the five-year cycle, whereby assets in a ‘COFOG</w:t>
      </w:r>
      <w:r w:rsidR="006E3954">
        <w:t>’</w:t>
      </w:r>
      <w:r>
        <w:t xml:space="preserve"> category are revalued within the relevant year over the life of the cycle. Valuations must be made as at a specific date, even if reviews/preparation is undertaken over a longer time.</w:t>
      </w:r>
    </w:p>
    <w:p w14:paraId="6A88E450" w14:textId="77777777" w:rsidR="008D155C" w:rsidRDefault="008D155C" w:rsidP="008D155C">
      <w:pPr>
        <w:pStyle w:val="Heading3"/>
      </w:pPr>
      <w:r>
        <w:t xml:space="preserve">3. </w:t>
      </w:r>
      <w:r>
        <w:tab/>
        <w:t>Land</w:t>
      </w:r>
    </w:p>
    <w:p w14:paraId="20ABBA7D" w14:textId="77777777" w:rsidR="008D155C" w:rsidRDefault="008D155C" w:rsidP="008D155C">
      <w:r>
        <w:t xml:space="preserve">Under COFOG, there will be many cases where buildings and the underlying land are used for the same purpose. In such cases, valuations of both assets would be undertaken at the same time.  </w:t>
      </w:r>
    </w:p>
    <w:p w14:paraId="771E16B0" w14:textId="77777777" w:rsidR="008D155C" w:rsidRDefault="008D155C" w:rsidP="008D155C">
      <w:r>
        <w:t>However, for reporting purposes, land must be separated from buildings because:</w:t>
      </w:r>
    </w:p>
    <w:p w14:paraId="58595080" w14:textId="77777777" w:rsidR="008D155C" w:rsidRDefault="008D155C" w:rsidP="008D155C">
      <w:pPr>
        <w:pStyle w:val="Bullet1"/>
      </w:pPr>
      <w:r>
        <w:t>values do not change consistently between land and buildings;</w:t>
      </w:r>
    </w:p>
    <w:p w14:paraId="7572345C" w14:textId="77777777" w:rsidR="008D155C" w:rsidRDefault="008D155C" w:rsidP="008D155C">
      <w:pPr>
        <w:pStyle w:val="Bullet1"/>
      </w:pPr>
      <w:r>
        <w:t>land is not depreciable whereas buildings are;</w:t>
      </w:r>
    </w:p>
    <w:p w14:paraId="394FA2E9" w14:textId="77777777" w:rsidR="008D155C" w:rsidRDefault="008D155C" w:rsidP="008D155C">
      <w:pPr>
        <w:pStyle w:val="Bullet1"/>
      </w:pPr>
      <w:r>
        <w:t>land and buildings values do not change consistently from year to year; and</w:t>
      </w:r>
    </w:p>
    <w:p w14:paraId="3F29974A" w14:textId="5E60A944" w:rsidR="008D155C" w:rsidRDefault="008D155C" w:rsidP="008D155C">
      <w:pPr>
        <w:pStyle w:val="Bullet1"/>
      </w:pPr>
      <w:r>
        <w:t>there is a need to separately identify Crown land from freehold land within the same nature-based sub</w:t>
      </w:r>
      <w:r w:rsidR="00AF4D60">
        <w:noBreakHyphen/>
      </w:r>
      <w:r>
        <w:t xml:space="preserve">classes of all land. Crown land is not marketable in its current form and is generally used for restricted purposes. This contrasts with freehold land which is marketable by virtue of having a transferable title and being used for wider purposes. Note that entities not within the Department of </w:t>
      </w:r>
      <w:r w:rsidR="006E3954">
        <w:t>Energy, Environment and Climate Action</w:t>
      </w:r>
      <w:r>
        <w:t xml:space="preserve"> Portfolio need only separately identify Crown land from Freehold land when Crown land holdings are material.</w:t>
      </w:r>
    </w:p>
    <w:p w14:paraId="399DD922" w14:textId="77777777" w:rsidR="008D155C" w:rsidRDefault="008D155C" w:rsidP="008D155C">
      <w:r>
        <w:t>For this purpose, the developed land sub-class comprise:</w:t>
      </w:r>
    </w:p>
    <w:p w14:paraId="779FD2BA" w14:textId="77777777" w:rsidR="008D155C" w:rsidRDefault="008D155C" w:rsidP="008D155C">
      <w:pPr>
        <w:pStyle w:val="Bullet1"/>
      </w:pPr>
      <w:r>
        <w:t>Freehold land;</w:t>
      </w:r>
    </w:p>
    <w:p w14:paraId="4964208E" w14:textId="77777777" w:rsidR="008D155C" w:rsidRDefault="008D155C" w:rsidP="008D155C">
      <w:pPr>
        <w:pStyle w:val="Bullet1"/>
      </w:pPr>
      <w:r>
        <w:t>Crown land – National/State parks; and</w:t>
      </w:r>
    </w:p>
    <w:p w14:paraId="2141D283" w14:textId="77777777" w:rsidR="008D155C" w:rsidRDefault="008D155C" w:rsidP="008D155C">
      <w:pPr>
        <w:pStyle w:val="Bullet1"/>
      </w:pPr>
      <w:r>
        <w:t>Crown land – other than National/State parks.</w:t>
      </w:r>
    </w:p>
    <w:p w14:paraId="7535A6C8" w14:textId="77777777" w:rsidR="008D155C" w:rsidRPr="008D155C" w:rsidRDefault="008D155C" w:rsidP="008D155C">
      <w:pPr>
        <w:rPr>
          <w:b/>
          <w:color w:val="7F7F7F" w:themeColor="text1" w:themeTint="80"/>
        </w:rPr>
      </w:pPr>
      <w:r w:rsidRPr="008D155C">
        <w:rPr>
          <w:b/>
          <w:color w:val="7F7F7F" w:themeColor="text1" w:themeTint="80"/>
        </w:rPr>
        <w:t xml:space="preserve">Improved land </w:t>
      </w:r>
    </w:p>
    <w:p w14:paraId="264C3387" w14:textId="77777777" w:rsidR="008D155C" w:rsidRDefault="008D155C" w:rsidP="008D155C">
      <w:r>
        <w:t>Improved land (including land reserved for particular improvements) is deemed to be for the same purpose as that identified for the primary improvement of the land. In a formal sense, buildings and other assets attached to land change the nature (and so purpose) of that land.</w:t>
      </w:r>
    </w:p>
    <w:p w14:paraId="7FB81378" w14:textId="77777777" w:rsidR="008D155C" w:rsidRPr="008D155C" w:rsidRDefault="008D155C" w:rsidP="008D155C"/>
    <w:sectPr w:rsidR="008D155C" w:rsidRPr="008D155C" w:rsidSect="005828FE">
      <w:headerReference w:type="default" r:id="rId10"/>
      <w:footerReference w:type="even" r:id="rId11"/>
      <w:footerReference w:type="default" r:id="rId12"/>
      <w:pgSz w:w="11906" w:h="16838" w:code="9"/>
      <w:pgMar w:top="1802" w:right="1440" w:bottom="1350" w:left="1440" w:header="450"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1C25E" w14:textId="77777777" w:rsidR="00E631EC" w:rsidRDefault="00E631EC" w:rsidP="002D711A">
      <w:pPr>
        <w:spacing w:after="0" w:line="240" w:lineRule="auto"/>
      </w:pPr>
      <w:r>
        <w:separator/>
      </w:r>
    </w:p>
    <w:p w14:paraId="127A8723" w14:textId="77777777" w:rsidR="00E631EC" w:rsidRDefault="00E631EC"/>
  </w:endnote>
  <w:endnote w:type="continuationSeparator" w:id="0">
    <w:p w14:paraId="4DF374FC" w14:textId="77777777" w:rsidR="00E631EC" w:rsidRDefault="00E631EC" w:rsidP="002D711A">
      <w:pPr>
        <w:spacing w:after="0" w:line="240" w:lineRule="auto"/>
      </w:pPr>
      <w:r>
        <w:continuationSeparator/>
      </w:r>
    </w:p>
    <w:p w14:paraId="0FDBD46C" w14:textId="77777777" w:rsidR="00E631EC" w:rsidRDefault="00E63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89959" w14:textId="77777777" w:rsidR="00244596" w:rsidRPr="00014213" w:rsidRDefault="00244596" w:rsidP="00C022F9">
    <w:pPr>
      <w:pStyle w:val="Footer"/>
    </w:pPr>
    <w:r>
      <w:drawing>
        <wp:anchor distT="0" distB="0" distL="114300" distR="114300" simplePos="0" relativeHeight="251655168" behindDoc="0" locked="0" layoutInCell="1" allowOverlap="1" wp14:anchorId="709D6F42" wp14:editId="62C23D9F">
          <wp:simplePos x="0" y="0"/>
          <wp:positionH relativeFrom="column">
            <wp:posOffset>4240861</wp:posOffset>
          </wp:positionH>
          <wp:positionV relativeFrom="page">
            <wp:posOffset>9493250</wp:posOffset>
          </wp:positionV>
          <wp:extent cx="1956435" cy="582930"/>
          <wp:effectExtent l="0" t="0" r="5715" b="7620"/>
          <wp:wrapNone/>
          <wp:docPr id="1729551410"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14:paraId="38AFE039" w14:textId="77777777" w:rsidR="00244596" w:rsidRDefault="002445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72AF4" w14:textId="77777777" w:rsidR="00244596" w:rsidRDefault="00244596" w:rsidP="00A516DE">
    <w:pPr>
      <w:pStyle w:val="Spacer"/>
    </w:pPr>
    <w:r>
      <w:rPr>
        <w:noProof/>
      </w:rPr>
      <mc:AlternateContent>
        <mc:Choice Requires="wps">
          <w:drawing>
            <wp:anchor distT="0" distB="0" distL="114300" distR="114300" simplePos="0" relativeHeight="251659264" behindDoc="0" locked="0" layoutInCell="0" allowOverlap="1" wp14:anchorId="50C2E656" wp14:editId="69BBFB17">
              <wp:simplePos x="0" y="0"/>
              <wp:positionH relativeFrom="page">
                <wp:posOffset>0</wp:posOffset>
              </wp:positionH>
              <wp:positionV relativeFrom="page">
                <wp:posOffset>10234930</wp:posOffset>
              </wp:positionV>
              <wp:extent cx="7560310" cy="266700"/>
              <wp:effectExtent l="0" t="0" r="0" b="0"/>
              <wp:wrapNone/>
              <wp:docPr id="1" name="MSIPCM9e0143d9a3f48c1f287a1e2a"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E79AD4" w14:textId="6713AA55" w:rsidR="00244596" w:rsidRPr="0096316A" w:rsidRDefault="0096316A" w:rsidP="0096316A">
                          <w:pPr>
                            <w:spacing w:before="0" w:after="0"/>
                            <w:rPr>
                              <w:rFonts w:ascii="Calibri" w:hAnsi="Calibri" w:cs="Calibri"/>
                              <w:color w:val="000000"/>
                              <w:sz w:val="22"/>
                            </w:rPr>
                          </w:pPr>
                          <w:r w:rsidRPr="0096316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0C2E656" id="_x0000_t202" coordsize="21600,21600" o:spt="202" path="m,l,21600r21600,l21600,xe">
              <v:stroke joinstyle="miter"/>
              <v:path gradientshapeok="t" o:connecttype="rect"/>
            </v:shapetype>
            <v:shape id="MSIPCM9e0143d9a3f48c1f287a1e2a"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2BE79AD4" w14:textId="6713AA55" w:rsidR="00244596" w:rsidRPr="0096316A" w:rsidRDefault="0096316A" w:rsidP="0096316A">
                    <w:pPr>
                      <w:spacing w:before="0" w:after="0"/>
                      <w:rPr>
                        <w:rFonts w:ascii="Calibri" w:hAnsi="Calibri" w:cs="Calibri"/>
                        <w:color w:val="000000"/>
                        <w:sz w:val="22"/>
                      </w:rPr>
                    </w:pPr>
                    <w:r w:rsidRPr="0096316A">
                      <w:rPr>
                        <w:rFonts w:ascii="Calibri" w:hAnsi="Calibri" w:cs="Calibri"/>
                        <w:color w:val="000000"/>
                        <w:sz w:val="22"/>
                      </w:rPr>
                      <w:t>OFFICIAL</w:t>
                    </w:r>
                  </w:p>
                </w:txbxContent>
              </v:textbox>
              <w10:wrap anchorx="page" anchory="page"/>
            </v:shape>
          </w:pict>
        </mc:Fallback>
      </mc:AlternateContent>
    </w:r>
  </w:p>
  <w:p w14:paraId="7D878EA8" w14:textId="3339D12A" w:rsidR="00244596" w:rsidRPr="005828FE" w:rsidRDefault="00244596" w:rsidP="0041689E">
    <w:pPr>
      <w:pStyle w:val="Footer"/>
      <w:spacing w:before="0"/>
    </w:pPr>
    <w:r w:rsidRPr="005828FE">
      <w:rPr>
        <w:b/>
        <w:noProof w:val="0"/>
      </w:rPr>
      <w:fldChar w:fldCharType="begin"/>
    </w:r>
    <w:r w:rsidRPr="005828FE">
      <w:rPr>
        <w:b/>
      </w:rPr>
      <w:instrText xml:space="preserve"> StyleRef “FRD number” </w:instrText>
    </w:r>
    <w:r w:rsidRPr="005828FE">
      <w:rPr>
        <w:b/>
        <w:noProof w:val="0"/>
      </w:rPr>
      <w:fldChar w:fldCharType="separate"/>
    </w:r>
    <w:r w:rsidR="008D65C5">
      <w:rPr>
        <w:b/>
      </w:rPr>
      <w:t>FRD 103</w:t>
    </w:r>
    <w:r w:rsidRPr="005828FE">
      <w:rPr>
        <w:b/>
      </w:rPr>
      <w:fldChar w:fldCharType="end"/>
    </w:r>
    <w:r w:rsidRPr="005828FE">
      <w:rPr>
        <w:b/>
      </w:rPr>
      <w:t xml:space="preserve"> </w:t>
    </w:r>
    <w:r w:rsidRPr="006C78FB">
      <w:fldChar w:fldCharType="begin"/>
    </w:r>
    <w:r w:rsidRPr="006C78FB">
      <w:instrText xml:space="preserve"> StyleRef “FRD Header” </w:instrText>
    </w:r>
    <w:r w:rsidRPr="006C78FB">
      <w:fldChar w:fldCharType="separate"/>
    </w:r>
    <w:r w:rsidR="008D65C5">
      <w:t>Non-financial physical assets (April 2025)</w:t>
    </w:r>
    <w:r w:rsidRPr="006C78FB">
      <w:fldChar w:fldCharType="end"/>
    </w:r>
    <w:r w:rsidRPr="00C022F9">
      <w:tab/>
    </w:r>
    <w:r w:rsidRPr="005828FE">
      <w:t xml:space="preserve">Page </w:t>
    </w:r>
    <w:r w:rsidRPr="005828FE">
      <w:rPr>
        <w:rStyle w:val="PageNumber"/>
        <w:color w:val="auto"/>
      </w:rPr>
      <w:fldChar w:fldCharType="begin"/>
    </w:r>
    <w:r w:rsidRPr="005828FE">
      <w:rPr>
        <w:rStyle w:val="PageNumber"/>
        <w:color w:val="auto"/>
      </w:rPr>
      <w:instrText xml:space="preserve"> Page </w:instrText>
    </w:r>
    <w:r w:rsidRPr="005828FE">
      <w:rPr>
        <w:rStyle w:val="PageNumber"/>
        <w:color w:val="auto"/>
      </w:rPr>
      <w:fldChar w:fldCharType="separate"/>
    </w:r>
    <w:r>
      <w:rPr>
        <w:rStyle w:val="PageNumber"/>
        <w:color w:val="auto"/>
      </w:rPr>
      <w:t>1</w:t>
    </w:r>
    <w:r w:rsidRPr="005828FE">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518E3" w14:textId="77777777" w:rsidR="00E631EC" w:rsidRDefault="00E631EC" w:rsidP="002D711A">
      <w:pPr>
        <w:spacing w:after="0" w:line="240" w:lineRule="auto"/>
      </w:pPr>
      <w:r>
        <w:separator/>
      </w:r>
    </w:p>
    <w:p w14:paraId="4AD8AE35" w14:textId="77777777" w:rsidR="00E631EC" w:rsidRDefault="00E631EC"/>
  </w:footnote>
  <w:footnote w:type="continuationSeparator" w:id="0">
    <w:p w14:paraId="14CA193E" w14:textId="77777777" w:rsidR="00E631EC" w:rsidRDefault="00E631EC" w:rsidP="002D711A">
      <w:pPr>
        <w:spacing w:after="0" w:line="240" w:lineRule="auto"/>
      </w:pPr>
      <w:r>
        <w:continuationSeparator/>
      </w:r>
    </w:p>
    <w:p w14:paraId="28370BCF" w14:textId="77777777" w:rsidR="00E631EC" w:rsidRDefault="00E631EC"/>
  </w:footnote>
  <w:footnote w:id="1">
    <w:p w14:paraId="0D49C654" w14:textId="71457F36" w:rsidR="00CE6036" w:rsidRPr="003E4291" w:rsidRDefault="00CE6036">
      <w:pPr>
        <w:pStyle w:val="FootnoteText"/>
        <w:rPr>
          <w:sz w:val="16"/>
          <w:szCs w:val="16"/>
        </w:rPr>
      </w:pPr>
      <w:r w:rsidRPr="003E4291">
        <w:rPr>
          <w:rStyle w:val="FootnoteReference"/>
          <w:sz w:val="16"/>
          <w:szCs w:val="16"/>
        </w:rPr>
        <w:footnoteRef/>
      </w:r>
      <w:r w:rsidRPr="003E4291">
        <w:rPr>
          <w:sz w:val="16"/>
          <w:szCs w:val="16"/>
        </w:rPr>
        <w:t xml:space="preserve"> This means for 31 December year-end reporters, this FRD applies from 1 January 2024. For 30 June year-end reporters, this FRD applies from 1 July 2024.</w:t>
      </w:r>
    </w:p>
  </w:footnote>
  <w:footnote w:id="2">
    <w:p w14:paraId="713C2B88" w14:textId="26C0B845" w:rsidR="003211D5" w:rsidRPr="003E4291" w:rsidRDefault="00244596" w:rsidP="00811F8F">
      <w:pPr>
        <w:pStyle w:val="FootnoteText"/>
        <w:rPr>
          <w:sz w:val="16"/>
          <w:szCs w:val="16"/>
        </w:rPr>
      </w:pPr>
      <w:r w:rsidRPr="003E4291">
        <w:rPr>
          <w:rStyle w:val="FootnoteReference"/>
          <w:sz w:val="16"/>
          <w:szCs w:val="16"/>
        </w:rPr>
        <w:footnoteRef/>
      </w:r>
      <w:r w:rsidRPr="003E4291">
        <w:rPr>
          <w:sz w:val="16"/>
          <w:szCs w:val="16"/>
        </w:rPr>
        <w:t xml:space="preserve"> Prior to the introduction of AASB 1059: </w:t>
      </w:r>
      <w:r w:rsidRPr="003E4291">
        <w:rPr>
          <w:i/>
          <w:iCs/>
          <w:sz w:val="16"/>
          <w:szCs w:val="16"/>
        </w:rPr>
        <w:t>Service Concessions Arrangements: Grantors</w:t>
      </w:r>
      <w:r w:rsidRPr="003E4291">
        <w:rPr>
          <w:sz w:val="16"/>
          <w:szCs w:val="16"/>
        </w:rPr>
        <w:t>, construction-in-progress balances were recorded at cost. Effective 1 July 2019, construction-in-progress balances recorded under AASB 1059</w:t>
      </w:r>
      <w:r w:rsidR="005460E7">
        <w:rPr>
          <w:sz w:val="16"/>
          <w:szCs w:val="16"/>
        </w:rPr>
        <w:t>,</w:t>
      </w:r>
      <w:r w:rsidRPr="003E4291">
        <w:rPr>
          <w:sz w:val="16"/>
          <w:szCs w:val="16"/>
        </w:rPr>
        <w:t xml:space="preserve"> and other </w:t>
      </w:r>
      <w:r w:rsidR="0012799F">
        <w:rPr>
          <w:sz w:val="16"/>
          <w:szCs w:val="16"/>
        </w:rPr>
        <w:t xml:space="preserve">equivalent </w:t>
      </w:r>
      <w:r w:rsidRPr="003E4291">
        <w:rPr>
          <w:sz w:val="16"/>
          <w:szCs w:val="16"/>
        </w:rPr>
        <w:t xml:space="preserve">infrastructure projects recognised as construction-in-progress balances under AASB 116: </w:t>
      </w:r>
      <w:r w:rsidRPr="003E4291">
        <w:rPr>
          <w:i/>
          <w:iCs/>
          <w:sz w:val="16"/>
          <w:szCs w:val="16"/>
        </w:rPr>
        <w:t>Property, Plant and Equipment</w:t>
      </w:r>
      <w:r w:rsidRPr="003E4291">
        <w:rPr>
          <w:sz w:val="16"/>
          <w:szCs w:val="16"/>
        </w:rPr>
        <w:t xml:space="preserve"> shall be recorded at fair value, using current replacement cost. </w:t>
      </w:r>
    </w:p>
  </w:footnote>
  <w:footnote w:id="3">
    <w:p w14:paraId="290034A0" w14:textId="2FE6E701" w:rsidR="00312F4D" w:rsidRPr="001D5384" w:rsidRDefault="00312F4D">
      <w:pPr>
        <w:pStyle w:val="FootnoteText"/>
        <w:rPr>
          <w:sz w:val="16"/>
          <w:szCs w:val="16"/>
        </w:rPr>
      </w:pPr>
      <w:r w:rsidRPr="001D5384">
        <w:rPr>
          <w:rStyle w:val="FootnoteReference"/>
          <w:sz w:val="16"/>
          <w:szCs w:val="16"/>
        </w:rPr>
        <w:footnoteRef/>
      </w:r>
      <w:r w:rsidRPr="001D5384">
        <w:rPr>
          <w:sz w:val="16"/>
          <w:szCs w:val="16"/>
        </w:rPr>
        <w:t xml:space="preserve"> </w:t>
      </w:r>
      <w:r w:rsidR="008D1737" w:rsidRPr="001B0914">
        <w:rPr>
          <w:sz w:val="16"/>
          <w:szCs w:val="16"/>
        </w:rPr>
        <w:t xml:space="preserve">Refer to </w:t>
      </w:r>
      <w:r w:rsidR="008D1737" w:rsidRPr="009B7362">
        <w:rPr>
          <w:i/>
          <w:iCs/>
          <w:sz w:val="16"/>
          <w:szCs w:val="16"/>
        </w:rPr>
        <w:t xml:space="preserve">Guidance on the application of FRD 103 </w:t>
      </w:r>
      <w:r w:rsidR="008D1737" w:rsidRPr="0065008D">
        <w:rPr>
          <w:i/>
          <w:iCs/>
          <w:sz w:val="16"/>
          <w:szCs w:val="16"/>
        </w:rPr>
        <w:t>Non</w:t>
      </w:r>
      <w:r w:rsidR="008D1737" w:rsidRPr="001B0914">
        <w:rPr>
          <w:i/>
          <w:iCs/>
          <w:sz w:val="16"/>
          <w:szCs w:val="16"/>
        </w:rPr>
        <w:t xml:space="preserve">-financial physical assets </w:t>
      </w:r>
      <w:r w:rsidR="008D1737" w:rsidRPr="00612F5A">
        <w:rPr>
          <w:sz w:val="16"/>
          <w:szCs w:val="16"/>
        </w:rPr>
        <w:t>for more information on the HBU indicators (</w:t>
      </w:r>
      <w:hyperlink r:id="rId1" w:history="1">
        <w:r w:rsidR="008D1737" w:rsidRPr="00612F5A">
          <w:rPr>
            <w:rStyle w:val="Hyperlink"/>
            <w:sz w:val="16"/>
            <w:szCs w:val="16"/>
          </w:rPr>
          <w:t>https://www.dtf.vic.gov.au/financial-reporting-policy/financial-reporting-directions-and-guidance</w:t>
        </w:r>
      </w:hyperlink>
      <w:r w:rsidR="008D1737" w:rsidRPr="00612F5A">
        <w:rPr>
          <w:sz w:val="16"/>
          <w:szCs w:val="16"/>
        </w:rPr>
        <w:t>).</w:t>
      </w:r>
    </w:p>
  </w:footnote>
  <w:footnote w:id="4">
    <w:p w14:paraId="46CFB3D8" w14:textId="7635F9CC" w:rsidR="00F60E0F" w:rsidRDefault="00F60E0F">
      <w:pPr>
        <w:pStyle w:val="FootnoteText"/>
      </w:pPr>
      <w:r>
        <w:rPr>
          <w:rStyle w:val="FootnoteReference"/>
        </w:rPr>
        <w:footnoteRef/>
      </w:r>
      <w:r>
        <w:t xml:space="preserve"> </w:t>
      </w:r>
      <w:r w:rsidRPr="00651944">
        <w:rPr>
          <w:sz w:val="16"/>
          <w:szCs w:val="16"/>
        </w:rPr>
        <w:t>Entities</w:t>
      </w:r>
      <w:r>
        <w:rPr>
          <w:sz w:val="16"/>
          <w:szCs w:val="16"/>
        </w:rPr>
        <w:t xml:space="preserve"> are not permitted to exceed the five-year cycle unless prior approval is obtained from the </w:t>
      </w:r>
      <w:r w:rsidRPr="00651944">
        <w:rPr>
          <w:i/>
          <w:iCs/>
          <w:sz w:val="16"/>
          <w:szCs w:val="16"/>
        </w:rPr>
        <w:t>Executive Director, Financial Reporting – Principal Accounting Officer</w:t>
      </w:r>
      <w:r>
        <w:rPr>
          <w:sz w:val="16"/>
          <w:szCs w:val="16"/>
        </w:rPr>
        <w:t xml:space="preserve"> </w:t>
      </w:r>
      <w:r w:rsidRPr="00022C8C">
        <w:rPr>
          <w:i/>
          <w:iCs/>
          <w:sz w:val="16"/>
          <w:szCs w:val="16"/>
        </w:rPr>
        <w:t>DTF</w:t>
      </w:r>
      <w:r w:rsidR="00187D36">
        <w:rPr>
          <w:sz w:val="16"/>
          <w:szCs w:val="16"/>
        </w:rPr>
        <w:t xml:space="preserve">, taking into consideration </w:t>
      </w:r>
      <w:r w:rsidR="00022C8C">
        <w:rPr>
          <w:sz w:val="16"/>
          <w:szCs w:val="16"/>
        </w:rPr>
        <w:t xml:space="preserve">facts and circumstances driving the need for this change, and the related </w:t>
      </w:r>
      <w:r w:rsidR="00187D36">
        <w:rPr>
          <w:sz w:val="16"/>
          <w:szCs w:val="16"/>
        </w:rPr>
        <w:t>impact</w:t>
      </w:r>
      <w:r w:rsidR="000578A8">
        <w:rPr>
          <w:sz w:val="16"/>
          <w:szCs w:val="16"/>
        </w:rPr>
        <w:t>s</w:t>
      </w:r>
      <w:r w:rsidR="00187D36">
        <w:rPr>
          <w:sz w:val="16"/>
          <w:szCs w:val="16"/>
        </w:rPr>
        <w:t>.</w:t>
      </w:r>
    </w:p>
  </w:footnote>
  <w:footnote w:id="5">
    <w:p w14:paraId="7EBE9438" w14:textId="48FF6560" w:rsidR="00CB2FBD" w:rsidRPr="003E4291" w:rsidRDefault="00CB2FBD">
      <w:pPr>
        <w:pStyle w:val="FootnoteText"/>
        <w:rPr>
          <w:sz w:val="16"/>
          <w:szCs w:val="16"/>
        </w:rPr>
      </w:pPr>
      <w:r w:rsidRPr="003E4291">
        <w:rPr>
          <w:rStyle w:val="FootnoteReference"/>
          <w:sz w:val="16"/>
          <w:szCs w:val="16"/>
        </w:rPr>
        <w:footnoteRef/>
      </w:r>
      <w:r w:rsidRPr="003E4291">
        <w:rPr>
          <w:sz w:val="16"/>
          <w:szCs w:val="16"/>
        </w:rPr>
        <w:t xml:space="preserve"> In the rare circumstances where the COFOG classification of an entity changes, this may require that an asset is valued more than once in five-year cycle.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92EAF" w14:textId="020E125D" w:rsidR="00244596" w:rsidRPr="0041689E" w:rsidRDefault="00244596" w:rsidP="005828FE">
    <w:pPr>
      <w:pStyle w:val="Header"/>
      <w:tabs>
        <w:tab w:val="clear" w:pos="9026"/>
      </w:tabs>
      <w:ind w:right="-694"/>
      <w:jc w:val="right"/>
    </w:pPr>
    <w:r>
      <w:rPr>
        <w:noProof/>
      </w:rPr>
      <w:drawing>
        <wp:inline distT="0" distB="0" distL="0" distR="0" wp14:anchorId="426C711A" wp14:editId="70E32F5B">
          <wp:extent cx="813816" cy="466344"/>
          <wp:effectExtent l="0" t="0" r="5715" b="0"/>
          <wp:docPr id="754224819" name="Picture 754224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813816" cy="466344"/>
                  </a:xfrm>
                  <a:prstGeom prst="rect">
                    <a:avLst/>
                  </a:prstGeom>
                </pic:spPr>
              </pic:pic>
            </a:graphicData>
          </a:graphic>
        </wp:inline>
      </w:drawing>
    </w:r>
  </w:p>
  <w:p w14:paraId="4F80A4EC" w14:textId="77777777" w:rsidR="00244596" w:rsidRDefault="002445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D2352"/>
    <w:multiLevelType w:val="hybridMultilevel"/>
    <w:tmpl w:val="4D6C7A7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 w15:restartNumberingAfterBreak="0">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22A2D3F"/>
    <w:multiLevelType w:val="hybridMultilevel"/>
    <w:tmpl w:val="217CD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6D3A6A"/>
    <w:multiLevelType w:val="multilevel"/>
    <w:tmpl w:val="7B804CF0"/>
    <w:lvl w:ilvl="0">
      <w:start w:val="1"/>
      <w:numFmt w:val="bullet"/>
      <w:pStyle w:val="Bullet1"/>
      <w:lvlText w:val=""/>
      <w:lvlJc w:val="left"/>
      <w:pPr>
        <w:tabs>
          <w:tab w:val="num" w:pos="288"/>
        </w:tabs>
        <w:ind w:left="288" w:hanging="288"/>
      </w:pPr>
      <w:rPr>
        <w:rFonts w:ascii="Symbol" w:hAnsi="Symbol" w:hint="default"/>
        <w:b w:val="0"/>
        <w:i w:val="0"/>
        <w:vanish w:val="0"/>
        <w:color w:val="auto"/>
        <w:sz w:val="18"/>
        <w:szCs w:val="18"/>
      </w:rPr>
    </w:lvl>
    <w:lvl w:ilvl="1">
      <w:start w:val="1"/>
      <w:numFmt w:val="bullet"/>
      <w:pStyle w:val="Bullet2"/>
      <w:lvlText w:val="–"/>
      <w:lvlJc w:val="left"/>
      <w:pPr>
        <w:tabs>
          <w:tab w:val="num" w:pos="576"/>
        </w:tabs>
        <w:ind w:left="576" w:hanging="288"/>
      </w:pPr>
      <w:rPr>
        <w:rFonts w:ascii="Calibri" w:hAnsi="Calibri" w:hint="default"/>
        <w:b w:val="0"/>
        <w:i w:val="0"/>
        <w:vanish w:val="0"/>
        <w:color w:val="auto"/>
        <w:sz w:val="22"/>
      </w:rPr>
    </w:lvl>
    <w:lvl w:ilvl="2">
      <w:start w:val="1"/>
      <w:numFmt w:val="bullet"/>
      <w:pStyle w:val="Bulletindent"/>
      <w:lvlText w:val=""/>
      <w:lvlJc w:val="left"/>
      <w:pPr>
        <w:tabs>
          <w:tab w:val="num" w:pos="864"/>
        </w:tabs>
        <w:ind w:left="864" w:hanging="288"/>
      </w:pPr>
      <w:rPr>
        <w:rFonts w:ascii="Symbol" w:hAnsi="Symbol" w:hint="default"/>
        <w:b w:val="0"/>
        <w:i w:val="0"/>
        <w:vanish w:val="0"/>
        <w:color w:val="4D4D4D"/>
        <w:sz w:val="22"/>
      </w:rPr>
    </w:lvl>
    <w:lvl w:ilvl="3">
      <w:start w:val="1"/>
      <w:numFmt w:val="bullet"/>
      <w:pStyle w:val="Bulletindent2"/>
      <w:lvlText w:val="–"/>
      <w:lvlJc w:val="left"/>
      <w:pPr>
        <w:tabs>
          <w:tab w:val="num" w:pos="1152"/>
        </w:tabs>
        <w:ind w:left="1152" w:hanging="288"/>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4" w15:restartNumberingAfterBreak="0">
    <w:nsid w:val="4AC35A9B"/>
    <w:multiLevelType w:val="multilevel"/>
    <w:tmpl w:val="0392528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83112FA"/>
    <w:multiLevelType w:val="hybridMultilevel"/>
    <w:tmpl w:val="71203212"/>
    <w:lvl w:ilvl="0" w:tplc="A2644134">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FE50CFA"/>
    <w:multiLevelType w:val="hybridMultilevel"/>
    <w:tmpl w:val="0B74D1C8"/>
    <w:lvl w:ilvl="0" w:tplc="A2644134">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6C0124D7"/>
    <w:multiLevelType w:val="multilevel"/>
    <w:tmpl w:val="576071D4"/>
    <w:lvl w:ilvl="0">
      <w:start w:val="1"/>
      <w:numFmt w:val="decimal"/>
      <w:pStyle w:val="Refnum1"/>
      <w:suff w:val="nothing"/>
      <w:lvlText w:val="%1."/>
      <w:lvlJc w:val="left"/>
      <w:pPr>
        <w:ind w:left="0" w:firstLine="0"/>
      </w:pPr>
      <w:rPr>
        <w:rFonts w:hint="default"/>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 w:ilvl="2">
      <w:start w:val="1"/>
      <w:numFmt w:val="decimal"/>
      <w:pStyle w:val="Refnum2"/>
      <w:suff w:val="nothing"/>
      <w:lvlText w:val="%1.%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6E4E03A8"/>
    <w:multiLevelType w:val="hybridMultilevel"/>
    <w:tmpl w:val="0044A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FC334F7"/>
    <w:multiLevelType w:val="multilevel"/>
    <w:tmpl w:val="E9D8919E"/>
    <w:lvl w:ilvl="0">
      <w:start w:val="1"/>
      <w:numFmt w:val="decimal"/>
      <w:suff w:val="nothing"/>
      <w:lvlText w:val="%1."/>
      <w:lvlJc w:val="left"/>
      <w:pPr>
        <w:ind w:left="0" w:firstLine="0"/>
      </w:pPr>
      <w:rPr>
        <w:rFonts w:hint="default"/>
        <w:color w:val="FFFFFF" w:themeColor="background1"/>
      </w:rPr>
    </w:lvl>
    <w:lvl w:ilvl="1">
      <w:start w:val="1"/>
      <w:numFmt w:val="decimal"/>
      <w:suff w:val="nothing"/>
      <w:lvlText w:val="%1.%2"/>
      <w:lvlJc w:val="left"/>
      <w:pPr>
        <w:ind w:left="0" w:firstLine="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7FD44514"/>
    <w:multiLevelType w:val="multilevel"/>
    <w:tmpl w:val="0562CB6E"/>
    <w:lvl w:ilvl="0">
      <w:start w:val="1"/>
      <w:numFmt w:val="lowerLetter"/>
      <w:pStyle w:val="Listnum"/>
      <w:lvlText w:val="(%1)"/>
      <w:lvlJc w:val="left"/>
      <w:pPr>
        <w:tabs>
          <w:tab w:val="num" w:pos="504"/>
        </w:tabs>
        <w:ind w:left="504" w:hanging="504"/>
      </w:pPr>
      <w:rPr>
        <w:rFonts w:hint="default"/>
      </w:rPr>
    </w:lvl>
    <w:lvl w:ilvl="1">
      <w:start w:val="1"/>
      <w:numFmt w:val="lowerRoman"/>
      <w:pStyle w:val="Listnum2"/>
      <w:lvlText w:val="(%2)"/>
      <w:lvlJc w:val="left"/>
      <w:pPr>
        <w:tabs>
          <w:tab w:val="num" w:pos="1008"/>
        </w:tabs>
        <w:ind w:left="1008" w:hanging="504"/>
      </w:pPr>
      <w:rPr>
        <w:rFonts w:hint="default"/>
      </w:rPr>
    </w:lvl>
    <w:lvl w:ilvl="2">
      <w:start w:val="1"/>
      <w:numFmt w:val="lowerLetter"/>
      <w:lvlRestart w:val="0"/>
      <w:pStyle w:val="Listnumgrey"/>
      <w:lvlText w:val="(%3)"/>
      <w:lvlJc w:val="left"/>
      <w:pPr>
        <w:tabs>
          <w:tab w:val="num" w:pos="504"/>
        </w:tabs>
        <w:ind w:left="504" w:hanging="504"/>
      </w:pPr>
      <w:rPr>
        <w:rFonts w:hint="default"/>
      </w:rPr>
    </w:lvl>
    <w:lvl w:ilvl="3">
      <w:start w:val="1"/>
      <w:numFmt w:val="lowerRoman"/>
      <w:pStyle w:val="Listnum2grey"/>
      <w:lvlText w:val="(%4)"/>
      <w:lvlJc w:val="left"/>
      <w:pPr>
        <w:tabs>
          <w:tab w:val="num" w:pos="1008"/>
        </w:tabs>
        <w:ind w:left="1008" w:hanging="504"/>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16cid:durableId="1946040084">
    <w:abstractNumId w:val="3"/>
  </w:num>
  <w:num w:numId="2" w16cid:durableId="1064372657">
    <w:abstractNumId w:val="3"/>
  </w:num>
  <w:num w:numId="3" w16cid:durableId="2086100258">
    <w:abstractNumId w:val="3"/>
  </w:num>
  <w:num w:numId="4" w16cid:durableId="1986467156">
    <w:abstractNumId w:val="10"/>
  </w:num>
  <w:num w:numId="5" w16cid:durableId="1998922100">
    <w:abstractNumId w:val="3"/>
  </w:num>
  <w:num w:numId="6" w16cid:durableId="239758669">
    <w:abstractNumId w:val="3"/>
  </w:num>
  <w:num w:numId="7" w16cid:durableId="1845362722">
    <w:abstractNumId w:val="3"/>
  </w:num>
  <w:num w:numId="8" w16cid:durableId="921447617">
    <w:abstractNumId w:val="3"/>
  </w:num>
  <w:num w:numId="9" w16cid:durableId="420101458">
    <w:abstractNumId w:val="10"/>
  </w:num>
  <w:num w:numId="10" w16cid:durableId="290938463">
    <w:abstractNumId w:val="10"/>
  </w:num>
  <w:num w:numId="11" w16cid:durableId="1545823168">
    <w:abstractNumId w:val="10"/>
  </w:num>
  <w:num w:numId="12" w16cid:durableId="1882160785">
    <w:abstractNumId w:val="10"/>
  </w:num>
  <w:num w:numId="13" w16cid:durableId="1151367237">
    <w:abstractNumId w:val="10"/>
  </w:num>
  <w:num w:numId="14" w16cid:durableId="1006904207">
    <w:abstractNumId w:val="10"/>
  </w:num>
  <w:num w:numId="15" w16cid:durableId="509762860">
    <w:abstractNumId w:val="10"/>
  </w:num>
  <w:num w:numId="16" w16cid:durableId="1685745146">
    <w:abstractNumId w:val="10"/>
  </w:num>
  <w:num w:numId="17" w16cid:durableId="463816905">
    <w:abstractNumId w:val="1"/>
  </w:num>
  <w:num w:numId="18" w16cid:durableId="1427770539">
    <w:abstractNumId w:val="1"/>
  </w:num>
  <w:num w:numId="19" w16cid:durableId="574435194">
    <w:abstractNumId w:val="4"/>
  </w:num>
  <w:num w:numId="20" w16cid:durableId="153030298">
    <w:abstractNumId w:val="9"/>
  </w:num>
  <w:num w:numId="21" w16cid:durableId="992416678">
    <w:abstractNumId w:val="9"/>
  </w:num>
  <w:num w:numId="22" w16cid:durableId="603654341">
    <w:abstractNumId w:val="7"/>
  </w:num>
  <w:num w:numId="23" w16cid:durableId="1112673705">
    <w:abstractNumId w:val="7"/>
    <w:lvlOverride w:ilvl="0">
      <w:lvl w:ilvl="0">
        <w:start w:val="1"/>
        <w:numFmt w:val="decimal"/>
        <w:pStyle w:val="Refnum1"/>
        <w:suff w:val="nothing"/>
        <w:lvlText w:val="%1."/>
        <w:lvlJc w:val="left"/>
        <w:pPr>
          <w:ind w:left="0" w:firstLine="0"/>
        </w:pPr>
        <w:rPr>
          <w:rFonts w:cs="Times New Roman" w:hint="default"/>
          <w:b w:val="0"/>
          <w:bCs w:val="0"/>
          <w:i w:val="0"/>
          <w:iCs w:val="0"/>
          <w:caps w:val="0"/>
          <w:small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4" w16cid:durableId="90513494">
    <w:abstractNumId w:val="7"/>
    <w:lvlOverride w:ilvl="0">
      <w:lvl w:ilvl="0">
        <w:start w:val="1"/>
        <w:numFmt w:val="decimal"/>
        <w:pStyle w:val="Refnum1"/>
        <w:suff w:val="nothing"/>
        <w:lvlText w:val="%1."/>
        <w:lvlJc w:val="left"/>
        <w:pPr>
          <w:ind w:left="0" w:firstLine="0"/>
        </w:pPr>
        <w:rPr>
          <w:rFonts w:cs="Times New Roman" w:hint="default"/>
          <w:b w:val="0"/>
          <w:bCs w:val="0"/>
          <w:i w:val="0"/>
          <w:iCs w:val="0"/>
          <w: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5" w16cid:durableId="14486999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148611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6694805">
    <w:abstractNumId w:val="0"/>
  </w:num>
  <w:num w:numId="28" w16cid:durableId="1073628639">
    <w:abstractNumId w:val="2"/>
  </w:num>
  <w:num w:numId="29" w16cid:durableId="1548950091">
    <w:abstractNumId w:val="6"/>
  </w:num>
  <w:num w:numId="30" w16cid:durableId="629020795">
    <w:abstractNumId w:val="5"/>
  </w:num>
  <w:num w:numId="31" w16cid:durableId="18226497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724"/>
    <w:rsid w:val="0000066A"/>
    <w:rsid w:val="0000176A"/>
    <w:rsid w:val="00004C99"/>
    <w:rsid w:val="0000770F"/>
    <w:rsid w:val="00012F6F"/>
    <w:rsid w:val="00014213"/>
    <w:rsid w:val="00014B55"/>
    <w:rsid w:val="00020E3E"/>
    <w:rsid w:val="00022808"/>
    <w:rsid w:val="00022C8C"/>
    <w:rsid w:val="00023BF3"/>
    <w:rsid w:val="00025219"/>
    <w:rsid w:val="00026811"/>
    <w:rsid w:val="0004356D"/>
    <w:rsid w:val="00045296"/>
    <w:rsid w:val="000512F4"/>
    <w:rsid w:val="00056C6E"/>
    <w:rsid w:val="000578A8"/>
    <w:rsid w:val="00061437"/>
    <w:rsid w:val="0006265F"/>
    <w:rsid w:val="00065CF5"/>
    <w:rsid w:val="00073D67"/>
    <w:rsid w:val="00075E6C"/>
    <w:rsid w:val="00082090"/>
    <w:rsid w:val="00085AC6"/>
    <w:rsid w:val="00093859"/>
    <w:rsid w:val="000A381B"/>
    <w:rsid w:val="000A67C6"/>
    <w:rsid w:val="000B29AD"/>
    <w:rsid w:val="000C6372"/>
    <w:rsid w:val="000C7B5E"/>
    <w:rsid w:val="000D6373"/>
    <w:rsid w:val="000E04DC"/>
    <w:rsid w:val="000E074B"/>
    <w:rsid w:val="000E392D"/>
    <w:rsid w:val="000F4288"/>
    <w:rsid w:val="000F7165"/>
    <w:rsid w:val="000F72A7"/>
    <w:rsid w:val="00102379"/>
    <w:rsid w:val="001065D6"/>
    <w:rsid w:val="00106E44"/>
    <w:rsid w:val="00110497"/>
    <w:rsid w:val="00111166"/>
    <w:rsid w:val="00117C6B"/>
    <w:rsid w:val="00121252"/>
    <w:rsid w:val="00124609"/>
    <w:rsid w:val="001254CE"/>
    <w:rsid w:val="00125F24"/>
    <w:rsid w:val="0012799F"/>
    <w:rsid w:val="001302DE"/>
    <w:rsid w:val="00134CEA"/>
    <w:rsid w:val="0014157B"/>
    <w:rsid w:val="001422CC"/>
    <w:rsid w:val="001508CA"/>
    <w:rsid w:val="00154FDB"/>
    <w:rsid w:val="00156901"/>
    <w:rsid w:val="0015781C"/>
    <w:rsid w:val="00157CA1"/>
    <w:rsid w:val="001617B6"/>
    <w:rsid w:val="00162942"/>
    <w:rsid w:val="0016382E"/>
    <w:rsid w:val="00165377"/>
    <w:rsid w:val="00165E66"/>
    <w:rsid w:val="00187D36"/>
    <w:rsid w:val="00191349"/>
    <w:rsid w:val="001C0DB5"/>
    <w:rsid w:val="001C438A"/>
    <w:rsid w:val="001C7BAE"/>
    <w:rsid w:val="001D4CF9"/>
    <w:rsid w:val="001D5384"/>
    <w:rsid w:val="001E31FA"/>
    <w:rsid w:val="001E64F6"/>
    <w:rsid w:val="001E6C97"/>
    <w:rsid w:val="001F05C3"/>
    <w:rsid w:val="001F6C3D"/>
    <w:rsid w:val="001F759F"/>
    <w:rsid w:val="00204C3A"/>
    <w:rsid w:val="00204CB9"/>
    <w:rsid w:val="00204E2A"/>
    <w:rsid w:val="00211FDA"/>
    <w:rsid w:val="00213014"/>
    <w:rsid w:val="00215F7C"/>
    <w:rsid w:val="002207B5"/>
    <w:rsid w:val="00221142"/>
    <w:rsid w:val="00222BEB"/>
    <w:rsid w:val="002230B4"/>
    <w:rsid w:val="00225E60"/>
    <w:rsid w:val="00231236"/>
    <w:rsid w:val="00231BD3"/>
    <w:rsid w:val="0023202C"/>
    <w:rsid w:val="00236203"/>
    <w:rsid w:val="00244596"/>
    <w:rsid w:val="00245043"/>
    <w:rsid w:val="002570DF"/>
    <w:rsid w:val="00257760"/>
    <w:rsid w:val="002600BE"/>
    <w:rsid w:val="002653F4"/>
    <w:rsid w:val="00273FEF"/>
    <w:rsid w:val="002752C5"/>
    <w:rsid w:val="00286592"/>
    <w:rsid w:val="00286F9A"/>
    <w:rsid w:val="00292D36"/>
    <w:rsid w:val="002933A1"/>
    <w:rsid w:val="00297212"/>
    <w:rsid w:val="00297281"/>
    <w:rsid w:val="002A4004"/>
    <w:rsid w:val="002A79B8"/>
    <w:rsid w:val="002C121A"/>
    <w:rsid w:val="002C54E0"/>
    <w:rsid w:val="002C6F19"/>
    <w:rsid w:val="002D53D2"/>
    <w:rsid w:val="002D711A"/>
    <w:rsid w:val="002D7256"/>
    <w:rsid w:val="002D7336"/>
    <w:rsid w:val="002E0162"/>
    <w:rsid w:val="002E16C2"/>
    <w:rsid w:val="002E3396"/>
    <w:rsid w:val="002F3A40"/>
    <w:rsid w:val="002F3EAC"/>
    <w:rsid w:val="003007A8"/>
    <w:rsid w:val="0031149C"/>
    <w:rsid w:val="00312E16"/>
    <w:rsid w:val="00312F4D"/>
    <w:rsid w:val="00314936"/>
    <w:rsid w:val="0031672E"/>
    <w:rsid w:val="003211D5"/>
    <w:rsid w:val="00321AC8"/>
    <w:rsid w:val="003225E4"/>
    <w:rsid w:val="003373BE"/>
    <w:rsid w:val="003474A9"/>
    <w:rsid w:val="00347699"/>
    <w:rsid w:val="00361426"/>
    <w:rsid w:val="00365772"/>
    <w:rsid w:val="00365998"/>
    <w:rsid w:val="0037297E"/>
    <w:rsid w:val="00374E92"/>
    <w:rsid w:val="003811B5"/>
    <w:rsid w:val="00382EE1"/>
    <w:rsid w:val="00385422"/>
    <w:rsid w:val="0038771C"/>
    <w:rsid w:val="00390FCC"/>
    <w:rsid w:val="0039405B"/>
    <w:rsid w:val="003966CD"/>
    <w:rsid w:val="00397DE3"/>
    <w:rsid w:val="003A1C92"/>
    <w:rsid w:val="003A541A"/>
    <w:rsid w:val="003A6007"/>
    <w:rsid w:val="003A6923"/>
    <w:rsid w:val="003C0551"/>
    <w:rsid w:val="003C2C67"/>
    <w:rsid w:val="003C57E4"/>
    <w:rsid w:val="003C5BA4"/>
    <w:rsid w:val="003D1989"/>
    <w:rsid w:val="003E3E26"/>
    <w:rsid w:val="003E4291"/>
    <w:rsid w:val="003F1295"/>
    <w:rsid w:val="003F76FC"/>
    <w:rsid w:val="004002EB"/>
    <w:rsid w:val="00413B6D"/>
    <w:rsid w:val="004140EC"/>
    <w:rsid w:val="0041689E"/>
    <w:rsid w:val="00421F2E"/>
    <w:rsid w:val="004236C8"/>
    <w:rsid w:val="00427681"/>
    <w:rsid w:val="004322C3"/>
    <w:rsid w:val="00433DB7"/>
    <w:rsid w:val="00441206"/>
    <w:rsid w:val="00443830"/>
    <w:rsid w:val="0044772C"/>
    <w:rsid w:val="00453750"/>
    <w:rsid w:val="00456941"/>
    <w:rsid w:val="0046048C"/>
    <w:rsid w:val="00464EDE"/>
    <w:rsid w:val="00464F7E"/>
    <w:rsid w:val="0046697B"/>
    <w:rsid w:val="004702EA"/>
    <w:rsid w:val="00471031"/>
    <w:rsid w:val="004822D8"/>
    <w:rsid w:val="00482D02"/>
    <w:rsid w:val="00482E81"/>
    <w:rsid w:val="00490386"/>
    <w:rsid w:val="004A7519"/>
    <w:rsid w:val="004A7840"/>
    <w:rsid w:val="004C0B9B"/>
    <w:rsid w:val="004D3518"/>
    <w:rsid w:val="004D5C33"/>
    <w:rsid w:val="004D62D6"/>
    <w:rsid w:val="004D71D7"/>
    <w:rsid w:val="004E5C1F"/>
    <w:rsid w:val="004F1119"/>
    <w:rsid w:val="004F163E"/>
    <w:rsid w:val="004F6445"/>
    <w:rsid w:val="0050060A"/>
    <w:rsid w:val="00501A9A"/>
    <w:rsid w:val="005040F5"/>
    <w:rsid w:val="0050714E"/>
    <w:rsid w:val="0051558C"/>
    <w:rsid w:val="00516E5B"/>
    <w:rsid w:val="00523B44"/>
    <w:rsid w:val="00526D30"/>
    <w:rsid w:val="00530339"/>
    <w:rsid w:val="0053416C"/>
    <w:rsid w:val="0054042C"/>
    <w:rsid w:val="00541C2F"/>
    <w:rsid w:val="005460E7"/>
    <w:rsid w:val="00554086"/>
    <w:rsid w:val="005542E2"/>
    <w:rsid w:val="00562A61"/>
    <w:rsid w:val="00563527"/>
    <w:rsid w:val="00565CF3"/>
    <w:rsid w:val="0057703D"/>
    <w:rsid w:val="0058124E"/>
    <w:rsid w:val="0058130C"/>
    <w:rsid w:val="005828FE"/>
    <w:rsid w:val="005875A3"/>
    <w:rsid w:val="005910B6"/>
    <w:rsid w:val="0059573A"/>
    <w:rsid w:val="00595783"/>
    <w:rsid w:val="005A3416"/>
    <w:rsid w:val="005A50CA"/>
    <w:rsid w:val="005B27FE"/>
    <w:rsid w:val="005C3E6D"/>
    <w:rsid w:val="005D51F0"/>
    <w:rsid w:val="005E56B3"/>
    <w:rsid w:val="005E7724"/>
    <w:rsid w:val="005F61DF"/>
    <w:rsid w:val="005F681F"/>
    <w:rsid w:val="006023F9"/>
    <w:rsid w:val="0060352C"/>
    <w:rsid w:val="00610559"/>
    <w:rsid w:val="00624E70"/>
    <w:rsid w:val="00626937"/>
    <w:rsid w:val="00626D5D"/>
    <w:rsid w:val="00627B98"/>
    <w:rsid w:val="006332F6"/>
    <w:rsid w:val="00651944"/>
    <w:rsid w:val="006519F6"/>
    <w:rsid w:val="00652625"/>
    <w:rsid w:val="006534B2"/>
    <w:rsid w:val="0065615D"/>
    <w:rsid w:val="00657011"/>
    <w:rsid w:val="006612A3"/>
    <w:rsid w:val="00661A3C"/>
    <w:rsid w:val="006650B5"/>
    <w:rsid w:val="006651B1"/>
    <w:rsid w:val="00665778"/>
    <w:rsid w:val="00670630"/>
    <w:rsid w:val="006773EA"/>
    <w:rsid w:val="00690247"/>
    <w:rsid w:val="006A3EC3"/>
    <w:rsid w:val="006A5B34"/>
    <w:rsid w:val="006A5F5B"/>
    <w:rsid w:val="006A665D"/>
    <w:rsid w:val="006A6E2C"/>
    <w:rsid w:val="006B2873"/>
    <w:rsid w:val="006C0382"/>
    <w:rsid w:val="006C3F76"/>
    <w:rsid w:val="006C66C9"/>
    <w:rsid w:val="006C77A9"/>
    <w:rsid w:val="006C78FB"/>
    <w:rsid w:val="006D0E24"/>
    <w:rsid w:val="006D66F9"/>
    <w:rsid w:val="006E3954"/>
    <w:rsid w:val="006F20FB"/>
    <w:rsid w:val="006F42B3"/>
    <w:rsid w:val="006F6693"/>
    <w:rsid w:val="0070117D"/>
    <w:rsid w:val="00703A73"/>
    <w:rsid w:val="007043D0"/>
    <w:rsid w:val="00707FE8"/>
    <w:rsid w:val="00710282"/>
    <w:rsid w:val="00720CEF"/>
    <w:rsid w:val="00724962"/>
    <w:rsid w:val="00724A0F"/>
    <w:rsid w:val="007258CA"/>
    <w:rsid w:val="007310D2"/>
    <w:rsid w:val="00732162"/>
    <w:rsid w:val="00736732"/>
    <w:rsid w:val="00737B05"/>
    <w:rsid w:val="00740129"/>
    <w:rsid w:val="00740302"/>
    <w:rsid w:val="0074281E"/>
    <w:rsid w:val="00745174"/>
    <w:rsid w:val="00750CBE"/>
    <w:rsid w:val="00753697"/>
    <w:rsid w:val="00753E8D"/>
    <w:rsid w:val="00761009"/>
    <w:rsid w:val="00764D64"/>
    <w:rsid w:val="00766B5A"/>
    <w:rsid w:val="0077144F"/>
    <w:rsid w:val="00777F03"/>
    <w:rsid w:val="00780CC9"/>
    <w:rsid w:val="007834F2"/>
    <w:rsid w:val="007866AE"/>
    <w:rsid w:val="00791020"/>
    <w:rsid w:val="007A0D49"/>
    <w:rsid w:val="007A5F82"/>
    <w:rsid w:val="007A73B6"/>
    <w:rsid w:val="007C21AF"/>
    <w:rsid w:val="007D38AE"/>
    <w:rsid w:val="007F1A4C"/>
    <w:rsid w:val="008022C3"/>
    <w:rsid w:val="008041E6"/>
    <w:rsid w:val="008065D2"/>
    <w:rsid w:val="008105FA"/>
    <w:rsid w:val="00811F8F"/>
    <w:rsid w:val="00813AD3"/>
    <w:rsid w:val="0082194C"/>
    <w:rsid w:val="008220C4"/>
    <w:rsid w:val="008222FF"/>
    <w:rsid w:val="008241FF"/>
    <w:rsid w:val="00826A5B"/>
    <w:rsid w:val="008352DA"/>
    <w:rsid w:val="00836C77"/>
    <w:rsid w:val="008411E9"/>
    <w:rsid w:val="0084200F"/>
    <w:rsid w:val="00842F9C"/>
    <w:rsid w:val="00843B2C"/>
    <w:rsid w:val="00844F00"/>
    <w:rsid w:val="00845F81"/>
    <w:rsid w:val="0085348E"/>
    <w:rsid w:val="00863669"/>
    <w:rsid w:val="00875D62"/>
    <w:rsid w:val="008908A0"/>
    <w:rsid w:val="00890F4C"/>
    <w:rsid w:val="008A4900"/>
    <w:rsid w:val="008A7FAE"/>
    <w:rsid w:val="008B2A17"/>
    <w:rsid w:val="008B3AEF"/>
    <w:rsid w:val="008B72E5"/>
    <w:rsid w:val="008C3830"/>
    <w:rsid w:val="008C63EE"/>
    <w:rsid w:val="008D0281"/>
    <w:rsid w:val="008D155C"/>
    <w:rsid w:val="008D1737"/>
    <w:rsid w:val="008D65C5"/>
    <w:rsid w:val="008E2491"/>
    <w:rsid w:val="008E3C4E"/>
    <w:rsid w:val="008F4AE9"/>
    <w:rsid w:val="008F6234"/>
    <w:rsid w:val="008F6D45"/>
    <w:rsid w:val="0091346D"/>
    <w:rsid w:val="009165BF"/>
    <w:rsid w:val="00920464"/>
    <w:rsid w:val="00922954"/>
    <w:rsid w:val="00926277"/>
    <w:rsid w:val="00931120"/>
    <w:rsid w:val="00931B0C"/>
    <w:rsid w:val="00942CF8"/>
    <w:rsid w:val="00957221"/>
    <w:rsid w:val="00962BE9"/>
    <w:rsid w:val="0096316A"/>
    <w:rsid w:val="00963C94"/>
    <w:rsid w:val="00977A2F"/>
    <w:rsid w:val="009821AF"/>
    <w:rsid w:val="0098259D"/>
    <w:rsid w:val="009834C0"/>
    <w:rsid w:val="00986322"/>
    <w:rsid w:val="00986AAC"/>
    <w:rsid w:val="0099093E"/>
    <w:rsid w:val="00990BB8"/>
    <w:rsid w:val="009A1DA2"/>
    <w:rsid w:val="009A3704"/>
    <w:rsid w:val="009A4739"/>
    <w:rsid w:val="009A4B31"/>
    <w:rsid w:val="009A57EE"/>
    <w:rsid w:val="009A674F"/>
    <w:rsid w:val="009B0AE0"/>
    <w:rsid w:val="009B199C"/>
    <w:rsid w:val="009B54C8"/>
    <w:rsid w:val="009B61F1"/>
    <w:rsid w:val="009B62E0"/>
    <w:rsid w:val="009B7332"/>
    <w:rsid w:val="009C255F"/>
    <w:rsid w:val="009C3D88"/>
    <w:rsid w:val="009C503D"/>
    <w:rsid w:val="009E05D8"/>
    <w:rsid w:val="009E2D0A"/>
    <w:rsid w:val="009E3858"/>
    <w:rsid w:val="009E70DD"/>
    <w:rsid w:val="009F2ED9"/>
    <w:rsid w:val="009F3231"/>
    <w:rsid w:val="009F4261"/>
    <w:rsid w:val="009F5C58"/>
    <w:rsid w:val="009F6B7A"/>
    <w:rsid w:val="009F7538"/>
    <w:rsid w:val="00A023A0"/>
    <w:rsid w:val="00A02644"/>
    <w:rsid w:val="00A03F5F"/>
    <w:rsid w:val="00A04B27"/>
    <w:rsid w:val="00A05F56"/>
    <w:rsid w:val="00A1562B"/>
    <w:rsid w:val="00A170F4"/>
    <w:rsid w:val="00A23BA4"/>
    <w:rsid w:val="00A23CAD"/>
    <w:rsid w:val="00A249A5"/>
    <w:rsid w:val="00A2559E"/>
    <w:rsid w:val="00A25FD9"/>
    <w:rsid w:val="00A3401D"/>
    <w:rsid w:val="00A46BA8"/>
    <w:rsid w:val="00A46BF3"/>
    <w:rsid w:val="00A47634"/>
    <w:rsid w:val="00A516DE"/>
    <w:rsid w:val="00A52B66"/>
    <w:rsid w:val="00A612FE"/>
    <w:rsid w:val="00A7085B"/>
    <w:rsid w:val="00A736BE"/>
    <w:rsid w:val="00AA26B8"/>
    <w:rsid w:val="00AA4D53"/>
    <w:rsid w:val="00AA5DEB"/>
    <w:rsid w:val="00AB34ED"/>
    <w:rsid w:val="00AB34F2"/>
    <w:rsid w:val="00AB3FE2"/>
    <w:rsid w:val="00AB4CFA"/>
    <w:rsid w:val="00AC11CF"/>
    <w:rsid w:val="00AC4B9D"/>
    <w:rsid w:val="00AD3322"/>
    <w:rsid w:val="00AD4B06"/>
    <w:rsid w:val="00AD7E4E"/>
    <w:rsid w:val="00AE1A00"/>
    <w:rsid w:val="00AE4FA3"/>
    <w:rsid w:val="00AF3D47"/>
    <w:rsid w:val="00AF48A0"/>
    <w:rsid w:val="00AF4D58"/>
    <w:rsid w:val="00AF4D60"/>
    <w:rsid w:val="00AF6666"/>
    <w:rsid w:val="00AF67F7"/>
    <w:rsid w:val="00AF7BC4"/>
    <w:rsid w:val="00B01E02"/>
    <w:rsid w:val="00B04866"/>
    <w:rsid w:val="00B10154"/>
    <w:rsid w:val="00B26214"/>
    <w:rsid w:val="00B27EED"/>
    <w:rsid w:val="00B360A4"/>
    <w:rsid w:val="00B54333"/>
    <w:rsid w:val="00B54F1F"/>
    <w:rsid w:val="00B57C1E"/>
    <w:rsid w:val="00B6366E"/>
    <w:rsid w:val="00B66B86"/>
    <w:rsid w:val="00B813F8"/>
    <w:rsid w:val="00B81B44"/>
    <w:rsid w:val="00B9053B"/>
    <w:rsid w:val="00B93C44"/>
    <w:rsid w:val="00B93C97"/>
    <w:rsid w:val="00BA3FC5"/>
    <w:rsid w:val="00BB139E"/>
    <w:rsid w:val="00BB281D"/>
    <w:rsid w:val="00BB73BA"/>
    <w:rsid w:val="00BB76CF"/>
    <w:rsid w:val="00BC3422"/>
    <w:rsid w:val="00BC6691"/>
    <w:rsid w:val="00BD7B71"/>
    <w:rsid w:val="00C01368"/>
    <w:rsid w:val="00C015B9"/>
    <w:rsid w:val="00C022F9"/>
    <w:rsid w:val="00C032EA"/>
    <w:rsid w:val="00C04715"/>
    <w:rsid w:val="00C06EB5"/>
    <w:rsid w:val="00C074F7"/>
    <w:rsid w:val="00C1145F"/>
    <w:rsid w:val="00C20E72"/>
    <w:rsid w:val="00C22062"/>
    <w:rsid w:val="00C22704"/>
    <w:rsid w:val="00C24A26"/>
    <w:rsid w:val="00C51CA9"/>
    <w:rsid w:val="00C637E1"/>
    <w:rsid w:val="00C70D50"/>
    <w:rsid w:val="00C83502"/>
    <w:rsid w:val="00C83C0F"/>
    <w:rsid w:val="00C907D7"/>
    <w:rsid w:val="00C92338"/>
    <w:rsid w:val="00CA1DC8"/>
    <w:rsid w:val="00CA7C3A"/>
    <w:rsid w:val="00CB2DAE"/>
    <w:rsid w:val="00CB2FBD"/>
    <w:rsid w:val="00CB4448"/>
    <w:rsid w:val="00CB4622"/>
    <w:rsid w:val="00CC1999"/>
    <w:rsid w:val="00CC2DB2"/>
    <w:rsid w:val="00CC3BB4"/>
    <w:rsid w:val="00CD0307"/>
    <w:rsid w:val="00CD1647"/>
    <w:rsid w:val="00CD3D1B"/>
    <w:rsid w:val="00CE6036"/>
    <w:rsid w:val="00CF7DCA"/>
    <w:rsid w:val="00CF7F52"/>
    <w:rsid w:val="00D0364F"/>
    <w:rsid w:val="00D177EA"/>
    <w:rsid w:val="00D17961"/>
    <w:rsid w:val="00D2068E"/>
    <w:rsid w:val="00D211E9"/>
    <w:rsid w:val="00D2312F"/>
    <w:rsid w:val="00D269C1"/>
    <w:rsid w:val="00D44953"/>
    <w:rsid w:val="00D45E19"/>
    <w:rsid w:val="00D47739"/>
    <w:rsid w:val="00D542F3"/>
    <w:rsid w:val="00D558A5"/>
    <w:rsid w:val="00D5644B"/>
    <w:rsid w:val="00D56E25"/>
    <w:rsid w:val="00D63B00"/>
    <w:rsid w:val="00D718D7"/>
    <w:rsid w:val="00D71978"/>
    <w:rsid w:val="00D74E16"/>
    <w:rsid w:val="00D814B7"/>
    <w:rsid w:val="00D90688"/>
    <w:rsid w:val="00D90A37"/>
    <w:rsid w:val="00D95B72"/>
    <w:rsid w:val="00D97A69"/>
    <w:rsid w:val="00DA1A8B"/>
    <w:rsid w:val="00DA3AAD"/>
    <w:rsid w:val="00DA772E"/>
    <w:rsid w:val="00DA7832"/>
    <w:rsid w:val="00DB30AF"/>
    <w:rsid w:val="00DB312B"/>
    <w:rsid w:val="00DB60A5"/>
    <w:rsid w:val="00DC035E"/>
    <w:rsid w:val="00DC41EA"/>
    <w:rsid w:val="00DC5654"/>
    <w:rsid w:val="00DC658F"/>
    <w:rsid w:val="00DD5EB6"/>
    <w:rsid w:val="00DE01E9"/>
    <w:rsid w:val="00DE60CC"/>
    <w:rsid w:val="00DF1F8E"/>
    <w:rsid w:val="00DF5B90"/>
    <w:rsid w:val="00DF637E"/>
    <w:rsid w:val="00E00D5F"/>
    <w:rsid w:val="00E04998"/>
    <w:rsid w:val="00E06E17"/>
    <w:rsid w:val="00E122DB"/>
    <w:rsid w:val="00E1551F"/>
    <w:rsid w:val="00E20142"/>
    <w:rsid w:val="00E258F3"/>
    <w:rsid w:val="00E26B32"/>
    <w:rsid w:val="00E271B6"/>
    <w:rsid w:val="00E30E0A"/>
    <w:rsid w:val="00E3232B"/>
    <w:rsid w:val="00E40549"/>
    <w:rsid w:val="00E407B6"/>
    <w:rsid w:val="00E41EF1"/>
    <w:rsid w:val="00E42942"/>
    <w:rsid w:val="00E42CEB"/>
    <w:rsid w:val="00E4604C"/>
    <w:rsid w:val="00E468A6"/>
    <w:rsid w:val="00E56475"/>
    <w:rsid w:val="00E631EC"/>
    <w:rsid w:val="00E66757"/>
    <w:rsid w:val="00E71BDF"/>
    <w:rsid w:val="00E83CA7"/>
    <w:rsid w:val="00E97BA2"/>
    <w:rsid w:val="00EA03A3"/>
    <w:rsid w:val="00EA6C0B"/>
    <w:rsid w:val="00EB153B"/>
    <w:rsid w:val="00EB2C6A"/>
    <w:rsid w:val="00EC171D"/>
    <w:rsid w:val="00EC3A37"/>
    <w:rsid w:val="00ED487E"/>
    <w:rsid w:val="00ED4E9D"/>
    <w:rsid w:val="00ED5EA4"/>
    <w:rsid w:val="00EE5975"/>
    <w:rsid w:val="00EE7A0D"/>
    <w:rsid w:val="00F05112"/>
    <w:rsid w:val="00F14F04"/>
    <w:rsid w:val="00F17CE1"/>
    <w:rsid w:val="00F2115C"/>
    <w:rsid w:val="00F22ABA"/>
    <w:rsid w:val="00F23366"/>
    <w:rsid w:val="00F32976"/>
    <w:rsid w:val="00F36B12"/>
    <w:rsid w:val="00F402AF"/>
    <w:rsid w:val="00F42547"/>
    <w:rsid w:val="00F447D5"/>
    <w:rsid w:val="00F44969"/>
    <w:rsid w:val="00F45304"/>
    <w:rsid w:val="00F55AF4"/>
    <w:rsid w:val="00F60E0F"/>
    <w:rsid w:val="00F60F9F"/>
    <w:rsid w:val="00F64F08"/>
    <w:rsid w:val="00F65266"/>
    <w:rsid w:val="00F734F5"/>
    <w:rsid w:val="00F8005A"/>
    <w:rsid w:val="00F87AC9"/>
    <w:rsid w:val="00F966B1"/>
    <w:rsid w:val="00F97D48"/>
    <w:rsid w:val="00FA0311"/>
    <w:rsid w:val="00FA1680"/>
    <w:rsid w:val="00FA1A64"/>
    <w:rsid w:val="00FB187B"/>
    <w:rsid w:val="00FB1EC9"/>
    <w:rsid w:val="00FB7BF0"/>
    <w:rsid w:val="00FC42E5"/>
    <w:rsid w:val="00FC5330"/>
    <w:rsid w:val="00FD17D3"/>
    <w:rsid w:val="00FD640F"/>
    <w:rsid w:val="00FD6B4C"/>
    <w:rsid w:val="00FE436E"/>
    <w:rsid w:val="00FE782F"/>
    <w:rsid w:val="00FE7B30"/>
    <w:rsid w:val="00FF051E"/>
    <w:rsid w:val="00FF4E99"/>
    <w:rsid w:val="00FF607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79B90"/>
  <w15:docId w15:val="{E3F77CC2-09C8-455F-AB19-590C0ACF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55C"/>
    <w:pPr>
      <w:spacing w:before="160" w:after="100"/>
    </w:pPr>
    <w:rPr>
      <w:spacing w:val="2"/>
      <w:sz w:val="18"/>
    </w:rPr>
  </w:style>
  <w:style w:type="paragraph" w:styleId="Heading1">
    <w:name w:val="heading 1"/>
    <w:next w:val="Normal"/>
    <w:link w:val="Heading1Char"/>
    <w:uiPriority w:val="99"/>
    <w:rsid w:val="00E20142"/>
    <w:pPr>
      <w:keepNext/>
      <w:keepLines/>
      <w:spacing w:before="600" w:after="600"/>
      <w:outlineLvl w:val="0"/>
    </w:pPr>
    <w:rPr>
      <w:rFonts w:asciiTheme="majorHAnsi" w:eastAsiaTheme="majorEastAsia" w:hAnsiTheme="majorHAnsi" w:cstheme="majorBidi"/>
      <w:b/>
      <w:bCs/>
      <w:color w:val="000000" w:themeColor="text1"/>
      <w:spacing w:val="-1"/>
      <w:sz w:val="36"/>
      <w:szCs w:val="28"/>
    </w:rPr>
  </w:style>
  <w:style w:type="paragraph" w:styleId="Heading2">
    <w:name w:val="heading 2"/>
    <w:basedOn w:val="Normal"/>
    <w:next w:val="Normal"/>
    <w:link w:val="Heading2Char"/>
    <w:uiPriority w:val="99"/>
    <w:rsid w:val="00E20142"/>
    <w:pPr>
      <w:keepNext/>
      <w:keepLines/>
      <w:spacing w:after="240"/>
      <w:outlineLvl w:val="1"/>
    </w:pPr>
    <w:rPr>
      <w:rFonts w:asciiTheme="majorHAnsi" w:eastAsiaTheme="majorEastAsia" w:hAnsiTheme="majorHAnsi" w:cstheme="majorBidi"/>
      <w:b/>
      <w:bCs/>
      <w:color w:val="7F7F7F" w:themeColor="text1" w:themeTint="80"/>
      <w:sz w:val="28"/>
      <w:szCs w:val="26"/>
    </w:rPr>
  </w:style>
  <w:style w:type="paragraph" w:styleId="Heading3">
    <w:name w:val="heading 3"/>
    <w:basedOn w:val="Normal"/>
    <w:next w:val="Normal"/>
    <w:link w:val="Heading3Char"/>
    <w:qFormat/>
    <w:rsid w:val="008D155C"/>
    <w:pPr>
      <w:keepNext/>
      <w:keepLines/>
      <w:tabs>
        <w:tab w:val="left" w:pos="567"/>
      </w:tabs>
      <w:spacing w:before="240" w:after="120"/>
      <w:outlineLvl w:val="2"/>
    </w:pPr>
    <w:rPr>
      <w:rFonts w:asciiTheme="majorHAnsi" w:eastAsiaTheme="majorEastAsia" w:hAnsiTheme="majorHAnsi" w:cstheme="majorBidi"/>
      <w:b/>
      <w:bCs/>
      <w:color w:val="7F7F7F" w:themeColor="text1" w:themeTint="80"/>
      <w:sz w:val="22"/>
      <w:szCs w:val="22"/>
    </w:rPr>
  </w:style>
  <w:style w:type="paragraph" w:styleId="Heading4">
    <w:name w:val="heading 4"/>
    <w:basedOn w:val="Normal"/>
    <w:next w:val="Normal"/>
    <w:link w:val="Heading4Char"/>
    <w:semiHidden/>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A5F5B"/>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627B98"/>
    <w:rPr>
      <w:color w:val="0063A6" w:themeColor="accent1"/>
      <w:u w:val="none"/>
    </w:rPr>
  </w:style>
  <w:style w:type="character" w:customStyle="1" w:styleId="Heading1Char">
    <w:name w:val="Heading 1 Char"/>
    <w:basedOn w:val="DefaultParagraphFont"/>
    <w:link w:val="Heading1"/>
    <w:uiPriority w:val="99"/>
    <w:rsid w:val="00962BE9"/>
    <w:rPr>
      <w:rFonts w:asciiTheme="majorHAnsi" w:eastAsiaTheme="majorEastAsia" w:hAnsiTheme="majorHAnsi" w:cstheme="majorBidi"/>
      <w:b/>
      <w:bCs/>
      <w:color w:val="000000" w:themeColor="text1"/>
      <w:spacing w:val="-1"/>
      <w:sz w:val="36"/>
      <w:szCs w:val="28"/>
    </w:rPr>
  </w:style>
  <w:style w:type="character" w:customStyle="1" w:styleId="Heading2Char">
    <w:name w:val="Heading 2 Char"/>
    <w:basedOn w:val="DefaultParagraphFont"/>
    <w:link w:val="Heading2"/>
    <w:uiPriority w:val="99"/>
    <w:rsid w:val="00962BE9"/>
    <w:rPr>
      <w:rFonts w:asciiTheme="majorHAnsi" w:eastAsiaTheme="majorEastAsia" w:hAnsiTheme="majorHAnsi" w:cstheme="majorBidi"/>
      <w:b/>
      <w:bCs/>
      <w:color w:val="7F7F7F" w:themeColor="text1" w:themeTint="80"/>
      <w:spacing w:val="2"/>
      <w:sz w:val="28"/>
      <w:szCs w:val="26"/>
    </w:rPr>
  </w:style>
  <w:style w:type="paragraph" w:customStyle="1" w:styleId="Bullet1">
    <w:name w:val="Bullet 1"/>
    <w:uiPriority w:val="2"/>
    <w:qFormat/>
    <w:rsid w:val="00AF7BC4"/>
    <w:pPr>
      <w:numPr>
        <w:numId w:val="8"/>
      </w:numPr>
      <w:spacing w:before="100" w:after="0" w:line="240" w:lineRule="auto"/>
      <w:ind w:left="289" w:hanging="289"/>
      <w:contextualSpacing/>
    </w:pPr>
    <w:rPr>
      <w:rFonts w:eastAsia="Times New Roman" w:cs="Calibri"/>
      <w:spacing w:val="2"/>
      <w:sz w:val="18"/>
    </w:rPr>
  </w:style>
  <w:style w:type="paragraph" w:customStyle="1" w:styleId="Bullet2">
    <w:name w:val="Bullet 2"/>
    <w:basedOn w:val="Bullet1"/>
    <w:uiPriority w:val="2"/>
    <w:qFormat/>
    <w:rsid w:val="0099093E"/>
    <w:pPr>
      <w:numPr>
        <w:ilvl w:val="1"/>
      </w:numPr>
      <w:spacing w:before="0"/>
    </w:pPr>
  </w:style>
  <w:style w:type="paragraph" w:customStyle="1" w:styleId="Bulletindent">
    <w:name w:val="Bullet indent"/>
    <w:basedOn w:val="Bullet2"/>
    <w:uiPriority w:val="7"/>
    <w:qFormat/>
    <w:rsid w:val="00EC171D"/>
    <w:pPr>
      <w:numPr>
        <w:ilvl w:val="2"/>
      </w:numPr>
    </w:pPr>
  </w:style>
  <w:style w:type="paragraph" w:customStyle="1" w:styleId="Heading1numbered">
    <w:name w:val="Heading 1 numbered"/>
    <w:basedOn w:val="Heading1"/>
    <w:next w:val="NormalIndent"/>
    <w:uiPriority w:val="4"/>
    <w:semiHidden/>
    <w:qFormat/>
    <w:rsid w:val="00EC171D"/>
  </w:style>
  <w:style w:type="paragraph" w:customStyle="1" w:styleId="Heading2numbered">
    <w:name w:val="Heading 2 numbered"/>
    <w:basedOn w:val="Heading2"/>
    <w:next w:val="NormalIndent"/>
    <w:uiPriority w:val="4"/>
    <w:semiHidden/>
    <w:qFormat/>
    <w:rsid w:val="00EC171D"/>
  </w:style>
  <w:style w:type="paragraph" w:customStyle="1" w:styleId="Heading3numbered">
    <w:name w:val="Heading 3 numbered"/>
    <w:basedOn w:val="Heading3"/>
    <w:next w:val="NormalIndent"/>
    <w:uiPriority w:val="4"/>
    <w:semiHidden/>
    <w:qFormat/>
    <w:rsid w:val="00EC171D"/>
    <w:pPr>
      <w:numPr>
        <w:ilvl w:val="4"/>
        <w:numId w:val="16"/>
      </w:numPr>
    </w:pPr>
  </w:style>
  <w:style w:type="character" w:customStyle="1" w:styleId="Heading3Char">
    <w:name w:val="Heading 3 Char"/>
    <w:basedOn w:val="DefaultParagraphFont"/>
    <w:link w:val="Heading3"/>
    <w:rsid w:val="008D155C"/>
    <w:rPr>
      <w:rFonts w:asciiTheme="majorHAnsi" w:eastAsiaTheme="majorEastAsia" w:hAnsiTheme="majorHAnsi" w:cstheme="majorBidi"/>
      <w:b/>
      <w:bCs/>
      <w:color w:val="7F7F7F" w:themeColor="text1" w:themeTint="80"/>
      <w:spacing w:val="2"/>
      <w:sz w:val="22"/>
      <w:szCs w:val="22"/>
    </w:rPr>
  </w:style>
  <w:style w:type="paragraph" w:customStyle="1" w:styleId="Heading4numbered">
    <w:name w:val="Heading 4 numbered"/>
    <w:basedOn w:val="Heading4"/>
    <w:next w:val="NormalIndent"/>
    <w:uiPriority w:val="4"/>
    <w:semiHidden/>
    <w:qFormat/>
    <w:rsid w:val="00EC171D"/>
    <w:pPr>
      <w:numPr>
        <w:ilvl w:val="5"/>
        <w:numId w:val="16"/>
      </w:numPr>
    </w:pPr>
  </w:style>
  <w:style w:type="character" w:customStyle="1" w:styleId="Heading4Char">
    <w:name w:val="Heading 4 Char"/>
    <w:basedOn w:val="DefaultParagraphFont"/>
    <w:link w:val="Heading4"/>
    <w:semiHidden/>
    <w:rsid w:val="001302DE"/>
    <w:rPr>
      <w:rFonts w:asciiTheme="majorHAnsi" w:eastAsiaTheme="majorEastAsia" w:hAnsiTheme="majorHAnsi" w:cstheme="majorBidi"/>
      <w:b/>
      <w:bCs/>
      <w:iCs/>
      <w:color w:val="53565A"/>
      <w:spacing w:val="2"/>
    </w:rPr>
  </w:style>
  <w:style w:type="paragraph" w:styleId="NormalIndent">
    <w:name w:val="Normal Indent"/>
    <w:basedOn w:val="Normal"/>
    <w:qFormat/>
    <w:rsid w:val="00FB1EC9"/>
    <w:pPr>
      <w:spacing w:line="252" w:lineRule="auto"/>
      <w:ind w:left="288"/>
    </w:pPr>
  </w:style>
  <w:style w:type="paragraph" w:customStyle="1" w:styleId="NoteNormal">
    <w:name w:val="Note Normal"/>
    <w:basedOn w:val="Normal"/>
    <w:uiPriority w:val="49"/>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9"/>
    <w:semiHidden/>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semiHidden/>
    <w:rsid w:val="00F23366"/>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semiHidden/>
    <w:rsid w:val="00EC171D"/>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semiHidden/>
    <w:rsid w:val="00EC171D"/>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semiHidden/>
    <w:rsid w:val="00F23366"/>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7"/>
    <w:qFormat/>
    <w:rsid w:val="00EC171D"/>
    <w:pPr>
      <w:numPr>
        <w:ilvl w:val="3"/>
        <w:numId w:val="8"/>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EC171D"/>
    <w:pPr>
      <w:tabs>
        <w:tab w:val="right" w:pos="9026"/>
      </w:tabs>
      <w:spacing w:after="0" w:line="240" w:lineRule="auto"/>
    </w:pPr>
    <w:rPr>
      <w:noProof/>
      <w:szCs w:val="18"/>
    </w:rPr>
  </w:style>
  <w:style w:type="character" w:customStyle="1" w:styleId="FooterChar">
    <w:name w:val="Footer Char"/>
    <w:basedOn w:val="DefaultParagraphFont"/>
    <w:link w:val="Footer"/>
    <w:uiPriority w:val="24"/>
    <w:rsid w:val="00EC171D"/>
    <w:rPr>
      <w:noProof/>
      <w:spacing w:val="2"/>
      <w:sz w:val="18"/>
      <w:szCs w:val="18"/>
    </w:rPr>
  </w:style>
  <w:style w:type="character" w:styleId="PageNumber">
    <w:name w:val="page number"/>
    <w:uiPriority w:val="49"/>
    <w:semiHidden/>
    <w:rsid w:val="00745174"/>
    <w:rPr>
      <w:b w:val="0"/>
      <w:color w:val="000000" w:themeColor="text1"/>
    </w:rPr>
  </w:style>
  <w:style w:type="paragraph" w:styleId="TOCHeading">
    <w:name w:val="TOC Heading"/>
    <w:basedOn w:val="Heading1"/>
    <w:next w:val="Normal"/>
    <w:uiPriority w:val="39"/>
    <w:semiHidden/>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semiHidden/>
    <w:rsid w:val="00EC171D"/>
    <w:pPr>
      <w:ind w:left="450" w:hanging="450"/>
    </w:pPr>
    <w:rPr>
      <w:noProof/>
      <w:lang w:eastAsia="en-US"/>
    </w:rPr>
  </w:style>
  <w:style w:type="paragraph" w:styleId="TOC5">
    <w:name w:val="toc 5"/>
    <w:basedOn w:val="TOC2"/>
    <w:next w:val="Normal"/>
    <w:uiPriority w:val="39"/>
    <w:semiHidden/>
    <w:rsid w:val="00EC171D"/>
    <w:pPr>
      <w:ind w:left="1080" w:hanging="634"/>
    </w:pPr>
    <w:rPr>
      <w:lang w:eastAsia="en-US"/>
    </w:rPr>
  </w:style>
  <w:style w:type="paragraph" w:styleId="TOC6">
    <w:name w:val="toc 6"/>
    <w:basedOn w:val="TOC3"/>
    <w:next w:val="Normal"/>
    <w:uiPriority w:val="39"/>
    <w:semiHidden/>
    <w:rsid w:val="00EC171D"/>
    <w:pPr>
      <w:ind w:left="1800" w:hanging="720"/>
    </w:pPr>
    <w:rPr>
      <w:lang w:eastAsia="en-US"/>
    </w:rPr>
  </w:style>
  <w:style w:type="table" w:customStyle="1" w:styleId="DTFtexttable">
    <w:name w:val="DTF text table"/>
    <w:basedOn w:val="TableGrid"/>
    <w:uiPriority w:val="99"/>
    <w:rsid w:val="00106E44"/>
    <w:pPr>
      <w:spacing w:before="30" w:after="30" w:line="264" w:lineRule="auto"/>
      <w:jc w:val="left"/>
    </w:pPr>
    <w:rPr>
      <w:sz w:val="18"/>
    </w:rPr>
    <w:tblPr>
      <w:tblBorders>
        <w:bottom w:val="single" w:sz="12" w:space="0" w:color="auto"/>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0000" w:themeFill="tex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FFFFFF" w:themeFill="background1"/>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9"/>
    <w:qFormat/>
    <w:rsid w:val="00652625"/>
    <w:pPr>
      <w:spacing w:before="60" w:after="60" w:line="264" w:lineRule="auto"/>
    </w:pPr>
    <w:rPr>
      <w:sz w:val="17"/>
    </w:rPr>
  </w:style>
  <w:style w:type="paragraph" w:customStyle="1" w:styleId="Tabletextright">
    <w:name w:val="Table text right"/>
    <w:basedOn w:val="Tabletext"/>
    <w:uiPriority w:val="8"/>
    <w:qFormat/>
    <w:rsid w:val="00EC171D"/>
    <w:pPr>
      <w:jc w:val="right"/>
    </w:pPr>
  </w:style>
  <w:style w:type="paragraph" w:customStyle="1" w:styleId="Listnumindent2">
    <w:name w:val="List num indent 2"/>
    <w:basedOn w:val="Normal"/>
    <w:uiPriority w:val="7"/>
    <w:qFormat/>
    <w:rsid w:val="00EC171D"/>
    <w:pPr>
      <w:numPr>
        <w:ilvl w:val="7"/>
        <w:numId w:val="16"/>
      </w:numPr>
      <w:spacing w:before="100"/>
      <w:contextualSpacing/>
    </w:pPr>
  </w:style>
  <w:style w:type="paragraph" w:customStyle="1" w:styleId="Listnumindent">
    <w:name w:val="List num indent"/>
    <w:basedOn w:val="Normal"/>
    <w:uiPriority w:val="7"/>
    <w:qFormat/>
    <w:rsid w:val="00EC171D"/>
    <w:pPr>
      <w:numPr>
        <w:ilvl w:val="6"/>
        <w:numId w:val="16"/>
      </w:numPr>
      <w:spacing w:before="100"/>
    </w:pPr>
  </w:style>
  <w:style w:type="paragraph" w:customStyle="1" w:styleId="Listnum">
    <w:name w:val="List num"/>
    <w:basedOn w:val="Normal"/>
    <w:uiPriority w:val="1"/>
    <w:qFormat/>
    <w:rsid w:val="00FE782F"/>
    <w:pPr>
      <w:numPr>
        <w:numId w:val="16"/>
      </w:numPr>
      <w:contextualSpacing/>
    </w:pPr>
  </w:style>
  <w:style w:type="paragraph" w:customStyle="1" w:styleId="Listnum2">
    <w:name w:val="List num 2"/>
    <w:basedOn w:val="Normal"/>
    <w:uiPriority w:val="1"/>
    <w:qFormat/>
    <w:rsid w:val="00117C6B"/>
    <w:pPr>
      <w:numPr>
        <w:ilvl w:val="1"/>
        <w:numId w:val="16"/>
      </w:numPr>
      <w:contextualSpacing/>
    </w:pPr>
  </w:style>
  <w:style w:type="paragraph" w:customStyle="1" w:styleId="Tabletextcentred">
    <w:name w:val="Table text centred"/>
    <w:basedOn w:val="Tabletext"/>
    <w:uiPriority w:val="8"/>
    <w:qFormat/>
    <w:rsid w:val="00EC171D"/>
    <w:pPr>
      <w:jc w:val="center"/>
    </w:pPr>
  </w:style>
  <w:style w:type="paragraph" w:customStyle="1" w:styleId="Tableheader">
    <w:name w:val="Table header"/>
    <w:basedOn w:val="Tabletext"/>
    <w:uiPriority w:val="8"/>
    <w:qFormat/>
    <w:rsid w:val="0000176A"/>
    <w:pPr>
      <w:keepNext/>
      <w:keepLines/>
      <w:spacing w:before="120"/>
    </w:pPr>
    <w:rPr>
      <w:rFonts w:eastAsiaTheme="minorHAnsi"/>
      <w:color w:val="FFFFFF" w:themeColor="background1"/>
      <w:sz w:val="18"/>
      <w:szCs w:val="21"/>
      <w:lang w:eastAsia="en-US"/>
    </w:rPr>
  </w:style>
  <w:style w:type="paragraph" w:customStyle="1" w:styleId="Tablebullet">
    <w:name w:val="Table bullet"/>
    <w:basedOn w:val="Tabletext"/>
    <w:uiPriority w:val="9"/>
    <w:rsid w:val="00D211E9"/>
    <w:pPr>
      <w:numPr>
        <w:numId w:val="18"/>
      </w:numPr>
    </w:pPr>
  </w:style>
  <w:style w:type="paragraph" w:customStyle="1" w:styleId="Tabledash">
    <w:name w:val="Table dash"/>
    <w:basedOn w:val="Tablebullet"/>
    <w:uiPriority w:val="9"/>
    <w:rsid w:val="00D211E9"/>
    <w:pPr>
      <w:numPr>
        <w:ilvl w:val="1"/>
      </w:numPr>
    </w:pPr>
  </w:style>
  <w:style w:type="paragraph" w:customStyle="1" w:styleId="Tabletextindent">
    <w:name w:val="Table text indent"/>
    <w:basedOn w:val="Tabletext"/>
    <w:uiPriority w:val="8"/>
    <w:qFormat/>
    <w:rsid w:val="00D211E9"/>
    <w:pPr>
      <w:ind w:left="288"/>
    </w:pPr>
  </w:style>
  <w:style w:type="paragraph" w:customStyle="1" w:styleId="FRDHeader">
    <w:name w:val="FRD Header"/>
    <w:basedOn w:val="Normal"/>
    <w:semiHidden/>
    <w:rsid w:val="00E122DB"/>
    <w:pPr>
      <w:spacing w:before="40" w:after="40" w:line="240" w:lineRule="auto"/>
    </w:pPr>
    <w:rPr>
      <w:rFonts w:eastAsia="Calibri" w:cs="Times New Roman"/>
      <w:color w:val="FFFFFF" w:themeColor="background1"/>
      <w:spacing w:val="0"/>
      <w:sz w:val="30"/>
      <w:szCs w:val="36"/>
      <w:lang w:eastAsia="en-US"/>
    </w:rPr>
  </w:style>
  <w:style w:type="paragraph" w:customStyle="1" w:styleId="FRDNumber">
    <w:name w:val="FRD Number"/>
    <w:basedOn w:val="FRDHeader"/>
    <w:semiHidden/>
    <w:rsid w:val="00E122DB"/>
  </w:style>
  <w:style w:type="paragraph" w:customStyle="1" w:styleId="Normalgrey">
    <w:name w:val="Normal grey"/>
    <w:basedOn w:val="Normal"/>
    <w:uiPriority w:val="2"/>
    <w:qFormat/>
    <w:rsid w:val="00382EE1"/>
    <w:pPr>
      <w:spacing w:line="264" w:lineRule="auto"/>
    </w:pPr>
    <w:rPr>
      <w:rFonts w:eastAsiaTheme="minorHAnsi"/>
      <w:color w:val="4D4D4D"/>
      <w:szCs w:val="18"/>
      <w:lang w:eastAsia="en-US"/>
    </w:rPr>
  </w:style>
  <w:style w:type="paragraph" w:customStyle="1" w:styleId="Bullet1grey">
    <w:name w:val="Bullet 1 grey"/>
    <w:basedOn w:val="Bullet1"/>
    <w:uiPriority w:val="3"/>
    <w:qFormat/>
    <w:rsid w:val="00AF7BC4"/>
    <w:rPr>
      <w:color w:val="4D4D4D"/>
      <w:szCs w:val="18"/>
      <w:lang w:eastAsia="en-US"/>
    </w:rPr>
  </w:style>
  <w:style w:type="paragraph" w:customStyle="1" w:styleId="Normalbold">
    <w:name w:val="Normal bold"/>
    <w:basedOn w:val="Normal"/>
    <w:qFormat/>
    <w:rsid w:val="00A516DE"/>
    <w:pPr>
      <w:spacing w:line="264" w:lineRule="auto"/>
    </w:pPr>
    <w:rPr>
      <w:rFonts w:eastAsiaTheme="minorHAnsi"/>
      <w:b/>
      <w:szCs w:val="18"/>
      <w:lang w:eastAsia="en-US"/>
    </w:rPr>
  </w:style>
  <w:style w:type="paragraph" w:customStyle="1" w:styleId="Refnum1">
    <w:name w:val="Ref num 1"/>
    <w:basedOn w:val="Normal"/>
    <w:uiPriority w:val="7"/>
    <w:rsid w:val="00DD5EB6"/>
    <w:pPr>
      <w:numPr>
        <w:numId w:val="22"/>
      </w:numPr>
      <w:spacing w:line="240" w:lineRule="auto"/>
    </w:pPr>
    <w:rPr>
      <w:rFonts w:eastAsia="Calibri" w:cs="Times New Roman"/>
      <w:color w:val="FFFFFF" w:themeColor="background1"/>
      <w:spacing w:val="0"/>
      <w:szCs w:val="21"/>
      <w:lang w:eastAsia="en-US"/>
    </w:rPr>
  </w:style>
  <w:style w:type="paragraph" w:customStyle="1" w:styleId="Refnum2">
    <w:name w:val="Ref num 2"/>
    <w:basedOn w:val="Refnum1"/>
    <w:uiPriority w:val="7"/>
    <w:rsid w:val="00957221"/>
    <w:pPr>
      <w:numPr>
        <w:ilvl w:val="2"/>
      </w:numPr>
    </w:pPr>
    <w:rPr>
      <w:color w:val="auto"/>
    </w:rPr>
  </w:style>
  <w:style w:type="paragraph" w:customStyle="1" w:styleId="Bullet2grey">
    <w:name w:val="Bullet 2 grey"/>
    <w:basedOn w:val="Bullet2"/>
    <w:uiPriority w:val="3"/>
    <w:qFormat/>
    <w:rsid w:val="0099093E"/>
    <w:rPr>
      <w:color w:val="4D4D4D"/>
      <w:szCs w:val="21"/>
      <w:lang w:eastAsia="en-US"/>
    </w:rPr>
  </w:style>
  <w:style w:type="paragraph" w:customStyle="1" w:styleId="Listnumgrey">
    <w:name w:val="List num grey"/>
    <w:uiPriority w:val="3"/>
    <w:qFormat/>
    <w:rsid w:val="00DF1F8E"/>
    <w:pPr>
      <w:numPr>
        <w:ilvl w:val="2"/>
        <w:numId w:val="16"/>
      </w:numPr>
      <w:spacing w:after="120" w:line="264" w:lineRule="auto"/>
    </w:pPr>
    <w:rPr>
      <w:rFonts w:eastAsiaTheme="minorHAnsi"/>
      <w:color w:val="4D4D4D"/>
      <w:spacing w:val="2"/>
      <w:sz w:val="18"/>
      <w:szCs w:val="21"/>
      <w:lang w:eastAsia="en-US"/>
    </w:rPr>
  </w:style>
  <w:style w:type="paragraph" w:customStyle="1" w:styleId="Listnum2grey">
    <w:name w:val="List num 2 grey"/>
    <w:uiPriority w:val="4"/>
    <w:qFormat/>
    <w:rsid w:val="00FA1680"/>
    <w:pPr>
      <w:numPr>
        <w:ilvl w:val="3"/>
        <w:numId w:val="16"/>
      </w:numPr>
      <w:spacing w:line="264" w:lineRule="auto"/>
    </w:pPr>
    <w:rPr>
      <w:rFonts w:eastAsiaTheme="minorHAnsi"/>
      <w:color w:val="4D4D4D"/>
      <w:spacing w:val="2"/>
      <w:sz w:val="18"/>
      <w:szCs w:val="21"/>
      <w:lang w:eastAsia="en-US"/>
    </w:rPr>
  </w:style>
  <w:style w:type="paragraph" w:customStyle="1" w:styleId="Refnum1grey">
    <w:name w:val="Ref num 1 grey"/>
    <w:basedOn w:val="Refnum1"/>
    <w:uiPriority w:val="7"/>
    <w:qFormat/>
    <w:rsid w:val="00DD5EB6"/>
    <w:rPr>
      <w:color w:val="F2F2F2" w:themeColor="background1" w:themeShade="F2"/>
    </w:rPr>
  </w:style>
  <w:style w:type="paragraph" w:customStyle="1" w:styleId="Refnum2grey">
    <w:name w:val="Ref num 2 grey"/>
    <w:basedOn w:val="Normal"/>
    <w:rsid w:val="006B2873"/>
    <w:pPr>
      <w:numPr>
        <w:ilvl w:val="1"/>
        <w:numId w:val="22"/>
      </w:numPr>
    </w:pPr>
  </w:style>
  <w:style w:type="paragraph" w:customStyle="1" w:styleId="Normalgreybold">
    <w:name w:val="Normal grey bold"/>
    <w:basedOn w:val="Normalgrey"/>
    <w:qFormat/>
    <w:rsid w:val="00E20142"/>
    <w:rPr>
      <w:b/>
    </w:rPr>
  </w:style>
  <w:style w:type="paragraph" w:customStyle="1" w:styleId="NormalIndentgrey">
    <w:name w:val="Normal Indent grey"/>
    <w:basedOn w:val="NormalIndent"/>
    <w:qFormat/>
    <w:rsid w:val="00FE782F"/>
    <w:rPr>
      <w:color w:val="4D4D4D"/>
      <w:szCs w:val="21"/>
    </w:rPr>
  </w:style>
  <w:style w:type="paragraph" w:styleId="Caption">
    <w:name w:val="caption"/>
    <w:basedOn w:val="Normal"/>
    <w:next w:val="Normal"/>
    <w:uiPriority w:val="99"/>
    <w:rsid w:val="004F6445"/>
    <w:pPr>
      <w:spacing w:before="0" w:after="200" w:line="240" w:lineRule="auto"/>
    </w:pPr>
    <w:rPr>
      <w:b/>
      <w:bCs/>
      <w:szCs w:val="18"/>
    </w:rPr>
  </w:style>
  <w:style w:type="paragraph" w:customStyle="1" w:styleId="Tablechartdiagramheading">
    <w:name w:val="Table/chart/diagram heading"/>
    <w:uiPriority w:val="99"/>
    <w:qFormat/>
    <w:rsid w:val="004F6445"/>
    <w:pPr>
      <w:tabs>
        <w:tab w:val="left" w:pos="1080"/>
      </w:tabs>
      <w:spacing w:before="160" w:after="100"/>
    </w:pPr>
    <w:rPr>
      <w:b/>
      <w:bCs/>
      <w:color w:val="404040" w:themeColor="text1" w:themeTint="BF"/>
      <w:spacing w:val="2"/>
      <w:sz w:val="18"/>
      <w:szCs w:val="18"/>
    </w:rPr>
  </w:style>
  <w:style w:type="character" w:styleId="CommentReference">
    <w:name w:val="annotation reference"/>
    <w:basedOn w:val="DefaultParagraphFont"/>
    <w:uiPriority w:val="99"/>
    <w:semiHidden/>
    <w:unhideWhenUsed/>
    <w:rsid w:val="007C21AF"/>
    <w:rPr>
      <w:sz w:val="16"/>
      <w:szCs w:val="16"/>
    </w:rPr>
  </w:style>
  <w:style w:type="paragraph" w:styleId="CommentText">
    <w:name w:val="annotation text"/>
    <w:basedOn w:val="Normal"/>
    <w:link w:val="CommentTextChar"/>
    <w:uiPriority w:val="99"/>
    <w:semiHidden/>
    <w:unhideWhenUsed/>
    <w:rsid w:val="007C21AF"/>
    <w:pPr>
      <w:spacing w:line="240" w:lineRule="auto"/>
    </w:pPr>
    <w:rPr>
      <w:sz w:val="20"/>
    </w:rPr>
  </w:style>
  <w:style w:type="character" w:customStyle="1" w:styleId="CommentTextChar">
    <w:name w:val="Comment Text Char"/>
    <w:basedOn w:val="DefaultParagraphFont"/>
    <w:link w:val="CommentText"/>
    <w:uiPriority w:val="99"/>
    <w:semiHidden/>
    <w:rsid w:val="007C21AF"/>
    <w:rPr>
      <w:spacing w:val="2"/>
    </w:rPr>
  </w:style>
  <w:style w:type="paragraph" w:styleId="CommentSubject">
    <w:name w:val="annotation subject"/>
    <w:basedOn w:val="CommentText"/>
    <w:next w:val="CommentText"/>
    <w:link w:val="CommentSubjectChar"/>
    <w:uiPriority w:val="99"/>
    <w:semiHidden/>
    <w:unhideWhenUsed/>
    <w:rsid w:val="00661A3C"/>
    <w:rPr>
      <w:b/>
      <w:bCs/>
    </w:rPr>
  </w:style>
  <w:style w:type="character" w:customStyle="1" w:styleId="CommentSubjectChar">
    <w:name w:val="Comment Subject Char"/>
    <w:basedOn w:val="CommentTextChar"/>
    <w:link w:val="CommentSubject"/>
    <w:uiPriority w:val="99"/>
    <w:semiHidden/>
    <w:rsid w:val="00661A3C"/>
    <w:rPr>
      <w:b/>
      <w:bCs/>
      <w:spacing w:val="2"/>
    </w:rPr>
  </w:style>
  <w:style w:type="paragraph" w:styleId="FootnoteText">
    <w:name w:val="footnote text"/>
    <w:basedOn w:val="Normal"/>
    <w:link w:val="FootnoteTextChar"/>
    <w:uiPriority w:val="99"/>
    <w:semiHidden/>
    <w:unhideWhenUsed/>
    <w:rsid w:val="00B66B86"/>
    <w:pPr>
      <w:spacing w:before="0" w:after="0" w:line="240" w:lineRule="auto"/>
    </w:pPr>
  </w:style>
  <w:style w:type="character" w:customStyle="1" w:styleId="FootnoteTextChar">
    <w:name w:val="Footnote Text Char"/>
    <w:basedOn w:val="DefaultParagraphFont"/>
    <w:link w:val="FootnoteText"/>
    <w:uiPriority w:val="99"/>
    <w:semiHidden/>
    <w:rsid w:val="00B66B86"/>
    <w:rPr>
      <w:spacing w:val="2"/>
      <w:sz w:val="18"/>
    </w:rPr>
  </w:style>
  <w:style w:type="character" w:styleId="FootnoteReference">
    <w:name w:val="footnote reference"/>
    <w:basedOn w:val="DefaultParagraphFont"/>
    <w:uiPriority w:val="99"/>
    <w:semiHidden/>
    <w:unhideWhenUsed/>
    <w:rsid w:val="00157CA1"/>
    <w:rPr>
      <w:vertAlign w:val="superscript"/>
    </w:rPr>
  </w:style>
  <w:style w:type="character" w:styleId="UnresolvedMention">
    <w:name w:val="Unresolved Mention"/>
    <w:basedOn w:val="DefaultParagraphFont"/>
    <w:uiPriority w:val="99"/>
    <w:semiHidden/>
    <w:unhideWhenUsed/>
    <w:rsid w:val="00627B98"/>
    <w:rPr>
      <w:color w:val="605E5C"/>
      <w:shd w:val="clear" w:color="auto" w:fill="E1DFDD"/>
    </w:rPr>
  </w:style>
  <w:style w:type="paragraph" w:styleId="Revision">
    <w:name w:val="Revision"/>
    <w:hidden/>
    <w:uiPriority w:val="99"/>
    <w:semiHidden/>
    <w:rsid w:val="000E04DC"/>
    <w:pPr>
      <w:spacing w:after="0" w:line="240" w:lineRule="auto"/>
    </w:pPr>
    <w:rPr>
      <w:spacing w:val="2"/>
      <w:sz w:val="18"/>
    </w:rPr>
  </w:style>
  <w:style w:type="paragraph" w:styleId="ListParagraph">
    <w:name w:val="List Paragraph"/>
    <w:basedOn w:val="Normal"/>
    <w:uiPriority w:val="34"/>
    <w:qFormat/>
    <w:rsid w:val="00515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propertyandlandtitles.vic.gov.au/valuation/valuer-general-victori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dtf.vic.gov.au/financial-reporting-policy/financial-reporting-directions-and-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80A5C91-0EF0-45C1-AD82-63C4184E32BF}">
  <ds:schemaRefs>
    <ds:schemaRef ds:uri="http://schemas.openxmlformats.org/officeDocument/2006/bibliography"/>
  </ds:schemaRefs>
</ds:datastoreItem>
</file>

<file path=customXml/itemProps2.xml><?xml version="1.0" encoding="utf-8"?>
<ds:datastoreItem xmlns:ds="http://schemas.openxmlformats.org/officeDocument/2006/customXml" ds:itemID="{17976566-C14E-4594-BB7E-B9F72E8B9C0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4851</Words>
  <Characters>27657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32444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Anlezark</dc:creator>
  <cp:lastModifiedBy>Constance Yuan (DTF)</cp:lastModifiedBy>
  <cp:revision>3</cp:revision>
  <cp:lastPrinted>2016-03-03T04:13:00Z</cp:lastPrinted>
  <dcterms:created xsi:type="dcterms:W3CDTF">2025-04-13T22:47:00Z</dcterms:created>
  <dcterms:modified xsi:type="dcterms:W3CDTF">2025-04-13T22:47:00Z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f43ee672-57cc-4758-9b94-5f36480ee670</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3671841d-b3a8-4706-968c-e82b307d8b6d_Enabled">
    <vt:lpwstr>true</vt:lpwstr>
  </property>
  <property fmtid="{D5CDD505-2E9C-101B-9397-08002B2CF9AE}" pid="6" name="MSIP_Label_3671841d-b3a8-4706-968c-e82b307d8b6d_SetDate">
    <vt:lpwstr>2021-06-06T06:27:04Z</vt:lpwstr>
  </property>
  <property fmtid="{D5CDD505-2E9C-101B-9397-08002B2CF9AE}" pid="7" name="MSIP_Label_3671841d-b3a8-4706-968c-e82b307d8b6d_Method">
    <vt:lpwstr>Privileged</vt:lpwstr>
  </property>
  <property fmtid="{D5CDD505-2E9C-101B-9397-08002B2CF9AE}" pid="8" name="MSIP_Label_3671841d-b3a8-4706-968c-e82b307d8b6d_Name">
    <vt:lpwstr>3671841d-b3a8-4706-968c-e82b307d8b6d</vt:lpwstr>
  </property>
  <property fmtid="{D5CDD505-2E9C-101B-9397-08002B2CF9AE}" pid="9" name="MSIP_Label_3671841d-b3a8-4706-968c-e82b307d8b6d_SiteId">
    <vt:lpwstr>2c7f1f78-afc6-43de-bfdd-cf12c4016c70</vt:lpwstr>
  </property>
  <property fmtid="{D5CDD505-2E9C-101B-9397-08002B2CF9AE}" pid="10" name="MSIP_Label_3671841d-b3a8-4706-968c-e82b307d8b6d_ActionId">
    <vt:lpwstr>bd7057b0-0c84-4ae3-9a57-5102f62a2f00</vt:lpwstr>
  </property>
  <property fmtid="{D5CDD505-2E9C-101B-9397-08002B2CF9AE}" pid="11" name="MSIP_Label_3671841d-b3a8-4706-968c-e82b307d8b6d_ContentBits">
    <vt:lpwstr>3</vt:lpwstr>
  </property>
  <property fmtid="{D5CDD505-2E9C-101B-9397-08002B2CF9AE}" pid="12" name="MSIP_Label_7158ebbd-6c5e-441f-bfc9-4eb8c11e3978_Enabled">
    <vt:lpwstr>true</vt:lpwstr>
  </property>
  <property fmtid="{D5CDD505-2E9C-101B-9397-08002B2CF9AE}" pid="13" name="MSIP_Label_7158ebbd-6c5e-441f-bfc9-4eb8c11e3978_SetDate">
    <vt:lpwstr>2022-04-28T02:44:43Z</vt:lpwstr>
  </property>
  <property fmtid="{D5CDD505-2E9C-101B-9397-08002B2CF9AE}" pid="14" name="MSIP_Label_7158ebbd-6c5e-441f-bfc9-4eb8c11e3978_Method">
    <vt:lpwstr>Privileged</vt:lpwstr>
  </property>
  <property fmtid="{D5CDD505-2E9C-101B-9397-08002B2CF9AE}" pid="15" name="MSIP_Label_7158ebbd-6c5e-441f-bfc9-4eb8c11e3978_Name">
    <vt:lpwstr>7158ebbd-6c5e-441f-bfc9-4eb8c11e3978</vt:lpwstr>
  </property>
  <property fmtid="{D5CDD505-2E9C-101B-9397-08002B2CF9AE}" pid="16" name="MSIP_Label_7158ebbd-6c5e-441f-bfc9-4eb8c11e3978_SiteId">
    <vt:lpwstr>722ea0be-3e1c-4b11-ad6f-9401d6856e24</vt:lpwstr>
  </property>
  <property fmtid="{D5CDD505-2E9C-101B-9397-08002B2CF9AE}" pid="17" name="MSIP_Label_7158ebbd-6c5e-441f-bfc9-4eb8c11e3978_ActionId">
    <vt:lpwstr>cd88636b-0973-4129-8e8b-4d6a0f6da483</vt:lpwstr>
  </property>
  <property fmtid="{D5CDD505-2E9C-101B-9397-08002B2CF9AE}" pid="18" name="MSIP_Label_7158ebbd-6c5e-441f-bfc9-4eb8c11e3978_ContentBits">
    <vt:lpwstr>2</vt:lpwstr>
  </property>
</Properties>
</file>